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7903B" w14:textId="77777777" w:rsidR="00614472" w:rsidRPr="00704FF8" w:rsidRDefault="00614472" w:rsidP="00704FF8">
      <w:pPr>
        <w:pStyle w:val="OrdersTopLine"/>
      </w:pPr>
      <w:r w:rsidRPr="00704FF8">
        <w:t>HIGH COURT OF AUSTRALIA</w:t>
      </w:r>
    </w:p>
    <w:p w14:paraId="07350CE4" w14:textId="77777777" w:rsidR="00614472" w:rsidRPr="00704FF8" w:rsidRDefault="00614472" w:rsidP="00704FF8">
      <w:pPr>
        <w:pStyle w:val="OrderCentre"/>
      </w:pPr>
    </w:p>
    <w:p w14:paraId="193C380F" w14:textId="77777777" w:rsidR="00614472" w:rsidRPr="00704FF8" w:rsidRDefault="00614472" w:rsidP="00704FF8">
      <w:pPr>
        <w:pStyle w:val="OrderCentre"/>
      </w:pPr>
      <w:r w:rsidRPr="00704FF8">
        <w:t>KIEFEL CJ</w:t>
      </w:r>
      <w:r>
        <w:t>,</w:t>
      </w:r>
    </w:p>
    <w:p w14:paraId="363F57E3" w14:textId="77777777" w:rsidR="00614472" w:rsidRPr="00704FF8" w:rsidRDefault="00614472" w:rsidP="00704FF8">
      <w:pPr>
        <w:pStyle w:val="OrderCentre"/>
      </w:pPr>
      <w:r w:rsidRPr="00704FF8">
        <w:t>KEANE, EDELMAN</w:t>
      </w:r>
      <w:r>
        <w:t>,</w:t>
      </w:r>
      <w:r w:rsidRPr="00704FF8">
        <w:t xml:space="preserve"> </w:t>
      </w:r>
      <w:r w:rsidRPr="004C496B">
        <w:t xml:space="preserve">STEWARD </w:t>
      </w:r>
      <w:r w:rsidRPr="00704FF8">
        <w:t xml:space="preserve">AND </w:t>
      </w:r>
      <w:r>
        <w:t xml:space="preserve">GLEESON </w:t>
      </w:r>
      <w:r w:rsidRPr="00704FF8">
        <w:t>JJ</w:t>
      </w:r>
    </w:p>
    <w:p w14:paraId="371B8166" w14:textId="77777777" w:rsidR="00614472" w:rsidRPr="00427F3A" w:rsidRDefault="00614472" w:rsidP="00EE5374">
      <w:pPr>
        <w:pStyle w:val="Centre"/>
        <w:rPr>
          <w:lang w:val="en-AU"/>
        </w:rPr>
      </w:pPr>
    </w:p>
    <w:p w14:paraId="353FE90B" w14:textId="77777777" w:rsidR="00614472" w:rsidRPr="00704FF8" w:rsidRDefault="00614472" w:rsidP="00704FF8">
      <w:pPr>
        <w:pStyle w:val="OrdersCenteredBorder"/>
      </w:pPr>
    </w:p>
    <w:p w14:paraId="6FDC0D4E" w14:textId="77777777" w:rsidR="00614472" w:rsidRPr="00704FF8" w:rsidRDefault="00614472" w:rsidP="0032341F">
      <w:pPr>
        <w:pStyle w:val="OrdersBodyHeading"/>
      </w:pPr>
    </w:p>
    <w:p w14:paraId="67F76005" w14:textId="77777777" w:rsidR="00614472" w:rsidRPr="0032341F" w:rsidRDefault="00614472" w:rsidP="009362E8">
      <w:pPr>
        <w:pStyle w:val="OrdersPartyName"/>
        <w:ind w:right="-1"/>
      </w:pPr>
      <w:r w:rsidRPr="00A7019C">
        <w:t>HAMILTON (A PSEUDONYM)</w:t>
      </w:r>
      <w:r w:rsidRPr="0032341F">
        <w:tab/>
        <w:t>APPELLANT</w:t>
      </w:r>
    </w:p>
    <w:p w14:paraId="182B953B" w14:textId="77777777" w:rsidR="00614472" w:rsidRPr="0032341F" w:rsidRDefault="00614472" w:rsidP="009362E8">
      <w:pPr>
        <w:pStyle w:val="OrdersPartyName"/>
        <w:ind w:right="-1"/>
      </w:pPr>
    </w:p>
    <w:p w14:paraId="5B08C41C" w14:textId="77777777" w:rsidR="00614472" w:rsidRPr="0032341F" w:rsidRDefault="00614472" w:rsidP="009362E8">
      <w:pPr>
        <w:pStyle w:val="OrdersPartyName"/>
        <w:ind w:right="-1"/>
      </w:pPr>
      <w:r w:rsidRPr="0032341F">
        <w:t>AND</w:t>
      </w:r>
    </w:p>
    <w:p w14:paraId="7A58518A" w14:textId="77777777" w:rsidR="00614472" w:rsidRPr="0032341F" w:rsidRDefault="00614472" w:rsidP="009362E8">
      <w:pPr>
        <w:pStyle w:val="OrdersPartyName"/>
        <w:ind w:right="-1"/>
      </w:pPr>
    </w:p>
    <w:p w14:paraId="293D2680" w14:textId="77777777" w:rsidR="00614472" w:rsidRPr="0032341F" w:rsidRDefault="00614472" w:rsidP="009362E8">
      <w:pPr>
        <w:pStyle w:val="OrdersPartyName"/>
        <w:ind w:right="-1"/>
      </w:pPr>
      <w:r w:rsidRPr="00A7019C">
        <w:t>THE QUEEN</w:t>
      </w:r>
      <w:r w:rsidRPr="0032341F">
        <w:tab/>
        <w:t>RESPONDENT</w:t>
      </w:r>
    </w:p>
    <w:p w14:paraId="29FAD0A5" w14:textId="77777777" w:rsidR="00614472" w:rsidRPr="00427F3A" w:rsidRDefault="00614472" w:rsidP="00AF0A5E">
      <w:pPr>
        <w:pStyle w:val="BodyHeading"/>
      </w:pPr>
    </w:p>
    <w:p w14:paraId="1623231C" w14:textId="77777777" w:rsidR="00614472" w:rsidRPr="00427F3A" w:rsidRDefault="00614472" w:rsidP="00BE0A6C">
      <w:pPr>
        <w:pStyle w:val="BodyHeading"/>
      </w:pPr>
    </w:p>
    <w:p w14:paraId="5D06A27E" w14:textId="77777777" w:rsidR="00614472" w:rsidRPr="00427F3A" w:rsidRDefault="00614472" w:rsidP="00EE5374">
      <w:pPr>
        <w:pStyle w:val="CentreItalics"/>
      </w:pPr>
      <w:r w:rsidRPr="00A7019C">
        <w:t>Hamilton (a pseudonym) v The Queen</w:t>
      </w:r>
    </w:p>
    <w:p w14:paraId="629493E3" w14:textId="77777777" w:rsidR="00614472" w:rsidRPr="00427F3A" w:rsidRDefault="00614472" w:rsidP="00E90E4F">
      <w:pPr>
        <w:pStyle w:val="OrdersCentre"/>
      </w:pPr>
      <w:r>
        <w:t>[2021</w:t>
      </w:r>
      <w:r w:rsidRPr="00427F3A">
        <w:t xml:space="preserve">] HCA </w:t>
      </w:r>
      <w:r>
        <w:t>33</w:t>
      </w:r>
    </w:p>
    <w:p w14:paraId="78FA5CAE" w14:textId="77777777" w:rsidR="00614472" w:rsidRDefault="00614472" w:rsidP="00E90E4F">
      <w:pPr>
        <w:pStyle w:val="OrdersCentreItalics"/>
      </w:pPr>
      <w:r>
        <w:t xml:space="preserve">Date of Hearing: </w:t>
      </w:r>
      <w:r w:rsidRPr="00A7019C">
        <w:t>22 June 2021</w:t>
      </w:r>
    </w:p>
    <w:p w14:paraId="37C26AA9" w14:textId="77777777" w:rsidR="00614472" w:rsidRPr="00427F3A" w:rsidRDefault="00614472" w:rsidP="00E90E4F">
      <w:pPr>
        <w:pStyle w:val="OrdersCentreItalics"/>
      </w:pPr>
      <w:r>
        <w:t>Date of Judgment: 3 November 2021</w:t>
      </w:r>
    </w:p>
    <w:p w14:paraId="38829B27" w14:textId="77777777" w:rsidR="00614472" w:rsidRDefault="00614472" w:rsidP="00E90E4F">
      <w:pPr>
        <w:pStyle w:val="OrdersCentre"/>
      </w:pPr>
      <w:r w:rsidRPr="00A7019C">
        <w:t>S24/2021</w:t>
      </w:r>
    </w:p>
    <w:p w14:paraId="05870522" w14:textId="77777777" w:rsidR="00614472" w:rsidRPr="00427F3A" w:rsidRDefault="00614472" w:rsidP="00E90E4F">
      <w:pPr>
        <w:pStyle w:val="OrdersCentre"/>
      </w:pPr>
    </w:p>
    <w:p w14:paraId="27DC944A" w14:textId="77777777" w:rsidR="00614472" w:rsidRPr="00BE0A6C" w:rsidRDefault="00614472" w:rsidP="00E90E4F">
      <w:pPr>
        <w:pStyle w:val="OrderCentreBold"/>
      </w:pPr>
      <w:r w:rsidRPr="00BE0A6C">
        <w:t>ORDER</w:t>
      </w:r>
    </w:p>
    <w:p w14:paraId="5431916E" w14:textId="77777777" w:rsidR="00614472" w:rsidRPr="00427F3A" w:rsidRDefault="00614472" w:rsidP="00736C52">
      <w:pPr>
        <w:pStyle w:val="Centre"/>
        <w:rPr>
          <w:lang w:val="en-AU"/>
        </w:rPr>
      </w:pPr>
    </w:p>
    <w:p w14:paraId="0CA50BCB" w14:textId="77777777" w:rsidR="00614472" w:rsidRDefault="00614472" w:rsidP="00980C33">
      <w:pPr>
        <w:pStyle w:val="OrdersText"/>
      </w:pPr>
      <w:r>
        <w:t xml:space="preserve">Appeal dismissed. </w:t>
      </w:r>
    </w:p>
    <w:p w14:paraId="32C234A0" w14:textId="77777777" w:rsidR="00614472" w:rsidRPr="00A7019C" w:rsidRDefault="00614472" w:rsidP="00EE5374">
      <w:pPr>
        <w:pStyle w:val="Body"/>
      </w:pPr>
    </w:p>
    <w:p w14:paraId="5F69BBB5" w14:textId="77777777" w:rsidR="00614472" w:rsidRPr="00A7019C" w:rsidRDefault="00614472" w:rsidP="00EE5374">
      <w:pPr>
        <w:pStyle w:val="Body"/>
      </w:pPr>
    </w:p>
    <w:p w14:paraId="765309EF" w14:textId="77777777" w:rsidR="00614472" w:rsidRPr="00A7019C" w:rsidRDefault="00614472" w:rsidP="0032341F">
      <w:pPr>
        <w:pStyle w:val="OrdersBody"/>
      </w:pPr>
      <w:r w:rsidRPr="00A7019C">
        <w:t>On appeal from the Supreme Court of New South Wales</w:t>
      </w:r>
    </w:p>
    <w:p w14:paraId="6AB10757" w14:textId="77777777" w:rsidR="00614472" w:rsidRPr="00A7019C" w:rsidRDefault="00614472" w:rsidP="00EE5374">
      <w:pPr>
        <w:pStyle w:val="Body"/>
      </w:pPr>
    </w:p>
    <w:p w14:paraId="247375A4" w14:textId="77777777" w:rsidR="00614472" w:rsidRPr="00A7019C" w:rsidRDefault="00614472" w:rsidP="00EE5374">
      <w:pPr>
        <w:pStyle w:val="Body"/>
      </w:pPr>
    </w:p>
    <w:p w14:paraId="7C74D0AB" w14:textId="77777777" w:rsidR="00614472" w:rsidRPr="00A7019C" w:rsidRDefault="00614472" w:rsidP="00E90E4F">
      <w:pPr>
        <w:pStyle w:val="OrdersBodyHeading"/>
      </w:pPr>
      <w:r w:rsidRPr="00A7019C">
        <w:t>Representation</w:t>
      </w:r>
    </w:p>
    <w:p w14:paraId="287623E3" w14:textId="77777777" w:rsidR="00614472" w:rsidRPr="00A7019C" w:rsidRDefault="00614472" w:rsidP="00EE5374">
      <w:pPr>
        <w:pStyle w:val="Body"/>
      </w:pPr>
    </w:p>
    <w:p w14:paraId="574B875E" w14:textId="77777777" w:rsidR="00614472" w:rsidRPr="00A7019C" w:rsidRDefault="00614472" w:rsidP="00E90E4F">
      <w:pPr>
        <w:pStyle w:val="OrdersBody"/>
      </w:pPr>
      <w:r w:rsidRPr="00A7019C">
        <w:t>H K Dhanji SC with D R Randle for the appellant (instructed by George Sten &amp; Co)</w:t>
      </w:r>
    </w:p>
    <w:p w14:paraId="0794FB11" w14:textId="77777777" w:rsidR="00614472" w:rsidRPr="00A7019C" w:rsidRDefault="00614472" w:rsidP="001B3C97">
      <w:pPr>
        <w:pStyle w:val="Body"/>
      </w:pPr>
    </w:p>
    <w:p w14:paraId="79706D73" w14:textId="77777777" w:rsidR="00614472" w:rsidRPr="00A7019C" w:rsidRDefault="00614472" w:rsidP="00E90E4F">
      <w:pPr>
        <w:pStyle w:val="OrdersBody"/>
      </w:pPr>
      <w:r w:rsidRPr="00A7019C">
        <w:t>H Baker SC with B K Baker for the respondent (instructed by Office of the Director of Public Prosecutions (NSW))</w:t>
      </w:r>
    </w:p>
    <w:p w14:paraId="6923D068" w14:textId="77777777" w:rsidR="00614472" w:rsidRPr="00A7019C" w:rsidRDefault="00614472" w:rsidP="00A01277">
      <w:pPr>
        <w:pStyle w:val="Body"/>
      </w:pPr>
    </w:p>
    <w:p w14:paraId="1DFF1AE6" w14:textId="77777777" w:rsidR="00614472" w:rsidRDefault="00614472" w:rsidP="00EE5374">
      <w:pPr>
        <w:pStyle w:val="Body"/>
      </w:pPr>
    </w:p>
    <w:p w14:paraId="5EB7995B" w14:textId="77777777" w:rsidR="00614472" w:rsidRPr="00A7019C" w:rsidRDefault="00614472" w:rsidP="00EE5374">
      <w:pPr>
        <w:pStyle w:val="Body"/>
      </w:pPr>
    </w:p>
    <w:p w14:paraId="448333EA" w14:textId="77777777" w:rsidR="00614472" w:rsidRPr="00A7019C" w:rsidRDefault="00614472" w:rsidP="00EE5374">
      <w:pPr>
        <w:pStyle w:val="Body"/>
      </w:pPr>
    </w:p>
    <w:p w14:paraId="786B7B82" w14:textId="77777777" w:rsidR="00614472" w:rsidRPr="00427F3A" w:rsidRDefault="00614472" w:rsidP="00F9713B">
      <w:pPr>
        <w:pStyle w:val="Notice"/>
        <w:rPr>
          <w:lang w:val="en-AU"/>
        </w:rPr>
      </w:pPr>
      <w:r w:rsidRPr="00A7019C">
        <w:rPr>
          <w:lang w:val="en-AU"/>
        </w:rPr>
        <w:t>Notice:  This copy of the Court's Reasons for Judgment is subject to</w:t>
      </w:r>
      <w:r w:rsidRPr="00427F3A">
        <w:rPr>
          <w:lang w:val="en-AU"/>
        </w:rPr>
        <w:t xml:space="preserve"> formal revision prior to publication in the Commonwealth Law Reports.</w:t>
      </w:r>
    </w:p>
    <w:p w14:paraId="3B1A7964" w14:textId="4E6E32D2" w:rsidR="00614472" w:rsidRDefault="0061447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530F5AA" w14:textId="77777777" w:rsidR="00614472" w:rsidRDefault="0061447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614472" w:rsidSect="00614472">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76AA2140" w14:textId="77777777" w:rsidR="00614472" w:rsidRDefault="00614472" w:rsidP="001649CA">
      <w:pPr>
        <w:pStyle w:val="CatchwordsBold"/>
      </w:pPr>
      <w:r w:rsidRPr="00B9489E">
        <w:lastRenderedPageBreak/>
        <w:t>CATCHWORDS</w:t>
      </w:r>
    </w:p>
    <w:p w14:paraId="77CA7E92" w14:textId="77777777" w:rsidR="00614472" w:rsidRPr="00B9489E" w:rsidRDefault="00614472" w:rsidP="001649CA">
      <w:pPr>
        <w:pStyle w:val="CatchwordsBold"/>
      </w:pPr>
    </w:p>
    <w:p w14:paraId="2E669DA7" w14:textId="77777777" w:rsidR="00614472" w:rsidRPr="00B9489E" w:rsidRDefault="00614472" w:rsidP="001649CA">
      <w:pPr>
        <w:pStyle w:val="CatchwordsBold"/>
      </w:pPr>
      <w:r>
        <w:t>Hamilton (a pseudonym) v The Queen</w:t>
      </w:r>
    </w:p>
    <w:p w14:paraId="31BAD7D3" w14:textId="77777777" w:rsidR="00614472" w:rsidRPr="00B9489E" w:rsidRDefault="00614472" w:rsidP="00562CAB">
      <w:pPr>
        <w:pStyle w:val="Default"/>
      </w:pPr>
    </w:p>
    <w:p w14:paraId="67F6906B" w14:textId="049516A5" w:rsidR="00614472" w:rsidRPr="00693114" w:rsidRDefault="00614472" w:rsidP="001649CA">
      <w:pPr>
        <w:pStyle w:val="CatchwordsText"/>
      </w:pPr>
      <w:r>
        <w:t xml:space="preserve">Criminal </w:t>
      </w:r>
      <w:r w:rsidR="00206125">
        <w:t>p</w:t>
      </w:r>
      <w:bookmarkStart w:id="0" w:name="_GoBack"/>
      <w:bookmarkEnd w:id="0"/>
      <w:r>
        <w:t xml:space="preserve">ractice </w:t>
      </w:r>
      <w:r w:rsidRPr="00B9489E">
        <w:t>–</w:t>
      </w:r>
      <w:r>
        <w:t xml:space="preserve"> Trial </w:t>
      </w:r>
      <w:r w:rsidRPr="00B9489E">
        <w:t>–</w:t>
      </w:r>
      <w:r>
        <w:t xml:space="preserve"> Directions to jury – Where appellant charged with ten counts of aggravated indecent assault against three of his children – Where appellant did not seek that counts be tried separately – Where appellant alleged complainants' evidence was inconsistent and had been concocted – Where appellant did not seek anti</w:t>
      </w:r>
      <w:r>
        <w:noBreakHyphen/>
        <w:t>tendency direction and no anti</w:t>
      </w:r>
      <w:r>
        <w:noBreakHyphen/>
        <w:t xml:space="preserve">tendency direction given – Where trial judge gave </w:t>
      </w:r>
      <w:r>
        <w:rPr>
          <w:i/>
        </w:rPr>
        <w:t xml:space="preserve">Murray </w:t>
      </w:r>
      <w:r>
        <w:t>direction requiring jury not to convict on any count unless satisfied that evidence of each child was honest and reliable in relation to that count – Where trial judge directed jury to give separate consideration to each count – Whether trial miscarried because of failure to give anti</w:t>
      </w:r>
      <w:r>
        <w:noBreakHyphen/>
        <w:t>tendency direction.</w:t>
      </w:r>
    </w:p>
    <w:p w14:paraId="790F3FBF" w14:textId="77777777" w:rsidR="00614472" w:rsidRDefault="00614472" w:rsidP="00614472">
      <w:pPr>
        <w:pStyle w:val="CatchwordsText"/>
      </w:pPr>
    </w:p>
    <w:p w14:paraId="590D6B49" w14:textId="77777777" w:rsidR="00614472" w:rsidRDefault="00614472" w:rsidP="00614472">
      <w:pPr>
        <w:pStyle w:val="CatchwordsText"/>
      </w:pPr>
      <w:r w:rsidRPr="00B9489E">
        <w:t>Words and phrases –</w:t>
      </w:r>
      <w:r>
        <w:t xml:space="preserve"> "anti</w:t>
      </w:r>
      <w:r>
        <w:noBreakHyphen/>
        <w:t>tendency direction", "concoction of evidence", "counts tried together", "failure of counsel to seek a direction", "forensic advantage", "forensic strategy", "</w:t>
      </w:r>
      <w:r w:rsidRPr="006B4FCD">
        <w:t>impermissible</w:t>
      </w:r>
      <w:r>
        <w:t xml:space="preserve"> tendency reasoning", "miscarriage of justice", "multiple complainants", "</w:t>
      </w:r>
      <w:r>
        <w:rPr>
          <w:i/>
        </w:rPr>
        <w:t>Murray</w:t>
      </w:r>
      <w:r>
        <w:t xml:space="preserve"> direction", "separate consideration direction", "stark contest of credibility".</w:t>
      </w:r>
    </w:p>
    <w:p w14:paraId="72D9B4BF" w14:textId="77777777" w:rsidR="00614472" w:rsidRDefault="00614472" w:rsidP="00614472">
      <w:pPr>
        <w:pStyle w:val="CatchwordsText"/>
      </w:pPr>
    </w:p>
    <w:p w14:paraId="24F7EC70" w14:textId="77777777" w:rsidR="00614472" w:rsidRPr="00AB01D2" w:rsidRDefault="00614472" w:rsidP="00614472">
      <w:pPr>
        <w:pStyle w:val="CatchwordsText"/>
      </w:pPr>
      <w:r>
        <w:rPr>
          <w:i/>
        </w:rPr>
        <w:t xml:space="preserve">Criminal Appeal Act 1912 </w:t>
      </w:r>
      <w:r>
        <w:t>(NSW), s 6(1).</w:t>
      </w:r>
    </w:p>
    <w:p w14:paraId="74A08138" w14:textId="39C77DC6" w:rsidR="00614472" w:rsidRDefault="00614472" w:rsidP="0061447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FCD807F" w14:textId="3CB84AAD" w:rsidR="00614472" w:rsidRDefault="0061447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515A971" w14:textId="2B11F851" w:rsidR="00614472" w:rsidRDefault="0061447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6B7011F7" w14:textId="77777777" w:rsidR="00614472" w:rsidRDefault="00614472" w:rsidP="00273D10">
      <w:pPr>
        <w:pStyle w:val="FixListStyle"/>
        <w:tabs>
          <w:tab w:val="clear" w:pos="720"/>
          <w:tab w:val="left" w:pos="0"/>
        </w:tabs>
        <w:spacing w:after="260" w:line="280" w:lineRule="exact"/>
        <w:ind w:right="0"/>
        <w:jc w:val="both"/>
        <w:rPr>
          <w:rFonts w:ascii="Times New Roman" w:hAnsi="Times New Roman"/>
        </w:rPr>
        <w:sectPr w:rsidR="00614472" w:rsidSect="00614472">
          <w:pgSz w:w="11907" w:h="16839" w:code="9"/>
          <w:pgMar w:top="1440" w:right="1701" w:bottom="1984" w:left="1701" w:header="720" w:footer="720" w:gutter="0"/>
          <w:pgNumType w:start="1"/>
          <w:cols w:space="720"/>
          <w:titlePg/>
          <w:docGrid w:linePitch="354"/>
        </w:sectPr>
      </w:pPr>
    </w:p>
    <w:p w14:paraId="4E14C94C" w14:textId="0399B752" w:rsidR="001C6899" w:rsidRPr="00273D10" w:rsidRDefault="00273D10" w:rsidP="00273D10">
      <w:pPr>
        <w:pStyle w:val="FixListStyle"/>
        <w:tabs>
          <w:tab w:val="clear" w:pos="720"/>
          <w:tab w:val="left" w:pos="0"/>
        </w:tabs>
        <w:spacing w:after="260" w:line="280" w:lineRule="exact"/>
        <w:ind w:right="0"/>
        <w:jc w:val="both"/>
        <w:rPr>
          <w:rFonts w:ascii="Times New Roman" w:hAnsi="Times New Roman"/>
        </w:rPr>
      </w:pPr>
      <w:r w:rsidRPr="00273D10">
        <w:rPr>
          <w:rFonts w:ascii="Times New Roman" w:hAnsi="Times New Roman"/>
        </w:rPr>
        <w:lastRenderedPageBreak/>
        <w:t xml:space="preserve">KIEFEL CJ, KEANE AND STEWARD JJ.   </w:t>
      </w:r>
      <w:r w:rsidR="000C764A" w:rsidRPr="00273D10">
        <w:rPr>
          <w:rFonts w:ascii="Times New Roman" w:hAnsi="Times New Roman"/>
        </w:rPr>
        <w:t>T</w:t>
      </w:r>
      <w:r w:rsidR="00BC7E5E" w:rsidRPr="00273D10">
        <w:rPr>
          <w:rFonts w:ascii="Times New Roman" w:hAnsi="Times New Roman"/>
        </w:rPr>
        <w:t xml:space="preserve">he appellant was </w:t>
      </w:r>
      <w:r w:rsidR="000C764A" w:rsidRPr="00273D10">
        <w:rPr>
          <w:rFonts w:ascii="Times New Roman" w:hAnsi="Times New Roman"/>
        </w:rPr>
        <w:t>charged with</w:t>
      </w:r>
      <w:r w:rsidR="00BC7E5E" w:rsidRPr="00273D10">
        <w:rPr>
          <w:rFonts w:ascii="Times New Roman" w:hAnsi="Times New Roman"/>
        </w:rPr>
        <w:t xml:space="preserve"> ten counts of aggravated indecent assault contrary to s 61M(2) of the </w:t>
      </w:r>
      <w:r w:rsidR="00BC7E5E" w:rsidRPr="00273D10">
        <w:rPr>
          <w:rFonts w:ascii="Times New Roman" w:hAnsi="Times New Roman"/>
          <w:i/>
        </w:rPr>
        <w:t xml:space="preserve">Crimes Act 1900 </w:t>
      </w:r>
      <w:r w:rsidR="00BC7E5E" w:rsidRPr="00273D10">
        <w:rPr>
          <w:rFonts w:ascii="Times New Roman" w:hAnsi="Times New Roman"/>
        </w:rPr>
        <w:t xml:space="preserve">(NSW). </w:t>
      </w:r>
      <w:r w:rsidR="000C764A" w:rsidRPr="00273D10">
        <w:rPr>
          <w:rFonts w:ascii="Times New Roman" w:hAnsi="Times New Roman"/>
        </w:rPr>
        <w:t xml:space="preserve">The </w:t>
      </w:r>
      <w:r w:rsidR="000E5999" w:rsidRPr="00273D10">
        <w:rPr>
          <w:rFonts w:ascii="Times New Roman" w:hAnsi="Times New Roman"/>
        </w:rPr>
        <w:t xml:space="preserve">offences </w:t>
      </w:r>
      <w:r w:rsidR="007D3EFF" w:rsidRPr="00273D10">
        <w:rPr>
          <w:rFonts w:ascii="Times New Roman" w:hAnsi="Times New Roman"/>
        </w:rPr>
        <w:t>were alleged to have been committed on separate occasions</w:t>
      </w:r>
      <w:r w:rsidR="001037FE" w:rsidRPr="00273D10">
        <w:rPr>
          <w:rFonts w:ascii="Times New Roman" w:hAnsi="Times New Roman"/>
        </w:rPr>
        <w:t xml:space="preserve"> against three of the appellant's five children</w:t>
      </w:r>
      <w:r w:rsidR="007D3EFF" w:rsidRPr="00273D10">
        <w:rPr>
          <w:rFonts w:ascii="Times New Roman" w:hAnsi="Times New Roman"/>
        </w:rPr>
        <w:t>.</w:t>
      </w:r>
      <w:r w:rsidR="00532CF7" w:rsidRPr="00273D10">
        <w:rPr>
          <w:rFonts w:ascii="Times New Roman" w:hAnsi="Times New Roman"/>
        </w:rPr>
        <w:t xml:space="preserve"> </w:t>
      </w:r>
      <w:r w:rsidR="00477C92" w:rsidRPr="00273D10">
        <w:rPr>
          <w:rFonts w:ascii="Times New Roman" w:hAnsi="Times New Roman"/>
        </w:rPr>
        <w:t>The case has proceeded on the footing that, had</w:t>
      </w:r>
      <w:r w:rsidR="00532CF7" w:rsidRPr="00273D10">
        <w:rPr>
          <w:rFonts w:ascii="Times New Roman" w:hAnsi="Times New Roman"/>
        </w:rPr>
        <w:t xml:space="preserve"> each count been tried separately,</w:t>
      </w:r>
      <w:r w:rsidR="00B3003C" w:rsidRPr="00273D10">
        <w:rPr>
          <w:rFonts w:ascii="Times New Roman" w:hAnsi="Times New Roman"/>
        </w:rPr>
        <w:t xml:space="preserve"> only the evidence</w:t>
      </w:r>
      <w:r w:rsidR="004C4C56" w:rsidRPr="00273D10">
        <w:rPr>
          <w:rFonts w:ascii="Times New Roman" w:hAnsi="Times New Roman"/>
        </w:rPr>
        <w:t xml:space="preserve"> </w:t>
      </w:r>
      <w:r w:rsidR="00FD50CE" w:rsidRPr="00273D10">
        <w:rPr>
          <w:rFonts w:ascii="Times New Roman" w:hAnsi="Times New Roman"/>
        </w:rPr>
        <w:t xml:space="preserve">of offending </w:t>
      </w:r>
      <w:r w:rsidR="004C4C56" w:rsidRPr="00273D10">
        <w:rPr>
          <w:rFonts w:ascii="Times New Roman" w:hAnsi="Times New Roman"/>
        </w:rPr>
        <w:t xml:space="preserve">bearing on each </w:t>
      </w:r>
      <w:r w:rsidR="00FD50CE" w:rsidRPr="00273D10">
        <w:rPr>
          <w:rFonts w:ascii="Times New Roman" w:hAnsi="Times New Roman"/>
        </w:rPr>
        <w:t xml:space="preserve">particular </w:t>
      </w:r>
      <w:r w:rsidR="004C4C56" w:rsidRPr="00273D10">
        <w:rPr>
          <w:rFonts w:ascii="Times New Roman" w:hAnsi="Times New Roman"/>
        </w:rPr>
        <w:t xml:space="preserve">count would </w:t>
      </w:r>
      <w:r w:rsidR="00A20D15" w:rsidRPr="00273D10">
        <w:rPr>
          <w:rFonts w:ascii="Times New Roman" w:hAnsi="Times New Roman"/>
        </w:rPr>
        <w:t>have been admissible</w:t>
      </w:r>
      <w:r w:rsidR="004C4C56" w:rsidRPr="00273D10">
        <w:rPr>
          <w:rFonts w:ascii="Times New Roman" w:hAnsi="Times New Roman"/>
        </w:rPr>
        <w:t xml:space="preserve"> against the appellant</w:t>
      </w:r>
      <w:r w:rsidR="001037FE" w:rsidRPr="00273D10">
        <w:rPr>
          <w:rFonts w:ascii="Times New Roman" w:hAnsi="Times New Roman"/>
        </w:rPr>
        <w:t xml:space="preserve">. </w:t>
      </w:r>
      <w:r w:rsidR="002F48E2" w:rsidRPr="00273D10">
        <w:rPr>
          <w:rFonts w:ascii="Times New Roman" w:hAnsi="Times New Roman"/>
        </w:rPr>
        <w:t xml:space="preserve">The defence did not seek to have the counts tried separately. </w:t>
      </w:r>
      <w:r w:rsidR="00FA4699" w:rsidRPr="00273D10">
        <w:rPr>
          <w:rFonts w:ascii="Times New Roman" w:hAnsi="Times New Roman"/>
        </w:rPr>
        <w:t xml:space="preserve">Rather, the defence </w:t>
      </w:r>
      <w:r w:rsidR="00986370" w:rsidRPr="00273D10">
        <w:rPr>
          <w:rFonts w:ascii="Times New Roman" w:hAnsi="Times New Roman"/>
        </w:rPr>
        <w:t xml:space="preserve">embraced the opportunity to have all ten counts tried together as part of a </w:t>
      </w:r>
      <w:r w:rsidR="00FA4699" w:rsidRPr="00273D10">
        <w:rPr>
          <w:rFonts w:ascii="Times New Roman" w:hAnsi="Times New Roman"/>
        </w:rPr>
        <w:t>strategy</w:t>
      </w:r>
      <w:r w:rsidR="00F21A01" w:rsidRPr="00273D10">
        <w:rPr>
          <w:rFonts w:ascii="Times New Roman" w:hAnsi="Times New Roman"/>
        </w:rPr>
        <w:t xml:space="preserve"> of </w:t>
      </w:r>
      <w:r w:rsidR="00FA4699" w:rsidRPr="00273D10">
        <w:rPr>
          <w:rFonts w:ascii="Times New Roman" w:hAnsi="Times New Roman"/>
        </w:rPr>
        <w:t>inviting the jury to consider the evidence of all the complainants</w:t>
      </w:r>
      <w:r w:rsidR="00E66124" w:rsidRPr="00273D10">
        <w:rPr>
          <w:rFonts w:ascii="Times New Roman" w:hAnsi="Times New Roman"/>
        </w:rPr>
        <w:t xml:space="preserve"> on all counts</w:t>
      </w:r>
      <w:r w:rsidR="00FA4699" w:rsidRPr="00273D10">
        <w:rPr>
          <w:rFonts w:ascii="Times New Roman" w:hAnsi="Times New Roman"/>
        </w:rPr>
        <w:t xml:space="preserve"> and</w:t>
      </w:r>
      <w:r w:rsidR="007C5FAC" w:rsidRPr="00273D10">
        <w:rPr>
          <w:rFonts w:ascii="Times New Roman" w:hAnsi="Times New Roman"/>
        </w:rPr>
        <w:t>,</w:t>
      </w:r>
      <w:r w:rsidR="00FA4699" w:rsidRPr="00273D10">
        <w:rPr>
          <w:rFonts w:ascii="Times New Roman" w:hAnsi="Times New Roman"/>
        </w:rPr>
        <w:t xml:space="preserve"> from a consideration of the totality of th</w:t>
      </w:r>
      <w:r w:rsidR="00F21A01" w:rsidRPr="00273D10">
        <w:rPr>
          <w:rFonts w:ascii="Times New Roman" w:hAnsi="Times New Roman"/>
        </w:rPr>
        <w:t>e</w:t>
      </w:r>
      <w:r w:rsidR="00FA4699" w:rsidRPr="00273D10">
        <w:rPr>
          <w:rFonts w:ascii="Times New Roman" w:hAnsi="Times New Roman"/>
        </w:rPr>
        <w:t xml:space="preserve"> evidence</w:t>
      </w:r>
      <w:r w:rsidR="005C184E" w:rsidRPr="00273D10">
        <w:rPr>
          <w:rFonts w:ascii="Times New Roman" w:hAnsi="Times New Roman"/>
        </w:rPr>
        <w:t>,</w:t>
      </w:r>
      <w:r w:rsidR="00FA4699" w:rsidRPr="00273D10">
        <w:rPr>
          <w:rFonts w:ascii="Times New Roman" w:hAnsi="Times New Roman"/>
        </w:rPr>
        <w:t xml:space="preserve"> to conclude that </w:t>
      </w:r>
      <w:r w:rsidR="005C184E" w:rsidRPr="00273D10">
        <w:rPr>
          <w:rFonts w:ascii="Times New Roman" w:hAnsi="Times New Roman"/>
        </w:rPr>
        <w:t xml:space="preserve">the </w:t>
      </w:r>
      <w:r w:rsidR="00FA4699" w:rsidRPr="00273D10">
        <w:rPr>
          <w:rFonts w:ascii="Times New Roman" w:hAnsi="Times New Roman"/>
        </w:rPr>
        <w:t>children fabricate</w:t>
      </w:r>
      <w:r w:rsidR="005C184E" w:rsidRPr="00273D10">
        <w:rPr>
          <w:rFonts w:ascii="Times New Roman" w:hAnsi="Times New Roman"/>
        </w:rPr>
        <w:t>d</w:t>
      </w:r>
      <w:r w:rsidR="00FA4699" w:rsidRPr="00273D10">
        <w:rPr>
          <w:rFonts w:ascii="Times New Roman" w:hAnsi="Times New Roman"/>
        </w:rPr>
        <w:t xml:space="preserve"> their allegations against him</w:t>
      </w:r>
      <w:r w:rsidR="00D05000" w:rsidRPr="00273D10">
        <w:rPr>
          <w:rFonts w:ascii="Times New Roman" w:hAnsi="Times New Roman"/>
        </w:rPr>
        <w:t xml:space="preserve"> at the urging of their mother, his former wife.</w:t>
      </w:r>
      <w:r w:rsidR="00FA4699" w:rsidRPr="00273D10">
        <w:rPr>
          <w:rFonts w:ascii="Times New Roman" w:hAnsi="Times New Roman"/>
        </w:rPr>
        <w:t xml:space="preserve"> </w:t>
      </w:r>
    </w:p>
    <w:p w14:paraId="507F9389" w14:textId="136AE29B" w:rsidR="00E86314" w:rsidRPr="00273D10" w:rsidRDefault="00EF5CA8" w:rsidP="00273D10">
      <w:pPr>
        <w:pStyle w:val="FixListStyle"/>
        <w:spacing w:after="260" w:line="280" w:lineRule="exact"/>
        <w:ind w:right="0"/>
        <w:jc w:val="both"/>
        <w:rPr>
          <w:rFonts w:ascii="Times New Roman" w:hAnsi="Times New Roman"/>
        </w:rPr>
      </w:pPr>
      <w:r w:rsidRPr="00273D10">
        <w:rPr>
          <w:rFonts w:ascii="Times New Roman" w:hAnsi="Times New Roman"/>
        </w:rPr>
        <w:tab/>
        <w:t>At trial, counsel for</w:t>
      </w:r>
      <w:r w:rsidR="00A06BE6" w:rsidRPr="00273D10">
        <w:rPr>
          <w:rFonts w:ascii="Times New Roman" w:hAnsi="Times New Roman"/>
        </w:rPr>
        <w:t xml:space="preserve"> </w:t>
      </w:r>
      <w:r w:rsidR="00E571E3" w:rsidRPr="00273D10">
        <w:rPr>
          <w:rFonts w:ascii="Times New Roman" w:hAnsi="Times New Roman"/>
        </w:rPr>
        <w:t>the defence did not seek a direction</w:t>
      </w:r>
      <w:r w:rsidR="00B1521D" w:rsidRPr="00273D10">
        <w:rPr>
          <w:rFonts w:ascii="Times New Roman" w:hAnsi="Times New Roman"/>
        </w:rPr>
        <w:t xml:space="preserve"> from the trial judge</w:t>
      </w:r>
      <w:r w:rsidR="004B0736">
        <w:rPr>
          <w:rFonts w:ascii="Times New Roman" w:hAnsi="Times New Roman"/>
        </w:rPr>
        <w:t> </w:t>
      </w:r>
      <w:r w:rsidR="00F97CB0" w:rsidRPr="00273D10">
        <w:rPr>
          <w:rFonts w:ascii="Times New Roman" w:hAnsi="Times New Roman"/>
        </w:rPr>
        <w:t>–</w:t>
      </w:r>
      <w:r w:rsidR="00E571E3" w:rsidRPr="00273D10">
        <w:rPr>
          <w:rFonts w:ascii="Times New Roman" w:hAnsi="Times New Roman"/>
        </w:rPr>
        <w:t xml:space="preserve"> </w:t>
      </w:r>
      <w:r w:rsidR="00E4504D" w:rsidRPr="00273D10">
        <w:rPr>
          <w:rFonts w:ascii="Times New Roman" w:hAnsi="Times New Roman"/>
        </w:rPr>
        <w:t xml:space="preserve">which </w:t>
      </w:r>
      <w:r w:rsidR="00E571E3" w:rsidRPr="00273D10">
        <w:rPr>
          <w:rFonts w:ascii="Times New Roman" w:hAnsi="Times New Roman"/>
        </w:rPr>
        <w:t>the appellant now contends should have been given</w:t>
      </w:r>
      <w:r w:rsidR="00F97CB0" w:rsidRPr="00273D10">
        <w:rPr>
          <w:rFonts w:ascii="Times New Roman" w:hAnsi="Times New Roman"/>
        </w:rPr>
        <w:t xml:space="preserve"> –</w:t>
      </w:r>
      <w:r w:rsidR="00F74AF9" w:rsidRPr="00273D10">
        <w:rPr>
          <w:rFonts w:ascii="Times New Roman" w:hAnsi="Times New Roman"/>
        </w:rPr>
        <w:t xml:space="preserve"> </w:t>
      </w:r>
      <w:r w:rsidR="008C644B" w:rsidRPr="00273D10">
        <w:rPr>
          <w:rFonts w:ascii="Times New Roman" w:hAnsi="Times New Roman"/>
        </w:rPr>
        <w:t xml:space="preserve">that </w:t>
      </w:r>
      <w:r w:rsidR="007C5FAC" w:rsidRPr="00273D10">
        <w:rPr>
          <w:rFonts w:ascii="Times New Roman" w:hAnsi="Times New Roman"/>
        </w:rPr>
        <w:t xml:space="preserve">the jury </w:t>
      </w:r>
      <w:r w:rsidR="008C644B" w:rsidRPr="00273D10">
        <w:rPr>
          <w:rFonts w:ascii="Times New Roman" w:hAnsi="Times New Roman"/>
        </w:rPr>
        <w:t>must not reason from a finding that the appellant was guilty of one</w:t>
      </w:r>
      <w:r w:rsidR="00B35065" w:rsidRPr="00273D10">
        <w:rPr>
          <w:rFonts w:ascii="Times New Roman" w:hAnsi="Times New Roman"/>
        </w:rPr>
        <w:t xml:space="preserve"> charged</w:t>
      </w:r>
      <w:r w:rsidR="008C644B" w:rsidRPr="00273D10">
        <w:rPr>
          <w:rFonts w:ascii="Times New Roman" w:hAnsi="Times New Roman"/>
        </w:rPr>
        <w:t xml:space="preserve"> offence to </w:t>
      </w:r>
      <w:r w:rsidR="00B35065" w:rsidRPr="00273D10">
        <w:rPr>
          <w:rFonts w:ascii="Times New Roman" w:hAnsi="Times New Roman"/>
        </w:rPr>
        <w:t>conclude that he was</w:t>
      </w:r>
      <w:r w:rsidR="008C644B" w:rsidRPr="00273D10">
        <w:rPr>
          <w:rFonts w:ascii="Times New Roman" w:hAnsi="Times New Roman"/>
        </w:rPr>
        <w:t xml:space="preserve"> guilty in respect of other </w:t>
      </w:r>
      <w:r w:rsidR="00B35065" w:rsidRPr="00273D10">
        <w:rPr>
          <w:rFonts w:ascii="Times New Roman" w:hAnsi="Times New Roman"/>
        </w:rPr>
        <w:t xml:space="preserve">charged </w:t>
      </w:r>
      <w:r w:rsidR="008C644B" w:rsidRPr="00273D10">
        <w:rPr>
          <w:rFonts w:ascii="Times New Roman" w:hAnsi="Times New Roman"/>
        </w:rPr>
        <w:t xml:space="preserve">offences because he was the kind of person who engaged in that kind of misconduct </w:t>
      </w:r>
      <w:r w:rsidR="007F51CC" w:rsidRPr="00273D10">
        <w:rPr>
          <w:rFonts w:ascii="Times New Roman" w:hAnsi="Times New Roman"/>
        </w:rPr>
        <w:t>("an anti</w:t>
      </w:r>
      <w:r w:rsidR="007F51CC" w:rsidRPr="00273D10">
        <w:rPr>
          <w:rFonts w:ascii="Times New Roman" w:hAnsi="Times New Roman"/>
        </w:rPr>
        <w:noBreakHyphen/>
        <w:t>tendency direction")</w:t>
      </w:r>
      <w:r w:rsidR="00E571E3" w:rsidRPr="00273D10">
        <w:rPr>
          <w:rFonts w:ascii="Times New Roman" w:hAnsi="Times New Roman"/>
        </w:rPr>
        <w:t xml:space="preserve">. </w:t>
      </w:r>
      <w:r w:rsidR="0022420D" w:rsidRPr="00273D10">
        <w:rPr>
          <w:rFonts w:ascii="Times New Roman" w:hAnsi="Times New Roman"/>
        </w:rPr>
        <w:t>T</w:t>
      </w:r>
      <w:r w:rsidR="007F76F2" w:rsidRPr="00273D10">
        <w:rPr>
          <w:rFonts w:ascii="Times New Roman" w:hAnsi="Times New Roman"/>
        </w:rPr>
        <w:t>he trial judge</w:t>
      </w:r>
      <w:r w:rsidR="006C706F" w:rsidRPr="00273D10">
        <w:rPr>
          <w:rFonts w:ascii="Times New Roman" w:hAnsi="Times New Roman"/>
        </w:rPr>
        <w:t xml:space="preserve"> </w:t>
      </w:r>
      <w:r w:rsidR="00080C00" w:rsidRPr="00273D10">
        <w:rPr>
          <w:rFonts w:ascii="Times New Roman" w:hAnsi="Times New Roman"/>
        </w:rPr>
        <w:t xml:space="preserve">did, however, </w:t>
      </w:r>
      <w:r w:rsidR="006C706F" w:rsidRPr="00273D10">
        <w:rPr>
          <w:rFonts w:ascii="Times New Roman" w:hAnsi="Times New Roman"/>
        </w:rPr>
        <w:t xml:space="preserve">at the </w:t>
      </w:r>
      <w:r w:rsidR="003D63EE" w:rsidRPr="00273D10">
        <w:rPr>
          <w:rFonts w:ascii="Times New Roman" w:hAnsi="Times New Roman"/>
        </w:rPr>
        <w:t xml:space="preserve">specific </w:t>
      </w:r>
      <w:r w:rsidR="006C706F" w:rsidRPr="00273D10">
        <w:rPr>
          <w:rFonts w:ascii="Times New Roman" w:hAnsi="Times New Roman"/>
        </w:rPr>
        <w:t>request of the defence,</w:t>
      </w:r>
      <w:r w:rsidR="007F0EB0" w:rsidRPr="00273D10">
        <w:rPr>
          <w:rFonts w:ascii="Times New Roman" w:hAnsi="Times New Roman"/>
        </w:rPr>
        <w:t xml:space="preserve"> </w:t>
      </w:r>
      <w:r w:rsidR="007F76F2" w:rsidRPr="00273D10">
        <w:rPr>
          <w:rFonts w:ascii="Times New Roman" w:hAnsi="Times New Roman"/>
        </w:rPr>
        <w:t xml:space="preserve">direct the jury that they could not convict the </w:t>
      </w:r>
      <w:r w:rsidR="00F84A1D" w:rsidRPr="00273D10">
        <w:rPr>
          <w:rFonts w:ascii="Times New Roman" w:hAnsi="Times New Roman"/>
        </w:rPr>
        <w:t xml:space="preserve">appellant </w:t>
      </w:r>
      <w:r w:rsidR="007F76F2" w:rsidRPr="00273D10">
        <w:rPr>
          <w:rFonts w:ascii="Times New Roman" w:hAnsi="Times New Roman"/>
        </w:rPr>
        <w:t xml:space="preserve">unless they were satisfied beyond a reasonable doubt that the evidence of each </w:t>
      </w:r>
      <w:r w:rsidR="006C706F" w:rsidRPr="00273D10">
        <w:rPr>
          <w:rFonts w:ascii="Times New Roman" w:hAnsi="Times New Roman"/>
        </w:rPr>
        <w:t xml:space="preserve">child </w:t>
      </w:r>
      <w:r w:rsidR="007F76F2" w:rsidRPr="00273D10">
        <w:rPr>
          <w:rFonts w:ascii="Times New Roman" w:hAnsi="Times New Roman"/>
        </w:rPr>
        <w:t xml:space="preserve">was honest and reliable in relation to </w:t>
      </w:r>
      <w:r w:rsidR="00B35065" w:rsidRPr="00273D10">
        <w:rPr>
          <w:rFonts w:ascii="Times New Roman" w:hAnsi="Times New Roman"/>
        </w:rPr>
        <w:t xml:space="preserve">each of </w:t>
      </w:r>
      <w:r w:rsidR="00FD6954" w:rsidRPr="00273D10">
        <w:rPr>
          <w:rFonts w:ascii="Times New Roman" w:hAnsi="Times New Roman"/>
        </w:rPr>
        <w:t>the</w:t>
      </w:r>
      <w:r w:rsidR="007F76F2" w:rsidRPr="00273D10">
        <w:rPr>
          <w:rFonts w:ascii="Times New Roman" w:hAnsi="Times New Roman"/>
        </w:rPr>
        <w:t xml:space="preserve"> count</w:t>
      </w:r>
      <w:r w:rsidR="00FD6954" w:rsidRPr="00273D10">
        <w:rPr>
          <w:rFonts w:ascii="Times New Roman" w:hAnsi="Times New Roman"/>
        </w:rPr>
        <w:t>s</w:t>
      </w:r>
      <w:r w:rsidR="007F76F2" w:rsidRPr="00273D10">
        <w:rPr>
          <w:rFonts w:ascii="Times New Roman" w:hAnsi="Times New Roman"/>
        </w:rPr>
        <w:t xml:space="preserve"> concerning that child</w:t>
      </w:r>
      <w:r w:rsidR="00B35065" w:rsidRPr="00273D10">
        <w:rPr>
          <w:rFonts w:ascii="Times New Roman" w:hAnsi="Times New Roman"/>
        </w:rPr>
        <w:t xml:space="preserve"> ("the </w:t>
      </w:r>
      <w:r w:rsidR="00B35065" w:rsidRPr="00273D10">
        <w:rPr>
          <w:rFonts w:ascii="Times New Roman" w:hAnsi="Times New Roman"/>
          <w:i/>
        </w:rPr>
        <w:t xml:space="preserve">Murray </w:t>
      </w:r>
      <w:r w:rsidR="00B35065" w:rsidRPr="00273D10">
        <w:rPr>
          <w:rFonts w:ascii="Times New Roman" w:hAnsi="Times New Roman"/>
        </w:rPr>
        <w:t>direction")</w:t>
      </w:r>
      <w:r w:rsidR="007F76F2" w:rsidRPr="00273D10">
        <w:rPr>
          <w:rFonts w:ascii="Times New Roman" w:hAnsi="Times New Roman"/>
        </w:rPr>
        <w:t xml:space="preserve">. </w:t>
      </w:r>
    </w:p>
    <w:p w14:paraId="6A0FD99C" w14:textId="0666E606" w:rsidR="00096A87" w:rsidRPr="00273D10" w:rsidRDefault="009B6CE3"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ED3820" w:rsidRPr="00273D10">
        <w:rPr>
          <w:rFonts w:ascii="Times New Roman" w:hAnsi="Times New Roman"/>
        </w:rPr>
        <w:t>The</w:t>
      </w:r>
      <w:r w:rsidR="00475976" w:rsidRPr="00273D10">
        <w:rPr>
          <w:rFonts w:ascii="Times New Roman" w:hAnsi="Times New Roman"/>
        </w:rPr>
        <w:t xml:space="preserve"> jury returned guilty </w:t>
      </w:r>
      <w:r w:rsidR="00026AFC" w:rsidRPr="00273D10">
        <w:rPr>
          <w:rFonts w:ascii="Times New Roman" w:hAnsi="Times New Roman"/>
        </w:rPr>
        <w:t>verdicts on all ten counts. The appellant appealed to the New South Wales Court of Criminal Appeal on three grounds</w:t>
      </w:r>
      <w:r w:rsidR="00337F3F" w:rsidRPr="00273D10">
        <w:rPr>
          <w:rFonts w:ascii="Times New Roman" w:hAnsi="Times New Roman"/>
        </w:rPr>
        <w:t>,</w:t>
      </w:r>
      <w:r w:rsidR="00033333" w:rsidRPr="00273D10">
        <w:rPr>
          <w:rFonts w:ascii="Times New Roman" w:hAnsi="Times New Roman"/>
        </w:rPr>
        <w:t xml:space="preserve"> all of which </w:t>
      </w:r>
      <w:r w:rsidR="00916641" w:rsidRPr="00273D10">
        <w:rPr>
          <w:rFonts w:ascii="Times New Roman" w:hAnsi="Times New Roman"/>
        </w:rPr>
        <w:t>were rejected</w:t>
      </w:r>
      <w:r w:rsidR="00B675B9" w:rsidRPr="00273D10">
        <w:rPr>
          <w:rFonts w:ascii="Times New Roman" w:hAnsi="Times New Roman"/>
        </w:rPr>
        <w:t xml:space="preserve">. </w:t>
      </w:r>
      <w:r w:rsidR="009013AE" w:rsidRPr="00273D10">
        <w:rPr>
          <w:rFonts w:ascii="Times New Roman" w:hAnsi="Times New Roman"/>
        </w:rPr>
        <w:t>The first ground is the</w:t>
      </w:r>
      <w:r w:rsidR="00916641" w:rsidRPr="00273D10">
        <w:rPr>
          <w:rFonts w:ascii="Times New Roman" w:hAnsi="Times New Roman"/>
        </w:rPr>
        <w:t xml:space="preserve"> only</w:t>
      </w:r>
      <w:r w:rsidR="009013AE" w:rsidRPr="00273D10">
        <w:rPr>
          <w:rFonts w:ascii="Times New Roman" w:hAnsi="Times New Roman"/>
        </w:rPr>
        <w:t xml:space="preserve"> basis upon which the appellant appeals to this Court</w:t>
      </w:r>
      <w:r w:rsidR="00906190" w:rsidRPr="00273D10">
        <w:rPr>
          <w:rFonts w:ascii="Times New Roman" w:hAnsi="Times New Roman"/>
        </w:rPr>
        <w:t>.</w:t>
      </w:r>
      <w:r w:rsidR="00FF5C40" w:rsidRPr="00273D10">
        <w:rPr>
          <w:rFonts w:ascii="Times New Roman" w:hAnsi="Times New Roman"/>
        </w:rPr>
        <w:t xml:space="preserve"> </w:t>
      </w:r>
      <w:r w:rsidR="00F953F1" w:rsidRPr="00273D10">
        <w:rPr>
          <w:rFonts w:ascii="Times New Roman" w:hAnsi="Times New Roman"/>
        </w:rPr>
        <w:t xml:space="preserve">This ground was </w:t>
      </w:r>
      <w:r w:rsidR="009013AE" w:rsidRPr="00273D10">
        <w:rPr>
          <w:rFonts w:ascii="Times New Roman" w:hAnsi="Times New Roman"/>
        </w:rPr>
        <w:t xml:space="preserve">that the trial miscarried </w:t>
      </w:r>
      <w:r w:rsidR="00033333" w:rsidRPr="00273D10">
        <w:rPr>
          <w:rFonts w:ascii="Times New Roman" w:hAnsi="Times New Roman"/>
        </w:rPr>
        <w:t xml:space="preserve">because </w:t>
      </w:r>
      <w:r w:rsidR="009013AE" w:rsidRPr="00273D10">
        <w:rPr>
          <w:rFonts w:ascii="Times New Roman" w:hAnsi="Times New Roman"/>
        </w:rPr>
        <w:t xml:space="preserve">the </w:t>
      </w:r>
      <w:r w:rsidR="008D65CE" w:rsidRPr="00273D10">
        <w:rPr>
          <w:rFonts w:ascii="Times New Roman" w:hAnsi="Times New Roman"/>
        </w:rPr>
        <w:t xml:space="preserve">trial judge </w:t>
      </w:r>
      <w:r w:rsidR="00033333" w:rsidRPr="00273D10">
        <w:rPr>
          <w:rFonts w:ascii="Times New Roman" w:hAnsi="Times New Roman"/>
        </w:rPr>
        <w:t xml:space="preserve">did not </w:t>
      </w:r>
      <w:r w:rsidR="00142CB8" w:rsidRPr="00273D10">
        <w:rPr>
          <w:rFonts w:ascii="Times New Roman" w:hAnsi="Times New Roman"/>
        </w:rPr>
        <w:t>give the jury an anti</w:t>
      </w:r>
      <w:r w:rsidR="00142CB8" w:rsidRPr="00273D10">
        <w:rPr>
          <w:rFonts w:ascii="Times New Roman" w:hAnsi="Times New Roman"/>
        </w:rPr>
        <w:noBreakHyphen/>
        <w:t>tendency direction</w:t>
      </w:r>
      <w:r w:rsidR="009013AE" w:rsidRPr="00273D10">
        <w:rPr>
          <w:rFonts w:ascii="Times New Roman" w:hAnsi="Times New Roman"/>
        </w:rPr>
        <w:t xml:space="preserve">. </w:t>
      </w:r>
      <w:r w:rsidR="00D05000" w:rsidRPr="00273D10">
        <w:rPr>
          <w:rFonts w:ascii="Times New Roman" w:hAnsi="Times New Roman"/>
        </w:rPr>
        <w:t>T</w:t>
      </w:r>
      <w:r w:rsidR="00CC3D04" w:rsidRPr="00273D10">
        <w:rPr>
          <w:rFonts w:ascii="Times New Roman" w:hAnsi="Times New Roman"/>
        </w:rPr>
        <w:t xml:space="preserve">he Court of Criminal Appeal </w:t>
      </w:r>
      <w:r w:rsidR="00646493" w:rsidRPr="00273D10">
        <w:rPr>
          <w:rFonts w:ascii="Times New Roman" w:hAnsi="Times New Roman"/>
        </w:rPr>
        <w:t>(Adamson and Beech</w:t>
      </w:r>
      <w:r w:rsidR="00646493" w:rsidRPr="00273D10">
        <w:rPr>
          <w:rFonts w:ascii="Times New Roman" w:hAnsi="Times New Roman"/>
        </w:rPr>
        <w:noBreakHyphen/>
        <w:t>Jones JJ, Macfarlan JA dissenting)</w:t>
      </w:r>
      <w:r w:rsidR="0021722C" w:rsidRPr="00273D10">
        <w:rPr>
          <w:rFonts w:ascii="Times New Roman" w:hAnsi="Times New Roman"/>
        </w:rPr>
        <w:t xml:space="preserve"> </w:t>
      </w:r>
      <w:r w:rsidR="00E22919" w:rsidRPr="00273D10">
        <w:rPr>
          <w:rFonts w:ascii="Times New Roman" w:hAnsi="Times New Roman"/>
        </w:rPr>
        <w:t>rejected th</w:t>
      </w:r>
      <w:r w:rsidR="00675B4E" w:rsidRPr="00273D10">
        <w:rPr>
          <w:rFonts w:ascii="Times New Roman" w:hAnsi="Times New Roman"/>
        </w:rPr>
        <w:t xml:space="preserve">is </w:t>
      </w:r>
      <w:r w:rsidR="00DC69B9" w:rsidRPr="00273D10">
        <w:rPr>
          <w:rFonts w:ascii="Times New Roman" w:hAnsi="Times New Roman"/>
        </w:rPr>
        <w:t>ground</w:t>
      </w:r>
      <w:r w:rsidR="00675B4E" w:rsidRPr="00273D10">
        <w:rPr>
          <w:rFonts w:ascii="Times New Roman" w:hAnsi="Times New Roman"/>
        </w:rPr>
        <w:t xml:space="preserve">, </w:t>
      </w:r>
      <w:r w:rsidR="00E22919" w:rsidRPr="00273D10">
        <w:rPr>
          <w:rFonts w:ascii="Times New Roman" w:hAnsi="Times New Roman"/>
        </w:rPr>
        <w:t>concluding</w:t>
      </w:r>
      <w:r w:rsidR="0021722C" w:rsidRPr="00273D10">
        <w:rPr>
          <w:rFonts w:ascii="Times New Roman" w:hAnsi="Times New Roman"/>
        </w:rPr>
        <w:t xml:space="preserve"> that the absence of </w:t>
      </w:r>
      <w:r w:rsidR="00096A87" w:rsidRPr="00273D10">
        <w:rPr>
          <w:rFonts w:ascii="Times New Roman" w:hAnsi="Times New Roman"/>
        </w:rPr>
        <w:t>an anti</w:t>
      </w:r>
      <w:r w:rsidR="00096A87" w:rsidRPr="00273D10">
        <w:rPr>
          <w:rFonts w:ascii="Times New Roman" w:hAnsi="Times New Roman"/>
        </w:rPr>
        <w:noBreakHyphen/>
        <w:t xml:space="preserve">tendency </w:t>
      </w:r>
      <w:r w:rsidR="0021722C" w:rsidRPr="00273D10">
        <w:rPr>
          <w:rFonts w:ascii="Times New Roman" w:hAnsi="Times New Roman"/>
        </w:rPr>
        <w:t xml:space="preserve">direction did not, in the circumstances of this case, expose the </w:t>
      </w:r>
      <w:r w:rsidR="00E65C04" w:rsidRPr="00273D10">
        <w:rPr>
          <w:rFonts w:ascii="Times New Roman" w:hAnsi="Times New Roman"/>
        </w:rPr>
        <w:t xml:space="preserve">appellant </w:t>
      </w:r>
      <w:r w:rsidR="0021722C" w:rsidRPr="00273D10">
        <w:rPr>
          <w:rFonts w:ascii="Times New Roman" w:hAnsi="Times New Roman"/>
        </w:rPr>
        <w:t>to a risk of conviction by the application of tendency reasoning</w:t>
      </w:r>
      <w:r w:rsidR="00DC69B9" w:rsidRPr="00273D10">
        <w:rPr>
          <w:rFonts w:ascii="Times New Roman" w:hAnsi="Times New Roman"/>
        </w:rPr>
        <w:t xml:space="preserve"> and did not give rise to a miscarriage of justice</w:t>
      </w:r>
      <w:r w:rsidR="0021722C" w:rsidRPr="00273D10">
        <w:rPr>
          <w:rFonts w:ascii="Times New Roman" w:hAnsi="Times New Roman"/>
        </w:rPr>
        <w:t>.</w:t>
      </w:r>
      <w:r w:rsidR="00774C49" w:rsidRPr="00273D10">
        <w:rPr>
          <w:rFonts w:ascii="Times New Roman" w:hAnsi="Times New Roman"/>
        </w:rPr>
        <w:t xml:space="preserve"> </w:t>
      </w:r>
    </w:p>
    <w:p w14:paraId="6CEA3047" w14:textId="7D1C27B6" w:rsidR="00CC3D04" w:rsidRPr="00273D10" w:rsidRDefault="00096A87"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CD40F4" w:rsidRPr="00273D10">
        <w:rPr>
          <w:rFonts w:ascii="Times New Roman" w:hAnsi="Times New Roman"/>
        </w:rPr>
        <w:t xml:space="preserve">In this Court, the appellant argued that the </w:t>
      </w:r>
      <w:r w:rsidR="001D155F" w:rsidRPr="00273D10">
        <w:rPr>
          <w:rFonts w:ascii="Times New Roman" w:hAnsi="Times New Roman"/>
        </w:rPr>
        <w:t xml:space="preserve">Court of Criminal Appeal </w:t>
      </w:r>
      <w:r w:rsidR="00CD40F4" w:rsidRPr="00273D10">
        <w:rPr>
          <w:rFonts w:ascii="Times New Roman" w:hAnsi="Times New Roman"/>
        </w:rPr>
        <w:t>erred</w:t>
      </w:r>
      <w:r w:rsidR="001D155F" w:rsidRPr="00273D10">
        <w:rPr>
          <w:rFonts w:ascii="Times New Roman" w:hAnsi="Times New Roman"/>
        </w:rPr>
        <w:t xml:space="preserve"> in this regard. </w:t>
      </w:r>
      <w:r w:rsidR="00CD40F4" w:rsidRPr="00273D10">
        <w:rPr>
          <w:rFonts w:ascii="Times New Roman" w:hAnsi="Times New Roman"/>
        </w:rPr>
        <w:t>For the reasons that follow, the Court of Criminal Appeal was correct</w:t>
      </w:r>
      <w:r w:rsidR="00083A18" w:rsidRPr="00273D10">
        <w:rPr>
          <w:rFonts w:ascii="Times New Roman" w:hAnsi="Times New Roman"/>
        </w:rPr>
        <w:t xml:space="preserve"> in concluding that</w:t>
      </w:r>
      <w:r w:rsidR="00CD40F4" w:rsidRPr="00273D10">
        <w:rPr>
          <w:rFonts w:ascii="Times New Roman" w:hAnsi="Times New Roman"/>
        </w:rPr>
        <w:t xml:space="preserve"> t</w:t>
      </w:r>
      <w:r w:rsidR="001D155F" w:rsidRPr="00273D10">
        <w:rPr>
          <w:rFonts w:ascii="Times New Roman" w:hAnsi="Times New Roman"/>
        </w:rPr>
        <w:t>here was no miscarriage of justice</w:t>
      </w:r>
      <w:r w:rsidR="00C306A0" w:rsidRPr="00273D10">
        <w:rPr>
          <w:rFonts w:ascii="Times New Roman" w:hAnsi="Times New Roman"/>
        </w:rPr>
        <w:t xml:space="preserve"> at trial</w:t>
      </w:r>
      <w:r w:rsidR="001D155F" w:rsidRPr="00273D10">
        <w:rPr>
          <w:rFonts w:ascii="Times New Roman" w:hAnsi="Times New Roman"/>
        </w:rPr>
        <w:t xml:space="preserve">. </w:t>
      </w:r>
      <w:r w:rsidR="00774C49" w:rsidRPr="00273D10">
        <w:rPr>
          <w:rFonts w:ascii="Times New Roman" w:hAnsi="Times New Roman"/>
        </w:rPr>
        <w:t xml:space="preserve">Accordingly, </w:t>
      </w:r>
      <w:r w:rsidR="00CC3D04" w:rsidRPr="00273D10">
        <w:rPr>
          <w:rFonts w:ascii="Times New Roman" w:hAnsi="Times New Roman"/>
        </w:rPr>
        <w:t>the appeal to this Court must be dismissed.</w:t>
      </w:r>
    </w:p>
    <w:p w14:paraId="43F3E58C" w14:textId="590B4DE1" w:rsidR="00F80D95" w:rsidRPr="00273D10" w:rsidRDefault="00BC7E5E" w:rsidP="00273D10">
      <w:pPr>
        <w:pStyle w:val="HeadingL1"/>
        <w:spacing w:after="260" w:line="280" w:lineRule="exact"/>
        <w:ind w:right="0"/>
        <w:jc w:val="both"/>
        <w:rPr>
          <w:rFonts w:ascii="Times New Roman" w:hAnsi="Times New Roman"/>
        </w:rPr>
      </w:pPr>
      <w:r w:rsidRPr="00273D10">
        <w:rPr>
          <w:rFonts w:ascii="Times New Roman" w:hAnsi="Times New Roman"/>
        </w:rPr>
        <w:t>The trial</w:t>
      </w:r>
    </w:p>
    <w:p w14:paraId="422AB4E8" w14:textId="65001F4E" w:rsidR="00970B13" w:rsidRPr="00273D10" w:rsidRDefault="008D5259"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8D65CE" w:rsidRPr="00273D10">
        <w:rPr>
          <w:rFonts w:ascii="Times New Roman" w:hAnsi="Times New Roman"/>
        </w:rPr>
        <w:t xml:space="preserve">The </w:t>
      </w:r>
      <w:r w:rsidR="00C04106" w:rsidRPr="00273D10">
        <w:rPr>
          <w:rFonts w:ascii="Times New Roman" w:hAnsi="Times New Roman"/>
        </w:rPr>
        <w:t>offences charged</w:t>
      </w:r>
      <w:r w:rsidR="008D65CE" w:rsidRPr="00273D10">
        <w:rPr>
          <w:rFonts w:ascii="Times New Roman" w:hAnsi="Times New Roman"/>
        </w:rPr>
        <w:t xml:space="preserve"> were alleged to have been committed against the three complainants </w:t>
      </w:r>
      <w:r w:rsidR="001037FE" w:rsidRPr="00273D10">
        <w:rPr>
          <w:rFonts w:ascii="Times New Roman" w:hAnsi="Times New Roman"/>
        </w:rPr>
        <w:t>between November 2014 and February 2016.</w:t>
      </w:r>
      <w:r w:rsidR="00A24C25" w:rsidRPr="00273D10">
        <w:rPr>
          <w:rFonts w:ascii="Times New Roman" w:hAnsi="Times New Roman"/>
        </w:rPr>
        <w:t xml:space="preserve"> </w:t>
      </w:r>
      <w:r w:rsidR="00865DFC" w:rsidRPr="00273D10">
        <w:rPr>
          <w:rFonts w:ascii="Times New Roman" w:hAnsi="Times New Roman"/>
        </w:rPr>
        <w:t>Counts</w:t>
      </w:r>
      <w:r w:rsidR="00F2073B" w:rsidRPr="00273D10">
        <w:rPr>
          <w:rFonts w:ascii="Times New Roman" w:hAnsi="Times New Roman"/>
        </w:rPr>
        <w:t> </w:t>
      </w:r>
      <w:r w:rsidR="00865DFC" w:rsidRPr="00273D10">
        <w:rPr>
          <w:rFonts w:ascii="Times New Roman" w:hAnsi="Times New Roman"/>
        </w:rPr>
        <w:t>1 to 3 were committed against the appellant's daughter</w:t>
      </w:r>
      <w:r w:rsidR="00970B13" w:rsidRPr="00273D10">
        <w:rPr>
          <w:rFonts w:ascii="Times New Roman" w:hAnsi="Times New Roman"/>
        </w:rPr>
        <w:t xml:space="preserve"> ("the First Child"), </w:t>
      </w:r>
      <w:r w:rsidR="00865DFC" w:rsidRPr="00273D10">
        <w:rPr>
          <w:rFonts w:ascii="Times New Roman" w:hAnsi="Times New Roman"/>
        </w:rPr>
        <w:t xml:space="preserve">who was 15 years </w:t>
      </w:r>
      <w:r w:rsidR="007A3041" w:rsidRPr="00273D10">
        <w:rPr>
          <w:rFonts w:ascii="Times New Roman" w:hAnsi="Times New Roman"/>
        </w:rPr>
        <w:t xml:space="preserve">of age </w:t>
      </w:r>
      <w:r w:rsidR="00865DFC" w:rsidRPr="00273D10">
        <w:rPr>
          <w:rFonts w:ascii="Times New Roman" w:hAnsi="Times New Roman"/>
        </w:rPr>
        <w:t>at the time</w:t>
      </w:r>
      <w:r w:rsidR="007C12BB" w:rsidRPr="00273D10">
        <w:rPr>
          <w:rFonts w:ascii="Times New Roman" w:hAnsi="Times New Roman"/>
        </w:rPr>
        <w:t xml:space="preserve"> of the offences</w:t>
      </w:r>
      <w:r w:rsidR="00865DFC" w:rsidRPr="00273D10">
        <w:rPr>
          <w:rFonts w:ascii="Times New Roman" w:hAnsi="Times New Roman"/>
        </w:rPr>
        <w:t xml:space="preserve">. </w:t>
      </w:r>
      <w:r w:rsidR="00F2073B" w:rsidRPr="00273D10">
        <w:rPr>
          <w:rFonts w:ascii="Times New Roman" w:hAnsi="Times New Roman"/>
        </w:rPr>
        <w:t xml:space="preserve">Those counts </w:t>
      </w:r>
      <w:r w:rsidR="006A7AD7" w:rsidRPr="00273D10">
        <w:rPr>
          <w:rFonts w:ascii="Times New Roman" w:hAnsi="Times New Roman"/>
        </w:rPr>
        <w:t xml:space="preserve">concerned three occasions </w:t>
      </w:r>
      <w:r w:rsidR="00B55F0F" w:rsidRPr="00273D10">
        <w:rPr>
          <w:rFonts w:ascii="Times New Roman" w:hAnsi="Times New Roman"/>
        </w:rPr>
        <w:t xml:space="preserve">on </w:t>
      </w:r>
      <w:r w:rsidR="00B55F0F" w:rsidRPr="00273D10">
        <w:rPr>
          <w:rFonts w:ascii="Times New Roman" w:hAnsi="Times New Roman"/>
        </w:rPr>
        <w:lastRenderedPageBreak/>
        <w:t xml:space="preserve">which the appellant got into </w:t>
      </w:r>
      <w:r w:rsidR="00970B13" w:rsidRPr="00273D10">
        <w:rPr>
          <w:rFonts w:ascii="Times New Roman" w:hAnsi="Times New Roman"/>
        </w:rPr>
        <w:t>the First Child</w:t>
      </w:r>
      <w:r w:rsidR="00B55F0F" w:rsidRPr="00273D10">
        <w:rPr>
          <w:rFonts w:ascii="Times New Roman" w:hAnsi="Times New Roman"/>
        </w:rPr>
        <w:t xml:space="preserve">'s bed and </w:t>
      </w:r>
      <w:r w:rsidR="00DE017A" w:rsidRPr="00273D10">
        <w:rPr>
          <w:rFonts w:ascii="Times New Roman" w:hAnsi="Times New Roman"/>
        </w:rPr>
        <w:t>touch</w:t>
      </w:r>
      <w:r w:rsidR="00B55F0F" w:rsidRPr="00273D10">
        <w:rPr>
          <w:rFonts w:ascii="Times New Roman" w:hAnsi="Times New Roman"/>
        </w:rPr>
        <w:t>ed</w:t>
      </w:r>
      <w:r w:rsidR="00DE017A" w:rsidRPr="00273D10">
        <w:rPr>
          <w:rFonts w:ascii="Times New Roman" w:hAnsi="Times New Roman"/>
        </w:rPr>
        <w:t xml:space="preserve"> </w:t>
      </w:r>
      <w:r w:rsidR="00B55F0F" w:rsidRPr="00273D10">
        <w:rPr>
          <w:rFonts w:ascii="Times New Roman" w:hAnsi="Times New Roman"/>
        </w:rPr>
        <w:t xml:space="preserve">her </w:t>
      </w:r>
      <w:r w:rsidR="00DE017A" w:rsidRPr="00273D10">
        <w:rPr>
          <w:rFonts w:ascii="Times New Roman" w:hAnsi="Times New Roman"/>
        </w:rPr>
        <w:t>vagina over her clothes</w:t>
      </w:r>
      <w:r w:rsidR="00052F0C" w:rsidRPr="00273D10">
        <w:rPr>
          <w:rFonts w:ascii="Times New Roman" w:hAnsi="Times New Roman"/>
        </w:rPr>
        <w:t xml:space="preserve">. </w:t>
      </w:r>
      <w:r w:rsidR="00E538D6" w:rsidRPr="00273D10">
        <w:rPr>
          <w:rFonts w:ascii="Times New Roman" w:hAnsi="Times New Roman"/>
        </w:rPr>
        <w:t xml:space="preserve">On </w:t>
      </w:r>
      <w:r w:rsidR="00FE183B" w:rsidRPr="00273D10">
        <w:rPr>
          <w:rFonts w:ascii="Times New Roman" w:hAnsi="Times New Roman"/>
        </w:rPr>
        <w:t xml:space="preserve">the third </w:t>
      </w:r>
      <w:r w:rsidR="00B55F0F" w:rsidRPr="00273D10">
        <w:rPr>
          <w:rFonts w:ascii="Times New Roman" w:hAnsi="Times New Roman"/>
        </w:rPr>
        <w:t xml:space="preserve">such </w:t>
      </w:r>
      <w:r w:rsidR="00FE183B" w:rsidRPr="00273D10">
        <w:rPr>
          <w:rFonts w:ascii="Times New Roman" w:hAnsi="Times New Roman"/>
        </w:rPr>
        <w:t xml:space="preserve">occasion, </w:t>
      </w:r>
      <w:r w:rsidR="001037FE" w:rsidRPr="00273D10">
        <w:rPr>
          <w:rFonts w:ascii="Times New Roman" w:hAnsi="Times New Roman"/>
        </w:rPr>
        <w:t xml:space="preserve">the subject of count 3, </w:t>
      </w:r>
      <w:r w:rsidR="008B27B6" w:rsidRPr="00273D10">
        <w:rPr>
          <w:rFonts w:ascii="Times New Roman" w:hAnsi="Times New Roman"/>
        </w:rPr>
        <w:t xml:space="preserve">the </w:t>
      </w:r>
      <w:r w:rsidR="00CB4E60" w:rsidRPr="00273D10">
        <w:rPr>
          <w:rFonts w:ascii="Times New Roman" w:hAnsi="Times New Roman"/>
        </w:rPr>
        <w:t>complainants' mother</w:t>
      </w:r>
      <w:r w:rsidR="008B27B6" w:rsidRPr="00273D10">
        <w:rPr>
          <w:rFonts w:ascii="Times New Roman" w:hAnsi="Times New Roman"/>
        </w:rPr>
        <w:t xml:space="preserve"> </w:t>
      </w:r>
      <w:r w:rsidR="00417447" w:rsidRPr="00273D10">
        <w:rPr>
          <w:rFonts w:ascii="Times New Roman" w:hAnsi="Times New Roman"/>
        </w:rPr>
        <w:t>walked in on the appellant in bed</w:t>
      </w:r>
      <w:r w:rsidR="006210C5" w:rsidRPr="00273D10">
        <w:rPr>
          <w:rFonts w:ascii="Times New Roman" w:hAnsi="Times New Roman"/>
        </w:rPr>
        <w:t xml:space="preserve"> with </w:t>
      </w:r>
      <w:r w:rsidR="00970B13" w:rsidRPr="00273D10">
        <w:rPr>
          <w:rFonts w:ascii="Times New Roman" w:hAnsi="Times New Roman"/>
        </w:rPr>
        <w:t>the First Child</w:t>
      </w:r>
      <w:r w:rsidR="00417447" w:rsidRPr="00273D10">
        <w:rPr>
          <w:rFonts w:ascii="Times New Roman" w:hAnsi="Times New Roman"/>
        </w:rPr>
        <w:t xml:space="preserve">, </w:t>
      </w:r>
      <w:r w:rsidR="00D94724" w:rsidRPr="00273D10">
        <w:rPr>
          <w:rFonts w:ascii="Times New Roman" w:hAnsi="Times New Roman"/>
        </w:rPr>
        <w:t xml:space="preserve">but </w:t>
      </w:r>
      <w:r w:rsidR="00970B13" w:rsidRPr="00273D10">
        <w:rPr>
          <w:rFonts w:ascii="Times New Roman" w:hAnsi="Times New Roman"/>
        </w:rPr>
        <w:t>the First Child</w:t>
      </w:r>
      <w:r w:rsidR="00D96B29" w:rsidRPr="00273D10">
        <w:rPr>
          <w:rFonts w:ascii="Times New Roman" w:hAnsi="Times New Roman"/>
        </w:rPr>
        <w:t xml:space="preserve"> did not </w:t>
      </w:r>
      <w:r w:rsidR="00911E4D" w:rsidRPr="00273D10">
        <w:rPr>
          <w:rFonts w:ascii="Times New Roman" w:hAnsi="Times New Roman"/>
        </w:rPr>
        <w:t xml:space="preserve">at that time </w:t>
      </w:r>
      <w:r w:rsidR="00D96B29" w:rsidRPr="00273D10">
        <w:rPr>
          <w:rFonts w:ascii="Times New Roman" w:hAnsi="Times New Roman"/>
        </w:rPr>
        <w:t xml:space="preserve">say anything </w:t>
      </w:r>
      <w:r w:rsidR="006210C5" w:rsidRPr="00273D10">
        <w:rPr>
          <w:rFonts w:ascii="Times New Roman" w:hAnsi="Times New Roman"/>
        </w:rPr>
        <w:t>about what had happened</w:t>
      </w:r>
      <w:r w:rsidR="006F69D7" w:rsidRPr="00273D10">
        <w:rPr>
          <w:rFonts w:ascii="Times New Roman" w:hAnsi="Times New Roman"/>
        </w:rPr>
        <w:t xml:space="preserve">. </w:t>
      </w:r>
      <w:r w:rsidR="00B06340" w:rsidRPr="00273D10">
        <w:rPr>
          <w:rFonts w:ascii="Times New Roman" w:hAnsi="Times New Roman"/>
        </w:rPr>
        <w:t xml:space="preserve">The First Child first complained </w:t>
      </w:r>
      <w:r w:rsidR="00742386" w:rsidRPr="00273D10">
        <w:rPr>
          <w:rFonts w:ascii="Times New Roman" w:hAnsi="Times New Roman"/>
        </w:rPr>
        <w:t xml:space="preserve">to her mother </w:t>
      </w:r>
      <w:r w:rsidR="00625F09" w:rsidRPr="00273D10">
        <w:rPr>
          <w:rFonts w:ascii="Times New Roman" w:hAnsi="Times New Roman"/>
        </w:rPr>
        <w:t>some months later, at a family outing at a Thai restaurant.</w:t>
      </w:r>
    </w:p>
    <w:p w14:paraId="70FE49BC" w14:textId="7B7A2640" w:rsidR="00A73989" w:rsidRPr="00273D10" w:rsidRDefault="00970B13"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6F69D7" w:rsidRPr="00273D10">
        <w:rPr>
          <w:rFonts w:ascii="Times New Roman" w:hAnsi="Times New Roman"/>
        </w:rPr>
        <w:t>Counts</w:t>
      </w:r>
      <w:r w:rsidR="00AF0BDE" w:rsidRPr="00273D10">
        <w:rPr>
          <w:rFonts w:ascii="Times New Roman" w:hAnsi="Times New Roman"/>
        </w:rPr>
        <w:t xml:space="preserve"> 4 to 8 were committed against </w:t>
      </w:r>
      <w:r w:rsidR="000239DC" w:rsidRPr="00273D10">
        <w:rPr>
          <w:rFonts w:ascii="Times New Roman" w:hAnsi="Times New Roman"/>
        </w:rPr>
        <w:t xml:space="preserve">one of </w:t>
      </w:r>
      <w:r w:rsidR="00AF0BDE" w:rsidRPr="00273D10">
        <w:rPr>
          <w:rFonts w:ascii="Times New Roman" w:hAnsi="Times New Roman"/>
        </w:rPr>
        <w:t>the appellant's son</w:t>
      </w:r>
      <w:r w:rsidR="000239DC" w:rsidRPr="00273D10">
        <w:rPr>
          <w:rFonts w:ascii="Times New Roman" w:hAnsi="Times New Roman"/>
        </w:rPr>
        <w:t>s</w:t>
      </w:r>
      <w:r w:rsidRPr="00273D10">
        <w:rPr>
          <w:rFonts w:ascii="Times New Roman" w:hAnsi="Times New Roman"/>
        </w:rPr>
        <w:t xml:space="preserve"> ("the Fifth Child")</w:t>
      </w:r>
      <w:r w:rsidR="00AF0BDE" w:rsidRPr="00273D10">
        <w:rPr>
          <w:rFonts w:ascii="Times New Roman" w:hAnsi="Times New Roman"/>
        </w:rPr>
        <w:t xml:space="preserve">, who was between 6 and 7 years </w:t>
      </w:r>
      <w:r w:rsidR="00630C33" w:rsidRPr="00273D10">
        <w:rPr>
          <w:rFonts w:ascii="Times New Roman" w:hAnsi="Times New Roman"/>
        </w:rPr>
        <w:t>of age</w:t>
      </w:r>
      <w:r w:rsidR="00AF0BDE" w:rsidRPr="00273D10">
        <w:rPr>
          <w:rFonts w:ascii="Times New Roman" w:hAnsi="Times New Roman"/>
        </w:rPr>
        <w:t xml:space="preserve"> at the time</w:t>
      </w:r>
      <w:r w:rsidR="007C12BB" w:rsidRPr="00273D10">
        <w:rPr>
          <w:rFonts w:ascii="Times New Roman" w:hAnsi="Times New Roman"/>
        </w:rPr>
        <w:t xml:space="preserve"> of the offences</w:t>
      </w:r>
      <w:r w:rsidR="00AF0BDE" w:rsidRPr="00273D10">
        <w:rPr>
          <w:rFonts w:ascii="Times New Roman" w:hAnsi="Times New Roman"/>
        </w:rPr>
        <w:t>.</w:t>
      </w:r>
      <w:r w:rsidR="00E96656" w:rsidRPr="00273D10">
        <w:rPr>
          <w:rFonts w:ascii="Times New Roman" w:hAnsi="Times New Roman"/>
        </w:rPr>
        <w:t xml:space="preserve"> Those counts concerned one occasion on which the </w:t>
      </w:r>
      <w:r w:rsidR="00D07918" w:rsidRPr="00273D10">
        <w:rPr>
          <w:rFonts w:ascii="Times New Roman" w:hAnsi="Times New Roman"/>
        </w:rPr>
        <w:t xml:space="preserve">appellant touched </w:t>
      </w:r>
      <w:r w:rsidRPr="00273D10">
        <w:rPr>
          <w:rFonts w:ascii="Times New Roman" w:hAnsi="Times New Roman"/>
        </w:rPr>
        <w:t>the Fifth Child</w:t>
      </w:r>
      <w:r w:rsidR="00D07918" w:rsidRPr="00273D10">
        <w:rPr>
          <w:rFonts w:ascii="Times New Roman" w:hAnsi="Times New Roman"/>
        </w:rPr>
        <w:t xml:space="preserve">'s bottom after he got out of the shower (count 4) and two occasions on which the </w:t>
      </w:r>
      <w:r w:rsidR="00E37FA8" w:rsidRPr="00273D10">
        <w:rPr>
          <w:rFonts w:ascii="Times New Roman" w:hAnsi="Times New Roman"/>
        </w:rPr>
        <w:t xml:space="preserve">appellant touched </w:t>
      </w:r>
      <w:r w:rsidRPr="00273D10">
        <w:rPr>
          <w:rFonts w:ascii="Times New Roman" w:hAnsi="Times New Roman"/>
        </w:rPr>
        <w:t>the Fifth Child</w:t>
      </w:r>
      <w:r w:rsidR="00E37FA8" w:rsidRPr="00273D10">
        <w:rPr>
          <w:rFonts w:ascii="Times New Roman" w:hAnsi="Times New Roman"/>
        </w:rPr>
        <w:t xml:space="preserve">'s bottom and penis simultaneously </w:t>
      </w:r>
      <w:r w:rsidR="003F36FA" w:rsidRPr="00273D10">
        <w:rPr>
          <w:rFonts w:ascii="Times New Roman" w:hAnsi="Times New Roman"/>
        </w:rPr>
        <w:t>after he got out of the shower (counts 5 and 6 and counts 7 and 8 respectively)</w:t>
      </w:r>
      <w:r w:rsidR="00EC57FA" w:rsidRPr="00273D10">
        <w:rPr>
          <w:rFonts w:ascii="Times New Roman" w:hAnsi="Times New Roman"/>
        </w:rPr>
        <w:t>.</w:t>
      </w:r>
      <w:r w:rsidRPr="00273D10">
        <w:rPr>
          <w:rFonts w:ascii="Times New Roman" w:hAnsi="Times New Roman"/>
        </w:rPr>
        <w:t xml:space="preserve"> </w:t>
      </w:r>
      <w:r w:rsidR="00CB5FE3" w:rsidRPr="00273D10">
        <w:rPr>
          <w:rFonts w:ascii="Times New Roman" w:hAnsi="Times New Roman"/>
        </w:rPr>
        <w:t>The Fifth Child gave evidence that he complained to his mother after each occasion.</w:t>
      </w:r>
      <w:r w:rsidR="00AF66D3" w:rsidRPr="00273D10">
        <w:rPr>
          <w:rFonts w:ascii="Times New Roman" w:hAnsi="Times New Roman"/>
        </w:rPr>
        <w:t xml:space="preserve"> The First Child also gave evidence </w:t>
      </w:r>
      <w:r w:rsidR="00351ED6" w:rsidRPr="00273D10">
        <w:rPr>
          <w:rFonts w:ascii="Times New Roman" w:hAnsi="Times New Roman"/>
        </w:rPr>
        <w:t xml:space="preserve">that </w:t>
      </w:r>
      <w:r w:rsidR="00D32768" w:rsidRPr="00273D10">
        <w:rPr>
          <w:rFonts w:ascii="Times New Roman" w:hAnsi="Times New Roman"/>
        </w:rPr>
        <w:t xml:space="preserve">the Fifth Child </w:t>
      </w:r>
      <w:r w:rsidR="00CC4CA3" w:rsidRPr="00273D10">
        <w:rPr>
          <w:rFonts w:ascii="Times New Roman" w:hAnsi="Times New Roman"/>
        </w:rPr>
        <w:t>had complained</w:t>
      </w:r>
      <w:r w:rsidR="00B35065" w:rsidRPr="00273D10">
        <w:rPr>
          <w:rFonts w:ascii="Times New Roman" w:hAnsi="Times New Roman"/>
        </w:rPr>
        <w:t xml:space="preserve"> about the incidents</w:t>
      </w:r>
      <w:r w:rsidR="00CC4CA3" w:rsidRPr="00273D10">
        <w:rPr>
          <w:rFonts w:ascii="Times New Roman" w:hAnsi="Times New Roman"/>
        </w:rPr>
        <w:t xml:space="preserve"> to her.</w:t>
      </w:r>
    </w:p>
    <w:p w14:paraId="40573F9D" w14:textId="45881DEC" w:rsidR="00970B13" w:rsidRPr="00273D10" w:rsidRDefault="00970B13" w:rsidP="00273D10">
      <w:pPr>
        <w:pStyle w:val="FixListStyle"/>
        <w:spacing w:after="260" w:line="280" w:lineRule="exact"/>
        <w:ind w:right="0"/>
        <w:jc w:val="both"/>
        <w:rPr>
          <w:rFonts w:ascii="Times New Roman" w:hAnsi="Times New Roman"/>
        </w:rPr>
      </w:pPr>
      <w:r w:rsidRPr="00273D10">
        <w:rPr>
          <w:rFonts w:ascii="Times New Roman" w:hAnsi="Times New Roman"/>
        </w:rPr>
        <w:tab/>
        <w:t xml:space="preserve">Counts 9 and 10 were committed against </w:t>
      </w:r>
      <w:r w:rsidR="00836E7D" w:rsidRPr="00273D10">
        <w:rPr>
          <w:rFonts w:ascii="Times New Roman" w:hAnsi="Times New Roman"/>
        </w:rPr>
        <w:t xml:space="preserve">another of </w:t>
      </w:r>
      <w:r w:rsidRPr="00273D10">
        <w:rPr>
          <w:rFonts w:ascii="Times New Roman" w:hAnsi="Times New Roman"/>
        </w:rPr>
        <w:t>the appellant's son</w:t>
      </w:r>
      <w:r w:rsidR="00836E7D" w:rsidRPr="00273D10">
        <w:rPr>
          <w:rFonts w:ascii="Times New Roman" w:hAnsi="Times New Roman"/>
        </w:rPr>
        <w:t>s</w:t>
      </w:r>
      <w:r w:rsidRPr="00273D10">
        <w:rPr>
          <w:rFonts w:ascii="Times New Roman" w:hAnsi="Times New Roman"/>
        </w:rPr>
        <w:t xml:space="preserve"> (</w:t>
      </w:r>
      <w:r w:rsidR="000A4635" w:rsidRPr="00273D10">
        <w:rPr>
          <w:rFonts w:ascii="Times New Roman" w:hAnsi="Times New Roman"/>
        </w:rPr>
        <w:t>"the Third Child")</w:t>
      </w:r>
      <w:r w:rsidR="00F56291" w:rsidRPr="00273D10">
        <w:rPr>
          <w:rFonts w:ascii="Times New Roman" w:hAnsi="Times New Roman"/>
        </w:rPr>
        <w:t xml:space="preserve">, who was between 11 and 12 years </w:t>
      </w:r>
      <w:r w:rsidR="00D104EC" w:rsidRPr="00273D10">
        <w:rPr>
          <w:rFonts w:ascii="Times New Roman" w:hAnsi="Times New Roman"/>
        </w:rPr>
        <w:t>of age</w:t>
      </w:r>
      <w:r w:rsidR="00F56291" w:rsidRPr="00273D10">
        <w:rPr>
          <w:rFonts w:ascii="Times New Roman" w:hAnsi="Times New Roman"/>
        </w:rPr>
        <w:t xml:space="preserve"> at the time of the offences. Those counts </w:t>
      </w:r>
      <w:r w:rsidR="00A24982" w:rsidRPr="00273D10">
        <w:rPr>
          <w:rFonts w:ascii="Times New Roman" w:hAnsi="Times New Roman"/>
        </w:rPr>
        <w:t>concerned two occasions on which the appellant grabbed the Third Child's penis</w:t>
      </w:r>
      <w:r w:rsidR="00723FE4" w:rsidRPr="00273D10">
        <w:rPr>
          <w:rFonts w:ascii="Times New Roman" w:hAnsi="Times New Roman"/>
        </w:rPr>
        <w:t>.</w:t>
      </w:r>
      <w:r w:rsidR="00DC259E" w:rsidRPr="00273D10">
        <w:rPr>
          <w:rFonts w:ascii="Times New Roman" w:hAnsi="Times New Roman"/>
        </w:rPr>
        <w:t xml:space="preserve"> The Third Child complained to a counsellor </w:t>
      </w:r>
      <w:r w:rsidR="00A06BE6" w:rsidRPr="00273D10">
        <w:rPr>
          <w:rFonts w:ascii="Times New Roman" w:hAnsi="Times New Roman"/>
        </w:rPr>
        <w:t xml:space="preserve">about </w:t>
      </w:r>
      <w:r w:rsidR="00781601" w:rsidRPr="00273D10">
        <w:rPr>
          <w:rFonts w:ascii="Times New Roman" w:hAnsi="Times New Roman"/>
        </w:rPr>
        <w:t>two years later</w:t>
      </w:r>
      <w:r w:rsidR="00A43A20" w:rsidRPr="00273D10">
        <w:rPr>
          <w:rFonts w:ascii="Times New Roman" w:hAnsi="Times New Roman"/>
        </w:rPr>
        <w:t>.</w:t>
      </w:r>
    </w:p>
    <w:p w14:paraId="17A03718" w14:textId="4E36D2E4" w:rsidR="00F80D95" w:rsidRPr="00273D10" w:rsidRDefault="009B380E" w:rsidP="00273D10">
      <w:pPr>
        <w:pStyle w:val="HeadingL2"/>
        <w:spacing w:after="260" w:line="280" w:lineRule="exact"/>
        <w:ind w:right="0"/>
        <w:jc w:val="both"/>
        <w:rPr>
          <w:rFonts w:ascii="Times New Roman" w:hAnsi="Times New Roman"/>
        </w:rPr>
      </w:pPr>
      <w:r w:rsidRPr="00273D10">
        <w:rPr>
          <w:rFonts w:ascii="Times New Roman" w:hAnsi="Times New Roman"/>
        </w:rPr>
        <w:t>The</w:t>
      </w:r>
      <w:r w:rsidR="002750F2" w:rsidRPr="00273D10">
        <w:rPr>
          <w:rFonts w:ascii="Times New Roman" w:hAnsi="Times New Roman"/>
        </w:rPr>
        <w:t xml:space="preserve"> Crown</w:t>
      </w:r>
      <w:r w:rsidRPr="00273D10">
        <w:rPr>
          <w:rFonts w:ascii="Times New Roman" w:hAnsi="Times New Roman"/>
        </w:rPr>
        <w:t xml:space="preserve"> case </w:t>
      </w:r>
    </w:p>
    <w:p w14:paraId="1F7D87E3" w14:textId="373E2296" w:rsidR="00524E20" w:rsidRPr="00273D10" w:rsidRDefault="006E5D05"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702E73" w:rsidRPr="00273D10">
        <w:rPr>
          <w:rFonts w:ascii="Times New Roman" w:hAnsi="Times New Roman"/>
        </w:rPr>
        <w:t xml:space="preserve">At trial, </w:t>
      </w:r>
      <w:r w:rsidR="00911E4D" w:rsidRPr="00273D10">
        <w:rPr>
          <w:rFonts w:ascii="Times New Roman" w:hAnsi="Times New Roman"/>
        </w:rPr>
        <w:t xml:space="preserve">each complainant gave evidence </w:t>
      </w:r>
      <w:r w:rsidR="00700DF8" w:rsidRPr="00273D10">
        <w:rPr>
          <w:rFonts w:ascii="Times New Roman" w:hAnsi="Times New Roman"/>
        </w:rPr>
        <w:t xml:space="preserve">of </w:t>
      </w:r>
      <w:r w:rsidR="00590DE1" w:rsidRPr="00273D10">
        <w:rPr>
          <w:rFonts w:ascii="Times New Roman" w:hAnsi="Times New Roman"/>
        </w:rPr>
        <w:t xml:space="preserve">the appellant's offending </w:t>
      </w:r>
      <w:r w:rsidR="00700DF8" w:rsidRPr="00273D10">
        <w:rPr>
          <w:rFonts w:ascii="Times New Roman" w:hAnsi="Times New Roman"/>
        </w:rPr>
        <w:t>against</w:t>
      </w:r>
      <w:r w:rsidR="00911E4D" w:rsidRPr="00273D10">
        <w:rPr>
          <w:rFonts w:ascii="Times New Roman" w:hAnsi="Times New Roman"/>
        </w:rPr>
        <w:t xml:space="preserve"> that child</w:t>
      </w:r>
      <w:r w:rsidR="00CA6BB6" w:rsidRPr="00273D10">
        <w:rPr>
          <w:rFonts w:ascii="Times New Roman" w:hAnsi="Times New Roman"/>
        </w:rPr>
        <w:t xml:space="preserve"> and of the circumstances of that child's complaint about the appellant's conduct</w:t>
      </w:r>
      <w:r w:rsidR="00911E4D" w:rsidRPr="00273D10">
        <w:rPr>
          <w:rFonts w:ascii="Times New Roman" w:hAnsi="Times New Roman"/>
        </w:rPr>
        <w:t>.</w:t>
      </w:r>
      <w:r w:rsidR="006B530E" w:rsidRPr="00273D10">
        <w:rPr>
          <w:rFonts w:ascii="Times New Roman" w:hAnsi="Times New Roman"/>
        </w:rPr>
        <w:t xml:space="preserve"> In addition, the Crown led further evidence that fell into three categories. </w:t>
      </w:r>
      <w:r w:rsidR="00524E20" w:rsidRPr="00273D10">
        <w:rPr>
          <w:rFonts w:ascii="Times New Roman" w:hAnsi="Times New Roman"/>
        </w:rPr>
        <w:t xml:space="preserve">The first category </w:t>
      </w:r>
      <w:r w:rsidR="00407200" w:rsidRPr="00273D10">
        <w:rPr>
          <w:rFonts w:ascii="Times New Roman" w:hAnsi="Times New Roman"/>
        </w:rPr>
        <w:t>can be described as "aggression evidence"</w:t>
      </w:r>
      <w:r w:rsidR="000B2CB2" w:rsidRPr="00273D10">
        <w:rPr>
          <w:rFonts w:ascii="Times New Roman" w:hAnsi="Times New Roman"/>
        </w:rPr>
        <w:t xml:space="preserve">. This included evidence </w:t>
      </w:r>
      <w:r w:rsidR="00676755" w:rsidRPr="00273D10">
        <w:rPr>
          <w:rFonts w:ascii="Times New Roman" w:hAnsi="Times New Roman"/>
        </w:rPr>
        <w:t xml:space="preserve">from the complainants of </w:t>
      </w:r>
      <w:r w:rsidR="00F25513" w:rsidRPr="00273D10">
        <w:rPr>
          <w:rFonts w:ascii="Times New Roman" w:hAnsi="Times New Roman"/>
        </w:rPr>
        <w:t xml:space="preserve">episodes of </w:t>
      </w:r>
      <w:r w:rsidR="00676755" w:rsidRPr="00273D10">
        <w:rPr>
          <w:rFonts w:ascii="Times New Roman" w:hAnsi="Times New Roman"/>
        </w:rPr>
        <w:t xml:space="preserve">aggression </w:t>
      </w:r>
      <w:r w:rsidR="009B5FAB" w:rsidRPr="00273D10">
        <w:rPr>
          <w:rFonts w:ascii="Times New Roman" w:hAnsi="Times New Roman"/>
        </w:rPr>
        <w:t xml:space="preserve">and violence </w:t>
      </w:r>
      <w:r w:rsidR="00676755" w:rsidRPr="00273D10">
        <w:rPr>
          <w:rFonts w:ascii="Times New Roman" w:hAnsi="Times New Roman"/>
        </w:rPr>
        <w:t>by the appellant towards his male children</w:t>
      </w:r>
      <w:r w:rsidR="00F25513" w:rsidRPr="00273D10">
        <w:rPr>
          <w:rFonts w:ascii="Times New Roman" w:hAnsi="Times New Roman"/>
        </w:rPr>
        <w:t>. Th</w:t>
      </w:r>
      <w:r w:rsidR="00F8668E" w:rsidRPr="00273D10">
        <w:rPr>
          <w:rFonts w:ascii="Times New Roman" w:hAnsi="Times New Roman"/>
        </w:rPr>
        <w:t>is</w:t>
      </w:r>
      <w:r w:rsidR="00F25513" w:rsidRPr="00273D10">
        <w:rPr>
          <w:rFonts w:ascii="Times New Roman" w:hAnsi="Times New Roman"/>
        </w:rPr>
        <w:t xml:space="preserve"> evidence also included </w:t>
      </w:r>
      <w:r w:rsidR="00A7294A" w:rsidRPr="00273D10">
        <w:rPr>
          <w:rFonts w:ascii="Times New Roman" w:hAnsi="Times New Roman"/>
        </w:rPr>
        <w:t>three videos showing the appellant acting violently towards his children.</w:t>
      </w:r>
      <w:r w:rsidR="003F5C51" w:rsidRPr="00273D10">
        <w:rPr>
          <w:rFonts w:ascii="Times New Roman" w:hAnsi="Times New Roman"/>
        </w:rPr>
        <w:t xml:space="preserve"> The </w:t>
      </w:r>
      <w:r w:rsidR="005C61ED" w:rsidRPr="00273D10">
        <w:rPr>
          <w:rFonts w:ascii="Times New Roman" w:hAnsi="Times New Roman"/>
        </w:rPr>
        <w:t>aggression</w:t>
      </w:r>
      <w:r w:rsidR="003F5C51" w:rsidRPr="00273D10">
        <w:rPr>
          <w:rFonts w:ascii="Times New Roman" w:hAnsi="Times New Roman"/>
        </w:rPr>
        <w:t xml:space="preserve"> evidence was </w:t>
      </w:r>
      <w:r w:rsidR="00603C98" w:rsidRPr="00273D10">
        <w:rPr>
          <w:rFonts w:ascii="Times New Roman" w:hAnsi="Times New Roman"/>
        </w:rPr>
        <w:t xml:space="preserve">led for a dual purpose: as "context evidence" </w:t>
      </w:r>
      <w:r w:rsidR="00B35065" w:rsidRPr="00273D10">
        <w:rPr>
          <w:rFonts w:ascii="Times New Roman" w:hAnsi="Times New Roman"/>
        </w:rPr>
        <w:t xml:space="preserve">both </w:t>
      </w:r>
      <w:r w:rsidR="00603C98" w:rsidRPr="00273D10">
        <w:rPr>
          <w:rFonts w:ascii="Times New Roman" w:hAnsi="Times New Roman"/>
        </w:rPr>
        <w:t xml:space="preserve">to explain the </w:t>
      </w:r>
      <w:r w:rsidR="005C1192" w:rsidRPr="00273D10">
        <w:rPr>
          <w:rFonts w:ascii="Times New Roman" w:hAnsi="Times New Roman"/>
        </w:rPr>
        <w:t xml:space="preserve">nature of the </w:t>
      </w:r>
      <w:r w:rsidR="00603C98" w:rsidRPr="00273D10">
        <w:rPr>
          <w:rFonts w:ascii="Times New Roman" w:hAnsi="Times New Roman"/>
        </w:rPr>
        <w:t>relationships between the appellant and his children and to explain the complainants' reluctance to make contemporaneous complaints</w:t>
      </w:r>
      <w:r w:rsidR="00B718E8" w:rsidRPr="00273D10">
        <w:rPr>
          <w:rFonts w:ascii="Times New Roman" w:hAnsi="Times New Roman"/>
        </w:rPr>
        <w:t>;</w:t>
      </w:r>
      <w:r w:rsidR="00BD276E" w:rsidRPr="00273D10">
        <w:rPr>
          <w:rFonts w:ascii="Times New Roman" w:hAnsi="Times New Roman"/>
        </w:rPr>
        <w:t xml:space="preserve"> </w:t>
      </w:r>
      <w:r w:rsidR="00603C98" w:rsidRPr="00273D10">
        <w:rPr>
          <w:rFonts w:ascii="Times New Roman" w:hAnsi="Times New Roman"/>
        </w:rPr>
        <w:t>and</w:t>
      </w:r>
      <w:r w:rsidR="00B35065" w:rsidRPr="00273D10">
        <w:rPr>
          <w:rFonts w:ascii="Times New Roman" w:hAnsi="Times New Roman"/>
        </w:rPr>
        <w:t xml:space="preserve"> as character rebuttal evidence</w:t>
      </w:r>
      <w:r w:rsidR="00603C98" w:rsidRPr="00273D10">
        <w:rPr>
          <w:rFonts w:ascii="Times New Roman" w:hAnsi="Times New Roman"/>
        </w:rPr>
        <w:t xml:space="preserve"> </w:t>
      </w:r>
      <w:r w:rsidR="00BD276E" w:rsidRPr="00273D10">
        <w:rPr>
          <w:rFonts w:ascii="Times New Roman" w:hAnsi="Times New Roman"/>
        </w:rPr>
        <w:t xml:space="preserve">to </w:t>
      </w:r>
      <w:r w:rsidR="00B35065" w:rsidRPr="00273D10">
        <w:rPr>
          <w:rFonts w:ascii="Times New Roman" w:hAnsi="Times New Roman"/>
        </w:rPr>
        <w:t xml:space="preserve">counter </w:t>
      </w:r>
      <w:r w:rsidR="00966094" w:rsidRPr="00273D10">
        <w:rPr>
          <w:rFonts w:ascii="Times New Roman" w:hAnsi="Times New Roman"/>
        </w:rPr>
        <w:t xml:space="preserve">the evidence </w:t>
      </w:r>
      <w:r w:rsidR="0039589D" w:rsidRPr="00273D10">
        <w:rPr>
          <w:rFonts w:ascii="Times New Roman" w:hAnsi="Times New Roman"/>
        </w:rPr>
        <w:t xml:space="preserve">which the appellant had </w:t>
      </w:r>
      <w:r w:rsidR="00A06BE6" w:rsidRPr="00273D10">
        <w:rPr>
          <w:rFonts w:ascii="Times New Roman" w:hAnsi="Times New Roman"/>
        </w:rPr>
        <w:t xml:space="preserve">foreshadowed </w:t>
      </w:r>
      <w:r w:rsidR="0039589D" w:rsidRPr="00273D10">
        <w:rPr>
          <w:rFonts w:ascii="Times New Roman" w:hAnsi="Times New Roman"/>
        </w:rPr>
        <w:t xml:space="preserve">he would adduce </w:t>
      </w:r>
      <w:r w:rsidR="00966094" w:rsidRPr="00273D10">
        <w:rPr>
          <w:rFonts w:ascii="Times New Roman" w:hAnsi="Times New Roman"/>
        </w:rPr>
        <w:t>in support of his good character</w:t>
      </w:r>
      <w:r w:rsidR="00842E38" w:rsidRPr="00273D10">
        <w:rPr>
          <w:rStyle w:val="FootnoteReference"/>
          <w:rFonts w:ascii="Times New Roman" w:hAnsi="Times New Roman"/>
          <w:sz w:val="24"/>
        </w:rPr>
        <w:footnoteReference w:id="2"/>
      </w:r>
      <w:r w:rsidR="00966094" w:rsidRPr="00273D10">
        <w:rPr>
          <w:rFonts w:ascii="Times New Roman" w:hAnsi="Times New Roman"/>
        </w:rPr>
        <w:t>.</w:t>
      </w:r>
    </w:p>
    <w:p w14:paraId="58B1725C" w14:textId="587BC3F6" w:rsidR="00F36117" w:rsidRPr="00273D10" w:rsidRDefault="00F36117" w:rsidP="00273D10">
      <w:pPr>
        <w:pStyle w:val="FixListStyle"/>
        <w:spacing w:after="260" w:line="280" w:lineRule="exact"/>
        <w:ind w:right="0"/>
        <w:jc w:val="both"/>
        <w:rPr>
          <w:rFonts w:ascii="Times New Roman" w:hAnsi="Times New Roman"/>
        </w:rPr>
      </w:pPr>
      <w:r w:rsidRPr="00273D10">
        <w:rPr>
          <w:rFonts w:ascii="Times New Roman" w:hAnsi="Times New Roman"/>
        </w:rPr>
        <w:tab/>
        <w:t xml:space="preserve">The second category of evidence can be described as the "rugby ball incident evidence". This related to a specific incident in </w:t>
      </w:r>
      <w:r w:rsidR="003141B3" w:rsidRPr="00273D10">
        <w:rPr>
          <w:rFonts w:ascii="Times New Roman" w:hAnsi="Times New Roman"/>
        </w:rPr>
        <w:t>January 2016 in which the appellant threw the Fifth Child to the ground</w:t>
      </w:r>
      <w:r w:rsidR="000F4D9A" w:rsidRPr="00273D10">
        <w:rPr>
          <w:rFonts w:ascii="Times New Roman" w:hAnsi="Times New Roman"/>
        </w:rPr>
        <w:t xml:space="preserve"> and</w:t>
      </w:r>
      <w:r w:rsidR="003141B3" w:rsidRPr="00273D10">
        <w:rPr>
          <w:rFonts w:ascii="Times New Roman" w:hAnsi="Times New Roman"/>
        </w:rPr>
        <w:t xml:space="preserve"> trod on his arm and head, and </w:t>
      </w:r>
      <w:r w:rsidR="003141B3" w:rsidRPr="00273D10">
        <w:rPr>
          <w:rFonts w:ascii="Times New Roman" w:hAnsi="Times New Roman"/>
        </w:rPr>
        <w:lastRenderedPageBreak/>
        <w:t xml:space="preserve">threw a rugby ball at </w:t>
      </w:r>
      <w:r w:rsidR="000F4D9A" w:rsidRPr="00273D10">
        <w:rPr>
          <w:rFonts w:ascii="Times New Roman" w:hAnsi="Times New Roman"/>
        </w:rPr>
        <w:t>the mother's</w:t>
      </w:r>
      <w:r w:rsidR="003141B3" w:rsidRPr="00273D10">
        <w:rPr>
          <w:rFonts w:ascii="Times New Roman" w:hAnsi="Times New Roman"/>
        </w:rPr>
        <w:t xml:space="preserve"> chest</w:t>
      </w:r>
      <w:r w:rsidR="00C43FEC" w:rsidRPr="00273D10">
        <w:rPr>
          <w:rFonts w:ascii="Times New Roman" w:hAnsi="Times New Roman"/>
        </w:rPr>
        <w:t xml:space="preserve"> at a time when she was recovering from breast reconstruction surgery</w:t>
      </w:r>
      <w:r w:rsidR="003141B3" w:rsidRPr="00273D10">
        <w:rPr>
          <w:rFonts w:ascii="Times New Roman" w:hAnsi="Times New Roman"/>
        </w:rPr>
        <w:t xml:space="preserve">. The appellant was convicted of </w:t>
      </w:r>
      <w:r w:rsidR="00054FDE" w:rsidRPr="00273D10">
        <w:rPr>
          <w:rFonts w:ascii="Times New Roman" w:hAnsi="Times New Roman"/>
        </w:rPr>
        <w:t xml:space="preserve">the </w:t>
      </w:r>
      <w:r w:rsidR="003141B3" w:rsidRPr="00273D10">
        <w:rPr>
          <w:rFonts w:ascii="Times New Roman" w:hAnsi="Times New Roman"/>
        </w:rPr>
        <w:t>common assault</w:t>
      </w:r>
      <w:r w:rsidR="00054FDE" w:rsidRPr="00273D10">
        <w:rPr>
          <w:rFonts w:ascii="Times New Roman" w:hAnsi="Times New Roman"/>
        </w:rPr>
        <w:t xml:space="preserve"> of the Fifth Child and</w:t>
      </w:r>
      <w:r w:rsidR="0039589D" w:rsidRPr="00273D10">
        <w:rPr>
          <w:rFonts w:ascii="Times New Roman" w:hAnsi="Times New Roman"/>
        </w:rPr>
        <w:t xml:space="preserve"> of</w:t>
      </w:r>
      <w:r w:rsidR="00054FDE" w:rsidRPr="00273D10">
        <w:rPr>
          <w:rFonts w:ascii="Times New Roman" w:hAnsi="Times New Roman"/>
        </w:rPr>
        <w:t xml:space="preserve"> </w:t>
      </w:r>
      <w:r w:rsidR="000F4D9A" w:rsidRPr="00273D10">
        <w:rPr>
          <w:rFonts w:ascii="Times New Roman" w:hAnsi="Times New Roman"/>
        </w:rPr>
        <w:t>the complainants' mother</w:t>
      </w:r>
      <w:r w:rsidR="00054FDE" w:rsidRPr="00273D10">
        <w:rPr>
          <w:rFonts w:ascii="Times New Roman" w:hAnsi="Times New Roman"/>
        </w:rPr>
        <w:t>.</w:t>
      </w:r>
      <w:r w:rsidR="00C43FEC" w:rsidRPr="00273D10">
        <w:rPr>
          <w:rFonts w:ascii="Times New Roman" w:hAnsi="Times New Roman"/>
        </w:rPr>
        <w:t xml:space="preserve"> The rugby ball incident evidence </w:t>
      </w:r>
      <w:r w:rsidR="00D84A4A" w:rsidRPr="00273D10">
        <w:rPr>
          <w:rFonts w:ascii="Times New Roman" w:hAnsi="Times New Roman"/>
        </w:rPr>
        <w:t>was</w:t>
      </w:r>
      <w:r w:rsidR="00934318" w:rsidRPr="00273D10">
        <w:rPr>
          <w:rFonts w:ascii="Times New Roman" w:hAnsi="Times New Roman"/>
        </w:rPr>
        <w:t xml:space="preserve"> also</w:t>
      </w:r>
      <w:r w:rsidR="00D84A4A" w:rsidRPr="00273D10">
        <w:rPr>
          <w:rFonts w:ascii="Times New Roman" w:hAnsi="Times New Roman"/>
        </w:rPr>
        <w:t xml:space="preserve"> led </w:t>
      </w:r>
      <w:r w:rsidR="00934318" w:rsidRPr="00273D10">
        <w:rPr>
          <w:rFonts w:ascii="Times New Roman" w:hAnsi="Times New Roman"/>
        </w:rPr>
        <w:t xml:space="preserve">as character rebuttal </w:t>
      </w:r>
      <w:r w:rsidR="00402BF1" w:rsidRPr="00273D10">
        <w:rPr>
          <w:rFonts w:ascii="Times New Roman" w:hAnsi="Times New Roman"/>
        </w:rPr>
        <w:t>evidence</w:t>
      </w:r>
      <w:r w:rsidR="00842E38" w:rsidRPr="00273D10">
        <w:rPr>
          <w:rStyle w:val="FootnoteReference"/>
          <w:rFonts w:ascii="Times New Roman" w:hAnsi="Times New Roman"/>
          <w:sz w:val="24"/>
        </w:rPr>
        <w:footnoteReference w:id="3"/>
      </w:r>
      <w:r w:rsidR="00D84A4A" w:rsidRPr="00273D10">
        <w:rPr>
          <w:rFonts w:ascii="Times New Roman" w:hAnsi="Times New Roman"/>
        </w:rPr>
        <w:t>.</w:t>
      </w:r>
    </w:p>
    <w:p w14:paraId="43AE6EF0" w14:textId="32155D11" w:rsidR="00392499" w:rsidRPr="00273D10" w:rsidRDefault="005F399B" w:rsidP="00273D10">
      <w:pPr>
        <w:pStyle w:val="FixListStyle"/>
        <w:spacing w:after="260" w:line="280" w:lineRule="exact"/>
        <w:ind w:right="0"/>
        <w:jc w:val="both"/>
        <w:rPr>
          <w:rFonts w:ascii="Times New Roman" w:hAnsi="Times New Roman"/>
        </w:rPr>
      </w:pPr>
      <w:r w:rsidRPr="00273D10">
        <w:rPr>
          <w:rFonts w:ascii="Times New Roman" w:hAnsi="Times New Roman"/>
        </w:rPr>
        <w:tab/>
        <w:t xml:space="preserve">The third category of evidence </w:t>
      </w:r>
      <w:r w:rsidR="00476CF0" w:rsidRPr="00273D10">
        <w:rPr>
          <w:rFonts w:ascii="Times New Roman" w:hAnsi="Times New Roman"/>
        </w:rPr>
        <w:t xml:space="preserve">was described by the trial judge in his summing-up </w:t>
      </w:r>
      <w:r w:rsidR="00283AE9" w:rsidRPr="00273D10">
        <w:rPr>
          <w:rFonts w:ascii="Times New Roman" w:hAnsi="Times New Roman"/>
        </w:rPr>
        <w:t xml:space="preserve">to the jury </w:t>
      </w:r>
      <w:r w:rsidR="00476CF0" w:rsidRPr="00273D10">
        <w:rPr>
          <w:rFonts w:ascii="Times New Roman" w:hAnsi="Times New Roman"/>
        </w:rPr>
        <w:t>as the</w:t>
      </w:r>
      <w:r w:rsidRPr="00273D10">
        <w:rPr>
          <w:rFonts w:ascii="Times New Roman" w:hAnsi="Times New Roman"/>
        </w:rPr>
        <w:t xml:space="preserve"> "</w:t>
      </w:r>
      <w:r w:rsidR="00476CF0" w:rsidRPr="00273D10">
        <w:rPr>
          <w:rFonts w:ascii="Times New Roman" w:hAnsi="Times New Roman"/>
        </w:rPr>
        <w:t>evidence of other acts</w:t>
      </w:r>
      <w:r w:rsidRPr="00273D10">
        <w:rPr>
          <w:rFonts w:ascii="Times New Roman" w:hAnsi="Times New Roman"/>
        </w:rPr>
        <w:t xml:space="preserve">". </w:t>
      </w:r>
      <w:r w:rsidR="00476CF0" w:rsidRPr="00273D10">
        <w:rPr>
          <w:rFonts w:ascii="Times New Roman" w:hAnsi="Times New Roman"/>
        </w:rPr>
        <w:t>This comprised evidence</w:t>
      </w:r>
      <w:r w:rsidR="00D03D3E" w:rsidRPr="00273D10">
        <w:rPr>
          <w:rFonts w:ascii="Times New Roman" w:hAnsi="Times New Roman"/>
        </w:rPr>
        <w:t xml:space="preserve"> from each of the Third Child and </w:t>
      </w:r>
      <w:r w:rsidR="00103D50" w:rsidRPr="00273D10">
        <w:rPr>
          <w:rFonts w:ascii="Times New Roman" w:hAnsi="Times New Roman"/>
        </w:rPr>
        <w:t>another of the appellant's sons ("</w:t>
      </w:r>
      <w:r w:rsidR="00D03D3E" w:rsidRPr="00273D10">
        <w:rPr>
          <w:rFonts w:ascii="Times New Roman" w:hAnsi="Times New Roman"/>
        </w:rPr>
        <w:t>the Fourth Child</w:t>
      </w:r>
      <w:r w:rsidR="00103D50" w:rsidRPr="00273D10">
        <w:rPr>
          <w:rFonts w:ascii="Times New Roman" w:hAnsi="Times New Roman"/>
        </w:rPr>
        <w:t>")</w:t>
      </w:r>
      <w:r w:rsidR="00D03D3E" w:rsidRPr="00273D10">
        <w:rPr>
          <w:rFonts w:ascii="Times New Roman" w:hAnsi="Times New Roman"/>
        </w:rPr>
        <w:t xml:space="preserve"> </w:t>
      </w:r>
      <w:r w:rsidR="00A319C5" w:rsidRPr="00273D10">
        <w:rPr>
          <w:rFonts w:ascii="Times New Roman" w:hAnsi="Times New Roman"/>
        </w:rPr>
        <w:t xml:space="preserve">of instances </w:t>
      </w:r>
      <w:r w:rsidR="00FB1C2B" w:rsidRPr="00273D10">
        <w:rPr>
          <w:rFonts w:ascii="Times New Roman" w:hAnsi="Times New Roman"/>
        </w:rPr>
        <w:t xml:space="preserve">where they saw the appellant </w:t>
      </w:r>
      <w:r w:rsidR="00A319C5" w:rsidRPr="00273D10">
        <w:rPr>
          <w:rFonts w:ascii="Times New Roman" w:hAnsi="Times New Roman"/>
        </w:rPr>
        <w:t>touching the Fifth Child's penis</w:t>
      </w:r>
      <w:r w:rsidR="00B9019A" w:rsidRPr="00273D10">
        <w:rPr>
          <w:rFonts w:ascii="Times New Roman" w:hAnsi="Times New Roman"/>
        </w:rPr>
        <w:t>. Th</w:t>
      </w:r>
      <w:r w:rsidR="00672D5E" w:rsidRPr="00273D10">
        <w:rPr>
          <w:rFonts w:ascii="Times New Roman" w:hAnsi="Times New Roman"/>
        </w:rPr>
        <w:t xml:space="preserve">is evidence did not relate to </w:t>
      </w:r>
      <w:r w:rsidR="00FB1C2B" w:rsidRPr="00273D10">
        <w:rPr>
          <w:rFonts w:ascii="Times New Roman" w:hAnsi="Times New Roman"/>
        </w:rPr>
        <w:t xml:space="preserve">any </w:t>
      </w:r>
      <w:r w:rsidR="007C6D17" w:rsidRPr="00273D10">
        <w:rPr>
          <w:rFonts w:ascii="Times New Roman" w:hAnsi="Times New Roman"/>
        </w:rPr>
        <w:t xml:space="preserve">specific </w:t>
      </w:r>
      <w:r w:rsidR="00FB1C2B" w:rsidRPr="00273D10">
        <w:rPr>
          <w:rFonts w:ascii="Times New Roman" w:hAnsi="Times New Roman"/>
        </w:rPr>
        <w:t xml:space="preserve">offence </w:t>
      </w:r>
      <w:r w:rsidR="00B35065" w:rsidRPr="00273D10">
        <w:rPr>
          <w:rFonts w:ascii="Times New Roman" w:hAnsi="Times New Roman"/>
        </w:rPr>
        <w:t>with</w:t>
      </w:r>
      <w:r w:rsidR="00672D5E" w:rsidRPr="00273D10">
        <w:rPr>
          <w:rFonts w:ascii="Times New Roman" w:hAnsi="Times New Roman"/>
        </w:rPr>
        <w:t xml:space="preserve"> which the appellant was charged.</w:t>
      </w:r>
      <w:r w:rsidR="00B718E8" w:rsidRPr="00273D10">
        <w:rPr>
          <w:rFonts w:ascii="Times New Roman" w:hAnsi="Times New Roman"/>
        </w:rPr>
        <w:t xml:space="preserve"> </w:t>
      </w:r>
      <w:r w:rsidR="00B35065" w:rsidRPr="00273D10">
        <w:rPr>
          <w:rFonts w:ascii="Times New Roman" w:hAnsi="Times New Roman"/>
        </w:rPr>
        <w:t>Instead, t</w:t>
      </w:r>
      <w:r w:rsidR="00392499" w:rsidRPr="00273D10">
        <w:rPr>
          <w:rFonts w:ascii="Times New Roman" w:hAnsi="Times New Roman"/>
        </w:rPr>
        <w:t xml:space="preserve">he Crown </w:t>
      </w:r>
      <w:r w:rsidR="001D4C1A" w:rsidRPr="00273D10">
        <w:rPr>
          <w:rFonts w:ascii="Times New Roman" w:hAnsi="Times New Roman"/>
        </w:rPr>
        <w:t>sought to rely on th</w:t>
      </w:r>
      <w:r w:rsidR="00FB1C2B" w:rsidRPr="00273D10">
        <w:rPr>
          <w:rFonts w:ascii="Times New Roman" w:hAnsi="Times New Roman"/>
        </w:rPr>
        <w:t>is</w:t>
      </w:r>
      <w:r w:rsidR="001D4C1A" w:rsidRPr="00273D10">
        <w:rPr>
          <w:rFonts w:ascii="Times New Roman" w:hAnsi="Times New Roman"/>
        </w:rPr>
        <w:t xml:space="preserve"> evidence of other</w:t>
      </w:r>
      <w:r w:rsidR="00B0150B" w:rsidRPr="00273D10">
        <w:rPr>
          <w:rFonts w:ascii="Times New Roman" w:hAnsi="Times New Roman"/>
        </w:rPr>
        <w:t>,</w:t>
      </w:r>
      <w:r w:rsidR="001D4C1A" w:rsidRPr="00273D10">
        <w:rPr>
          <w:rFonts w:ascii="Times New Roman" w:hAnsi="Times New Roman"/>
        </w:rPr>
        <w:t xml:space="preserve"> </w:t>
      </w:r>
      <w:r w:rsidR="00A56D8F" w:rsidRPr="00273D10">
        <w:rPr>
          <w:rFonts w:ascii="Times New Roman" w:hAnsi="Times New Roman"/>
        </w:rPr>
        <w:t xml:space="preserve">uncharged </w:t>
      </w:r>
      <w:r w:rsidR="001D4C1A" w:rsidRPr="00273D10">
        <w:rPr>
          <w:rFonts w:ascii="Times New Roman" w:hAnsi="Times New Roman"/>
        </w:rPr>
        <w:t xml:space="preserve">acts as tendency evidence in respect of the counts concerning the Fifth Child. </w:t>
      </w:r>
      <w:r w:rsidR="00C014BA" w:rsidRPr="00273D10">
        <w:rPr>
          <w:rFonts w:ascii="Times New Roman" w:hAnsi="Times New Roman"/>
        </w:rPr>
        <w:t xml:space="preserve">To that end, in advance of the trial, the Crown served a tendency evidence notice under s 97 of the </w:t>
      </w:r>
      <w:r w:rsidR="00C014BA" w:rsidRPr="00273D10">
        <w:rPr>
          <w:rFonts w:ascii="Times New Roman" w:hAnsi="Times New Roman"/>
          <w:i/>
        </w:rPr>
        <w:t>Evidence Act 1995</w:t>
      </w:r>
      <w:r w:rsidR="00C014BA" w:rsidRPr="00273D10">
        <w:rPr>
          <w:rFonts w:ascii="Times New Roman" w:hAnsi="Times New Roman"/>
        </w:rPr>
        <w:t xml:space="preserve"> (NSW)</w:t>
      </w:r>
      <w:r w:rsidR="008D59FB" w:rsidRPr="00273D10">
        <w:rPr>
          <w:rFonts w:ascii="Times New Roman" w:hAnsi="Times New Roman"/>
        </w:rPr>
        <w:t>.</w:t>
      </w:r>
      <w:r w:rsidR="007733AA" w:rsidRPr="00273D10">
        <w:rPr>
          <w:rFonts w:ascii="Times New Roman" w:hAnsi="Times New Roman"/>
        </w:rPr>
        <w:t xml:space="preserve"> In the notice, the Crown </w:t>
      </w:r>
      <w:r w:rsidR="00163F3C" w:rsidRPr="00273D10">
        <w:rPr>
          <w:rFonts w:ascii="Times New Roman" w:hAnsi="Times New Roman"/>
        </w:rPr>
        <w:t xml:space="preserve">described the evidence as </w:t>
      </w:r>
      <w:r w:rsidR="000F4D9A" w:rsidRPr="00273D10">
        <w:rPr>
          <w:rFonts w:ascii="Times New Roman" w:hAnsi="Times New Roman"/>
        </w:rPr>
        <w:t>demonstrating</w:t>
      </w:r>
      <w:r w:rsidR="00163F3C" w:rsidRPr="00273D10">
        <w:rPr>
          <w:rFonts w:ascii="Times New Roman" w:hAnsi="Times New Roman"/>
        </w:rPr>
        <w:t xml:space="preserve"> the appellant's tendency to have a sexual interest or inappropriate interest in his male children under the age of 13, and to act on that interest. The notice indicated that the Crown intended </w:t>
      </w:r>
      <w:r w:rsidR="000F4D9A" w:rsidRPr="00273D10">
        <w:rPr>
          <w:rFonts w:ascii="Times New Roman" w:hAnsi="Times New Roman"/>
        </w:rPr>
        <w:t xml:space="preserve">not only </w:t>
      </w:r>
      <w:r w:rsidR="00163F3C" w:rsidRPr="00273D10">
        <w:rPr>
          <w:rFonts w:ascii="Times New Roman" w:hAnsi="Times New Roman"/>
        </w:rPr>
        <w:t xml:space="preserve">to </w:t>
      </w:r>
      <w:r w:rsidR="007733AA" w:rsidRPr="00273D10">
        <w:rPr>
          <w:rFonts w:ascii="Times New Roman" w:hAnsi="Times New Roman"/>
        </w:rPr>
        <w:t xml:space="preserve">rely on the evidence of </w:t>
      </w:r>
      <w:r w:rsidR="007954D2" w:rsidRPr="00273D10">
        <w:rPr>
          <w:rFonts w:ascii="Times New Roman" w:hAnsi="Times New Roman"/>
        </w:rPr>
        <w:t>the uncharged acts against the Fifth Child</w:t>
      </w:r>
      <w:r w:rsidR="007733AA" w:rsidRPr="00273D10">
        <w:rPr>
          <w:rFonts w:ascii="Times New Roman" w:hAnsi="Times New Roman"/>
        </w:rPr>
        <w:t xml:space="preserve"> </w:t>
      </w:r>
      <w:r w:rsidR="00874133" w:rsidRPr="00273D10">
        <w:rPr>
          <w:rFonts w:ascii="Times New Roman" w:hAnsi="Times New Roman"/>
        </w:rPr>
        <w:t>as</w:t>
      </w:r>
      <w:r w:rsidR="007733AA" w:rsidRPr="00273D10">
        <w:rPr>
          <w:rFonts w:ascii="Times New Roman" w:hAnsi="Times New Roman"/>
        </w:rPr>
        <w:t xml:space="preserve"> tendency evidence </w:t>
      </w:r>
      <w:r w:rsidR="00C60BD2" w:rsidRPr="00273D10">
        <w:rPr>
          <w:rFonts w:ascii="Times New Roman" w:hAnsi="Times New Roman"/>
        </w:rPr>
        <w:t>supporting</w:t>
      </w:r>
      <w:r w:rsidR="007733AA" w:rsidRPr="00273D10">
        <w:rPr>
          <w:rFonts w:ascii="Times New Roman" w:hAnsi="Times New Roman"/>
        </w:rPr>
        <w:t xml:space="preserve"> the counts concerning the Fifth Child, but also </w:t>
      </w:r>
      <w:r w:rsidR="00F04C3A" w:rsidRPr="00273D10">
        <w:rPr>
          <w:rFonts w:ascii="Times New Roman" w:hAnsi="Times New Roman"/>
        </w:rPr>
        <w:t xml:space="preserve">to rely on the evidence </w:t>
      </w:r>
      <w:r w:rsidR="002A7035" w:rsidRPr="00273D10">
        <w:rPr>
          <w:rFonts w:ascii="Times New Roman" w:hAnsi="Times New Roman"/>
        </w:rPr>
        <w:t>of</w:t>
      </w:r>
      <w:r w:rsidR="00F04C3A" w:rsidRPr="00273D10">
        <w:rPr>
          <w:rFonts w:ascii="Times New Roman" w:hAnsi="Times New Roman"/>
        </w:rPr>
        <w:t xml:space="preserve"> the counts concerning the Third and Fifth </w:t>
      </w:r>
      <w:r w:rsidR="00334896" w:rsidRPr="00273D10">
        <w:rPr>
          <w:rFonts w:ascii="Times New Roman" w:hAnsi="Times New Roman"/>
        </w:rPr>
        <w:t>c</w:t>
      </w:r>
      <w:r w:rsidR="00F04C3A" w:rsidRPr="00273D10">
        <w:rPr>
          <w:rFonts w:ascii="Times New Roman" w:hAnsi="Times New Roman"/>
        </w:rPr>
        <w:t>hildren as being "cross</w:t>
      </w:r>
      <w:r w:rsidR="00986D2D" w:rsidRPr="00273D10">
        <w:rPr>
          <w:rFonts w:ascii="Times New Roman" w:hAnsi="Times New Roman"/>
        </w:rPr>
        <w:noBreakHyphen/>
      </w:r>
      <w:r w:rsidR="00F04C3A" w:rsidRPr="00273D10">
        <w:rPr>
          <w:rFonts w:ascii="Times New Roman" w:hAnsi="Times New Roman"/>
        </w:rPr>
        <w:t xml:space="preserve">admissible </w:t>
      </w:r>
      <w:r w:rsidR="006761CA" w:rsidRPr="00273D10">
        <w:rPr>
          <w:rFonts w:ascii="Times New Roman" w:hAnsi="Times New Roman"/>
        </w:rPr>
        <w:t>as tendency evidence for their own counts and for each other"</w:t>
      </w:r>
      <w:r w:rsidR="006761CA" w:rsidRPr="00273D10">
        <w:rPr>
          <w:rStyle w:val="FootnoteReference"/>
          <w:rFonts w:ascii="Times New Roman" w:hAnsi="Times New Roman"/>
          <w:sz w:val="24"/>
        </w:rPr>
        <w:footnoteReference w:id="4"/>
      </w:r>
      <w:r w:rsidR="006761CA" w:rsidRPr="00273D10">
        <w:rPr>
          <w:rFonts w:ascii="Times New Roman" w:hAnsi="Times New Roman"/>
        </w:rPr>
        <w:t>.</w:t>
      </w:r>
      <w:r w:rsidR="004A1563" w:rsidRPr="00273D10">
        <w:rPr>
          <w:rFonts w:ascii="Times New Roman" w:hAnsi="Times New Roman"/>
        </w:rPr>
        <w:t xml:space="preserve"> T</w:t>
      </w:r>
      <w:r w:rsidR="00D97A97" w:rsidRPr="00273D10">
        <w:rPr>
          <w:rFonts w:ascii="Times New Roman" w:hAnsi="Times New Roman"/>
        </w:rPr>
        <w:t xml:space="preserve">he Crown did not advance any </w:t>
      </w:r>
      <w:r w:rsidR="004A6AB3" w:rsidRPr="00273D10">
        <w:rPr>
          <w:rFonts w:ascii="Times New Roman" w:hAnsi="Times New Roman"/>
        </w:rPr>
        <w:t>paths of potential tendency reasoning which related to the counts committed against the First Child.</w:t>
      </w:r>
    </w:p>
    <w:p w14:paraId="3D50A315" w14:textId="4083E19D" w:rsidR="00976B06" w:rsidRPr="00273D10" w:rsidRDefault="004F1838"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DB3550" w:rsidRPr="00273D10">
        <w:rPr>
          <w:rFonts w:ascii="Times New Roman" w:hAnsi="Times New Roman"/>
        </w:rPr>
        <w:t>T</w:t>
      </w:r>
      <w:r w:rsidR="00991346" w:rsidRPr="00273D10">
        <w:rPr>
          <w:rFonts w:ascii="Times New Roman" w:hAnsi="Times New Roman"/>
        </w:rPr>
        <w:t>he Crown</w:t>
      </w:r>
      <w:r w:rsidR="008A443A" w:rsidRPr="00273D10">
        <w:rPr>
          <w:rFonts w:ascii="Times New Roman" w:hAnsi="Times New Roman"/>
        </w:rPr>
        <w:t xml:space="preserve"> brought its</w:t>
      </w:r>
      <w:r w:rsidR="00991346" w:rsidRPr="00273D10">
        <w:rPr>
          <w:rFonts w:ascii="Times New Roman" w:hAnsi="Times New Roman"/>
        </w:rPr>
        <w:t xml:space="preserve"> tendency application</w:t>
      </w:r>
      <w:r w:rsidR="0092712F" w:rsidRPr="00273D10">
        <w:rPr>
          <w:rFonts w:ascii="Times New Roman" w:hAnsi="Times New Roman"/>
        </w:rPr>
        <w:t xml:space="preserve"> </w:t>
      </w:r>
      <w:r w:rsidR="00A56D8F" w:rsidRPr="00273D10">
        <w:rPr>
          <w:rFonts w:ascii="Times New Roman" w:hAnsi="Times New Roman"/>
        </w:rPr>
        <w:t xml:space="preserve">on for argument </w:t>
      </w:r>
      <w:r w:rsidR="00A279DB" w:rsidRPr="00273D10">
        <w:rPr>
          <w:rFonts w:ascii="Times New Roman" w:hAnsi="Times New Roman"/>
        </w:rPr>
        <w:t xml:space="preserve">prior to the </w:t>
      </w:r>
      <w:r w:rsidR="00991346" w:rsidRPr="00273D10">
        <w:rPr>
          <w:rFonts w:ascii="Times New Roman" w:hAnsi="Times New Roman"/>
        </w:rPr>
        <w:t>trial</w:t>
      </w:r>
      <w:r w:rsidR="0092712F" w:rsidRPr="00273D10">
        <w:rPr>
          <w:rFonts w:ascii="Times New Roman" w:hAnsi="Times New Roman"/>
        </w:rPr>
        <w:t xml:space="preserve">; but, </w:t>
      </w:r>
      <w:r w:rsidR="006A7B2C" w:rsidRPr="00273D10">
        <w:rPr>
          <w:rFonts w:ascii="Times New Roman" w:hAnsi="Times New Roman"/>
        </w:rPr>
        <w:t xml:space="preserve">at the </w:t>
      </w:r>
      <w:r w:rsidR="00976B06" w:rsidRPr="00273D10">
        <w:rPr>
          <w:rFonts w:ascii="Times New Roman" w:hAnsi="Times New Roman"/>
        </w:rPr>
        <w:t>urging</w:t>
      </w:r>
      <w:r w:rsidR="006A7B2C" w:rsidRPr="00273D10">
        <w:rPr>
          <w:rFonts w:ascii="Times New Roman" w:hAnsi="Times New Roman"/>
        </w:rPr>
        <w:t xml:space="preserve"> of the appellant's trial counsel, the application was adjourned to be determined </w:t>
      </w:r>
      <w:r w:rsidR="00C4403F" w:rsidRPr="00273D10">
        <w:rPr>
          <w:rFonts w:ascii="Times New Roman" w:hAnsi="Times New Roman"/>
        </w:rPr>
        <w:t>later in</w:t>
      </w:r>
      <w:r w:rsidR="00A279DB" w:rsidRPr="00273D10">
        <w:rPr>
          <w:rFonts w:ascii="Times New Roman" w:hAnsi="Times New Roman"/>
        </w:rPr>
        <w:t xml:space="preserve"> </w:t>
      </w:r>
      <w:r w:rsidR="006A7B2C" w:rsidRPr="00273D10">
        <w:rPr>
          <w:rFonts w:ascii="Times New Roman" w:hAnsi="Times New Roman"/>
        </w:rPr>
        <w:t>the trial</w:t>
      </w:r>
      <w:r w:rsidR="00DA35F2" w:rsidRPr="00273D10">
        <w:rPr>
          <w:rFonts w:ascii="Times New Roman" w:hAnsi="Times New Roman"/>
        </w:rPr>
        <w:t xml:space="preserve">, </w:t>
      </w:r>
      <w:r w:rsidR="00C4403F" w:rsidRPr="00273D10">
        <w:rPr>
          <w:rFonts w:ascii="Times New Roman" w:hAnsi="Times New Roman"/>
        </w:rPr>
        <w:t xml:space="preserve">by which time </w:t>
      </w:r>
      <w:r w:rsidR="00DA35F2" w:rsidRPr="00273D10">
        <w:rPr>
          <w:rFonts w:ascii="Times New Roman" w:hAnsi="Times New Roman"/>
        </w:rPr>
        <w:t>the evidence the subject of the tendency application had been adduced by the Crown</w:t>
      </w:r>
      <w:r w:rsidR="00DA35F2" w:rsidRPr="00273D10">
        <w:rPr>
          <w:rStyle w:val="FootnoteReference"/>
          <w:rFonts w:ascii="Times New Roman" w:hAnsi="Times New Roman"/>
          <w:sz w:val="24"/>
        </w:rPr>
        <w:footnoteReference w:id="5"/>
      </w:r>
      <w:r w:rsidR="00DA35F2" w:rsidRPr="00273D10">
        <w:rPr>
          <w:rFonts w:ascii="Times New Roman" w:hAnsi="Times New Roman"/>
        </w:rPr>
        <w:t xml:space="preserve">. </w:t>
      </w:r>
      <w:r w:rsidR="00976B06" w:rsidRPr="00273D10">
        <w:rPr>
          <w:rFonts w:ascii="Times New Roman" w:hAnsi="Times New Roman"/>
        </w:rPr>
        <w:t xml:space="preserve">The appellant's counsel told the trial judge, during argument on the tendency application, that the defence had "concluded that tactically all that evidence can go in" because it was </w:t>
      </w:r>
      <w:r w:rsidR="00976B06" w:rsidRPr="00273D10">
        <w:rPr>
          <w:rFonts w:ascii="Times New Roman" w:hAnsi="Times New Roman"/>
        </w:rPr>
        <w:lastRenderedPageBreak/>
        <w:t>so inconsistent that "no reasonable jury in our view would accept it"</w:t>
      </w:r>
      <w:r w:rsidR="00976B06" w:rsidRPr="00273D10">
        <w:rPr>
          <w:rStyle w:val="FootnoteReference"/>
          <w:rFonts w:ascii="Times New Roman" w:hAnsi="Times New Roman"/>
          <w:sz w:val="24"/>
        </w:rPr>
        <w:footnoteReference w:id="6"/>
      </w:r>
      <w:r w:rsidR="00976B06" w:rsidRPr="00273D10">
        <w:rPr>
          <w:rFonts w:ascii="Times New Roman" w:hAnsi="Times New Roman"/>
        </w:rPr>
        <w:t>.</w:t>
      </w:r>
      <w:r w:rsidR="00976B06" w:rsidRPr="00273D10">
        <w:rPr>
          <w:rStyle w:val="FootnoteReference"/>
          <w:rFonts w:ascii="Times New Roman" w:hAnsi="Times New Roman"/>
          <w:sz w:val="24"/>
        </w:rPr>
        <w:t xml:space="preserve"> </w:t>
      </w:r>
      <w:r w:rsidR="00976B06" w:rsidRPr="00273D10">
        <w:rPr>
          <w:rFonts w:ascii="Times New Roman" w:hAnsi="Times New Roman"/>
        </w:rPr>
        <w:t>The appellant's counsel explained further</w:t>
      </w:r>
      <w:r w:rsidR="00976B06" w:rsidRPr="00273D10">
        <w:rPr>
          <w:rStyle w:val="FootnoteReference"/>
          <w:rFonts w:ascii="Times New Roman" w:hAnsi="Times New Roman"/>
          <w:sz w:val="24"/>
        </w:rPr>
        <w:footnoteReference w:id="7"/>
      </w:r>
      <w:r w:rsidR="00976B06" w:rsidRPr="00273D10">
        <w:rPr>
          <w:rFonts w:ascii="Times New Roman" w:hAnsi="Times New Roman"/>
        </w:rPr>
        <w:t>:</w:t>
      </w:r>
    </w:p>
    <w:p w14:paraId="51F91830" w14:textId="74D68768" w:rsidR="00273D10" w:rsidRDefault="00976B06" w:rsidP="00273D10">
      <w:pPr>
        <w:pStyle w:val="LeftrightafterHC"/>
        <w:spacing w:before="0" w:after="260" w:line="280" w:lineRule="exact"/>
        <w:ind w:right="0"/>
        <w:jc w:val="both"/>
        <w:rPr>
          <w:rFonts w:ascii="Times New Roman" w:hAnsi="Times New Roman"/>
        </w:rPr>
      </w:pPr>
      <w:r w:rsidRPr="00273D10">
        <w:rPr>
          <w:rFonts w:ascii="Times New Roman" w:hAnsi="Times New Roman"/>
        </w:rPr>
        <w:t>"[W]e want it in as all part of the circumstances the whole picture we want</w:t>
      </w:r>
      <w:r w:rsidR="001709E2">
        <w:rPr>
          <w:rFonts w:ascii="Times New Roman" w:hAnsi="Times New Roman"/>
        </w:rPr>
        <w:t> </w:t>
      </w:r>
      <w:r w:rsidRPr="00273D10">
        <w:rPr>
          <w:rFonts w:ascii="Times New Roman" w:hAnsi="Times New Roman"/>
        </w:rPr>
        <w:t>– I mean it's an unusual situation I know but that's what we want to do, we want it in as the whole picture for the jury"</w:t>
      </w:r>
      <w:r w:rsidR="009469A9" w:rsidRPr="00273D10">
        <w:rPr>
          <w:rFonts w:ascii="Times New Roman" w:hAnsi="Times New Roman"/>
        </w:rPr>
        <w:t>.</w:t>
      </w:r>
    </w:p>
    <w:p w14:paraId="606B2BE2" w14:textId="0E619E0D" w:rsidR="00976B06" w:rsidRPr="00273D10" w:rsidRDefault="00976B06" w:rsidP="00273D10">
      <w:pPr>
        <w:pStyle w:val="FixListStyle"/>
        <w:spacing w:after="260" w:line="280" w:lineRule="exact"/>
        <w:ind w:right="0"/>
        <w:jc w:val="both"/>
        <w:rPr>
          <w:rFonts w:ascii="Times New Roman" w:hAnsi="Times New Roman"/>
        </w:rPr>
      </w:pPr>
      <w:r w:rsidRPr="00273D10">
        <w:rPr>
          <w:rFonts w:ascii="Times New Roman" w:hAnsi="Times New Roman"/>
        </w:rPr>
        <w:tab/>
        <w:t>T</w:t>
      </w:r>
      <w:r w:rsidR="004F1838" w:rsidRPr="00273D10">
        <w:rPr>
          <w:rFonts w:ascii="Times New Roman" w:hAnsi="Times New Roman"/>
        </w:rPr>
        <w:t xml:space="preserve">he trial judge rejected the </w:t>
      </w:r>
      <w:r w:rsidR="00F37F35" w:rsidRPr="00273D10">
        <w:rPr>
          <w:rFonts w:ascii="Times New Roman" w:hAnsi="Times New Roman"/>
        </w:rPr>
        <w:t>Crown's tendency evidenc</w:t>
      </w:r>
      <w:r w:rsidR="00F24AE9" w:rsidRPr="00273D10">
        <w:rPr>
          <w:rFonts w:ascii="Times New Roman" w:hAnsi="Times New Roman"/>
        </w:rPr>
        <w:t>e</w:t>
      </w:r>
      <w:r w:rsidR="00E61219" w:rsidRPr="00273D10">
        <w:rPr>
          <w:rFonts w:ascii="Times New Roman" w:hAnsi="Times New Roman"/>
        </w:rPr>
        <w:t xml:space="preserve"> application.</w:t>
      </w:r>
      <w:r w:rsidR="00F24AE9" w:rsidRPr="00273D10">
        <w:rPr>
          <w:rFonts w:ascii="Times New Roman" w:hAnsi="Times New Roman"/>
        </w:rPr>
        <w:t xml:space="preserve"> His Honour concluded </w:t>
      </w:r>
      <w:r w:rsidR="00F37F35" w:rsidRPr="00273D10">
        <w:rPr>
          <w:rFonts w:ascii="Times New Roman" w:hAnsi="Times New Roman"/>
        </w:rPr>
        <w:t>that although the evidence would have significant probative value,</w:t>
      </w:r>
      <w:r w:rsidR="00791EC9" w:rsidRPr="00273D10">
        <w:rPr>
          <w:rFonts w:ascii="Times New Roman" w:hAnsi="Times New Roman"/>
        </w:rPr>
        <w:t xml:space="preserve"> </w:t>
      </w:r>
      <w:r w:rsidR="00BD3694" w:rsidRPr="00273D10">
        <w:rPr>
          <w:rFonts w:ascii="Times New Roman" w:hAnsi="Times New Roman"/>
        </w:rPr>
        <w:t>its</w:t>
      </w:r>
      <w:r w:rsidR="00791EC9" w:rsidRPr="00273D10">
        <w:rPr>
          <w:rFonts w:ascii="Times New Roman" w:hAnsi="Times New Roman"/>
        </w:rPr>
        <w:t xml:space="preserve"> </w:t>
      </w:r>
      <w:r w:rsidR="00CE3CAA" w:rsidRPr="00273D10">
        <w:rPr>
          <w:rFonts w:ascii="Times New Roman" w:hAnsi="Times New Roman"/>
        </w:rPr>
        <w:t xml:space="preserve">probative value </w:t>
      </w:r>
      <w:r w:rsidR="00791EC9" w:rsidRPr="00273D10">
        <w:rPr>
          <w:rFonts w:ascii="Times New Roman" w:hAnsi="Times New Roman"/>
        </w:rPr>
        <w:t>was outweighed by the risk of unfair prejudice to the appellant</w:t>
      </w:r>
      <w:r w:rsidR="00F37F35" w:rsidRPr="00273D10">
        <w:rPr>
          <w:rFonts w:ascii="Times New Roman" w:hAnsi="Times New Roman"/>
        </w:rPr>
        <w:t xml:space="preserve">. </w:t>
      </w:r>
      <w:r w:rsidR="002C4495" w:rsidRPr="00273D10">
        <w:rPr>
          <w:rFonts w:ascii="Times New Roman" w:hAnsi="Times New Roman"/>
        </w:rPr>
        <w:t>An</w:t>
      </w:r>
      <w:r w:rsidRPr="00273D10">
        <w:rPr>
          <w:rFonts w:ascii="Times New Roman" w:hAnsi="Times New Roman"/>
        </w:rPr>
        <w:t xml:space="preserve"> aspect</w:t>
      </w:r>
      <w:r w:rsidR="00E92694" w:rsidRPr="00273D10">
        <w:rPr>
          <w:rFonts w:ascii="Times New Roman" w:hAnsi="Times New Roman"/>
        </w:rPr>
        <w:t xml:space="preserve"> of the prejudice </w:t>
      </w:r>
      <w:r w:rsidR="002C4495" w:rsidRPr="00273D10">
        <w:rPr>
          <w:rFonts w:ascii="Times New Roman" w:hAnsi="Times New Roman"/>
        </w:rPr>
        <w:t xml:space="preserve">to </w:t>
      </w:r>
      <w:r w:rsidR="00E92694" w:rsidRPr="00273D10">
        <w:rPr>
          <w:rFonts w:ascii="Times New Roman" w:hAnsi="Times New Roman"/>
        </w:rPr>
        <w:t xml:space="preserve">which his Honour </w:t>
      </w:r>
      <w:r w:rsidR="002C4495" w:rsidRPr="00273D10">
        <w:rPr>
          <w:rFonts w:ascii="Times New Roman" w:hAnsi="Times New Roman"/>
        </w:rPr>
        <w:t xml:space="preserve">adverted was the possibility that the </w:t>
      </w:r>
      <w:r w:rsidR="00E92694" w:rsidRPr="00273D10">
        <w:rPr>
          <w:rFonts w:ascii="Times New Roman" w:hAnsi="Times New Roman"/>
        </w:rPr>
        <w:t>giving of a tendency direction could mislead or confuse the jury in relation to the use of evidence "which is already in as context, and partly as character evidence"</w:t>
      </w:r>
      <w:r w:rsidR="00E92694" w:rsidRPr="00273D10">
        <w:rPr>
          <w:rStyle w:val="FootnoteReference"/>
          <w:rFonts w:ascii="Times New Roman" w:hAnsi="Times New Roman"/>
          <w:sz w:val="24"/>
        </w:rPr>
        <w:footnoteReference w:id="8"/>
      </w:r>
      <w:r w:rsidR="00E92694" w:rsidRPr="00273D10">
        <w:rPr>
          <w:rFonts w:ascii="Times New Roman" w:hAnsi="Times New Roman"/>
        </w:rPr>
        <w:t xml:space="preserve">. </w:t>
      </w:r>
    </w:p>
    <w:p w14:paraId="7820D1A5" w14:textId="173147B2" w:rsidR="00DB488D" w:rsidRPr="00273D10" w:rsidRDefault="00976B06"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F24AE9" w:rsidRPr="00273D10">
        <w:rPr>
          <w:rFonts w:ascii="Times New Roman" w:hAnsi="Times New Roman"/>
        </w:rPr>
        <w:t xml:space="preserve">In </w:t>
      </w:r>
      <w:r w:rsidR="00FC16DB" w:rsidRPr="00273D10">
        <w:rPr>
          <w:rFonts w:ascii="Times New Roman" w:hAnsi="Times New Roman"/>
        </w:rPr>
        <w:t>so ruling</w:t>
      </w:r>
      <w:r w:rsidR="000F4D9A" w:rsidRPr="00273D10">
        <w:rPr>
          <w:rFonts w:ascii="Times New Roman" w:hAnsi="Times New Roman"/>
        </w:rPr>
        <w:t>,</w:t>
      </w:r>
      <w:r w:rsidR="00DB488D" w:rsidRPr="00273D10">
        <w:rPr>
          <w:rFonts w:ascii="Times New Roman" w:hAnsi="Times New Roman"/>
        </w:rPr>
        <w:t xml:space="preserve"> the trial judge</w:t>
      </w:r>
      <w:r w:rsidR="00334896" w:rsidRPr="00273D10">
        <w:rPr>
          <w:rFonts w:ascii="Times New Roman" w:hAnsi="Times New Roman"/>
        </w:rPr>
        <w:t xml:space="preserve"> did not expressly address the second aspect of the Crown's tendency application, namely, the cross</w:t>
      </w:r>
      <w:r w:rsidR="00334896" w:rsidRPr="00273D10">
        <w:rPr>
          <w:rFonts w:ascii="Times New Roman" w:hAnsi="Times New Roman"/>
        </w:rPr>
        <w:noBreakHyphen/>
        <w:t>admissibility of the evidence of the Third and Fifth children concerning the counts against them</w:t>
      </w:r>
      <w:r w:rsidR="008C7AAC" w:rsidRPr="00273D10">
        <w:rPr>
          <w:rFonts w:ascii="Times New Roman" w:hAnsi="Times New Roman"/>
        </w:rPr>
        <w:t xml:space="preserve">. </w:t>
      </w:r>
      <w:r w:rsidR="008A443A" w:rsidRPr="00273D10">
        <w:rPr>
          <w:rFonts w:ascii="Times New Roman" w:hAnsi="Times New Roman"/>
        </w:rPr>
        <w:t>No doubt, as was</w:t>
      </w:r>
      <w:r w:rsidR="008C7AAC" w:rsidRPr="00273D10">
        <w:rPr>
          <w:rFonts w:ascii="Times New Roman" w:hAnsi="Times New Roman"/>
        </w:rPr>
        <w:t xml:space="preserve"> noted</w:t>
      </w:r>
      <w:r w:rsidR="00762587" w:rsidRPr="00273D10">
        <w:rPr>
          <w:rFonts w:ascii="Times New Roman" w:hAnsi="Times New Roman"/>
        </w:rPr>
        <w:t xml:space="preserve"> by</w:t>
      </w:r>
      <w:r w:rsidR="008C7AAC" w:rsidRPr="00273D10">
        <w:rPr>
          <w:rFonts w:ascii="Times New Roman" w:hAnsi="Times New Roman"/>
        </w:rPr>
        <w:t xml:space="preserve"> Macfarlan JA</w:t>
      </w:r>
      <w:r w:rsidR="00762587" w:rsidRPr="00273D10">
        <w:rPr>
          <w:rFonts w:ascii="Times New Roman" w:hAnsi="Times New Roman"/>
        </w:rPr>
        <w:t>,</w:t>
      </w:r>
      <w:r w:rsidR="008C7AAC" w:rsidRPr="00273D10">
        <w:rPr>
          <w:rFonts w:ascii="Times New Roman" w:hAnsi="Times New Roman"/>
        </w:rPr>
        <w:t xml:space="preserve"> </w:t>
      </w:r>
      <w:r w:rsidR="00334896" w:rsidRPr="00273D10">
        <w:rPr>
          <w:rFonts w:ascii="Times New Roman" w:hAnsi="Times New Roman"/>
        </w:rPr>
        <w:t>the trial judge's ruling "operated as a rejection of all that the Crown sought in its [tendency] notice"</w:t>
      </w:r>
      <w:r w:rsidR="00334896" w:rsidRPr="00273D10">
        <w:rPr>
          <w:rStyle w:val="FootnoteReference"/>
          <w:rFonts w:ascii="Times New Roman" w:hAnsi="Times New Roman"/>
          <w:sz w:val="24"/>
        </w:rPr>
        <w:footnoteReference w:id="9"/>
      </w:r>
      <w:r w:rsidR="00334896" w:rsidRPr="00273D10">
        <w:rPr>
          <w:rFonts w:ascii="Times New Roman" w:hAnsi="Times New Roman"/>
        </w:rPr>
        <w:t xml:space="preserve">. </w:t>
      </w:r>
    </w:p>
    <w:p w14:paraId="60C4DB62" w14:textId="30EB6426" w:rsidR="004F1838" w:rsidRPr="00273D10" w:rsidRDefault="00DB488D"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E92694" w:rsidRPr="00273D10">
        <w:rPr>
          <w:rFonts w:ascii="Times New Roman" w:hAnsi="Times New Roman"/>
        </w:rPr>
        <w:t>Ultimately</w:t>
      </w:r>
      <w:r w:rsidR="00CD6A1E" w:rsidRPr="00273D10">
        <w:rPr>
          <w:rFonts w:ascii="Times New Roman" w:hAnsi="Times New Roman"/>
        </w:rPr>
        <w:t>, t</w:t>
      </w:r>
      <w:r w:rsidR="00410722" w:rsidRPr="00273D10">
        <w:rPr>
          <w:rFonts w:ascii="Times New Roman" w:hAnsi="Times New Roman"/>
        </w:rPr>
        <w:t xml:space="preserve">he evidence of </w:t>
      </w:r>
      <w:r w:rsidR="00FE1555" w:rsidRPr="00273D10">
        <w:rPr>
          <w:rFonts w:ascii="Times New Roman" w:hAnsi="Times New Roman"/>
        </w:rPr>
        <w:t xml:space="preserve">the </w:t>
      </w:r>
      <w:r w:rsidR="00BD3694" w:rsidRPr="00273D10">
        <w:rPr>
          <w:rFonts w:ascii="Times New Roman" w:hAnsi="Times New Roman"/>
        </w:rPr>
        <w:t>other</w:t>
      </w:r>
      <w:r w:rsidR="00B740F5" w:rsidRPr="00273D10">
        <w:rPr>
          <w:rFonts w:ascii="Times New Roman" w:hAnsi="Times New Roman"/>
        </w:rPr>
        <w:t>,</w:t>
      </w:r>
      <w:r w:rsidR="00BD3694" w:rsidRPr="00273D10">
        <w:rPr>
          <w:rFonts w:ascii="Times New Roman" w:hAnsi="Times New Roman"/>
        </w:rPr>
        <w:t xml:space="preserve"> </w:t>
      </w:r>
      <w:r w:rsidR="00FE1555" w:rsidRPr="00273D10">
        <w:rPr>
          <w:rFonts w:ascii="Times New Roman" w:hAnsi="Times New Roman"/>
        </w:rPr>
        <w:t>uncharged</w:t>
      </w:r>
      <w:r w:rsidR="00410722" w:rsidRPr="00273D10">
        <w:rPr>
          <w:rFonts w:ascii="Times New Roman" w:hAnsi="Times New Roman"/>
        </w:rPr>
        <w:t xml:space="preserve"> acts was </w:t>
      </w:r>
      <w:r w:rsidR="00E92694" w:rsidRPr="00273D10">
        <w:rPr>
          <w:rFonts w:ascii="Times New Roman" w:hAnsi="Times New Roman"/>
        </w:rPr>
        <w:t>left to the jury</w:t>
      </w:r>
      <w:r w:rsidR="00410722" w:rsidRPr="00273D10">
        <w:rPr>
          <w:rFonts w:ascii="Times New Roman" w:hAnsi="Times New Roman"/>
        </w:rPr>
        <w:t xml:space="preserve"> </w:t>
      </w:r>
      <w:r w:rsidR="00CD6A1E" w:rsidRPr="00273D10">
        <w:rPr>
          <w:rFonts w:ascii="Times New Roman" w:hAnsi="Times New Roman"/>
        </w:rPr>
        <w:t xml:space="preserve">for the limited purposes of providing </w:t>
      </w:r>
      <w:r w:rsidR="00A44786" w:rsidRPr="00273D10">
        <w:rPr>
          <w:rFonts w:ascii="Times New Roman" w:hAnsi="Times New Roman"/>
        </w:rPr>
        <w:t>context to the Fifth Child's allegations</w:t>
      </w:r>
      <w:r w:rsidR="00CD6A1E" w:rsidRPr="00273D10">
        <w:rPr>
          <w:rFonts w:ascii="Times New Roman" w:hAnsi="Times New Roman"/>
        </w:rPr>
        <w:t xml:space="preserve"> and </w:t>
      </w:r>
      <w:r w:rsidR="00217F4A" w:rsidRPr="00273D10">
        <w:rPr>
          <w:rFonts w:ascii="Times New Roman" w:hAnsi="Times New Roman"/>
        </w:rPr>
        <w:t>as "evidence to deal with the assertions made by [the appellant] of concoction of evidence"</w:t>
      </w:r>
      <w:r w:rsidR="00A44786" w:rsidRPr="00273D10">
        <w:rPr>
          <w:rFonts w:ascii="Times New Roman" w:hAnsi="Times New Roman"/>
        </w:rPr>
        <w:t>.</w:t>
      </w:r>
    </w:p>
    <w:p w14:paraId="46813C1B" w14:textId="7CB12B10" w:rsidR="0024787B" w:rsidRPr="00273D10" w:rsidRDefault="0024787B" w:rsidP="00273D10">
      <w:pPr>
        <w:pStyle w:val="FixListStyle"/>
        <w:spacing w:after="260" w:line="280" w:lineRule="exact"/>
        <w:ind w:right="0"/>
        <w:jc w:val="both"/>
        <w:rPr>
          <w:rFonts w:ascii="Times New Roman" w:hAnsi="Times New Roman"/>
        </w:rPr>
      </w:pPr>
      <w:r w:rsidRPr="00273D10">
        <w:rPr>
          <w:rFonts w:ascii="Times New Roman" w:hAnsi="Times New Roman"/>
        </w:rPr>
        <w:tab/>
        <w:t>The Crown, in its final address to the jury, was careful not to invite the jury to engage in reasoning</w:t>
      </w:r>
      <w:r w:rsidR="000E2082" w:rsidRPr="00273D10">
        <w:rPr>
          <w:rFonts w:ascii="Times New Roman" w:hAnsi="Times New Roman"/>
        </w:rPr>
        <w:t xml:space="preserve"> to a guilty verdict on any c</w:t>
      </w:r>
      <w:r w:rsidR="00F017F1" w:rsidRPr="00273D10">
        <w:rPr>
          <w:rFonts w:ascii="Times New Roman" w:hAnsi="Times New Roman"/>
        </w:rPr>
        <w:t>ount</w:t>
      </w:r>
      <w:r w:rsidR="000E2082" w:rsidRPr="00273D10">
        <w:rPr>
          <w:rFonts w:ascii="Times New Roman" w:hAnsi="Times New Roman"/>
        </w:rPr>
        <w:t xml:space="preserve"> because </w:t>
      </w:r>
      <w:r w:rsidR="00B35065" w:rsidRPr="00273D10">
        <w:rPr>
          <w:rFonts w:ascii="Times New Roman" w:hAnsi="Times New Roman"/>
        </w:rPr>
        <w:t xml:space="preserve">they </w:t>
      </w:r>
      <w:r w:rsidR="000E2082" w:rsidRPr="00273D10">
        <w:rPr>
          <w:rFonts w:ascii="Times New Roman" w:hAnsi="Times New Roman"/>
        </w:rPr>
        <w:t>consider</w:t>
      </w:r>
      <w:r w:rsidR="00F017F1" w:rsidRPr="00273D10">
        <w:rPr>
          <w:rFonts w:ascii="Times New Roman" w:hAnsi="Times New Roman"/>
        </w:rPr>
        <w:t>ed</w:t>
      </w:r>
      <w:r w:rsidR="000E2082" w:rsidRPr="00273D10">
        <w:rPr>
          <w:rFonts w:ascii="Times New Roman" w:hAnsi="Times New Roman"/>
        </w:rPr>
        <w:t xml:space="preserve"> that he </w:t>
      </w:r>
      <w:r w:rsidR="00892345" w:rsidRPr="00273D10">
        <w:rPr>
          <w:rFonts w:ascii="Times New Roman" w:hAnsi="Times New Roman"/>
        </w:rPr>
        <w:t>was</w:t>
      </w:r>
      <w:r w:rsidR="000E2082" w:rsidRPr="00273D10">
        <w:rPr>
          <w:rFonts w:ascii="Times New Roman" w:hAnsi="Times New Roman"/>
        </w:rPr>
        <w:t xml:space="preserve"> guilty </w:t>
      </w:r>
      <w:r w:rsidR="00892345" w:rsidRPr="00273D10">
        <w:rPr>
          <w:rFonts w:ascii="Times New Roman" w:hAnsi="Times New Roman"/>
        </w:rPr>
        <w:t xml:space="preserve">on another </w:t>
      </w:r>
      <w:r w:rsidR="00B35065" w:rsidRPr="00273D10">
        <w:rPr>
          <w:rFonts w:ascii="Times New Roman" w:hAnsi="Times New Roman"/>
        </w:rPr>
        <w:t xml:space="preserve">count </w:t>
      </w:r>
      <w:r w:rsidR="00892345" w:rsidRPr="00273D10">
        <w:rPr>
          <w:rFonts w:ascii="Times New Roman" w:hAnsi="Times New Roman"/>
        </w:rPr>
        <w:t xml:space="preserve">and was </w:t>
      </w:r>
      <w:r w:rsidR="000E2082" w:rsidRPr="00273D10">
        <w:rPr>
          <w:rFonts w:ascii="Times New Roman" w:hAnsi="Times New Roman"/>
        </w:rPr>
        <w:t xml:space="preserve">therefore the kind of person who </w:t>
      </w:r>
      <w:r w:rsidR="00B35065" w:rsidRPr="00273D10">
        <w:rPr>
          <w:rFonts w:ascii="Times New Roman" w:hAnsi="Times New Roman"/>
        </w:rPr>
        <w:t xml:space="preserve">was </w:t>
      </w:r>
      <w:r w:rsidR="000E2082" w:rsidRPr="00273D10">
        <w:rPr>
          <w:rFonts w:ascii="Times New Roman" w:hAnsi="Times New Roman"/>
        </w:rPr>
        <w:t>likely to have c</w:t>
      </w:r>
      <w:r w:rsidR="0050189E" w:rsidRPr="00273D10">
        <w:rPr>
          <w:rFonts w:ascii="Times New Roman" w:hAnsi="Times New Roman"/>
        </w:rPr>
        <w:t>o</w:t>
      </w:r>
      <w:r w:rsidR="000E2082" w:rsidRPr="00273D10">
        <w:rPr>
          <w:rFonts w:ascii="Times New Roman" w:hAnsi="Times New Roman"/>
        </w:rPr>
        <w:t>mmitted the offence</w:t>
      </w:r>
      <w:r w:rsidR="00892345" w:rsidRPr="00273D10">
        <w:rPr>
          <w:rFonts w:ascii="Times New Roman" w:hAnsi="Times New Roman"/>
        </w:rPr>
        <w:t xml:space="preserve"> in question.</w:t>
      </w:r>
      <w:r w:rsidRPr="00273D10">
        <w:rPr>
          <w:rFonts w:ascii="Times New Roman" w:hAnsi="Times New Roman"/>
        </w:rPr>
        <w:t xml:space="preserve"> The Crown summarised each complainant</w:t>
      </w:r>
      <w:r w:rsidR="00461062" w:rsidRPr="00273D10">
        <w:rPr>
          <w:rFonts w:ascii="Times New Roman" w:hAnsi="Times New Roman"/>
        </w:rPr>
        <w:t>'s evidence</w:t>
      </w:r>
      <w:r w:rsidR="0050189E" w:rsidRPr="00273D10">
        <w:rPr>
          <w:rFonts w:ascii="Times New Roman" w:hAnsi="Times New Roman"/>
        </w:rPr>
        <w:t xml:space="preserve"> separately,</w:t>
      </w:r>
      <w:r w:rsidR="00461062" w:rsidRPr="00273D10">
        <w:rPr>
          <w:rFonts w:ascii="Times New Roman" w:hAnsi="Times New Roman"/>
        </w:rPr>
        <w:t xml:space="preserve"> and advanced reasons why the jury might accept that evidence </w:t>
      </w:r>
      <w:r w:rsidR="00B35065" w:rsidRPr="00273D10">
        <w:rPr>
          <w:rFonts w:ascii="Times New Roman" w:hAnsi="Times New Roman"/>
        </w:rPr>
        <w:t xml:space="preserve">quite apart </w:t>
      </w:r>
      <w:r w:rsidR="00461062" w:rsidRPr="00273D10">
        <w:rPr>
          <w:rFonts w:ascii="Times New Roman" w:hAnsi="Times New Roman"/>
        </w:rPr>
        <w:t>from the evidence of the other complainants</w:t>
      </w:r>
      <w:r w:rsidR="00725E3F" w:rsidRPr="00273D10">
        <w:rPr>
          <w:rFonts w:ascii="Times New Roman" w:hAnsi="Times New Roman"/>
        </w:rPr>
        <w:t xml:space="preserve"> </w:t>
      </w:r>
      <w:r w:rsidR="00B35065" w:rsidRPr="00273D10">
        <w:rPr>
          <w:rFonts w:ascii="Times New Roman" w:hAnsi="Times New Roman"/>
        </w:rPr>
        <w:t xml:space="preserve">as to </w:t>
      </w:r>
      <w:r w:rsidR="00725E3F" w:rsidRPr="00273D10">
        <w:rPr>
          <w:rFonts w:ascii="Times New Roman" w:hAnsi="Times New Roman"/>
        </w:rPr>
        <w:t xml:space="preserve">the appellant's offending </w:t>
      </w:r>
      <w:r w:rsidR="00DF2A93" w:rsidRPr="00273D10">
        <w:rPr>
          <w:rFonts w:ascii="Times New Roman" w:hAnsi="Times New Roman"/>
        </w:rPr>
        <w:t>against</w:t>
      </w:r>
      <w:r w:rsidR="00725E3F" w:rsidRPr="00273D10">
        <w:rPr>
          <w:rFonts w:ascii="Times New Roman" w:hAnsi="Times New Roman"/>
        </w:rPr>
        <w:t xml:space="preserve"> them</w:t>
      </w:r>
      <w:r w:rsidR="00461062" w:rsidRPr="00273D10">
        <w:rPr>
          <w:rFonts w:ascii="Times New Roman" w:hAnsi="Times New Roman"/>
        </w:rPr>
        <w:t>.</w:t>
      </w:r>
    </w:p>
    <w:p w14:paraId="629B8A00" w14:textId="265C3E1A" w:rsidR="00D84A4A" w:rsidRPr="00273D10" w:rsidRDefault="000006EE" w:rsidP="00273D10">
      <w:pPr>
        <w:pStyle w:val="HeadingL2"/>
        <w:spacing w:after="260" w:line="280" w:lineRule="exact"/>
        <w:ind w:right="0"/>
        <w:jc w:val="both"/>
        <w:rPr>
          <w:rFonts w:ascii="Times New Roman" w:hAnsi="Times New Roman"/>
        </w:rPr>
      </w:pPr>
      <w:r w:rsidRPr="00273D10">
        <w:rPr>
          <w:rFonts w:ascii="Times New Roman" w:hAnsi="Times New Roman"/>
        </w:rPr>
        <w:lastRenderedPageBreak/>
        <w:t xml:space="preserve">The defence case </w:t>
      </w:r>
    </w:p>
    <w:p w14:paraId="1022C382" w14:textId="5CED1218" w:rsidR="00CD3E91" w:rsidRPr="00273D10" w:rsidRDefault="004F24F8" w:rsidP="00273D10">
      <w:pPr>
        <w:pStyle w:val="FixListStyle"/>
        <w:spacing w:after="260" w:line="280" w:lineRule="exact"/>
        <w:ind w:right="0"/>
        <w:jc w:val="both"/>
        <w:rPr>
          <w:rFonts w:ascii="Times New Roman" w:hAnsi="Times New Roman"/>
        </w:rPr>
      </w:pPr>
      <w:r w:rsidRPr="00273D10">
        <w:rPr>
          <w:rFonts w:ascii="Times New Roman" w:hAnsi="Times New Roman"/>
        </w:rPr>
        <w:tab/>
        <w:t xml:space="preserve">The </w:t>
      </w:r>
      <w:r w:rsidR="00E7533B" w:rsidRPr="00273D10">
        <w:rPr>
          <w:rFonts w:ascii="Times New Roman" w:hAnsi="Times New Roman"/>
        </w:rPr>
        <w:t xml:space="preserve">appellant </w:t>
      </w:r>
      <w:r w:rsidR="00352020" w:rsidRPr="00273D10">
        <w:rPr>
          <w:rFonts w:ascii="Times New Roman" w:hAnsi="Times New Roman"/>
        </w:rPr>
        <w:t xml:space="preserve">gave evidence in which he </w:t>
      </w:r>
      <w:r w:rsidR="00E7533B" w:rsidRPr="00273D10">
        <w:rPr>
          <w:rFonts w:ascii="Times New Roman" w:hAnsi="Times New Roman"/>
        </w:rPr>
        <w:t xml:space="preserve">denied all </w:t>
      </w:r>
      <w:r w:rsidR="00FF216E" w:rsidRPr="00273D10">
        <w:rPr>
          <w:rFonts w:ascii="Times New Roman" w:hAnsi="Times New Roman"/>
        </w:rPr>
        <w:t>the allegations</w:t>
      </w:r>
      <w:r w:rsidR="00AE3510" w:rsidRPr="00273D10">
        <w:rPr>
          <w:rFonts w:ascii="Times New Roman" w:hAnsi="Times New Roman"/>
        </w:rPr>
        <w:t xml:space="preserve"> </w:t>
      </w:r>
      <w:r w:rsidR="00B31C97" w:rsidRPr="00273D10">
        <w:rPr>
          <w:rFonts w:ascii="Times New Roman" w:hAnsi="Times New Roman"/>
        </w:rPr>
        <w:t>against him</w:t>
      </w:r>
      <w:r w:rsidR="00300A72" w:rsidRPr="00273D10">
        <w:rPr>
          <w:rFonts w:ascii="Times New Roman" w:hAnsi="Times New Roman"/>
        </w:rPr>
        <w:t xml:space="preserve">. He contended </w:t>
      </w:r>
      <w:r w:rsidR="00755A2C" w:rsidRPr="00273D10">
        <w:rPr>
          <w:rFonts w:ascii="Times New Roman" w:hAnsi="Times New Roman"/>
        </w:rPr>
        <w:t>that the Crown case was concocted</w:t>
      </w:r>
      <w:r w:rsidR="00114B61" w:rsidRPr="00273D10">
        <w:rPr>
          <w:rFonts w:ascii="Times New Roman" w:hAnsi="Times New Roman"/>
        </w:rPr>
        <w:t xml:space="preserve">. The appellant </w:t>
      </w:r>
      <w:r w:rsidR="00352020" w:rsidRPr="00273D10">
        <w:rPr>
          <w:rFonts w:ascii="Times New Roman" w:hAnsi="Times New Roman"/>
        </w:rPr>
        <w:t xml:space="preserve">said </w:t>
      </w:r>
      <w:r w:rsidR="00FE7B23" w:rsidRPr="00273D10">
        <w:rPr>
          <w:rFonts w:ascii="Times New Roman" w:hAnsi="Times New Roman"/>
        </w:rPr>
        <w:t xml:space="preserve">that his wife, </w:t>
      </w:r>
      <w:r w:rsidR="000C40EF" w:rsidRPr="00273D10">
        <w:rPr>
          <w:rFonts w:ascii="Times New Roman" w:hAnsi="Times New Roman"/>
        </w:rPr>
        <w:t xml:space="preserve">with whom </w:t>
      </w:r>
      <w:r w:rsidR="00B35065" w:rsidRPr="00273D10">
        <w:rPr>
          <w:rFonts w:ascii="Times New Roman" w:hAnsi="Times New Roman"/>
        </w:rPr>
        <w:t>he</w:t>
      </w:r>
      <w:r w:rsidR="000C40EF" w:rsidRPr="00273D10">
        <w:rPr>
          <w:rFonts w:ascii="Times New Roman" w:hAnsi="Times New Roman"/>
        </w:rPr>
        <w:t xml:space="preserve"> was embroiled in acrimonious</w:t>
      </w:r>
      <w:r w:rsidR="00FE7B23" w:rsidRPr="00273D10">
        <w:rPr>
          <w:rFonts w:ascii="Times New Roman" w:hAnsi="Times New Roman"/>
        </w:rPr>
        <w:t xml:space="preserve"> Family Court proceedings, </w:t>
      </w:r>
      <w:r w:rsidR="00B35065" w:rsidRPr="00273D10">
        <w:rPr>
          <w:rFonts w:ascii="Times New Roman" w:hAnsi="Times New Roman"/>
        </w:rPr>
        <w:t xml:space="preserve">had </w:t>
      </w:r>
      <w:r w:rsidR="007E7975" w:rsidRPr="00273D10">
        <w:rPr>
          <w:rFonts w:ascii="Times New Roman" w:hAnsi="Times New Roman"/>
        </w:rPr>
        <w:t xml:space="preserve">orchestrated </w:t>
      </w:r>
      <w:r w:rsidR="007F3D74" w:rsidRPr="00273D10">
        <w:rPr>
          <w:rFonts w:ascii="Times New Roman" w:hAnsi="Times New Roman"/>
        </w:rPr>
        <w:t>the children's allegations against hi</w:t>
      </w:r>
      <w:r w:rsidR="004A1F34" w:rsidRPr="00273D10">
        <w:rPr>
          <w:rFonts w:ascii="Times New Roman" w:hAnsi="Times New Roman"/>
        </w:rPr>
        <w:t>m</w:t>
      </w:r>
      <w:r w:rsidR="002B73C7" w:rsidRPr="00273D10">
        <w:rPr>
          <w:rFonts w:ascii="Times New Roman" w:hAnsi="Times New Roman"/>
        </w:rPr>
        <w:t>.</w:t>
      </w:r>
      <w:r w:rsidR="003F5492" w:rsidRPr="00273D10">
        <w:rPr>
          <w:rFonts w:ascii="Times New Roman" w:hAnsi="Times New Roman"/>
        </w:rPr>
        <w:t xml:space="preserve"> </w:t>
      </w:r>
    </w:p>
    <w:p w14:paraId="7CF33999" w14:textId="0CDB78C0" w:rsidR="00A60266" w:rsidRPr="00273D10" w:rsidRDefault="00CD3E91"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2109FD" w:rsidRPr="00273D10">
        <w:rPr>
          <w:rFonts w:ascii="Times New Roman" w:hAnsi="Times New Roman"/>
        </w:rPr>
        <w:t>The appellant's</w:t>
      </w:r>
      <w:r w:rsidR="00D25DA3" w:rsidRPr="00273D10">
        <w:rPr>
          <w:rFonts w:ascii="Times New Roman" w:hAnsi="Times New Roman"/>
        </w:rPr>
        <w:t xml:space="preserve"> counsel, in his opening address</w:t>
      </w:r>
      <w:r w:rsidR="000970E4" w:rsidRPr="00273D10">
        <w:rPr>
          <w:rFonts w:ascii="Times New Roman" w:hAnsi="Times New Roman"/>
        </w:rPr>
        <w:t xml:space="preserve"> to the jury</w:t>
      </w:r>
      <w:r w:rsidR="00D25DA3" w:rsidRPr="00273D10">
        <w:rPr>
          <w:rFonts w:ascii="Times New Roman" w:hAnsi="Times New Roman"/>
        </w:rPr>
        <w:t xml:space="preserve">, </w:t>
      </w:r>
      <w:r w:rsidR="000970E4" w:rsidRPr="00273D10">
        <w:rPr>
          <w:rFonts w:ascii="Times New Roman" w:hAnsi="Times New Roman"/>
        </w:rPr>
        <w:t>stated that he would ask them to "join the dots" to conclude that</w:t>
      </w:r>
      <w:r w:rsidR="00BD3694" w:rsidRPr="00273D10">
        <w:rPr>
          <w:rFonts w:ascii="Times New Roman" w:hAnsi="Times New Roman"/>
        </w:rPr>
        <w:t xml:space="preserve"> the</w:t>
      </w:r>
      <w:r w:rsidR="000970E4" w:rsidRPr="00273D10">
        <w:rPr>
          <w:rFonts w:ascii="Times New Roman" w:hAnsi="Times New Roman"/>
        </w:rPr>
        <w:t xml:space="preserve"> </w:t>
      </w:r>
      <w:r w:rsidR="000F4D9A" w:rsidRPr="00273D10">
        <w:rPr>
          <w:rFonts w:ascii="Times New Roman" w:hAnsi="Times New Roman"/>
        </w:rPr>
        <w:t xml:space="preserve">mother </w:t>
      </w:r>
      <w:r w:rsidR="000970E4" w:rsidRPr="00273D10">
        <w:rPr>
          <w:rFonts w:ascii="Times New Roman" w:hAnsi="Times New Roman"/>
        </w:rPr>
        <w:t xml:space="preserve">had manipulated the children to </w:t>
      </w:r>
      <w:r w:rsidR="002109FD" w:rsidRPr="00273D10">
        <w:rPr>
          <w:rFonts w:ascii="Times New Roman" w:hAnsi="Times New Roman"/>
        </w:rPr>
        <w:t xml:space="preserve">tell </w:t>
      </w:r>
      <w:r w:rsidR="000970E4" w:rsidRPr="00273D10">
        <w:rPr>
          <w:rFonts w:ascii="Times New Roman" w:hAnsi="Times New Roman"/>
        </w:rPr>
        <w:t>lie</w:t>
      </w:r>
      <w:r w:rsidR="002109FD" w:rsidRPr="00273D10">
        <w:rPr>
          <w:rFonts w:ascii="Times New Roman" w:hAnsi="Times New Roman"/>
        </w:rPr>
        <w:t>s</w:t>
      </w:r>
      <w:r w:rsidR="000970E4" w:rsidRPr="00273D10">
        <w:rPr>
          <w:rFonts w:ascii="Times New Roman" w:hAnsi="Times New Roman"/>
        </w:rPr>
        <w:t xml:space="preserve"> against their father</w:t>
      </w:r>
      <w:r w:rsidR="000970E4" w:rsidRPr="00273D10">
        <w:rPr>
          <w:rStyle w:val="FootnoteReference"/>
          <w:rFonts w:ascii="Times New Roman" w:hAnsi="Times New Roman"/>
          <w:sz w:val="24"/>
        </w:rPr>
        <w:footnoteReference w:id="10"/>
      </w:r>
      <w:r w:rsidR="000970E4" w:rsidRPr="00273D10">
        <w:rPr>
          <w:rFonts w:ascii="Times New Roman" w:hAnsi="Times New Roman"/>
        </w:rPr>
        <w:t>.</w:t>
      </w:r>
      <w:r w:rsidR="00F45221" w:rsidRPr="00273D10">
        <w:rPr>
          <w:rFonts w:ascii="Times New Roman" w:hAnsi="Times New Roman"/>
        </w:rPr>
        <w:t xml:space="preserve"> </w:t>
      </w:r>
      <w:r w:rsidR="002109FD" w:rsidRPr="00273D10">
        <w:rPr>
          <w:rFonts w:ascii="Times New Roman" w:hAnsi="Times New Roman"/>
        </w:rPr>
        <w:t xml:space="preserve">The defence </w:t>
      </w:r>
      <w:r w:rsidR="00B35065" w:rsidRPr="00273D10">
        <w:rPr>
          <w:rFonts w:ascii="Times New Roman" w:hAnsi="Times New Roman"/>
        </w:rPr>
        <w:t>highlighted</w:t>
      </w:r>
      <w:r w:rsidR="0080782B" w:rsidRPr="00273D10">
        <w:rPr>
          <w:rFonts w:ascii="Times New Roman" w:hAnsi="Times New Roman"/>
        </w:rPr>
        <w:t xml:space="preserve"> what w</w:t>
      </w:r>
      <w:r w:rsidR="00976B06" w:rsidRPr="00273D10">
        <w:rPr>
          <w:rFonts w:ascii="Times New Roman" w:hAnsi="Times New Roman"/>
        </w:rPr>
        <w:t>ere</w:t>
      </w:r>
      <w:r w:rsidR="0080782B" w:rsidRPr="00273D10">
        <w:rPr>
          <w:rFonts w:ascii="Times New Roman" w:hAnsi="Times New Roman"/>
        </w:rPr>
        <w:t xml:space="preserve"> said to be </w:t>
      </w:r>
      <w:r w:rsidR="004A0AFE" w:rsidRPr="00273D10">
        <w:rPr>
          <w:rFonts w:ascii="Times New Roman" w:hAnsi="Times New Roman"/>
        </w:rPr>
        <w:t xml:space="preserve">inconsistencies </w:t>
      </w:r>
      <w:r w:rsidR="00B066A5" w:rsidRPr="00273D10">
        <w:rPr>
          <w:rFonts w:ascii="Times New Roman" w:hAnsi="Times New Roman"/>
        </w:rPr>
        <w:t xml:space="preserve">between the evidence of the Fifth Child and the evidence of the Third and Fourth </w:t>
      </w:r>
      <w:r w:rsidR="00B35065" w:rsidRPr="00273D10">
        <w:rPr>
          <w:rFonts w:ascii="Times New Roman" w:hAnsi="Times New Roman"/>
        </w:rPr>
        <w:t>c</w:t>
      </w:r>
      <w:r w:rsidR="00B066A5" w:rsidRPr="00273D10">
        <w:rPr>
          <w:rFonts w:ascii="Times New Roman" w:hAnsi="Times New Roman"/>
        </w:rPr>
        <w:t xml:space="preserve">hildren concerning the uncharged acts </w:t>
      </w:r>
      <w:r w:rsidR="00976B06" w:rsidRPr="00273D10">
        <w:rPr>
          <w:rFonts w:ascii="Times New Roman" w:hAnsi="Times New Roman"/>
        </w:rPr>
        <w:t>alleged</w:t>
      </w:r>
      <w:r w:rsidR="002A7035" w:rsidRPr="00273D10">
        <w:rPr>
          <w:rFonts w:ascii="Times New Roman" w:hAnsi="Times New Roman"/>
        </w:rPr>
        <w:t xml:space="preserve"> to have been committed against</w:t>
      </w:r>
      <w:r w:rsidR="00B066A5" w:rsidRPr="00273D10">
        <w:rPr>
          <w:rFonts w:ascii="Times New Roman" w:hAnsi="Times New Roman"/>
        </w:rPr>
        <w:t xml:space="preserve"> the Fifth Child</w:t>
      </w:r>
      <w:r w:rsidR="004A6276" w:rsidRPr="00273D10">
        <w:rPr>
          <w:rFonts w:ascii="Times New Roman" w:hAnsi="Times New Roman"/>
        </w:rPr>
        <w:t xml:space="preserve"> as</w:t>
      </w:r>
      <w:r w:rsidR="00AC72F0" w:rsidRPr="00273D10">
        <w:rPr>
          <w:rFonts w:ascii="Times New Roman" w:hAnsi="Times New Roman"/>
        </w:rPr>
        <w:t xml:space="preserve"> an</w:t>
      </w:r>
      <w:r w:rsidR="004A6276" w:rsidRPr="00273D10">
        <w:rPr>
          <w:rFonts w:ascii="Times New Roman" w:hAnsi="Times New Roman"/>
        </w:rPr>
        <w:t xml:space="preserve"> indication that the evidence of the children had been concocted</w:t>
      </w:r>
      <w:r w:rsidR="00705035" w:rsidRPr="00273D10">
        <w:rPr>
          <w:rStyle w:val="FootnoteReference"/>
          <w:rFonts w:ascii="Times New Roman" w:hAnsi="Times New Roman"/>
          <w:sz w:val="24"/>
        </w:rPr>
        <w:footnoteReference w:id="11"/>
      </w:r>
      <w:r w:rsidR="004A6276" w:rsidRPr="00273D10">
        <w:rPr>
          <w:rFonts w:ascii="Times New Roman" w:hAnsi="Times New Roman"/>
        </w:rPr>
        <w:t>.</w:t>
      </w:r>
    </w:p>
    <w:p w14:paraId="2D0D7723" w14:textId="349FAD3A" w:rsidR="0057673B" w:rsidRPr="00273D10" w:rsidRDefault="00A60266"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80782B" w:rsidRPr="00273D10">
        <w:rPr>
          <w:rFonts w:ascii="Times New Roman" w:hAnsi="Times New Roman"/>
        </w:rPr>
        <w:t>T</w:t>
      </w:r>
      <w:r w:rsidR="0057673B" w:rsidRPr="00273D10">
        <w:rPr>
          <w:rFonts w:ascii="Times New Roman" w:hAnsi="Times New Roman"/>
        </w:rPr>
        <w:t xml:space="preserve">he appellant also called evidence </w:t>
      </w:r>
      <w:r w:rsidR="002A5E54" w:rsidRPr="00273D10">
        <w:rPr>
          <w:rFonts w:ascii="Times New Roman" w:hAnsi="Times New Roman"/>
        </w:rPr>
        <w:t>from</w:t>
      </w:r>
      <w:r w:rsidR="0057673B" w:rsidRPr="00273D10">
        <w:rPr>
          <w:rFonts w:ascii="Times New Roman" w:hAnsi="Times New Roman"/>
        </w:rPr>
        <w:t xml:space="preserve"> several witnesses who testified to his good characte</w:t>
      </w:r>
      <w:r w:rsidR="004A1F34" w:rsidRPr="00273D10">
        <w:rPr>
          <w:rFonts w:ascii="Times New Roman" w:hAnsi="Times New Roman"/>
        </w:rPr>
        <w:t>r</w:t>
      </w:r>
      <w:r w:rsidR="0057673B" w:rsidRPr="00273D10">
        <w:rPr>
          <w:rFonts w:ascii="Times New Roman" w:hAnsi="Times New Roman"/>
        </w:rPr>
        <w:t xml:space="preserve">. </w:t>
      </w:r>
    </w:p>
    <w:p w14:paraId="062E2EA1" w14:textId="77777777" w:rsidR="0057673B" w:rsidRPr="00273D10" w:rsidRDefault="0057673B" w:rsidP="00273D10">
      <w:pPr>
        <w:pStyle w:val="HeadingL2"/>
        <w:spacing w:after="260" w:line="280" w:lineRule="exact"/>
        <w:ind w:right="0"/>
        <w:jc w:val="both"/>
        <w:rPr>
          <w:rFonts w:ascii="Times New Roman" w:hAnsi="Times New Roman"/>
        </w:rPr>
      </w:pPr>
      <w:r w:rsidRPr="00273D10">
        <w:rPr>
          <w:rFonts w:ascii="Times New Roman" w:hAnsi="Times New Roman"/>
        </w:rPr>
        <w:t>The summing-up</w:t>
      </w:r>
    </w:p>
    <w:p w14:paraId="7155683D" w14:textId="6CC56A93" w:rsidR="00080CE6" w:rsidRPr="00273D10" w:rsidRDefault="005D5EF9"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2D1F73" w:rsidRPr="00273D10">
        <w:rPr>
          <w:rFonts w:ascii="Times New Roman" w:hAnsi="Times New Roman"/>
        </w:rPr>
        <w:t>I</w:t>
      </w:r>
      <w:r w:rsidR="00B31C97" w:rsidRPr="00273D10">
        <w:rPr>
          <w:rFonts w:ascii="Times New Roman" w:hAnsi="Times New Roman"/>
        </w:rPr>
        <w:t>n a course that was rightly deprecated by the Court of Criminal Appeal</w:t>
      </w:r>
      <w:r w:rsidR="00705035" w:rsidRPr="00273D10">
        <w:rPr>
          <w:rStyle w:val="FootnoteReference"/>
          <w:rFonts w:ascii="Times New Roman" w:hAnsi="Times New Roman"/>
          <w:sz w:val="24"/>
        </w:rPr>
        <w:footnoteReference w:id="12"/>
      </w:r>
      <w:r w:rsidR="00944DD1" w:rsidRPr="00273D10">
        <w:rPr>
          <w:rFonts w:ascii="Times New Roman" w:hAnsi="Times New Roman"/>
        </w:rPr>
        <w:t>,</w:t>
      </w:r>
      <w:r w:rsidR="00B31C97" w:rsidRPr="00273D10">
        <w:rPr>
          <w:rFonts w:ascii="Times New Roman" w:hAnsi="Times New Roman"/>
        </w:rPr>
        <w:t xml:space="preserve"> </w:t>
      </w:r>
      <w:r w:rsidRPr="00273D10">
        <w:rPr>
          <w:rFonts w:ascii="Times New Roman" w:hAnsi="Times New Roman"/>
        </w:rPr>
        <w:t>the summing-up was</w:t>
      </w:r>
      <w:r w:rsidR="006A2AC8" w:rsidRPr="00273D10">
        <w:rPr>
          <w:rFonts w:ascii="Times New Roman" w:hAnsi="Times New Roman"/>
        </w:rPr>
        <w:t>, a</w:t>
      </w:r>
      <w:r w:rsidR="000F4D9A" w:rsidRPr="00273D10">
        <w:rPr>
          <w:rFonts w:ascii="Times New Roman" w:hAnsi="Times New Roman"/>
        </w:rPr>
        <w:t>t</w:t>
      </w:r>
      <w:r w:rsidR="006A2AC8" w:rsidRPr="00273D10">
        <w:rPr>
          <w:rFonts w:ascii="Times New Roman" w:hAnsi="Times New Roman"/>
        </w:rPr>
        <w:t xml:space="preserve"> the request of the trial judge, </w:t>
      </w:r>
      <w:r w:rsidR="002A5E54" w:rsidRPr="00273D10">
        <w:rPr>
          <w:rFonts w:ascii="Times New Roman" w:hAnsi="Times New Roman"/>
        </w:rPr>
        <w:t xml:space="preserve">largely </w:t>
      </w:r>
      <w:r w:rsidRPr="00273D10">
        <w:rPr>
          <w:rFonts w:ascii="Times New Roman" w:hAnsi="Times New Roman"/>
        </w:rPr>
        <w:t xml:space="preserve">drafted by the Crown and agreed to by </w:t>
      </w:r>
      <w:r w:rsidR="00F72000" w:rsidRPr="00273D10">
        <w:rPr>
          <w:rFonts w:ascii="Times New Roman" w:hAnsi="Times New Roman"/>
        </w:rPr>
        <w:t>trial counsel for the appellant</w:t>
      </w:r>
      <w:r w:rsidR="00F72000" w:rsidRPr="00273D10">
        <w:rPr>
          <w:rStyle w:val="FootnoteReference"/>
          <w:rFonts w:ascii="Times New Roman" w:hAnsi="Times New Roman"/>
          <w:sz w:val="24"/>
        </w:rPr>
        <w:footnoteReference w:id="13"/>
      </w:r>
      <w:r w:rsidR="00F72000" w:rsidRPr="00273D10">
        <w:rPr>
          <w:rFonts w:ascii="Times New Roman" w:hAnsi="Times New Roman"/>
        </w:rPr>
        <w:t xml:space="preserve">. During a break in </w:t>
      </w:r>
      <w:r w:rsidR="00365218" w:rsidRPr="00273D10">
        <w:rPr>
          <w:rFonts w:ascii="Times New Roman" w:hAnsi="Times New Roman"/>
        </w:rPr>
        <w:t xml:space="preserve">his Honour's </w:t>
      </w:r>
      <w:r w:rsidR="00F72000" w:rsidRPr="00273D10">
        <w:rPr>
          <w:rFonts w:ascii="Times New Roman" w:hAnsi="Times New Roman"/>
        </w:rPr>
        <w:t xml:space="preserve">delivery of the summing-up, </w:t>
      </w:r>
      <w:r w:rsidR="002F1068" w:rsidRPr="00273D10">
        <w:rPr>
          <w:rFonts w:ascii="Times New Roman" w:hAnsi="Times New Roman"/>
        </w:rPr>
        <w:t xml:space="preserve">the appellant's counsel </w:t>
      </w:r>
      <w:r w:rsidR="00DB3CBF" w:rsidRPr="00273D10">
        <w:rPr>
          <w:rFonts w:ascii="Times New Roman" w:hAnsi="Times New Roman"/>
        </w:rPr>
        <w:t xml:space="preserve">sought a </w:t>
      </w:r>
      <w:r w:rsidR="00DB3CBF" w:rsidRPr="00273D10">
        <w:rPr>
          <w:rFonts w:ascii="Times New Roman" w:hAnsi="Times New Roman"/>
          <w:i/>
        </w:rPr>
        <w:t>Murray</w:t>
      </w:r>
      <w:r w:rsidR="00DB3CBF" w:rsidRPr="00273D10">
        <w:rPr>
          <w:rFonts w:ascii="Times New Roman" w:hAnsi="Times New Roman"/>
        </w:rPr>
        <w:t xml:space="preserve"> direction</w:t>
      </w:r>
      <w:r w:rsidR="005900C0" w:rsidRPr="00273D10">
        <w:rPr>
          <w:rStyle w:val="FootnoteReference"/>
          <w:rFonts w:ascii="Times New Roman" w:hAnsi="Times New Roman"/>
          <w:sz w:val="24"/>
        </w:rPr>
        <w:footnoteReference w:id="14"/>
      </w:r>
      <w:r w:rsidR="004F59AE" w:rsidRPr="00273D10">
        <w:rPr>
          <w:rFonts w:ascii="Times New Roman" w:hAnsi="Times New Roman"/>
        </w:rPr>
        <w:t xml:space="preserve">. </w:t>
      </w:r>
      <w:r w:rsidR="00365218" w:rsidRPr="00273D10">
        <w:rPr>
          <w:rFonts w:ascii="Times New Roman" w:hAnsi="Times New Roman"/>
        </w:rPr>
        <w:t xml:space="preserve">The giving of </w:t>
      </w:r>
      <w:r w:rsidR="00B95A1A" w:rsidRPr="00273D10">
        <w:rPr>
          <w:rFonts w:ascii="Times New Roman" w:hAnsi="Times New Roman"/>
        </w:rPr>
        <w:t>that</w:t>
      </w:r>
      <w:r w:rsidR="00365218" w:rsidRPr="00273D10">
        <w:rPr>
          <w:rFonts w:ascii="Times New Roman" w:hAnsi="Times New Roman"/>
        </w:rPr>
        <w:t xml:space="preserve"> direction was opposed </w:t>
      </w:r>
      <w:r w:rsidR="00C80929" w:rsidRPr="00273D10">
        <w:rPr>
          <w:rFonts w:ascii="Times New Roman" w:hAnsi="Times New Roman"/>
        </w:rPr>
        <w:t>by the Crown</w:t>
      </w:r>
      <w:r w:rsidR="00365218" w:rsidRPr="00273D10">
        <w:rPr>
          <w:rFonts w:ascii="Times New Roman" w:hAnsi="Times New Roman"/>
        </w:rPr>
        <w:t xml:space="preserve">. The trial </w:t>
      </w:r>
      <w:r w:rsidR="004F59AE" w:rsidRPr="00273D10">
        <w:rPr>
          <w:rFonts w:ascii="Times New Roman" w:hAnsi="Times New Roman"/>
        </w:rPr>
        <w:t xml:space="preserve">judge </w:t>
      </w:r>
      <w:r w:rsidR="00365218" w:rsidRPr="00273D10">
        <w:rPr>
          <w:rFonts w:ascii="Times New Roman" w:hAnsi="Times New Roman"/>
        </w:rPr>
        <w:t>ruled</w:t>
      </w:r>
      <w:r w:rsidR="00174E96" w:rsidRPr="00273D10">
        <w:rPr>
          <w:rFonts w:ascii="Times New Roman" w:hAnsi="Times New Roman"/>
        </w:rPr>
        <w:t xml:space="preserve"> </w:t>
      </w:r>
      <w:r w:rsidR="00B6445F" w:rsidRPr="00273D10">
        <w:rPr>
          <w:rFonts w:ascii="Times New Roman" w:hAnsi="Times New Roman"/>
        </w:rPr>
        <w:t>that he would "err on the side of caution"</w:t>
      </w:r>
      <w:r w:rsidR="00A91890" w:rsidRPr="00273D10">
        <w:rPr>
          <w:rFonts w:ascii="Times New Roman" w:hAnsi="Times New Roman"/>
        </w:rPr>
        <w:t xml:space="preserve"> </w:t>
      </w:r>
      <w:r w:rsidR="00B6445F" w:rsidRPr="00273D10">
        <w:rPr>
          <w:rFonts w:ascii="Times New Roman" w:hAnsi="Times New Roman"/>
        </w:rPr>
        <w:t xml:space="preserve">and gave a </w:t>
      </w:r>
      <w:r w:rsidR="00B6445F" w:rsidRPr="00273D10">
        <w:rPr>
          <w:rFonts w:ascii="Times New Roman" w:hAnsi="Times New Roman"/>
          <w:i/>
        </w:rPr>
        <w:t>Murray</w:t>
      </w:r>
      <w:r w:rsidR="00B6445F" w:rsidRPr="00273D10">
        <w:rPr>
          <w:rFonts w:ascii="Times New Roman" w:hAnsi="Times New Roman"/>
        </w:rPr>
        <w:t xml:space="preserve"> direction in a form agreed by the parties</w:t>
      </w:r>
      <w:r w:rsidR="00B6445F" w:rsidRPr="00273D10">
        <w:rPr>
          <w:rStyle w:val="FootnoteReference"/>
          <w:rFonts w:ascii="Times New Roman" w:hAnsi="Times New Roman"/>
          <w:sz w:val="24"/>
        </w:rPr>
        <w:footnoteReference w:id="15"/>
      </w:r>
      <w:r w:rsidR="00B6445F" w:rsidRPr="00273D10">
        <w:rPr>
          <w:rFonts w:ascii="Times New Roman" w:hAnsi="Times New Roman"/>
        </w:rPr>
        <w:t>.</w:t>
      </w:r>
    </w:p>
    <w:p w14:paraId="44529F44" w14:textId="1D5CB394" w:rsidR="00C306A0" w:rsidRPr="00273D10" w:rsidRDefault="0027012A"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174E96" w:rsidRPr="00273D10">
        <w:rPr>
          <w:rFonts w:ascii="Times New Roman" w:hAnsi="Times New Roman"/>
        </w:rPr>
        <w:t>In all, th</w:t>
      </w:r>
      <w:r w:rsidRPr="00273D10">
        <w:rPr>
          <w:rFonts w:ascii="Times New Roman" w:hAnsi="Times New Roman"/>
        </w:rPr>
        <w:t xml:space="preserve">e trial judge gave four directions </w:t>
      </w:r>
      <w:r w:rsidR="00316E21" w:rsidRPr="00273D10">
        <w:rPr>
          <w:rFonts w:ascii="Times New Roman" w:hAnsi="Times New Roman"/>
        </w:rPr>
        <w:t xml:space="preserve">to the jury </w:t>
      </w:r>
      <w:r w:rsidRPr="00273D10">
        <w:rPr>
          <w:rFonts w:ascii="Times New Roman" w:hAnsi="Times New Roman"/>
        </w:rPr>
        <w:t xml:space="preserve">which are </w:t>
      </w:r>
      <w:r w:rsidR="00CD3E91" w:rsidRPr="00273D10">
        <w:rPr>
          <w:rFonts w:ascii="Times New Roman" w:hAnsi="Times New Roman"/>
        </w:rPr>
        <w:t xml:space="preserve">of relevance </w:t>
      </w:r>
      <w:r w:rsidRPr="00273D10">
        <w:rPr>
          <w:rFonts w:ascii="Times New Roman" w:hAnsi="Times New Roman"/>
        </w:rPr>
        <w:t xml:space="preserve">to the present appeal. </w:t>
      </w:r>
      <w:r w:rsidR="00976B06" w:rsidRPr="00273D10">
        <w:rPr>
          <w:rFonts w:ascii="Times New Roman" w:hAnsi="Times New Roman"/>
        </w:rPr>
        <w:t xml:space="preserve">Given that the appellant's </w:t>
      </w:r>
      <w:r w:rsidR="00CD3E91" w:rsidRPr="00273D10">
        <w:rPr>
          <w:rFonts w:ascii="Times New Roman" w:hAnsi="Times New Roman"/>
        </w:rPr>
        <w:t xml:space="preserve">argument </w:t>
      </w:r>
      <w:r w:rsidR="001C1E53" w:rsidRPr="00273D10">
        <w:rPr>
          <w:rFonts w:ascii="Times New Roman" w:hAnsi="Times New Roman"/>
        </w:rPr>
        <w:t xml:space="preserve">in this Court is </w:t>
      </w:r>
      <w:r w:rsidR="00976B06" w:rsidRPr="00273D10">
        <w:rPr>
          <w:rFonts w:ascii="Times New Roman" w:hAnsi="Times New Roman"/>
        </w:rPr>
        <w:t>that yet a further direction to the jury</w:t>
      </w:r>
      <w:r w:rsidR="00E8105A" w:rsidRPr="00273D10">
        <w:rPr>
          <w:rFonts w:ascii="Times New Roman" w:hAnsi="Times New Roman"/>
        </w:rPr>
        <w:t xml:space="preserve"> was necessary</w:t>
      </w:r>
      <w:r w:rsidR="00976B06" w:rsidRPr="00273D10">
        <w:rPr>
          <w:rFonts w:ascii="Times New Roman" w:hAnsi="Times New Roman"/>
        </w:rPr>
        <w:t xml:space="preserve"> in order to avoid a miscarriage of justice, it is desirable</w:t>
      </w:r>
      <w:r w:rsidR="00E8105A" w:rsidRPr="00273D10">
        <w:rPr>
          <w:rFonts w:ascii="Times New Roman" w:hAnsi="Times New Roman"/>
        </w:rPr>
        <w:t xml:space="preserve"> to refer</w:t>
      </w:r>
      <w:r w:rsidR="003B11D3" w:rsidRPr="00273D10">
        <w:rPr>
          <w:rFonts w:ascii="Times New Roman" w:hAnsi="Times New Roman"/>
        </w:rPr>
        <w:t>,</w:t>
      </w:r>
      <w:r w:rsidR="00886CAA" w:rsidRPr="00273D10">
        <w:rPr>
          <w:rFonts w:ascii="Times New Roman" w:hAnsi="Times New Roman"/>
        </w:rPr>
        <w:t xml:space="preserve"> </w:t>
      </w:r>
      <w:r w:rsidR="00AC72F0" w:rsidRPr="00273D10">
        <w:rPr>
          <w:rFonts w:ascii="Times New Roman" w:hAnsi="Times New Roman"/>
        </w:rPr>
        <w:t>necessarily</w:t>
      </w:r>
      <w:r w:rsidR="000D039B" w:rsidRPr="00273D10">
        <w:rPr>
          <w:rFonts w:ascii="Times New Roman" w:hAnsi="Times New Roman"/>
        </w:rPr>
        <w:t xml:space="preserve"> </w:t>
      </w:r>
      <w:r w:rsidR="00E8105A" w:rsidRPr="00273D10">
        <w:rPr>
          <w:rFonts w:ascii="Times New Roman" w:hAnsi="Times New Roman"/>
        </w:rPr>
        <w:t>at some length</w:t>
      </w:r>
      <w:r w:rsidR="003B11D3" w:rsidRPr="00273D10">
        <w:rPr>
          <w:rFonts w:ascii="Times New Roman" w:hAnsi="Times New Roman"/>
        </w:rPr>
        <w:t>,</w:t>
      </w:r>
      <w:r w:rsidR="00E8105A" w:rsidRPr="00273D10">
        <w:rPr>
          <w:rFonts w:ascii="Times New Roman" w:hAnsi="Times New Roman"/>
        </w:rPr>
        <w:t xml:space="preserve"> to the directions that </w:t>
      </w:r>
      <w:r w:rsidR="00E8105A" w:rsidRPr="00273D10">
        <w:rPr>
          <w:rFonts w:ascii="Times New Roman" w:hAnsi="Times New Roman"/>
        </w:rPr>
        <w:lastRenderedPageBreak/>
        <w:t xml:space="preserve">were given </w:t>
      </w:r>
      <w:r w:rsidR="00B35065" w:rsidRPr="00273D10">
        <w:rPr>
          <w:rFonts w:ascii="Times New Roman" w:hAnsi="Times New Roman"/>
        </w:rPr>
        <w:t>in order to assess</w:t>
      </w:r>
      <w:r w:rsidR="00976B06" w:rsidRPr="00273D10">
        <w:rPr>
          <w:rFonts w:ascii="Times New Roman" w:hAnsi="Times New Roman"/>
        </w:rPr>
        <w:t xml:space="preserve"> the extent of </w:t>
      </w:r>
      <w:r w:rsidR="008F61CD" w:rsidRPr="00273D10">
        <w:rPr>
          <w:rFonts w:ascii="Times New Roman" w:hAnsi="Times New Roman"/>
        </w:rPr>
        <w:t xml:space="preserve">the risk that the jury </w:t>
      </w:r>
      <w:r w:rsidR="00CC76A6" w:rsidRPr="00273D10">
        <w:rPr>
          <w:rFonts w:ascii="Times New Roman" w:hAnsi="Times New Roman"/>
        </w:rPr>
        <w:t xml:space="preserve">might </w:t>
      </w:r>
      <w:r w:rsidR="00B35065" w:rsidRPr="00273D10">
        <w:rPr>
          <w:rFonts w:ascii="Times New Roman" w:hAnsi="Times New Roman"/>
        </w:rPr>
        <w:t xml:space="preserve">have </w:t>
      </w:r>
      <w:r w:rsidR="008F61CD" w:rsidRPr="00273D10">
        <w:rPr>
          <w:rFonts w:ascii="Times New Roman" w:hAnsi="Times New Roman"/>
        </w:rPr>
        <w:t>reason</w:t>
      </w:r>
      <w:r w:rsidR="00B35065" w:rsidRPr="00273D10">
        <w:rPr>
          <w:rFonts w:ascii="Times New Roman" w:hAnsi="Times New Roman"/>
        </w:rPr>
        <w:t>ed</w:t>
      </w:r>
      <w:r w:rsidR="008F61CD" w:rsidRPr="00273D10">
        <w:rPr>
          <w:rFonts w:ascii="Times New Roman" w:hAnsi="Times New Roman"/>
        </w:rPr>
        <w:t xml:space="preserve"> to </w:t>
      </w:r>
      <w:r w:rsidR="000A2AF4" w:rsidRPr="00273D10">
        <w:rPr>
          <w:rFonts w:ascii="Times New Roman" w:hAnsi="Times New Roman"/>
        </w:rPr>
        <w:t>g</w:t>
      </w:r>
      <w:r w:rsidR="008F61CD" w:rsidRPr="00273D10">
        <w:rPr>
          <w:rFonts w:ascii="Times New Roman" w:hAnsi="Times New Roman"/>
        </w:rPr>
        <w:t>uilty verdicts by a path of impermissible tendency reasoning</w:t>
      </w:r>
      <w:r w:rsidR="00CC76A6" w:rsidRPr="00273D10">
        <w:rPr>
          <w:rFonts w:ascii="Times New Roman" w:hAnsi="Times New Roman"/>
        </w:rPr>
        <w:t>.</w:t>
      </w:r>
      <w:r w:rsidR="00976B06" w:rsidRPr="00273D10">
        <w:rPr>
          <w:rFonts w:ascii="Times New Roman" w:hAnsi="Times New Roman"/>
        </w:rPr>
        <w:t xml:space="preserve"> </w:t>
      </w:r>
    </w:p>
    <w:p w14:paraId="1D978A24" w14:textId="6C9687CE" w:rsidR="0027012A" w:rsidRPr="00273D10" w:rsidRDefault="00C306A0"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E4265D" w:rsidRPr="00273D10">
        <w:rPr>
          <w:rFonts w:ascii="Times New Roman" w:hAnsi="Times New Roman"/>
        </w:rPr>
        <w:t>The first direction concern</w:t>
      </w:r>
      <w:r w:rsidR="00407D2D" w:rsidRPr="00273D10">
        <w:rPr>
          <w:rFonts w:ascii="Times New Roman" w:hAnsi="Times New Roman"/>
        </w:rPr>
        <w:t>ed</w:t>
      </w:r>
      <w:r w:rsidR="00E4265D" w:rsidRPr="00273D10">
        <w:rPr>
          <w:rFonts w:ascii="Times New Roman" w:hAnsi="Times New Roman"/>
        </w:rPr>
        <w:t xml:space="preserve"> what the trial judge referred to as "context evidence"</w:t>
      </w:r>
      <w:r w:rsidR="00527BF9" w:rsidRPr="00273D10">
        <w:rPr>
          <w:rFonts w:ascii="Times New Roman" w:hAnsi="Times New Roman"/>
        </w:rPr>
        <w:t xml:space="preserve">. </w:t>
      </w:r>
      <w:r w:rsidR="00886CAA" w:rsidRPr="00273D10">
        <w:rPr>
          <w:rFonts w:ascii="Times New Roman" w:hAnsi="Times New Roman"/>
        </w:rPr>
        <w:t xml:space="preserve">As can be seen, </w:t>
      </w:r>
      <w:r w:rsidR="00527BF9" w:rsidRPr="00273D10">
        <w:rPr>
          <w:rFonts w:ascii="Times New Roman" w:hAnsi="Times New Roman"/>
        </w:rPr>
        <w:t>this direction</w:t>
      </w:r>
      <w:r w:rsidR="00E045A9" w:rsidRPr="00273D10">
        <w:rPr>
          <w:rFonts w:ascii="Times New Roman" w:hAnsi="Times New Roman"/>
        </w:rPr>
        <w:t xml:space="preserve"> </w:t>
      </w:r>
      <w:r w:rsidR="00886CAA" w:rsidRPr="00273D10">
        <w:rPr>
          <w:rFonts w:ascii="Times New Roman" w:hAnsi="Times New Roman"/>
        </w:rPr>
        <w:t xml:space="preserve">included </w:t>
      </w:r>
      <w:r w:rsidR="00527BF9" w:rsidRPr="00273D10">
        <w:rPr>
          <w:rFonts w:ascii="Times New Roman" w:hAnsi="Times New Roman"/>
        </w:rPr>
        <w:t>an anti</w:t>
      </w:r>
      <w:r w:rsidR="00527BF9" w:rsidRPr="00273D10">
        <w:rPr>
          <w:rFonts w:ascii="Times New Roman" w:hAnsi="Times New Roman"/>
        </w:rPr>
        <w:noBreakHyphen/>
        <w:t xml:space="preserve">tendency direction in relation to </w:t>
      </w:r>
      <w:r w:rsidR="00E045A9" w:rsidRPr="00273D10">
        <w:rPr>
          <w:rFonts w:ascii="Times New Roman" w:hAnsi="Times New Roman"/>
        </w:rPr>
        <w:t xml:space="preserve">both </w:t>
      </w:r>
      <w:r w:rsidR="00527BF9" w:rsidRPr="00273D10">
        <w:rPr>
          <w:rFonts w:ascii="Times New Roman" w:hAnsi="Times New Roman"/>
        </w:rPr>
        <w:t>the evidence of other acts and the aggression evidence</w:t>
      </w:r>
      <w:r w:rsidR="00E4265D" w:rsidRPr="00273D10">
        <w:rPr>
          <w:rFonts w:ascii="Times New Roman" w:hAnsi="Times New Roman"/>
        </w:rPr>
        <w:t>:</w:t>
      </w:r>
    </w:p>
    <w:p w14:paraId="5932AD1F" w14:textId="218EE71C" w:rsidR="00080CE6" w:rsidRPr="00273D10" w:rsidRDefault="00711EC0" w:rsidP="00273D10">
      <w:pPr>
        <w:pStyle w:val="leftright"/>
        <w:spacing w:before="0" w:after="260" w:line="280" w:lineRule="exact"/>
        <w:ind w:right="0"/>
        <w:jc w:val="both"/>
        <w:rPr>
          <w:rFonts w:ascii="Times New Roman" w:hAnsi="Times New Roman"/>
        </w:rPr>
      </w:pPr>
      <w:r w:rsidRPr="00273D10">
        <w:rPr>
          <w:rFonts w:ascii="Times New Roman" w:hAnsi="Times New Roman"/>
        </w:rPr>
        <w:tab/>
        <w:t>"</w:t>
      </w:r>
      <w:r w:rsidR="00C367D0" w:rsidRPr="00273D10">
        <w:rPr>
          <w:rFonts w:ascii="Times New Roman" w:hAnsi="Times New Roman"/>
        </w:rPr>
        <w:t xml:space="preserve">I turn to a topic which is described as context evidence. You have heard evidence in the trial of other occasions, apart from those relating to any particular account, where the children have alleged that the accused was aggressive and hurt them. In the case of [the Fifth Child], </w:t>
      </w:r>
      <w:r w:rsidR="006674C8" w:rsidRPr="00273D10">
        <w:rPr>
          <w:rFonts w:ascii="Times New Roman" w:hAnsi="Times New Roman"/>
        </w:rPr>
        <w:t>he said that the accused punched him, kicked him, and smacked him. You have also heard evidence from [the Third Child] that the accused was violent and rough, and [the First Child] said that he was aggressive towards her brothers. That evidence has been placed before you to assist you in understanding the relationship that the Crown alleges existed between the accused and the complainants, his children, in 2015. The Crown has placed that evidence before you also to explain the delay in complaints made by [the First Child] and [the Third Child] and I will refer to that evidence later.</w:t>
      </w:r>
    </w:p>
    <w:p w14:paraId="2B9C44E6" w14:textId="0244D333" w:rsidR="006674C8" w:rsidRPr="00273D10" w:rsidRDefault="00711EC0" w:rsidP="00273D10">
      <w:pPr>
        <w:pStyle w:val="leftright"/>
        <w:spacing w:before="0" w:after="260" w:line="280" w:lineRule="exact"/>
        <w:ind w:right="0"/>
        <w:jc w:val="both"/>
        <w:rPr>
          <w:rFonts w:ascii="Times New Roman" w:hAnsi="Times New Roman"/>
        </w:rPr>
      </w:pPr>
      <w:r w:rsidRPr="00273D10">
        <w:rPr>
          <w:rFonts w:ascii="Times New Roman" w:hAnsi="Times New Roman"/>
        </w:rPr>
        <w:tab/>
      </w:r>
      <w:r w:rsidR="006674C8" w:rsidRPr="00273D10">
        <w:rPr>
          <w:rFonts w:ascii="Times New Roman" w:hAnsi="Times New Roman"/>
        </w:rPr>
        <w:t>Obviously, before you can convict the accused in respect of any charge you must be satisfied beyond a reasonable doubt that a particular allegation occurred. That is, the Crown must prove the particular act as alleged by the complainant. In addition to the evidence led by the Crown specifically in relation to the counts on the indictment, the Crown has led evidence of other acts of alleged misconduct by the accused towards [the Fifth Child]. I shall, for the sake of convenience, refer to this evidence as evidence of other acts.</w:t>
      </w:r>
    </w:p>
    <w:p w14:paraId="302247C4" w14:textId="7F54D06F" w:rsidR="006674C8" w:rsidRPr="00273D10" w:rsidRDefault="00711EC0" w:rsidP="00273D10">
      <w:pPr>
        <w:pStyle w:val="leftright"/>
        <w:spacing w:before="0" w:after="260" w:line="280" w:lineRule="exact"/>
        <w:ind w:right="0"/>
        <w:jc w:val="both"/>
        <w:rPr>
          <w:rFonts w:ascii="Times New Roman" w:hAnsi="Times New Roman"/>
        </w:rPr>
      </w:pPr>
      <w:r w:rsidRPr="00273D10">
        <w:rPr>
          <w:rFonts w:ascii="Times New Roman" w:hAnsi="Times New Roman"/>
        </w:rPr>
        <w:tab/>
      </w:r>
      <w:r w:rsidR="00863223" w:rsidRPr="00273D10">
        <w:rPr>
          <w:rFonts w:ascii="Times New Roman" w:hAnsi="Times New Roman"/>
        </w:rPr>
        <w:t xml:space="preserve">The evidence of </w:t>
      </w:r>
      <w:r w:rsidR="008B29AC" w:rsidRPr="00273D10">
        <w:rPr>
          <w:rFonts w:ascii="Times New Roman" w:hAnsi="Times New Roman"/>
        </w:rPr>
        <w:t xml:space="preserve">the </w:t>
      </w:r>
      <w:r w:rsidR="00863223" w:rsidRPr="00273D10">
        <w:rPr>
          <w:rFonts w:ascii="Times New Roman" w:hAnsi="Times New Roman"/>
        </w:rPr>
        <w:t>other acts is as follows; first there were two acts of the accused allegedly touching [the Fifth Child], on the penis, in the bathroom and downstairs, allegedly witnessed by [the Third Child]. Secondly, acts of the accused touching [the Fifth Child's] penis, in the bathroom ensuite, allegedly witnessed by [the Fourth Child].</w:t>
      </w:r>
      <w:r w:rsidR="004627E5" w:rsidRPr="00273D10">
        <w:rPr>
          <w:rFonts w:ascii="Times New Roman" w:hAnsi="Times New Roman"/>
        </w:rPr>
        <w:t xml:space="preserve"> So, context evidence is background evidence which explains the complainants' conduct by putting it in a realistic context. The Crown says that these occasions, which are different to the ones described by [the Fifth Child], have been placed before you to understand the nature or the context of [the Fifth Child's] allegations.</w:t>
      </w:r>
    </w:p>
    <w:p w14:paraId="78ED1E78" w14:textId="7B1AFD7E" w:rsidR="004627E5" w:rsidRPr="00273D10" w:rsidRDefault="00711EC0" w:rsidP="00273D10">
      <w:pPr>
        <w:pStyle w:val="leftright"/>
        <w:spacing w:before="0" w:after="260" w:line="280" w:lineRule="exact"/>
        <w:ind w:right="0"/>
        <w:jc w:val="both"/>
        <w:rPr>
          <w:rFonts w:ascii="Times New Roman" w:hAnsi="Times New Roman"/>
        </w:rPr>
      </w:pPr>
      <w:r w:rsidRPr="00273D10">
        <w:rPr>
          <w:rFonts w:ascii="Times New Roman" w:hAnsi="Times New Roman"/>
        </w:rPr>
        <w:tab/>
      </w:r>
      <w:r w:rsidR="004627E5" w:rsidRPr="00273D10">
        <w:rPr>
          <w:rFonts w:ascii="Times New Roman" w:hAnsi="Times New Roman"/>
        </w:rPr>
        <w:t xml:space="preserve">The Crown also relies on the evidence to deal with the assertions made by [the accused] of concoction of evidence. I must give you some important warnings with regard to the use of this evidence of other acts, that is, acts that are not the subject of a charge. Firstly, you must not use </w:t>
      </w:r>
      <w:r w:rsidR="004627E5" w:rsidRPr="00273D10">
        <w:rPr>
          <w:rFonts w:ascii="Times New Roman" w:hAnsi="Times New Roman"/>
        </w:rPr>
        <w:lastRenderedPageBreak/>
        <w:t>evidence of other acts as establishing a tendency on the part of the accused to commit offences of the type charged. You cannot act on the basis that he is likely to have committed the offences charged because there are other allegations against him.</w:t>
      </w:r>
      <w:r w:rsidR="004878F3" w:rsidRPr="00273D10">
        <w:rPr>
          <w:rFonts w:ascii="Times New Roman" w:hAnsi="Times New Roman"/>
        </w:rPr>
        <w:t xml:space="preserve"> The evidence has a very limited purpose, as I have explained to you, and it cannot be used for any other purpose</w:t>
      </w:r>
      <w:r w:rsidR="00F96DAD" w:rsidRPr="00273D10">
        <w:rPr>
          <w:rFonts w:ascii="Times New Roman" w:hAnsi="Times New Roman"/>
        </w:rPr>
        <w:t>, or as evidence that the particular allegations contained in the charges have been proved beyond a reasonable doubt.</w:t>
      </w:r>
    </w:p>
    <w:p w14:paraId="6E85D8F1" w14:textId="77777777" w:rsidR="00273D10" w:rsidRDefault="00711EC0" w:rsidP="00273D10">
      <w:pPr>
        <w:pStyle w:val="leftright"/>
        <w:spacing w:before="0" w:after="260" w:line="280" w:lineRule="exact"/>
        <w:ind w:right="0"/>
        <w:jc w:val="both"/>
        <w:rPr>
          <w:rFonts w:ascii="Times New Roman" w:hAnsi="Times New Roman"/>
        </w:rPr>
      </w:pPr>
      <w:r w:rsidRPr="00273D10">
        <w:rPr>
          <w:rFonts w:ascii="Times New Roman" w:hAnsi="Times New Roman"/>
        </w:rPr>
        <w:tab/>
      </w:r>
      <w:r w:rsidR="00F96DAD" w:rsidRPr="00273D10">
        <w:rPr>
          <w:rFonts w:ascii="Times New Roman" w:hAnsi="Times New Roman"/>
        </w:rPr>
        <w:t xml:space="preserve">Secondly, you must not substitute the evidence of other acts witnessed by [the Third Child] and [the Fourth Child] for the evidence of the specific allegations contained in the charges in the indictment. </w:t>
      </w:r>
      <w:r w:rsidR="00D9344E" w:rsidRPr="00273D10">
        <w:rPr>
          <w:rFonts w:ascii="Times New Roman" w:hAnsi="Times New Roman"/>
        </w:rPr>
        <w:t>The Crown is not charging a course of misconduct by the accused, but has brought particular allegations arising from what [the Fifth Child] says was sexual misconduct. You are concerned with the particular and precise occasions alleged by [the Fifth Child]</w:t>
      </w:r>
      <w:r w:rsidR="0049784B" w:rsidRPr="00273D10">
        <w:rPr>
          <w:rFonts w:ascii="Times New Roman" w:hAnsi="Times New Roman"/>
        </w:rPr>
        <w:t>. You must not reason that just because the accused may have done something wrong to [the Fifth Child] on some other occasions witnessed by [the Third Child] or [the Fourth Child]</w:t>
      </w:r>
      <w:r w:rsidR="001A2486" w:rsidRPr="00273D10">
        <w:rPr>
          <w:rFonts w:ascii="Times New Roman" w:hAnsi="Times New Roman"/>
        </w:rPr>
        <w:t>. He must have done so on the occasion alleged in the indictment. You cannot punish the accused for other acts attributed to him by [the Third Child] or [the Fourth Child], by finding him guilty of any charge on the indictment. Such a process of reasoning would amount to a misuse of the evidence and would not be in accordance with the law.</w:t>
      </w:r>
      <w:r w:rsidRPr="00273D10">
        <w:rPr>
          <w:rFonts w:ascii="Times New Roman" w:hAnsi="Times New Roman"/>
        </w:rPr>
        <w:t>"</w:t>
      </w:r>
    </w:p>
    <w:p w14:paraId="24ADA599" w14:textId="23758541" w:rsidR="00711EC0" w:rsidRPr="00273D10" w:rsidRDefault="00CD38B7" w:rsidP="00273D10">
      <w:pPr>
        <w:pStyle w:val="FixListStyle"/>
        <w:spacing w:after="260" w:line="280" w:lineRule="exact"/>
        <w:ind w:right="0"/>
        <w:jc w:val="both"/>
        <w:rPr>
          <w:rFonts w:ascii="Times New Roman" w:hAnsi="Times New Roman"/>
        </w:rPr>
      </w:pPr>
      <w:r w:rsidRPr="00273D10">
        <w:rPr>
          <w:rFonts w:ascii="Times New Roman" w:hAnsi="Times New Roman"/>
        </w:rPr>
        <w:tab/>
        <w:t xml:space="preserve">Secondly, </w:t>
      </w:r>
      <w:r w:rsidR="00BC0306" w:rsidRPr="00273D10">
        <w:rPr>
          <w:rFonts w:ascii="Times New Roman" w:hAnsi="Times New Roman"/>
        </w:rPr>
        <w:t>the trial judge gave a "separate consideration direction":</w:t>
      </w:r>
    </w:p>
    <w:p w14:paraId="7A9FFEFF" w14:textId="77777777" w:rsidR="00273D10" w:rsidRDefault="005D72F8" w:rsidP="00273D10">
      <w:pPr>
        <w:pStyle w:val="leftright"/>
        <w:spacing w:before="0" w:after="260" w:line="280" w:lineRule="exact"/>
        <w:ind w:right="0"/>
        <w:jc w:val="both"/>
        <w:rPr>
          <w:rFonts w:ascii="Times New Roman" w:hAnsi="Times New Roman"/>
        </w:rPr>
      </w:pPr>
      <w:r w:rsidRPr="00273D10">
        <w:rPr>
          <w:rFonts w:ascii="Times New Roman" w:hAnsi="Times New Roman"/>
        </w:rPr>
        <w:t xml:space="preserve">"[T]here are ten separate trials being conducted here. There are ten counts. The trials are being heard together for convenience, because there are a number of common parties, in relation to the complainants and the accused, </w:t>
      </w:r>
      <w:r w:rsidR="00385031" w:rsidRPr="00273D10">
        <w:rPr>
          <w:rFonts w:ascii="Times New Roman" w:hAnsi="Times New Roman"/>
        </w:rPr>
        <w:t xml:space="preserve">but you must give separate consideration to each count. That means that you are entitled to bring in verdicts of guilty on some counts and not guilty on some other counts, if there is a logical reason </w:t>
      </w:r>
      <w:r w:rsidR="005E6988" w:rsidRPr="00273D10">
        <w:rPr>
          <w:rFonts w:ascii="Times New Roman" w:hAnsi="Times New Roman"/>
        </w:rPr>
        <w:t>for that outcome.</w:t>
      </w:r>
      <w:r w:rsidR="003E20BF" w:rsidRPr="00273D10">
        <w:rPr>
          <w:rFonts w:ascii="Times New Roman" w:hAnsi="Times New Roman"/>
        </w:rPr>
        <w:t xml:space="preserve"> If you were to find the accused not guilty on any count, particularly if that was because you have had doubts about the reliability of the evidence of one or all of the complainants then you would have to consider how that conclusion affected your consideration of the remaining counts in relation to that complainant.</w:t>
      </w:r>
      <w:r w:rsidR="005E6988" w:rsidRPr="00273D10">
        <w:rPr>
          <w:rFonts w:ascii="Times New Roman" w:hAnsi="Times New Roman"/>
        </w:rPr>
        <w:t>"</w:t>
      </w:r>
    </w:p>
    <w:p w14:paraId="12D38090" w14:textId="717D9A93" w:rsidR="00080CE6" w:rsidRPr="00273D10" w:rsidRDefault="00F11714" w:rsidP="00273D10">
      <w:pPr>
        <w:pStyle w:val="FixListStyle"/>
        <w:spacing w:after="260" w:line="280" w:lineRule="exact"/>
        <w:ind w:right="0"/>
        <w:jc w:val="both"/>
        <w:rPr>
          <w:rFonts w:ascii="Times New Roman" w:hAnsi="Times New Roman"/>
        </w:rPr>
      </w:pPr>
      <w:r w:rsidRPr="00273D10">
        <w:rPr>
          <w:rFonts w:ascii="Times New Roman" w:hAnsi="Times New Roman"/>
        </w:rPr>
        <w:tab/>
        <w:t>Thirdly, the trial judge gave a "character direction":</w:t>
      </w:r>
    </w:p>
    <w:p w14:paraId="4B124A7B" w14:textId="4D89B694" w:rsidR="005E061D" w:rsidRPr="00273D10" w:rsidRDefault="004B5CD0" w:rsidP="00273D10">
      <w:pPr>
        <w:pStyle w:val="leftright"/>
        <w:spacing w:before="0" w:after="260" w:line="280" w:lineRule="exact"/>
        <w:ind w:right="0"/>
        <w:jc w:val="both"/>
        <w:rPr>
          <w:rFonts w:ascii="Times New Roman" w:hAnsi="Times New Roman"/>
        </w:rPr>
      </w:pPr>
      <w:r w:rsidRPr="00273D10">
        <w:rPr>
          <w:rFonts w:ascii="Times New Roman" w:hAnsi="Times New Roman"/>
        </w:rPr>
        <w:tab/>
      </w:r>
      <w:r w:rsidR="000C2C92" w:rsidRPr="00273D10">
        <w:rPr>
          <w:rFonts w:ascii="Times New Roman" w:hAnsi="Times New Roman"/>
        </w:rPr>
        <w:t>"</w:t>
      </w:r>
      <w:r w:rsidR="005E061D" w:rsidRPr="00273D10">
        <w:rPr>
          <w:rFonts w:ascii="Times New Roman" w:hAnsi="Times New Roman"/>
        </w:rPr>
        <w:t xml:space="preserve">I turn to the question of character. The accused has called evidence to establish that he is a person of good character, and you have heard evidence from a number of witnesses who said that he is an honest person, and not a person likely to commit these offences. The Crown has led evidence to contest that assertion. The Crown led evidence of the three </w:t>
      </w:r>
      <w:r w:rsidR="005E061D" w:rsidRPr="00273D10">
        <w:rPr>
          <w:rFonts w:ascii="Times New Roman" w:hAnsi="Times New Roman"/>
        </w:rPr>
        <w:lastRenderedPageBreak/>
        <w:t>videos of the accused where the Crown says that he punched [the Fifth Child] in the stomach, put a pillow over [the Third Child</w:t>
      </w:r>
      <w:r w:rsidR="00E622B7" w:rsidRPr="00273D10">
        <w:rPr>
          <w:rFonts w:ascii="Times New Roman" w:hAnsi="Times New Roman"/>
        </w:rPr>
        <w:t>'</w:t>
      </w:r>
      <w:r w:rsidR="005E061D" w:rsidRPr="00273D10">
        <w:rPr>
          <w:rFonts w:ascii="Times New Roman" w:hAnsi="Times New Roman"/>
        </w:rPr>
        <w:t>s] face, and threatened to punch [the Third Child], as evidence to show that he was not a person of good character when it came to his children, and that he had a bad disposition towards his children.</w:t>
      </w:r>
    </w:p>
    <w:p w14:paraId="6952C34B" w14:textId="372E2322" w:rsidR="005E061D" w:rsidRPr="00273D10" w:rsidRDefault="005E061D" w:rsidP="00273D10">
      <w:pPr>
        <w:pStyle w:val="leftright"/>
        <w:spacing w:before="0" w:after="260" w:line="280" w:lineRule="exact"/>
        <w:ind w:right="0"/>
        <w:jc w:val="both"/>
        <w:rPr>
          <w:rFonts w:ascii="Times New Roman" w:hAnsi="Times New Roman"/>
        </w:rPr>
      </w:pPr>
      <w:r w:rsidRPr="00273D10">
        <w:rPr>
          <w:rFonts w:ascii="Times New Roman" w:hAnsi="Times New Roman"/>
        </w:rPr>
        <w:tab/>
        <w:t>Similarly, the Crown has put before you the evidence of the common assault of [the Fifth Child], where he was convicted of throwing [the Fifth Child] to the ground and treading on his arm and head; and the common assault of [the mother], where he threw a ball at her chest. This is done to rebut the suggestion that he is a person who is of good character and who, other than</w:t>
      </w:r>
      <w:r w:rsidR="00650721" w:rsidRPr="00273D10">
        <w:rPr>
          <w:rFonts w:ascii="Times New Roman" w:hAnsi="Times New Roman"/>
        </w:rPr>
        <w:t xml:space="preserve"> </w:t>
      </w:r>
      <w:r w:rsidRPr="00273D10">
        <w:rPr>
          <w:rFonts w:ascii="Times New Roman" w:hAnsi="Times New Roman"/>
        </w:rPr>
        <w:t xml:space="preserve">those two matters, has no prior convictions. The Crown says these events depict the accused as a person not of good character and a bad parent, and it says that this incident, along with the video, show that the father was trying to control disobedient children. </w:t>
      </w:r>
      <w:r w:rsidR="0072471C" w:rsidRPr="00273D10">
        <w:rPr>
          <w:rFonts w:ascii="Times New Roman" w:hAnsi="Times New Roman"/>
        </w:rPr>
        <w:t>[Counsel for the accused]</w:t>
      </w:r>
      <w:r w:rsidRPr="00273D10">
        <w:rPr>
          <w:rFonts w:ascii="Times New Roman" w:hAnsi="Times New Roman"/>
        </w:rPr>
        <w:t xml:space="preserve"> said that this incident, along with the videos showed that [the accused] was trying to control disobedient children, and that he had no support from his wife.</w:t>
      </w:r>
    </w:p>
    <w:p w14:paraId="205EF010" w14:textId="04A645B3" w:rsidR="005E061D" w:rsidRPr="00273D10" w:rsidRDefault="005E061D" w:rsidP="00273D10">
      <w:pPr>
        <w:pStyle w:val="leftright"/>
        <w:spacing w:before="0" w:after="260" w:line="280" w:lineRule="exact"/>
        <w:ind w:right="0"/>
        <w:jc w:val="both"/>
        <w:rPr>
          <w:rFonts w:ascii="Times New Roman" w:hAnsi="Times New Roman"/>
        </w:rPr>
      </w:pPr>
      <w:r w:rsidRPr="00273D10">
        <w:rPr>
          <w:rFonts w:ascii="Times New Roman" w:hAnsi="Times New Roman"/>
        </w:rPr>
        <w:tab/>
        <w:t>It is necessary for you, bearing in mind the arguments that have been put on both sides on this issue, to have regard to the totality of the evidence relating to the character of the accused, and determine whether you consider that the accused is a person generally of good character. You may reason that such a person of good character is unlikely to have committed these offences as alleged by the Crown. A jury can use the fact that a person is of good character to support his credibility, and you may reason that a person of good character is less likely to lie or give a false account in giving evidence before you, or in giving an account of the events in question in answer to Police. Whether you reason that way is a matter for you to determine.</w:t>
      </w:r>
    </w:p>
    <w:p w14:paraId="1B3151B6" w14:textId="77777777" w:rsidR="00273D10" w:rsidRDefault="005E061D" w:rsidP="00273D10">
      <w:pPr>
        <w:pStyle w:val="leftright"/>
        <w:spacing w:before="0" w:after="260" w:line="280" w:lineRule="exact"/>
        <w:ind w:right="0"/>
        <w:jc w:val="both"/>
        <w:rPr>
          <w:rFonts w:ascii="Times New Roman" w:hAnsi="Times New Roman"/>
        </w:rPr>
      </w:pPr>
      <w:r w:rsidRPr="00273D10">
        <w:rPr>
          <w:rFonts w:ascii="Times New Roman" w:hAnsi="Times New Roman"/>
        </w:rPr>
        <w:tab/>
        <w:t>None of this, of course, means that good character provides the accused with some kind of defence. It is only one of many factors you are entitled to take into account in determining whether you are satisfied beyond a reasonable doubt of the guilt of the accused. The weight that you give to the fact that the accused is a person of good character is completely a matter for you, but you should take it into account in the way that I have indicated to you.</w:t>
      </w:r>
      <w:r w:rsidR="000C2C92" w:rsidRPr="00273D10">
        <w:rPr>
          <w:rFonts w:ascii="Times New Roman" w:hAnsi="Times New Roman"/>
        </w:rPr>
        <w:t>"</w:t>
      </w:r>
    </w:p>
    <w:p w14:paraId="493F0671" w14:textId="47D39614" w:rsidR="00F11714" w:rsidRPr="00273D10" w:rsidRDefault="00F11714" w:rsidP="00273D10">
      <w:pPr>
        <w:pStyle w:val="FixListStyle"/>
        <w:spacing w:after="260" w:line="280" w:lineRule="exact"/>
        <w:ind w:right="0"/>
        <w:jc w:val="both"/>
        <w:rPr>
          <w:rFonts w:ascii="Times New Roman" w:hAnsi="Times New Roman"/>
        </w:rPr>
      </w:pPr>
      <w:r w:rsidRPr="00273D10">
        <w:rPr>
          <w:rFonts w:ascii="Times New Roman" w:hAnsi="Times New Roman"/>
        </w:rPr>
        <w:tab/>
        <w:t xml:space="preserve">Fourthly, </w:t>
      </w:r>
      <w:r w:rsidR="005D4C93" w:rsidRPr="00273D10">
        <w:rPr>
          <w:rFonts w:ascii="Times New Roman" w:hAnsi="Times New Roman"/>
        </w:rPr>
        <w:t xml:space="preserve">as has been noted, </w:t>
      </w:r>
      <w:r w:rsidRPr="00273D10">
        <w:rPr>
          <w:rFonts w:ascii="Times New Roman" w:hAnsi="Times New Roman"/>
        </w:rPr>
        <w:t xml:space="preserve">the trial judge gave </w:t>
      </w:r>
      <w:r w:rsidR="00D02BCF" w:rsidRPr="00273D10">
        <w:rPr>
          <w:rFonts w:ascii="Times New Roman" w:hAnsi="Times New Roman"/>
        </w:rPr>
        <w:t>the</w:t>
      </w:r>
      <w:r w:rsidRPr="00273D10">
        <w:rPr>
          <w:rFonts w:ascii="Times New Roman" w:hAnsi="Times New Roman"/>
        </w:rPr>
        <w:t xml:space="preserve"> "</w:t>
      </w:r>
      <w:r w:rsidRPr="00273D10">
        <w:rPr>
          <w:rFonts w:ascii="Times New Roman" w:hAnsi="Times New Roman"/>
          <w:i/>
        </w:rPr>
        <w:t>Murray</w:t>
      </w:r>
      <w:r w:rsidRPr="00273D10">
        <w:rPr>
          <w:rFonts w:ascii="Times New Roman" w:hAnsi="Times New Roman"/>
        </w:rPr>
        <w:t xml:space="preserve"> direction"</w:t>
      </w:r>
      <w:r w:rsidR="006F7B1C" w:rsidRPr="00273D10">
        <w:rPr>
          <w:rFonts w:ascii="Times New Roman" w:hAnsi="Times New Roman"/>
        </w:rPr>
        <w:t> </w:t>
      </w:r>
      <w:r w:rsidR="00B35065" w:rsidRPr="00273D10">
        <w:rPr>
          <w:rFonts w:ascii="Times New Roman" w:hAnsi="Times New Roman"/>
        </w:rPr>
        <w:t>at the request of the appellant</w:t>
      </w:r>
      <w:r w:rsidRPr="00273D10">
        <w:rPr>
          <w:rFonts w:ascii="Times New Roman" w:hAnsi="Times New Roman"/>
        </w:rPr>
        <w:t>:</w:t>
      </w:r>
    </w:p>
    <w:p w14:paraId="7FC45393" w14:textId="24B184B1" w:rsidR="009B5BC4" w:rsidRPr="00273D10" w:rsidRDefault="008D552E" w:rsidP="00273D10">
      <w:pPr>
        <w:pStyle w:val="leftright"/>
        <w:spacing w:before="0" w:after="260" w:line="280" w:lineRule="exact"/>
        <w:ind w:right="0"/>
        <w:jc w:val="both"/>
        <w:rPr>
          <w:rFonts w:ascii="Times New Roman" w:hAnsi="Times New Roman"/>
        </w:rPr>
      </w:pPr>
      <w:r w:rsidRPr="00273D10">
        <w:rPr>
          <w:rFonts w:ascii="Times New Roman" w:hAnsi="Times New Roman"/>
        </w:rPr>
        <w:t>"</w:t>
      </w:r>
      <w:r w:rsidR="007F5661" w:rsidRPr="00273D10">
        <w:rPr>
          <w:rFonts w:ascii="Times New Roman" w:hAnsi="Times New Roman"/>
        </w:rPr>
        <w:t>You have to exercise caution before you could convict the accused on any</w:t>
      </w:r>
      <w:r w:rsidRPr="00273D10">
        <w:rPr>
          <w:rFonts w:ascii="Times New Roman" w:hAnsi="Times New Roman"/>
        </w:rPr>
        <w:t xml:space="preserve"> </w:t>
      </w:r>
      <w:r w:rsidR="007F5661" w:rsidRPr="00273D10">
        <w:rPr>
          <w:rFonts w:ascii="Times New Roman" w:hAnsi="Times New Roman"/>
        </w:rPr>
        <w:t xml:space="preserve">count because the Crown case largely depends on you accepting the </w:t>
      </w:r>
      <w:r w:rsidR="007F5661" w:rsidRPr="00273D10">
        <w:rPr>
          <w:rFonts w:ascii="Times New Roman" w:hAnsi="Times New Roman"/>
        </w:rPr>
        <w:lastRenderedPageBreak/>
        <w:t>reliability</w:t>
      </w:r>
      <w:r w:rsidRPr="00273D10">
        <w:rPr>
          <w:rFonts w:ascii="Times New Roman" w:hAnsi="Times New Roman"/>
        </w:rPr>
        <w:t xml:space="preserve"> </w:t>
      </w:r>
      <w:r w:rsidR="007F5661" w:rsidRPr="00273D10">
        <w:rPr>
          <w:rFonts w:ascii="Times New Roman" w:hAnsi="Times New Roman"/>
        </w:rPr>
        <w:t>of a single witness. For example, [the First Child] is the only witness to the</w:t>
      </w:r>
      <w:r w:rsidRPr="00273D10">
        <w:rPr>
          <w:rFonts w:ascii="Times New Roman" w:hAnsi="Times New Roman"/>
        </w:rPr>
        <w:t xml:space="preserve"> </w:t>
      </w:r>
      <w:r w:rsidR="007F5661" w:rsidRPr="00273D10">
        <w:rPr>
          <w:rFonts w:ascii="Times New Roman" w:hAnsi="Times New Roman"/>
        </w:rPr>
        <w:t>events that make up the counts on the indictment for her allegations, other</w:t>
      </w:r>
      <w:r w:rsidRPr="00273D10">
        <w:rPr>
          <w:rFonts w:ascii="Times New Roman" w:hAnsi="Times New Roman"/>
        </w:rPr>
        <w:t xml:space="preserve"> </w:t>
      </w:r>
      <w:r w:rsidR="007F5661" w:rsidRPr="00273D10">
        <w:rPr>
          <w:rFonts w:ascii="Times New Roman" w:hAnsi="Times New Roman"/>
        </w:rPr>
        <w:t>than count 3 where her mother says she saw the accused in her bed. On the</w:t>
      </w:r>
      <w:r w:rsidRPr="00273D10">
        <w:rPr>
          <w:rFonts w:ascii="Times New Roman" w:hAnsi="Times New Roman"/>
        </w:rPr>
        <w:t xml:space="preserve"> </w:t>
      </w:r>
      <w:r w:rsidR="007F5661" w:rsidRPr="00273D10">
        <w:rPr>
          <w:rFonts w:ascii="Times New Roman" w:hAnsi="Times New Roman"/>
        </w:rPr>
        <w:t>Crown case [the Fifth Child] was the only witness to the events that he</w:t>
      </w:r>
      <w:r w:rsidRPr="00273D10">
        <w:rPr>
          <w:rFonts w:ascii="Times New Roman" w:hAnsi="Times New Roman"/>
        </w:rPr>
        <w:t xml:space="preserve"> </w:t>
      </w:r>
      <w:r w:rsidR="007F5661" w:rsidRPr="00273D10">
        <w:rPr>
          <w:rFonts w:ascii="Times New Roman" w:hAnsi="Times New Roman"/>
        </w:rPr>
        <w:t>describes, and [the Third Child] is the only witness regarding his allegations.</w:t>
      </w:r>
      <w:r w:rsidR="00D716A8" w:rsidRPr="00273D10">
        <w:rPr>
          <w:rFonts w:ascii="Times New Roman" w:hAnsi="Times New Roman"/>
        </w:rPr>
        <w:t xml:space="preserve"> </w:t>
      </w:r>
      <w:r w:rsidR="007F5661" w:rsidRPr="00273D10">
        <w:rPr>
          <w:rFonts w:ascii="Times New Roman" w:hAnsi="Times New Roman"/>
        </w:rPr>
        <w:t>That being so, unless you are satisfied beyond a reasonable doubt that [the</w:t>
      </w:r>
      <w:r w:rsidRPr="00273D10">
        <w:rPr>
          <w:rFonts w:ascii="Times New Roman" w:hAnsi="Times New Roman"/>
        </w:rPr>
        <w:t xml:space="preserve"> </w:t>
      </w:r>
      <w:r w:rsidR="007F5661" w:rsidRPr="00273D10">
        <w:rPr>
          <w:rFonts w:ascii="Times New Roman" w:hAnsi="Times New Roman"/>
        </w:rPr>
        <w:t>First Child</w:t>
      </w:r>
      <w:r w:rsidR="00D716A8" w:rsidRPr="00273D10">
        <w:rPr>
          <w:rFonts w:ascii="Times New Roman" w:hAnsi="Times New Roman"/>
        </w:rPr>
        <w:t>]</w:t>
      </w:r>
      <w:r w:rsidR="007F5661" w:rsidRPr="00273D10">
        <w:rPr>
          <w:rFonts w:ascii="Times New Roman" w:hAnsi="Times New Roman"/>
        </w:rPr>
        <w:t xml:space="preserve">, </w:t>
      </w:r>
      <w:r w:rsidR="00D716A8" w:rsidRPr="00273D10">
        <w:rPr>
          <w:rFonts w:ascii="Times New Roman" w:hAnsi="Times New Roman"/>
        </w:rPr>
        <w:t>[</w:t>
      </w:r>
      <w:r w:rsidR="007F5661" w:rsidRPr="00273D10">
        <w:rPr>
          <w:rFonts w:ascii="Times New Roman" w:hAnsi="Times New Roman"/>
        </w:rPr>
        <w:t>the Fifth Child</w:t>
      </w:r>
      <w:r w:rsidR="00D716A8" w:rsidRPr="00273D10">
        <w:rPr>
          <w:rFonts w:ascii="Times New Roman" w:hAnsi="Times New Roman"/>
        </w:rPr>
        <w:t>]</w:t>
      </w:r>
      <w:r w:rsidR="007F5661" w:rsidRPr="00273D10">
        <w:rPr>
          <w:rFonts w:ascii="Times New Roman" w:hAnsi="Times New Roman"/>
        </w:rPr>
        <w:t xml:space="preserve">, and </w:t>
      </w:r>
      <w:r w:rsidR="00D716A8" w:rsidRPr="00273D10">
        <w:rPr>
          <w:rFonts w:ascii="Times New Roman" w:hAnsi="Times New Roman"/>
        </w:rPr>
        <w:t>[</w:t>
      </w:r>
      <w:r w:rsidR="007F5661" w:rsidRPr="00273D10">
        <w:rPr>
          <w:rFonts w:ascii="Times New Roman" w:hAnsi="Times New Roman"/>
        </w:rPr>
        <w:t>the Third Child], are both honest and accurate</w:t>
      </w:r>
      <w:r w:rsidRPr="00273D10">
        <w:rPr>
          <w:rFonts w:ascii="Times New Roman" w:hAnsi="Times New Roman"/>
        </w:rPr>
        <w:t xml:space="preserve"> </w:t>
      </w:r>
      <w:r w:rsidR="007F5661" w:rsidRPr="00273D10">
        <w:rPr>
          <w:rFonts w:ascii="Times New Roman" w:hAnsi="Times New Roman"/>
        </w:rPr>
        <w:t>witnesses in the accounts that they have given you cannot find the accused</w:t>
      </w:r>
      <w:r w:rsidRPr="00273D10">
        <w:rPr>
          <w:rFonts w:ascii="Times New Roman" w:hAnsi="Times New Roman"/>
        </w:rPr>
        <w:t xml:space="preserve"> </w:t>
      </w:r>
      <w:r w:rsidR="007F5661" w:rsidRPr="00273D10">
        <w:rPr>
          <w:rFonts w:ascii="Times New Roman" w:hAnsi="Times New Roman"/>
        </w:rPr>
        <w:t xml:space="preserve">guilty. </w:t>
      </w:r>
      <w:r w:rsidR="00D716A8" w:rsidRPr="00273D10">
        <w:rPr>
          <w:rFonts w:ascii="Times New Roman" w:hAnsi="Times New Roman"/>
        </w:rPr>
        <w:t>B</w:t>
      </w:r>
      <w:r w:rsidR="007F5661" w:rsidRPr="00273D10">
        <w:rPr>
          <w:rFonts w:ascii="Times New Roman" w:hAnsi="Times New Roman"/>
        </w:rPr>
        <w:t>efore you could convict the accused you should examine the evidence</w:t>
      </w:r>
      <w:r w:rsidRPr="00273D10">
        <w:rPr>
          <w:rFonts w:ascii="Times New Roman" w:hAnsi="Times New Roman"/>
        </w:rPr>
        <w:t xml:space="preserve"> </w:t>
      </w:r>
      <w:r w:rsidR="007F5661" w:rsidRPr="00273D10">
        <w:rPr>
          <w:rFonts w:ascii="Times New Roman" w:hAnsi="Times New Roman"/>
        </w:rPr>
        <w:t>of the complainants very carefully in order to satisfy yourselves that you can</w:t>
      </w:r>
      <w:r w:rsidRPr="00273D10">
        <w:rPr>
          <w:rFonts w:ascii="Times New Roman" w:hAnsi="Times New Roman"/>
        </w:rPr>
        <w:t xml:space="preserve"> </w:t>
      </w:r>
      <w:r w:rsidR="007F5661" w:rsidRPr="00273D10">
        <w:rPr>
          <w:rFonts w:ascii="Times New Roman" w:hAnsi="Times New Roman"/>
        </w:rPr>
        <w:t>safely act upon that evidence to the high standard required in a criminal trial</w:t>
      </w:r>
      <w:r w:rsidR="009B5BC4" w:rsidRPr="00273D10">
        <w:rPr>
          <w:rFonts w:ascii="Times New Roman" w:hAnsi="Times New Roman"/>
        </w:rPr>
        <w:t>.</w:t>
      </w:r>
    </w:p>
    <w:p w14:paraId="119B6EC4" w14:textId="77777777" w:rsidR="00273D10" w:rsidRDefault="00FF5217" w:rsidP="00273D10">
      <w:pPr>
        <w:pStyle w:val="leftright"/>
        <w:spacing w:before="0" w:after="260" w:line="280" w:lineRule="exact"/>
        <w:ind w:right="0"/>
        <w:jc w:val="both"/>
        <w:rPr>
          <w:rFonts w:ascii="Times New Roman" w:hAnsi="Times New Roman"/>
        </w:rPr>
      </w:pPr>
      <w:r w:rsidRPr="00273D10">
        <w:rPr>
          <w:rFonts w:ascii="Times New Roman" w:hAnsi="Times New Roman"/>
        </w:rPr>
        <w:tab/>
      </w:r>
      <w:r w:rsidR="0000143D" w:rsidRPr="00273D10">
        <w:rPr>
          <w:rFonts w:ascii="Times New Roman" w:hAnsi="Times New Roman"/>
        </w:rPr>
        <w:t>...</w:t>
      </w:r>
      <w:r w:rsidRPr="00273D10">
        <w:rPr>
          <w:rFonts w:ascii="Times New Roman" w:hAnsi="Times New Roman"/>
        </w:rPr>
        <w:t xml:space="preserve"> </w:t>
      </w:r>
      <w:r w:rsidR="009B5BC4" w:rsidRPr="00273D10">
        <w:rPr>
          <w:rFonts w:ascii="Times New Roman" w:hAnsi="Times New Roman"/>
        </w:rPr>
        <w:t xml:space="preserve">In any criminal trial where the Crown relies solely or substantially on the evidence of a single witness, the jury must always approach that evidence with particular caution because of the onus and standard of proof placed upon the Crown. I am not suggesting that you are not entitled to convict the accused on any count on the evidence of a complainant, clearly you are entitled to do so, but only after you have carefully considered the evidence and satisfied yourself that it is reliable beyond a reasonable doubt. </w:t>
      </w:r>
      <w:r w:rsidR="007F5661" w:rsidRPr="00273D10">
        <w:rPr>
          <w:rFonts w:ascii="Times New Roman" w:hAnsi="Times New Roman"/>
        </w:rPr>
        <w:t>In considering the complainants</w:t>
      </w:r>
      <w:r w:rsidR="002E5380" w:rsidRPr="00273D10">
        <w:rPr>
          <w:rFonts w:ascii="Times New Roman" w:hAnsi="Times New Roman"/>
        </w:rPr>
        <w:t>[']</w:t>
      </w:r>
      <w:r w:rsidR="007F5661" w:rsidRPr="00273D10">
        <w:rPr>
          <w:rFonts w:ascii="Times New Roman" w:hAnsi="Times New Roman"/>
        </w:rPr>
        <w:t xml:space="preserve"> evidence in each case and whether it does</w:t>
      </w:r>
      <w:r w:rsidR="008D552E" w:rsidRPr="00273D10">
        <w:rPr>
          <w:rFonts w:ascii="Times New Roman" w:hAnsi="Times New Roman"/>
        </w:rPr>
        <w:t xml:space="preserve"> satisfy you of the guilt of the accused you should, of course, look to see if it is supported by any other evidence.</w:t>
      </w:r>
      <w:r w:rsidR="009B5BC4" w:rsidRPr="00273D10">
        <w:rPr>
          <w:rFonts w:ascii="Times New Roman" w:hAnsi="Times New Roman"/>
        </w:rPr>
        <w:t>"</w:t>
      </w:r>
    </w:p>
    <w:p w14:paraId="2F3AB7CE" w14:textId="78989BBC" w:rsidR="00E6618A" w:rsidRPr="00273D10" w:rsidRDefault="00E6618A"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0F4D9A" w:rsidRPr="00273D10">
        <w:rPr>
          <w:rFonts w:ascii="Times New Roman" w:hAnsi="Times New Roman"/>
        </w:rPr>
        <w:t xml:space="preserve">Despite a suggestion by the appellant that the last clause of this direction, by </w:t>
      </w:r>
      <w:r w:rsidR="003F0CAF" w:rsidRPr="00273D10">
        <w:rPr>
          <w:rFonts w:ascii="Times New Roman" w:hAnsi="Times New Roman"/>
        </w:rPr>
        <w:t xml:space="preserve">instructing </w:t>
      </w:r>
      <w:r w:rsidR="000F4D9A" w:rsidRPr="00273D10">
        <w:rPr>
          <w:rFonts w:ascii="Times New Roman" w:hAnsi="Times New Roman"/>
        </w:rPr>
        <w:t xml:space="preserve">the jury to consider "other evidence" that might support a complainant's evidence, might have been taken by the jury to be an invitation to engage in tendency reasoning, it is apparent from context that </w:t>
      </w:r>
      <w:r w:rsidRPr="00273D10">
        <w:rPr>
          <w:rFonts w:ascii="Times New Roman" w:hAnsi="Times New Roman"/>
        </w:rPr>
        <w:t>the trial judge was speaking of other evidence that directly support</w:t>
      </w:r>
      <w:r w:rsidR="000F4D9A" w:rsidRPr="00273D10">
        <w:rPr>
          <w:rFonts w:ascii="Times New Roman" w:hAnsi="Times New Roman"/>
        </w:rPr>
        <w:t>ed</w:t>
      </w:r>
      <w:r w:rsidRPr="00273D10">
        <w:rPr>
          <w:rFonts w:ascii="Times New Roman" w:hAnsi="Times New Roman"/>
        </w:rPr>
        <w:t xml:space="preserve"> a complainant</w:t>
      </w:r>
      <w:r w:rsidR="009F03FB" w:rsidRPr="00273D10">
        <w:rPr>
          <w:rFonts w:ascii="Times New Roman" w:hAnsi="Times New Roman"/>
        </w:rPr>
        <w:t>'s evidence</w:t>
      </w:r>
      <w:r w:rsidR="000F4D9A" w:rsidRPr="00273D10">
        <w:rPr>
          <w:rFonts w:ascii="Times New Roman" w:hAnsi="Times New Roman"/>
        </w:rPr>
        <w:t>. S</w:t>
      </w:r>
      <w:r w:rsidR="009F03FB" w:rsidRPr="00273D10">
        <w:rPr>
          <w:rFonts w:ascii="Times New Roman" w:hAnsi="Times New Roman"/>
        </w:rPr>
        <w:t xml:space="preserve">uch </w:t>
      </w:r>
      <w:r w:rsidR="000F4D9A" w:rsidRPr="00273D10">
        <w:rPr>
          <w:rFonts w:ascii="Times New Roman" w:hAnsi="Times New Roman"/>
        </w:rPr>
        <w:t>evidence may have included</w:t>
      </w:r>
      <w:r w:rsidR="009F03FB" w:rsidRPr="00273D10">
        <w:rPr>
          <w:rFonts w:ascii="Times New Roman" w:hAnsi="Times New Roman"/>
        </w:rPr>
        <w:t xml:space="preserve">, for example, the evidence of the complainants' mother </w:t>
      </w:r>
      <w:r w:rsidR="003F76AA" w:rsidRPr="00273D10">
        <w:rPr>
          <w:rFonts w:ascii="Times New Roman" w:hAnsi="Times New Roman"/>
        </w:rPr>
        <w:t>finding the appellant in bed with the First Child in relation to count 3, or the videos in the aggression evidence in support of the complain</w:t>
      </w:r>
      <w:r w:rsidR="00E8288F" w:rsidRPr="00273D10">
        <w:rPr>
          <w:rFonts w:ascii="Times New Roman" w:hAnsi="Times New Roman"/>
        </w:rPr>
        <w:t>ants' evidence of the nature of their relationship</w:t>
      </w:r>
      <w:r w:rsidR="008B29AC" w:rsidRPr="00273D10">
        <w:rPr>
          <w:rFonts w:ascii="Times New Roman" w:hAnsi="Times New Roman"/>
        </w:rPr>
        <w:t>s</w:t>
      </w:r>
      <w:r w:rsidR="00E8288F" w:rsidRPr="00273D10">
        <w:rPr>
          <w:rFonts w:ascii="Times New Roman" w:hAnsi="Times New Roman"/>
        </w:rPr>
        <w:t xml:space="preserve"> with the appellant.</w:t>
      </w:r>
    </w:p>
    <w:p w14:paraId="3337D5B5" w14:textId="72EDA00B" w:rsidR="006019BD" w:rsidRPr="00273D10" w:rsidRDefault="006019BD" w:rsidP="00273D10">
      <w:pPr>
        <w:pStyle w:val="HeadingL1"/>
        <w:spacing w:after="260" w:line="280" w:lineRule="exact"/>
        <w:ind w:right="0"/>
        <w:jc w:val="both"/>
        <w:rPr>
          <w:rFonts w:ascii="Times New Roman" w:hAnsi="Times New Roman"/>
        </w:rPr>
      </w:pPr>
      <w:r w:rsidRPr="00273D10">
        <w:rPr>
          <w:rFonts w:ascii="Times New Roman" w:hAnsi="Times New Roman"/>
        </w:rPr>
        <w:t>The Court of Criminal Appeal</w:t>
      </w:r>
    </w:p>
    <w:p w14:paraId="7D6A5BAC" w14:textId="52F2F111" w:rsidR="00492B1B" w:rsidRPr="00273D10" w:rsidRDefault="006019BD"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D7783C" w:rsidRPr="00273D10">
        <w:rPr>
          <w:rFonts w:ascii="Times New Roman" w:hAnsi="Times New Roman"/>
        </w:rPr>
        <w:t>The</w:t>
      </w:r>
      <w:r w:rsidR="00B04C5B" w:rsidRPr="00273D10">
        <w:rPr>
          <w:rFonts w:ascii="Times New Roman" w:hAnsi="Times New Roman"/>
        </w:rPr>
        <w:t xml:space="preserve"> </w:t>
      </w:r>
      <w:r w:rsidR="00D7783C" w:rsidRPr="00273D10">
        <w:rPr>
          <w:rFonts w:ascii="Times New Roman" w:hAnsi="Times New Roman"/>
        </w:rPr>
        <w:t>ground of appeal to the Court of Criminal Appeal with which this Court is concerned did not involve any suggestion that the verdict of the jury should be set aside because it was "unreasonable</w:t>
      </w:r>
      <w:r w:rsidR="00BE47DC" w:rsidRPr="00273D10">
        <w:rPr>
          <w:rFonts w:ascii="Times New Roman" w:hAnsi="Times New Roman"/>
        </w:rPr>
        <w:t xml:space="preserve">, or cannot be supported, having regard to the evidence". </w:t>
      </w:r>
      <w:r w:rsidR="000A5523" w:rsidRPr="00273D10">
        <w:rPr>
          <w:rFonts w:ascii="Times New Roman" w:hAnsi="Times New Roman"/>
        </w:rPr>
        <w:t>And b</w:t>
      </w:r>
      <w:r w:rsidR="00B04C5B" w:rsidRPr="00273D10">
        <w:rPr>
          <w:rFonts w:ascii="Times New Roman" w:hAnsi="Times New Roman"/>
        </w:rPr>
        <w:t>ecause the appellant had not sought an anti</w:t>
      </w:r>
      <w:r w:rsidR="00B04C5B" w:rsidRPr="00273D10">
        <w:rPr>
          <w:rFonts w:ascii="Times New Roman" w:hAnsi="Times New Roman"/>
        </w:rPr>
        <w:noBreakHyphen/>
        <w:t>tendency direction</w:t>
      </w:r>
      <w:r w:rsidR="000F4D9A" w:rsidRPr="00273D10">
        <w:rPr>
          <w:rFonts w:ascii="Times New Roman" w:hAnsi="Times New Roman"/>
        </w:rPr>
        <w:t>,</w:t>
      </w:r>
      <w:r w:rsidR="00B04C5B" w:rsidRPr="00273D10">
        <w:rPr>
          <w:rFonts w:ascii="Times New Roman" w:hAnsi="Times New Roman"/>
        </w:rPr>
        <w:t xml:space="preserve"> it could not be said that the trial judge had made a </w:t>
      </w:r>
      <w:r w:rsidR="000A5523" w:rsidRPr="00273D10">
        <w:rPr>
          <w:rFonts w:ascii="Times New Roman" w:hAnsi="Times New Roman"/>
        </w:rPr>
        <w:t>"</w:t>
      </w:r>
      <w:r w:rsidR="00B04C5B" w:rsidRPr="00273D10">
        <w:rPr>
          <w:rFonts w:ascii="Times New Roman" w:hAnsi="Times New Roman"/>
        </w:rPr>
        <w:t xml:space="preserve">wrong decision </w:t>
      </w:r>
      <w:r w:rsidR="000A5523" w:rsidRPr="00273D10">
        <w:rPr>
          <w:rFonts w:ascii="Times New Roman" w:hAnsi="Times New Roman"/>
        </w:rPr>
        <w:t>of any</w:t>
      </w:r>
      <w:r w:rsidR="00B04C5B" w:rsidRPr="00273D10">
        <w:rPr>
          <w:rFonts w:ascii="Times New Roman" w:hAnsi="Times New Roman"/>
        </w:rPr>
        <w:t xml:space="preserve"> question of law</w:t>
      </w:r>
      <w:r w:rsidR="000A5523" w:rsidRPr="00273D10">
        <w:rPr>
          <w:rFonts w:ascii="Times New Roman" w:hAnsi="Times New Roman"/>
        </w:rPr>
        <w:t>"</w:t>
      </w:r>
      <w:r w:rsidR="00B04C5B" w:rsidRPr="00273D10">
        <w:rPr>
          <w:rFonts w:ascii="Times New Roman" w:hAnsi="Times New Roman"/>
        </w:rPr>
        <w:t xml:space="preserve">. </w:t>
      </w:r>
      <w:r w:rsidR="00122794" w:rsidRPr="00273D10">
        <w:rPr>
          <w:rFonts w:ascii="Times New Roman" w:hAnsi="Times New Roman"/>
        </w:rPr>
        <w:t xml:space="preserve">The only basis on which the appeal might </w:t>
      </w:r>
      <w:r w:rsidR="00926D24" w:rsidRPr="00273D10">
        <w:rPr>
          <w:rFonts w:ascii="Times New Roman" w:hAnsi="Times New Roman"/>
        </w:rPr>
        <w:t xml:space="preserve">be </w:t>
      </w:r>
      <w:r w:rsidR="00122794" w:rsidRPr="00273D10">
        <w:rPr>
          <w:rFonts w:ascii="Times New Roman" w:hAnsi="Times New Roman"/>
        </w:rPr>
        <w:t xml:space="preserve">brought pursuant to s 6(1) of the </w:t>
      </w:r>
      <w:r w:rsidR="00122794" w:rsidRPr="00273D10">
        <w:rPr>
          <w:rFonts w:ascii="Times New Roman" w:hAnsi="Times New Roman"/>
          <w:i/>
          <w:iCs/>
        </w:rPr>
        <w:t xml:space="preserve">Criminal Appeal Act 1912 </w:t>
      </w:r>
      <w:r w:rsidR="00122794" w:rsidRPr="00273D10">
        <w:rPr>
          <w:rFonts w:ascii="Times New Roman" w:hAnsi="Times New Roman"/>
        </w:rPr>
        <w:t xml:space="preserve">(NSW) was </w:t>
      </w:r>
      <w:r w:rsidR="00A03096" w:rsidRPr="00273D10">
        <w:rPr>
          <w:rFonts w:ascii="Times New Roman" w:hAnsi="Times New Roman"/>
        </w:rPr>
        <w:t>that</w:t>
      </w:r>
      <w:r w:rsidR="00926D24" w:rsidRPr="00273D10">
        <w:rPr>
          <w:rFonts w:ascii="Times New Roman" w:hAnsi="Times New Roman"/>
        </w:rPr>
        <w:t>,</w:t>
      </w:r>
      <w:r w:rsidR="00A03096" w:rsidRPr="00273D10">
        <w:rPr>
          <w:rFonts w:ascii="Times New Roman" w:hAnsi="Times New Roman"/>
        </w:rPr>
        <w:t xml:space="preserve"> on some other ground</w:t>
      </w:r>
      <w:r w:rsidR="00926D24" w:rsidRPr="00273D10">
        <w:rPr>
          <w:rFonts w:ascii="Times New Roman" w:hAnsi="Times New Roman"/>
        </w:rPr>
        <w:t>,</w:t>
      </w:r>
      <w:r w:rsidR="00A03096" w:rsidRPr="00273D10">
        <w:rPr>
          <w:rFonts w:ascii="Times New Roman" w:hAnsi="Times New Roman"/>
        </w:rPr>
        <w:t xml:space="preserve"> "there was a miscarriage of justice".</w:t>
      </w:r>
      <w:r w:rsidR="00743CF7" w:rsidRPr="00273D10">
        <w:rPr>
          <w:rFonts w:ascii="Times New Roman" w:hAnsi="Times New Roman"/>
        </w:rPr>
        <w:t xml:space="preserve"> </w:t>
      </w:r>
    </w:p>
    <w:p w14:paraId="2E5856AA" w14:textId="0BA0C29B" w:rsidR="008D72DC" w:rsidRPr="00273D10" w:rsidRDefault="00492B1B" w:rsidP="00273D10">
      <w:pPr>
        <w:pStyle w:val="FixListStyle"/>
        <w:spacing w:after="260" w:line="280" w:lineRule="exact"/>
        <w:ind w:right="0"/>
        <w:jc w:val="both"/>
        <w:rPr>
          <w:rFonts w:ascii="Times New Roman" w:hAnsi="Times New Roman"/>
        </w:rPr>
      </w:pPr>
      <w:r w:rsidRPr="00273D10">
        <w:rPr>
          <w:rFonts w:ascii="Times New Roman" w:hAnsi="Times New Roman"/>
        </w:rPr>
        <w:lastRenderedPageBreak/>
        <w:tab/>
      </w:r>
      <w:r w:rsidR="00B35065" w:rsidRPr="00273D10">
        <w:rPr>
          <w:rFonts w:ascii="Times New Roman" w:hAnsi="Times New Roman"/>
        </w:rPr>
        <w:t>T</w:t>
      </w:r>
      <w:r w:rsidR="00471297" w:rsidRPr="00273D10">
        <w:rPr>
          <w:rFonts w:ascii="Times New Roman" w:hAnsi="Times New Roman"/>
        </w:rPr>
        <w:t xml:space="preserve">he </w:t>
      </w:r>
      <w:r w:rsidR="00F84D12" w:rsidRPr="00273D10">
        <w:rPr>
          <w:rFonts w:ascii="Times New Roman" w:hAnsi="Times New Roman"/>
        </w:rPr>
        <w:t xml:space="preserve">appellant contended that the trial miscarried </w:t>
      </w:r>
      <w:r w:rsidR="004763F5" w:rsidRPr="00273D10">
        <w:rPr>
          <w:rFonts w:ascii="Times New Roman" w:hAnsi="Times New Roman"/>
        </w:rPr>
        <w:t>because</w:t>
      </w:r>
      <w:r w:rsidR="00F84D12" w:rsidRPr="00273D10">
        <w:rPr>
          <w:rFonts w:ascii="Times New Roman" w:hAnsi="Times New Roman"/>
        </w:rPr>
        <w:t xml:space="preserve"> the jury </w:t>
      </w:r>
      <w:r w:rsidR="00F46E3C" w:rsidRPr="00273D10">
        <w:rPr>
          <w:rFonts w:ascii="Times New Roman" w:hAnsi="Times New Roman"/>
        </w:rPr>
        <w:t xml:space="preserve">were </w:t>
      </w:r>
      <w:r w:rsidR="00F84D12" w:rsidRPr="00273D10">
        <w:rPr>
          <w:rFonts w:ascii="Times New Roman" w:hAnsi="Times New Roman"/>
        </w:rPr>
        <w:t xml:space="preserve">not warned </w:t>
      </w:r>
      <w:r w:rsidR="00173F73" w:rsidRPr="00273D10">
        <w:rPr>
          <w:rFonts w:ascii="Times New Roman" w:hAnsi="Times New Roman"/>
        </w:rPr>
        <w:t xml:space="preserve">by the trial judge </w:t>
      </w:r>
      <w:r w:rsidR="00570CCC" w:rsidRPr="00273D10">
        <w:rPr>
          <w:rFonts w:ascii="Times New Roman" w:hAnsi="Times New Roman"/>
        </w:rPr>
        <w:t xml:space="preserve">against using </w:t>
      </w:r>
      <w:r w:rsidR="00F84D12" w:rsidRPr="00273D10">
        <w:rPr>
          <w:rFonts w:ascii="Times New Roman" w:hAnsi="Times New Roman"/>
        </w:rPr>
        <w:t xml:space="preserve">tendency reasoning. </w:t>
      </w:r>
      <w:r w:rsidR="0091451C" w:rsidRPr="00273D10">
        <w:rPr>
          <w:rFonts w:ascii="Times New Roman" w:hAnsi="Times New Roman"/>
        </w:rPr>
        <w:t>Because the appellant</w:t>
      </w:r>
      <w:r w:rsidR="00401F86" w:rsidRPr="00273D10">
        <w:rPr>
          <w:rFonts w:ascii="Times New Roman" w:hAnsi="Times New Roman"/>
        </w:rPr>
        <w:t xml:space="preserve">'s counsel had not </w:t>
      </w:r>
      <w:r w:rsidR="003F3B6E" w:rsidRPr="00273D10">
        <w:rPr>
          <w:rFonts w:ascii="Times New Roman" w:hAnsi="Times New Roman"/>
        </w:rPr>
        <w:t>sought a direction to that effect</w:t>
      </w:r>
      <w:r w:rsidR="00D904E6" w:rsidRPr="00273D10">
        <w:rPr>
          <w:rFonts w:ascii="Times New Roman" w:hAnsi="Times New Roman"/>
        </w:rPr>
        <w:t xml:space="preserve"> at trial,</w:t>
      </w:r>
      <w:r w:rsidR="008E5404" w:rsidRPr="00273D10">
        <w:rPr>
          <w:rFonts w:ascii="Times New Roman" w:hAnsi="Times New Roman"/>
        </w:rPr>
        <w:t xml:space="preserve"> </w:t>
      </w:r>
      <w:r w:rsidR="003F3B6E" w:rsidRPr="00273D10">
        <w:rPr>
          <w:rFonts w:ascii="Times New Roman" w:hAnsi="Times New Roman"/>
        </w:rPr>
        <w:t xml:space="preserve">the appellant required leave to raise this ground pursuant to r 4 of the </w:t>
      </w:r>
      <w:r w:rsidR="003F3B6E" w:rsidRPr="00273D10">
        <w:rPr>
          <w:rFonts w:ascii="Times New Roman" w:hAnsi="Times New Roman"/>
          <w:i/>
        </w:rPr>
        <w:t xml:space="preserve">Criminal Appeal Rules </w:t>
      </w:r>
      <w:r w:rsidR="003F3B6E" w:rsidRPr="00273D10">
        <w:rPr>
          <w:rFonts w:ascii="Times New Roman" w:hAnsi="Times New Roman"/>
        </w:rPr>
        <w:t>(NSW).</w:t>
      </w:r>
      <w:r w:rsidR="00CE6E0E" w:rsidRPr="00273D10">
        <w:rPr>
          <w:rFonts w:ascii="Times New Roman" w:hAnsi="Times New Roman"/>
        </w:rPr>
        <w:t xml:space="preserve"> </w:t>
      </w:r>
      <w:r w:rsidR="00DC676B" w:rsidRPr="00273D10">
        <w:rPr>
          <w:rFonts w:ascii="Times New Roman" w:hAnsi="Times New Roman"/>
        </w:rPr>
        <w:t xml:space="preserve">The </w:t>
      </w:r>
      <w:r w:rsidR="00E16DE1" w:rsidRPr="00273D10">
        <w:rPr>
          <w:rFonts w:ascii="Times New Roman" w:hAnsi="Times New Roman"/>
        </w:rPr>
        <w:t>C</w:t>
      </w:r>
      <w:r w:rsidR="00DC676B" w:rsidRPr="00273D10">
        <w:rPr>
          <w:rFonts w:ascii="Times New Roman" w:hAnsi="Times New Roman"/>
        </w:rPr>
        <w:t>ourt</w:t>
      </w:r>
      <w:r w:rsidR="00766794" w:rsidRPr="00273D10">
        <w:rPr>
          <w:rFonts w:ascii="Times New Roman" w:hAnsi="Times New Roman"/>
        </w:rPr>
        <w:t xml:space="preserve"> </w:t>
      </w:r>
      <w:r w:rsidR="004763F5" w:rsidRPr="00273D10">
        <w:rPr>
          <w:rFonts w:ascii="Times New Roman" w:hAnsi="Times New Roman"/>
        </w:rPr>
        <w:t xml:space="preserve">of Criminal Appeal </w:t>
      </w:r>
      <w:r w:rsidR="00766794" w:rsidRPr="00273D10">
        <w:rPr>
          <w:rFonts w:ascii="Times New Roman" w:hAnsi="Times New Roman"/>
        </w:rPr>
        <w:t>refused leave</w:t>
      </w:r>
      <w:r w:rsidR="002D5970" w:rsidRPr="00273D10">
        <w:rPr>
          <w:rFonts w:ascii="Times New Roman" w:hAnsi="Times New Roman"/>
        </w:rPr>
        <w:t xml:space="preserve"> to appeal</w:t>
      </w:r>
      <w:r w:rsidR="00FF5447" w:rsidRPr="00273D10">
        <w:rPr>
          <w:rFonts w:ascii="Times New Roman" w:hAnsi="Times New Roman"/>
        </w:rPr>
        <w:t xml:space="preserve"> on that ground.</w:t>
      </w:r>
    </w:p>
    <w:p w14:paraId="1EC0A83F" w14:textId="69734286" w:rsidR="00305F46" w:rsidRPr="00273D10" w:rsidRDefault="00305F46"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B53DCA" w:rsidRPr="00273D10">
        <w:rPr>
          <w:rFonts w:ascii="Times New Roman" w:hAnsi="Times New Roman"/>
        </w:rPr>
        <w:t>Beech</w:t>
      </w:r>
      <w:r w:rsidR="00B53DCA" w:rsidRPr="00273D10">
        <w:rPr>
          <w:rFonts w:ascii="Times New Roman" w:hAnsi="Times New Roman"/>
        </w:rPr>
        <w:noBreakHyphen/>
        <w:t xml:space="preserve">Jones J (with whom Adamson J agreed) </w:t>
      </w:r>
      <w:r w:rsidR="00FF5447" w:rsidRPr="00273D10">
        <w:rPr>
          <w:rFonts w:ascii="Times New Roman" w:hAnsi="Times New Roman"/>
        </w:rPr>
        <w:t xml:space="preserve">held that there was no absolute </w:t>
      </w:r>
      <w:r w:rsidR="000E3F12" w:rsidRPr="00273D10">
        <w:rPr>
          <w:rFonts w:ascii="Times New Roman" w:hAnsi="Times New Roman"/>
        </w:rPr>
        <w:t>requirement, or even a presumption, that an anti</w:t>
      </w:r>
      <w:r w:rsidR="000F4D9A" w:rsidRPr="00273D10">
        <w:rPr>
          <w:rFonts w:ascii="Times New Roman" w:hAnsi="Times New Roman"/>
        </w:rPr>
        <w:noBreakHyphen/>
      </w:r>
      <w:r w:rsidR="000E3F12" w:rsidRPr="00273D10">
        <w:rPr>
          <w:rFonts w:ascii="Times New Roman" w:hAnsi="Times New Roman"/>
        </w:rPr>
        <w:t xml:space="preserve">tendency direction </w:t>
      </w:r>
      <w:r w:rsidR="003C59B2" w:rsidRPr="00273D10">
        <w:rPr>
          <w:rFonts w:ascii="Times New Roman" w:hAnsi="Times New Roman"/>
        </w:rPr>
        <w:t xml:space="preserve">must </w:t>
      </w:r>
      <w:r w:rsidR="000E3F12" w:rsidRPr="00273D10">
        <w:rPr>
          <w:rFonts w:ascii="Times New Roman" w:hAnsi="Times New Roman"/>
        </w:rPr>
        <w:t xml:space="preserve">be given in </w:t>
      </w:r>
      <w:r w:rsidR="003C59B2" w:rsidRPr="00273D10">
        <w:rPr>
          <w:rFonts w:ascii="Times New Roman" w:hAnsi="Times New Roman"/>
        </w:rPr>
        <w:t xml:space="preserve">every </w:t>
      </w:r>
      <w:r w:rsidR="000E3F12" w:rsidRPr="00273D10">
        <w:rPr>
          <w:rFonts w:ascii="Times New Roman" w:hAnsi="Times New Roman"/>
        </w:rPr>
        <w:t xml:space="preserve">case in </w:t>
      </w:r>
      <w:r w:rsidR="00AB3294" w:rsidRPr="00273D10">
        <w:rPr>
          <w:rFonts w:ascii="Times New Roman" w:hAnsi="Times New Roman"/>
        </w:rPr>
        <w:t>which multiple counts of sexual assault involving different complainants are tried together</w:t>
      </w:r>
      <w:r w:rsidR="006918D0" w:rsidRPr="00273D10">
        <w:rPr>
          <w:rFonts w:ascii="Times New Roman" w:hAnsi="Times New Roman"/>
        </w:rPr>
        <w:t xml:space="preserve"> </w:t>
      </w:r>
      <w:r w:rsidR="002E5380" w:rsidRPr="00273D10">
        <w:rPr>
          <w:rFonts w:ascii="Times New Roman" w:hAnsi="Times New Roman"/>
        </w:rPr>
        <w:t xml:space="preserve">and </w:t>
      </w:r>
      <w:r w:rsidR="006918D0" w:rsidRPr="00273D10">
        <w:rPr>
          <w:rFonts w:ascii="Times New Roman" w:hAnsi="Times New Roman"/>
        </w:rPr>
        <w:t>where the evidence in respect of the counts is not admi</w:t>
      </w:r>
      <w:r w:rsidR="003C59B2" w:rsidRPr="00273D10">
        <w:rPr>
          <w:rFonts w:ascii="Times New Roman" w:hAnsi="Times New Roman"/>
        </w:rPr>
        <w:t>tted</w:t>
      </w:r>
      <w:r w:rsidR="006918D0" w:rsidRPr="00273D10">
        <w:rPr>
          <w:rFonts w:ascii="Times New Roman" w:hAnsi="Times New Roman"/>
        </w:rPr>
        <w:t xml:space="preserve"> as tendency evidence.</w:t>
      </w:r>
      <w:r w:rsidR="00122CD3" w:rsidRPr="00273D10">
        <w:rPr>
          <w:rFonts w:ascii="Times New Roman" w:hAnsi="Times New Roman"/>
        </w:rPr>
        <w:t xml:space="preserve"> His Honour </w:t>
      </w:r>
      <w:r w:rsidR="00BD12C0" w:rsidRPr="00273D10">
        <w:rPr>
          <w:rFonts w:ascii="Times New Roman" w:hAnsi="Times New Roman"/>
        </w:rPr>
        <w:t>observed that</w:t>
      </w:r>
      <w:r w:rsidR="009613B3" w:rsidRPr="00273D10">
        <w:rPr>
          <w:rFonts w:ascii="Times New Roman" w:hAnsi="Times New Roman"/>
        </w:rPr>
        <w:t xml:space="preserve"> whether a miscarriage of justice is </w:t>
      </w:r>
      <w:r w:rsidR="002A0F56" w:rsidRPr="00273D10">
        <w:rPr>
          <w:rFonts w:ascii="Times New Roman" w:hAnsi="Times New Roman"/>
        </w:rPr>
        <w:t xml:space="preserve">occasioned </w:t>
      </w:r>
      <w:r w:rsidR="009613B3" w:rsidRPr="00273D10">
        <w:rPr>
          <w:rFonts w:ascii="Times New Roman" w:hAnsi="Times New Roman"/>
        </w:rPr>
        <w:t xml:space="preserve">by a failure to give </w:t>
      </w:r>
      <w:r w:rsidR="002A0F56" w:rsidRPr="00273D10">
        <w:rPr>
          <w:rFonts w:ascii="Times New Roman" w:hAnsi="Times New Roman"/>
        </w:rPr>
        <w:t>an ant</w:t>
      </w:r>
      <w:r w:rsidR="00923C41" w:rsidRPr="00273D10">
        <w:rPr>
          <w:rFonts w:ascii="Times New Roman" w:hAnsi="Times New Roman"/>
        </w:rPr>
        <w:t>i</w:t>
      </w:r>
      <w:r w:rsidR="00923C41" w:rsidRPr="00273D10">
        <w:rPr>
          <w:rFonts w:ascii="Times New Roman" w:hAnsi="Times New Roman"/>
        </w:rPr>
        <w:noBreakHyphen/>
        <w:t xml:space="preserve">tendency </w:t>
      </w:r>
      <w:r w:rsidR="009613B3" w:rsidRPr="00273D10">
        <w:rPr>
          <w:rFonts w:ascii="Times New Roman" w:hAnsi="Times New Roman"/>
        </w:rPr>
        <w:t xml:space="preserve">direction </w:t>
      </w:r>
      <w:r w:rsidR="00E07B0B" w:rsidRPr="00273D10">
        <w:rPr>
          <w:rFonts w:ascii="Times New Roman" w:hAnsi="Times New Roman"/>
        </w:rPr>
        <w:t>depends on the</w:t>
      </w:r>
      <w:r w:rsidR="004763F5" w:rsidRPr="00273D10">
        <w:rPr>
          <w:rFonts w:ascii="Times New Roman" w:hAnsi="Times New Roman"/>
        </w:rPr>
        <w:t xml:space="preserve"> extent of the</w:t>
      </w:r>
      <w:r w:rsidR="00E07B0B" w:rsidRPr="00273D10">
        <w:rPr>
          <w:rFonts w:ascii="Times New Roman" w:hAnsi="Times New Roman"/>
        </w:rPr>
        <w:t xml:space="preserve"> risk </w:t>
      </w:r>
      <w:r w:rsidR="00126583" w:rsidRPr="00273D10">
        <w:rPr>
          <w:rFonts w:ascii="Times New Roman" w:hAnsi="Times New Roman"/>
        </w:rPr>
        <w:t>that</w:t>
      </w:r>
      <w:r w:rsidR="00E07B0B" w:rsidRPr="00273D10">
        <w:rPr>
          <w:rFonts w:ascii="Times New Roman" w:hAnsi="Times New Roman"/>
        </w:rPr>
        <w:t xml:space="preserve"> the jury </w:t>
      </w:r>
      <w:r w:rsidR="007705B2" w:rsidRPr="00273D10">
        <w:rPr>
          <w:rFonts w:ascii="Times New Roman" w:hAnsi="Times New Roman"/>
        </w:rPr>
        <w:t>will engage</w:t>
      </w:r>
      <w:r w:rsidR="00E07B0B" w:rsidRPr="00273D10">
        <w:rPr>
          <w:rFonts w:ascii="Times New Roman" w:hAnsi="Times New Roman"/>
        </w:rPr>
        <w:t xml:space="preserve"> in tendency reasoning. The assessment of that risk will be informed by an analysis of the parties' respective cases </w:t>
      </w:r>
      <w:r w:rsidR="00923C41" w:rsidRPr="00273D10">
        <w:rPr>
          <w:rFonts w:ascii="Times New Roman" w:hAnsi="Times New Roman"/>
        </w:rPr>
        <w:t xml:space="preserve">and how they </w:t>
      </w:r>
      <w:r w:rsidR="00E07B0B" w:rsidRPr="00273D10">
        <w:rPr>
          <w:rFonts w:ascii="Times New Roman" w:hAnsi="Times New Roman"/>
        </w:rPr>
        <w:t xml:space="preserve">were conducted, the effect of other directions given, and whether counsel </w:t>
      </w:r>
      <w:r w:rsidR="000F4D9A" w:rsidRPr="00273D10">
        <w:rPr>
          <w:rFonts w:ascii="Times New Roman" w:hAnsi="Times New Roman"/>
        </w:rPr>
        <w:t>sought</w:t>
      </w:r>
      <w:r w:rsidR="000046D4" w:rsidRPr="00273D10">
        <w:rPr>
          <w:rFonts w:ascii="Times New Roman" w:hAnsi="Times New Roman"/>
        </w:rPr>
        <w:t xml:space="preserve"> an anti</w:t>
      </w:r>
      <w:r w:rsidR="000F4D9A" w:rsidRPr="00273D10">
        <w:rPr>
          <w:rFonts w:ascii="Times New Roman" w:hAnsi="Times New Roman"/>
        </w:rPr>
        <w:noBreakHyphen/>
      </w:r>
      <w:r w:rsidR="000046D4" w:rsidRPr="00273D10">
        <w:rPr>
          <w:rFonts w:ascii="Times New Roman" w:hAnsi="Times New Roman"/>
        </w:rPr>
        <w:t>tendency direction</w:t>
      </w:r>
      <w:r w:rsidR="000046D4" w:rsidRPr="00273D10">
        <w:rPr>
          <w:rStyle w:val="FootnoteReference"/>
          <w:rFonts w:ascii="Times New Roman" w:hAnsi="Times New Roman"/>
          <w:sz w:val="24"/>
        </w:rPr>
        <w:footnoteReference w:id="16"/>
      </w:r>
      <w:r w:rsidR="000046D4" w:rsidRPr="00273D10">
        <w:rPr>
          <w:rFonts w:ascii="Times New Roman" w:hAnsi="Times New Roman"/>
        </w:rPr>
        <w:t>.</w:t>
      </w:r>
      <w:r w:rsidR="00535A44" w:rsidRPr="00273D10">
        <w:rPr>
          <w:rFonts w:ascii="Times New Roman" w:hAnsi="Times New Roman"/>
        </w:rPr>
        <w:t xml:space="preserve"> </w:t>
      </w:r>
    </w:p>
    <w:p w14:paraId="5C8CD6D7" w14:textId="31567C51" w:rsidR="00D86D87" w:rsidRPr="00273D10" w:rsidRDefault="00D86D87" w:rsidP="00273D10">
      <w:pPr>
        <w:pStyle w:val="FixListStyle"/>
        <w:spacing w:after="260" w:line="280" w:lineRule="exact"/>
        <w:ind w:right="0"/>
        <w:jc w:val="both"/>
        <w:rPr>
          <w:rFonts w:ascii="Times New Roman" w:hAnsi="Times New Roman"/>
        </w:rPr>
      </w:pPr>
      <w:r w:rsidRPr="00273D10">
        <w:rPr>
          <w:rFonts w:ascii="Times New Roman" w:hAnsi="Times New Roman"/>
        </w:rPr>
        <w:tab/>
        <w:t>Beech</w:t>
      </w:r>
      <w:r w:rsidRPr="00273D10">
        <w:rPr>
          <w:rFonts w:ascii="Times New Roman" w:hAnsi="Times New Roman"/>
        </w:rPr>
        <w:noBreakHyphen/>
        <w:t>Jones J concluded that</w:t>
      </w:r>
      <w:r w:rsidR="00393B8C" w:rsidRPr="00273D10">
        <w:rPr>
          <w:rFonts w:ascii="Times New Roman" w:hAnsi="Times New Roman"/>
        </w:rPr>
        <w:t>, in the circumstances,</w:t>
      </w:r>
      <w:r w:rsidRPr="00273D10">
        <w:rPr>
          <w:rFonts w:ascii="Times New Roman" w:hAnsi="Times New Roman"/>
        </w:rPr>
        <w:t xml:space="preserve"> the </w:t>
      </w:r>
      <w:r w:rsidR="00D1028E" w:rsidRPr="00273D10">
        <w:rPr>
          <w:rFonts w:ascii="Times New Roman" w:hAnsi="Times New Roman"/>
        </w:rPr>
        <w:t xml:space="preserve">combined </w:t>
      </w:r>
      <w:r w:rsidR="00657333" w:rsidRPr="00273D10">
        <w:rPr>
          <w:rFonts w:ascii="Times New Roman" w:hAnsi="Times New Roman"/>
        </w:rPr>
        <w:t xml:space="preserve">effect of the </w:t>
      </w:r>
      <w:r w:rsidRPr="00273D10">
        <w:rPr>
          <w:rFonts w:ascii="Times New Roman" w:hAnsi="Times New Roman"/>
        </w:rPr>
        <w:t xml:space="preserve">separate </w:t>
      </w:r>
      <w:r w:rsidR="000E58F7" w:rsidRPr="00273D10">
        <w:rPr>
          <w:rFonts w:ascii="Times New Roman" w:hAnsi="Times New Roman"/>
        </w:rPr>
        <w:t>consideration</w:t>
      </w:r>
      <w:r w:rsidRPr="00273D10">
        <w:rPr>
          <w:rFonts w:ascii="Times New Roman" w:hAnsi="Times New Roman"/>
        </w:rPr>
        <w:t xml:space="preserve"> direction </w:t>
      </w:r>
      <w:r w:rsidR="00657333" w:rsidRPr="00273D10">
        <w:rPr>
          <w:rFonts w:ascii="Times New Roman" w:hAnsi="Times New Roman"/>
        </w:rPr>
        <w:t xml:space="preserve">and the </w:t>
      </w:r>
      <w:r w:rsidR="00657333" w:rsidRPr="00273D10">
        <w:rPr>
          <w:rFonts w:ascii="Times New Roman" w:hAnsi="Times New Roman"/>
          <w:i/>
        </w:rPr>
        <w:t>Murray</w:t>
      </w:r>
      <w:r w:rsidR="00657333" w:rsidRPr="00273D10">
        <w:rPr>
          <w:rFonts w:ascii="Times New Roman" w:hAnsi="Times New Roman"/>
        </w:rPr>
        <w:t xml:space="preserve"> direction was </w:t>
      </w:r>
      <w:r w:rsidR="006330F2" w:rsidRPr="00273D10">
        <w:rPr>
          <w:rFonts w:ascii="Times New Roman" w:hAnsi="Times New Roman"/>
        </w:rPr>
        <w:t xml:space="preserve">sufficient </w:t>
      </w:r>
      <w:r w:rsidR="00657333" w:rsidRPr="00273D10">
        <w:rPr>
          <w:rFonts w:ascii="Times New Roman" w:hAnsi="Times New Roman"/>
        </w:rPr>
        <w:t xml:space="preserve">to </w:t>
      </w:r>
      <w:r w:rsidR="007705B2" w:rsidRPr="00273D10">
        <w:rPr>
          <w:rFonts w:ascii="Times New Roman" w:hAnsi="Times New Roman"/>
        </w:rPr>
        <w:t xml:space="preserve">ensure that </w:t>
      </w:r>
      <w:r w:rsidR="00D1028E" w:rsidRPr="00273D10">
        <w:rPr>
          <w:rFonts w:ascii="Times New Roman" w:hAnsi="Times New Roman"/>
        </w:rPr>
        <w:t xml:space="preserve">the jury </w:t>
      </w:r>
      <w:r w:rsidR="0067444A" w:rsidRPr="00273D10">
        <w:rPr>
          <w:rFonts w:ascii="Times New Roman" w:hAnsi="Times New Roman"/>
        </w:rPr>
        <w:t xml:space="preserve">understood </w:t>
      </w:r>
      <w:r w:rsidR="00D1028E" w:rsidRPr="00273D10">
        <w:rPr>
          <w:rFonts w:ascii="Times New Roman" w:hAnsi="Times New Roman"/>
        </w:rPr>
        <w:t>that each of the First</w:t>
      </w:r>
      <w:r w:rsidR="008A2FB6" w:rsidRPr="00273D10">
        <w:rPr>
          <w:rFonts w:ascii="Times New Roman" w:hAnsi="Times New Roman"/>
        </w:rPr>
        <w:t xml:space="preserve"> Child</w:t>
      </w:r>
      <w:r w:rsidR="00D1028E" w:rsidRPr="00273D10">
        <w:rPr>
          <w:rFonts w:ascii="Times New Roman" w:hAnsi="Times New Roman"/>
        </w:rPr>
        <w:t xml:space="preserve">, </w:t>
      </w:r>
      <w:r w:rsidR="003E50CC" w:rsidRPr="00273D10">
        <w:rPr>
          <w:rFonts w:ascii="Times New Roman" w:hAnsi="Times New Roman"/>
        </w:rPr>
        <w:t xml:space="preserve">the </w:t>
      </w:r>
      <w:r w:rsidR="00D1028E" w:rsidRPr="00273D10">
        <w:rPr>
          <w:rFonts w:ascii="Times New Roman" w:hAnsi="Times New Roman"/>
        </w:rPr>
        <w:t xml:space="preserve">Third </w:t>
      </w:r>
      <w:r w:rsidR="008A2FB6" w:rsidRPr="00273D10">
        <w:rPr>
          <w:rFonts w:ascii="Times New Roman" w:hAnsi="Times New Roman"/>
        </w:rPr>
        <w:t xml:space="preserve">Child </w:t>
      </w:r>
      <w:r w:rsidR="00D1028E" w:rsidRPr="00273D10">
        <w:rPr>
          <w:rFonts w:ascii="Times New Roman" w:hAnsi="Times New Roman"/>
        </w:rPr>
        <w:t xml:space="preserve">and </w:t>
      </w:r>
      <w:r w:rsidR="003E50CC" w:rsidRPr="00273D10">
        <w:rPr>
          <w:rFonts w:ascii="Times New Roman" w:hAnsi="Times New Roman"/>
        </w:rPr>
        <w:t xml:space="preserve">the </w:t>
      </w:r>
      <w:r w:rsidR="00D1028E" w:rsidRPr="00273D10">
        <w:rPr>
          <w:rFonts w:ascii="Times New Roman" w:hAnsi="Times New Roman"/>
        </w:rPr>
        <w:t xml:space="preserve">Fifth </w:t>
      </w:r>
      <w:r w:rsidR="008A2FB6" w:rsidRPr="00273D10">
        <w:rPr>
          <w:rFonts w:ascii="Times New Roman" w:hAnsi="Times New Roman"/>
        </w:rPr>
        <w:t xml:space="preserve">Child </w:t>
      </w:r>
      <w:r w:rsidR="000F4D9A" w:rsidRPr="00273D10">
        <w:rPr>
          <w:rFonts w:ascii="Times New Roman" w:hAnsi="Times New Roman"/>
        </w:rPr>
        <w:t xml:space="preserve">was </w:t>
      </w:r>
      <w:r w:rsidR="00D1028E" w:rsidRPr="00273D10">
        <w:rPr>
          <w:rFonts w:ascii="Times New Roman" w:hAnsi="Times New Roman"/>
        </w:rPr>
        <w:t xml:space="preserve">the "only witness" to the events comprising </w:t>
      </w:r>
      <w:r w:rsidR="00D72A8B" w:rsidRPr="00273D10">
        <w:rPr>
          <w:rFonts w:ascii="Times New Roman" w:hAnsi="Times New Roman"/>
        </w:rPr>
        <w:t xml:space="preserve">each </w:t>
      </w:r>
      <w:r w:rsidR="00D1028E" w:rsidRPr="00273D10">
        <w:rPr>
          <w:rFonts w:ascii="Times New Roman" w:hAnsi="Times New Roman"/>
        </w:rPr>
        <w:t xml:space="preserve">count relating to </w:t>
      </w:r>
      <w:r w:rsidR="00A533A5" w:rsidRPr="00273D10">
        <w:rPr>
          <w:rFonts w:ascii="Times New Roman" w:hAnsi="Times New Roman"/>
        </w:rPr>
        <w:t xml:space="preserve">each child, </w:t>
      </w:r>
      <w:r w:rsidR="00D72A8B" w:rsidRPr="00273D10">
        <w:rPr>
          <w:rFonts w:ascii="Times New Roman" w:hAnsi="Times New Roman"/>
        </w:rPr>
        <w:t xml:space="preserve">so that </w:t>
      </w:r>
      <w:r w:rsidR="00657333" w:rsidRPr="00273D10">
        <w:rPr>
          <w:rFonts w:ascii="Times New Roman" w:hAnsi="Times New Roman"/>
        </w:rPr>
        <w:t xml:space="preserve">the risk of the jury </w:t>
      </w:r>
      <w:r w:rsidR="00036443" w:rsidRPr="00273D10">
        <w:rPr>
          <w:rFonts w:ascii="Times New Roman" w:hAnsi="Times New Roman"/>
        </w:rPr>
        <w:t xml:space="preserve">having engaged </w:t>
      </w:r>
      <w:r w:rsidR="00657333" w:rsidRPr="00273D10">
        <w:rPr>
          <w:rFonts w:ascii="Times New Roman" w:hAnsi="Times New Roman"/>
        </w:rPr>
        <w:t>in tendency reasoning</w:t>
      </w:r>
      <w:r w:rsidR="0001716D" w:rsidRPr="00273D10">
        <w:rPr>
          <w:rFonts w:ascii="Times New Roman" w:hAnsi="Times New Roman"/>
        </w:rPr>
        <w:t xml:space="preserve"> was substantially diminished</w:t>
      </w:r>
      <w:r w:rsidR="00657333" w:rsidRPr="00273D10">
        <w:rPr>
          <w:rStyle w:val="FootnoteReference"/>
          <w:rFonts w:ascii="Times New Roman" w:hAnsi="Times New Roman"/>
          <w:sz w:val="24"/>
        </w:rPr>
        <w:footnoteReference w:id="17"/>
      </w:r>
      <w:r w:rsidR="00657333" w:rsidRPr="00273D10">
        <w:rPr>
          <w:rFonts w:ascii="Times New Roman" w:hAnsi="Times New Roman"/>
        </w:rPr>
        <w:t>.</w:t>
      </w:r>
      <w:r w:rsidR="00A02ED0" w:rsidRPr="00273D10">
        <w:rPr>
          <w:rFonts w:ascii="Times New Roman" w:hAnsi="Times New Roman"/>
        </w:rPr>
        <w:t xml:space="preserve"> </w:t>
      </w:r>
      <w:r w:rsidR="0067444A" w:rsidRPr="00273D10">
        <w:rPr>
          <w:rFonts w:ascii="Times New Roman" w:hAnsi="Times New Roman"/>
        </w:rPr>
        <w:t>Beech</w:t>
      </w:r>
      <w:r w:rsidR="0067444A" w:rsidRPr="00273D10">
        <w:rPr>
          <w:rFonts w:ascii="Times New Roman" w:hAnsi="Times New Roman"/>
        </w:rPr>
        <w:noBreakHyphen/>
        <w:t>Jones J</w:t>
      </w:r>
      <w:r w:rsidR="0001716D" w:rsidRPr="00273D10">
        <w:rPr>
          <w:rFonts w:ascii="Times New Roman" w:hAnsi="Times New Roman"/>
        </w:rPr>
        <w:t xml:space="preserve"> said</w:t>
      </w:r>
      <w:r w:rsidR="00BA18B5" w:rsidRPr="00273D10">
        <w:rPr>
          <w:rStyle w:val="FootnoteReference"/>
          <w:rFonts w:ascii="Times New Roman" w:hAnsi="Times New Roman"/>
          <w:sz w:val="24"/>
        </w:rPr>
        <w:footnoteReference w:id="18"/>
      </w:r>
      <w:r w:rsidR="00D27310" w:rsidRPr="00273D10">
        <w:rPr>
          <w:rFonts w:ascii="Times New Roman" w:hAnsi="Times New Roman"/>
        </w:rPr>
        <w:t>:</w:t>
      </w:r>
    </w:p>
    <w:p w14:paraId="6E78C064" w14:textId="77777777" w:rsidR="00273D10" w:rsidRDefault="00BA18B5" w:rsidP="00273D10">
      <w:pPr>
        <w:pStyle w:val="leftright"/>
        <w:spacing w:before="0" w:after="260" w:line="280" w:lineRule="exact"/>
        <w:ind w:right="0"/>
        <w:jc w:val="both"/>
        <w:rPr>
          <w:rFonts w:ascii="Times New Roman" w:hAnsi="Times New Roman"/>
        </w:rPr>
      </w:pPr>
      <w:r w:rsidRPr="00273D10">
        <w:rPr>
          <w:rFonts w:ascii="Times New Roman" w:hAnsi="Times New Roman"/>
        </w:rPr>
        <w:t>"</w:t>
      </w:r>
      <w:r w:rsidR="004353AC" w:rsidRPr="00273D10">
        <w:rPr>
          <w:rFonts w:ascii="Times New Roman" w:hAnsi="Times New Roman"/>
        </w:rPr>
        <w:t xml:space="preserve">Most significantly, the </w:t>
      </w:r>
      <w:r w:rsidR="004353AC" w:rsidRPr="00273D10">
        <w:rPr>
          <w:rFonts w:ascii="Times New Roman" w:hAnsi="Times New Roman"/>
          <w:i/>
        </w:rPr>
        <w:t>Murray</w:t>
      </w:r>
      <w:r w:rsidR="004353AC" w:rsidRPr="00273D10">
        <w:rPr>
          <w:rFonts w:ascii="Times New Roman" w:hAnsi="Times New Roman"/>
        </w:rPr>
        <w:t xml:space="preserve"> direction precluded a juror from reasoning that they could convict the </w:t>
      </w:r>
      <w:r w:rsidR="00692FCD" w:rsidRPr="00273D10">
        <w:rPr>
          <w:rFonts w:ascii="Times New Roman" w:hAnsi="Times New Roman"/>
        </w:rPr>
        <w:t xml:space="preserve">[appellant] </w:t>
      </w:r>
      <w:r w:rsidR="004353AC" w:rsidRPr="00273D10">
        <w:rPr>
          <w:rFonts w:ascii="Times New Roman" w:hAnsi="Times New Roman"/>
        </w:rPr>
        <w:t xml:space="preserve">on any count concerning a particular child even though they had doubts about the honesty and accuracy of the evidence of that child because of their acceptance of the evidence of another child and what that evidence might demonstrate about the </w:t>
      </w:r>
      <w:r w:rsidR="00D55E79" w:rsidRPr="00273D10">
        <w:rPr>
          <w:rFonts w:ascii="Times New Roman" w:hAnsi="Times New Roman"/>
        </w:rPr>
        <w:t xml:space="preserve">[appellant's] </w:t>
      </w:r>
      <w:r w:rsidR="004353AC" w:rsidRPr="00273D10">
        <w:rPr>
          <w:rFonts w:ascii="Times New Roman" w:hAnsi="Times New Roman"/>
        </w:rPr>
        <w:t xml:space="preserve">tendencies or propensity. The effect of the </w:t>
      </w:r>
      <w:r w:rsidR="004353AC" w:rsidRPr="00273D10">
        <w:rPr>
          <w:rFonts w:ascii="Times New Roman" w:hAnsi="Times New Roman"/>
          <w:i/>
        </w:rPr>
        <w:t>Murray</w:t>
      </w:r>
      <w:r w:rsidR="004353AC" w:rsidRPr="00273D10">
        <w:rPr>
          <w:rFonts w:ascii="Times New Roman" w:hAnsi="Times New Roman"/>
        </w:rPr>
        <w:t xml:space="preserve"> direction was that, unless the jury were positively satisfied that the relevant child was an honest and accurate witness, then they could not convict</w:t>
      </w:r>
      <w:r w:rsidRPr="00273D10">
        <w:rPr>
          <w:rFonts w:ascii="Times New Roman" w:hAnsi="Times New Roman"/>
        </w:rPr>
        <w:t xml:space="preserve"> </w:t>
      </w:r>
      <w:r w:rsidR="004353AC" w:rsidRPr="00273D10">
        <w:rPr>
          <w:rFonts w:ascii="Times New Roman" w:hAnsi="Times New Roman"/>
        </w:rPr>
        <w:t xml:space="preserve">the </w:t>
      </w:r>
      <w:r w:rsidR="00D55E79" w:rsidRPr="00273D10">
        <w:rPr>
          <w:rFonts w:ascii="Times New Roman" w:hAnsi="Times New Roman"/>
        </w:rPr>
        <w:t xml:space="preserve">[appellant] </w:t>
      </w:r>
      <w:r w:rsidR="004353AC" w:rsidRPr="00273D10">
        <w:rPr>
          <w:rFonts w:ascii="Times New Roman" w:hAnsi="Times New Roman"/>
        </w:rPr>
        <w:t>on the counts that related to that child.</w:t>
      </w:r>
      <w:r w:rsidRPr="00273D10">
        <w:rPr>
          <w:rFonts w:ascii="Times New Roman" w:hAnsi="Times New Roman"/>
        </w:rPr>
        <w:t>"</w:t>
      </w:r>
    </w:p>
    <w:p w14:paraId="0EAD00B7" w14:textId="3CB7B3C7" w:rsidR="002D5970" w:rsidRPr="00273D10" w:rsidRDefault="00581287" w:rsidP="00273D10">
      <w:pPr>
        <w:pStyle w:val="FixListStyle"/>
        <w:spacing w:after="260" w:line="280" w:lineRule="exact"/>
        <w:ind w:right="0"/>
        <w:jc w:val="both"/>
        <w:rPr>
          <w:rFonts w:ascii="Times New Roman" w:hAnsi="Times New Roman"/>
        </w:rPr>
      </w:pPr>
      <w:r w:rsidRPr="00273D10">
        <w:rPr>
          <w:rFonts w:ascii="Times New Roman" w:hAnsi="Times New Roman"/>
        </w:rPr>
        <w:lastRenderedPageBreak/>
        <w:tab/>
        <w:t>His Honour acknowledged that</w:t>
      </w:r>
      <w:r w:rsidR="00E16DE1" w:rsidRPr="00273D10">
        <w:rPr>
          <w:rFonts w:ascii="Times New Roman" w:hAnsi="Times New Roman"/>
        </w:rPr>
        <w:t>, nevertheless,</w:t>
      </w:r>
      <w:r w:rsidRPr="00273D10">
        <w:rPr>
          <w:rFonts w:ascii="Times New Roman" w:hAnsi="Times New Roman"/>
        </w:rPr>
        <w:t xml:space="preserve"> there remained "at least a theoretical risk"</w:t>
      </w:r>
      <w:r w:rsidR="00036443" w:rsidRPr="00273D10">
        <w:rPr>
          <w:rStyle w:val="FootnoteReference"/>
          <w:rFonts w:ascii="Times New Roman" w:hAnsi="Times New Roman"/>
          <w:sz w:val="24"/>
        </w:rPr>
        <w:footnoteReference w:id="19"/>
      </w:r>
      <w:r w:rsidRPr="00273D10">
        <w:rPr>
          <w:rFonts w:ascii="Times New Roman" w:hAnsi="Times New Roman"/>
        </w:rPr>
        <w:t xml:space="preserve"> that the jury might reason from </w:t>
      </w:r>
      <w:r w:rsidR="00816C13" w:rsidRPr="00273D10">
        <w:rPr>
          <w:rFonts w:ascii="Times New Roman" w:hAnsi="Times New Roman"/>
        </w:rPr>
        <w:t xml:space="preserve">their </w:t>
      </w:r>
      <w:r w:rsidRPr="00273D10">
        <w:rPr>
          <w:rFonts w:ascii="Times New Roman" w:hAnsi="Times New Roman"/>
        </w:rPr>
        <w:t>acceptance of</w:t>
      </w:r>
      <w:r w:rsidR="003D26B4" w:rsidRPr="00273D10">
        <w:rPr>
          <w:rFonts w:ascii="Times New Roman" w:hAnsi="Times New Roman"/>
        </w:rPr>
        <w:t xml:space="preserve"> the evidence of one complainant, to </w:t>
      </w:r>
      <w:r w:rsidR="004B4870" w:rsidRPr="00273D10">
        <w:rPr>
          <w:rFonts w:ascii="Times New Roman" w:hAnsi="Times New Roman"/>
        </w:rPr>
        <w:t>the view</w:t>
      </w:r>
      <w:r w:rsidR="003D26B4" w:rsidRPr="00273D10">
        <w:rPr>
          <w:rFonts w:ascii="Times New Roman" w:hAnsi="Times New Roman"/>
        </w:rPr>
        <w:t xml:space="preserve"> that the appellant was the type of person who would commit the offences with which he was charged, </w:t>
      </w:r>
      <w:r w:rsidR="004B4870" w:rsidRPr="00273D10">
        <w:rPr>
          <w:rFonts w:ascii="Times New Roman" w:hAnsi="Times New Roman"/>
        </w:rPr>
        <w:t xml:space="preserve">and </w:t>
      </w:r>
      <w:r w:rsidR="003D26B4" w:rsidRPr="00273D10">
        <w:rPr>
          <w:rFonts w:ascii="Times New Roman" w:hAnsi="Times New Roman"/>
        </w:rPr>
        <w:t xml:space="preserve">then </w:t>
      </w:r>
      <w:r w:rsidR="004B4870" w:rsidRPr="00273D10">
        <w:rPr>
          <w:rFonts w:ascii="Times New Roman" w:hAnsi="Times New Roman"/>
        </w:rPr>
        <w:t xml:space="preserve">to </w:t>
      </w:r>
      <w:r w:rsidR="003D26B4" w:rsidRPr="00273D10">
        <w:rPr>
          <w:rFonts w:ascii="Times New Roman" w:hAnsi="Times New Roman"/>
        </w:rPr>
        <w:t xml:space="preserve">conclude that the evidence of another complainant in relation to similar offending was honest and accurate. However, </w:t>
      </w:r>
      <w:r w:rsidR="00102E16" w:rsidRPr="00273D10">
        <w:rPr>
          <w:rFonts w:ascii="Times New Roman" w:hAnsi="Times New Roman"/>
        </w:rPr>
        <w:t>in his</w:t>
      </w:r>
      <w:r w:rsidR="00C170ED" w:rsidRPr="00273D10">
        <w:rPr>
          <w:rFonts w:ascii="Times New Roman" w:hAnsi="Times New Roman"/>
        </w:rPr>
        <w:t> </w:t>
      </w:r>
      <w:r w:rsidR="00102E16" w:rsidRPr="00273D10">
        <w:rPr>
          <w:rFonts w:ascii="Times New Roman" w:hAnsi="Times New Roman"/>
        </w:rPr>
        <w:t>Honour's view</w:t>
      </w:r>
      <w:r w:rsidR="00B21030" w:rsidRPr="00273D10">
        <w:rPr>
          <w:rFonts w:ascii="Times New Roman" w:hAnsi="Times New Roman"/>
        </w:rPr>
        <w:t xml:space="preserve">, </w:t>
      </w:r>
      <w:r w:rsidR="000F4D9A" w:rsidRPr="00273D10">
        <w:rPr>
          <w:rFonts w:ascii="Times New Roman" w:hAnsi="Times New Roman"/>
        </w:rPr>
        <w:t xml:space="preserve">in the context where a </w:t>
      </w:r>
      <w:r w:rsidR="000F4D9A" w:rsidRPr="00273D10">
        <w:rPr>
          <w:rFonts w:ascii="Times New Roman" w:hAnsi="Times New Roman"/>
          <w:i/>
        </w:rPr>
        <w:t xml:space="preserve">Murray </w:t>
      </w:r>
      <w:r w:rsidR="000F4D9A" w:rsidRPr="00273D10">
        <w:rPr>
          <w:rFonts w:ascii="Times New Roman" w:hAnsi="Times New Roman"/>
        </w:rPr>
        <w:t xml:space="preserve">direction had been given, </w:t>
      </w:r>
      <w:r w:rsidR="00B21030" w:rsidRPr="00273D10">
        <w:rPr>
          <w:rFonts w:ascii="Times New Roman" w:hAnsi="Times New Roman"/>
        </w:rPr>
        <w:t xml:space="preserve">this risk was not </w:t>
      </w:r>
      <w:r w:rsidR="00AA3FA1" w:rsidRPr="00273D10">
        <w:rPr>
          <w:rFonts w:ascii="Times New Roman" w:hAnsi="Times New Roman"/>
        </w:rPr>
        <w:t xml:space="preserve">sufficiently material </w:t>
      </w:r>
      <w:r w:rsidR="005E0A13" w:rsidRPr="00273D10">
        <w:rPr>
          <w:rFonts w:ascii="Times New Roman" w:hAnsi="Times New Roman"/>
        </w:rPr>
        <w:t>such that the failure to warn against tendency reasoning was a</w:t>
      </w:r>
      <w:r w:rsidR="00AA3FA1" w:rsidRPr="00273D10">
        <w:rPr>
          <w:rFonts w:ascii="Times New Roman" w:hAnsi="Times New Roman"/>
        </w:rPr>
        <w:t xml:space="preserve"> miscarriage of justice</w:t>
      </w:r>
      <w:r w:rsidR="00AA3FA1" w:rsidRPr="00273D10">
        <w:rPr>
          <w:rStyle w:val="FootnoteReference"/>
          <w:rFonts w:ascii="Times New Roman" w:hAnsi="Times New Roman"/>
          <w:sz w:val="24"/>
        </w:rPr>
        <w:footnoteReference w:id="20"/>
      </w:r>
      <w:r w:rsidR="00AA3FA1" w:rsidRPr="00273D10">
        <w:rPr>
          <w:rFonts w:ascii="Times New Roman" w:hAnsi="Times New Roman"/>
        </w:rPr>
        <w:t>.</w:t>
      </w:r>
      <w:r w:rsidR="00404CD8" w:rsidRPr="00273D10">
        <w:rPr>
          <w:rFonts w:ascii="Times New Roman" w:hAnsi="Times New Roman"/>
        </w:rPr>
        <w:t xml:space="preserve"> In so concluding, his Honour </w:t>
      </w:r>
      <w:r w:rsidR="00B21030" w:rsidRPr="00273D10">
        <w:rPr>
          <w:rFonts w:ascii="Times New Roman" w:hAnsi="Times New Roman"/>
        </w:rPr>
        <w:t xml:space="preserve">considered </w:t>
      </w:r>
      <w:r w:rsidR="00404CD8" w:rsidRPr="00273D10">
        <w:rPr>
          <w:rFonts w:ascii="Times New Roman" w:hAnsi="Times New Roman"/>
        </w:rPr>
        <w:t xml:space="preserve">it was relevant that the appellant's trial counsel </w:t>
      </w:r>
      <w:r w:rsidR="00BA2B77" w:rsidRPr="00273D10">
        <w:rPr>
          <w:rFonts w:ascii="Times New Roman" w:hAnsi="Times New Roman"/>
        </w:rPr>
        <w:t>had not sought</w:t>
      </w:r>
      <w:r w:rsidR="00940816" w:rsidRPr="00273D10">
        <w:rPr>
          <w:rFonts w:ascii="Times New Roman" w:hAnsi="Times New Roman"/>
        </w:rPr>
        <w:t xml:space="preserve"> an anti</w:t>
      </w:r>
      <w:r w:rsidR="00BA2B77" w:rsidRPr="00273D10">
        <w:rPr>
          <w:rFonts w:ascii="Times New Roman" w:hAnsi="Times New Roman"/>
        </w:rPr>
        <w:noBreakHyphen/>
      </w:r>
      <w:r w:rsidR="00940816" w:rsidRPr="00273D10">
        <w:rPr>
          <w:rFonts w:ascii="Times New Roman" w:hAnsi="Times New Roman"/>
        </w:rPr>
        <w:t>tendency direction</w:t>
      </w:r>
      <w:r w:rsidR="00151F7C" w:rsidRPr="00273D10">
        <w:rPr>
          <w:rFonts w:ascii="Times New Roman" w:hAnsi="Times New Roman"/>
        </w:rPr>
        <w:t xml:space="preserve">, </w:t>
      </w:r>
      <w:r w:rsidR="00C34A4E" w:rsidRPr="00273D10">
        <w:rPr>
          <w:rFonts w:ascii="Times New Roman" w:hAnsi="Times New Roman"/>
        </w:rPr>
        <w:t xml:space="preserve">and </w:t>
      </w:r>
      <w:r w:rsidR="00DB0FEE" w:rsidRPr="00273D10">
        <w:rPr>
          <w:rFonts w:ascii="Times New Roman" w:hAnsi="Times New Roman"/>
        </w:rPr>
        <w:t>that this was</w:t>
      </w:r>
      <w:r w:rsidR="00BA2B77" w:rsidRPr="00273D10">
        <w:rPr>
          <w:rFonts w:ascii="Times New Roman" w:hAnsi="Times New Roman"/>
        </w:rPr>
        <w:t>, in his Honour's view,</w:t>
      </w:r>
      <w:r w:rsidR="00DB0FEE" w:rsidRPr="00273D10">
        <w:rPr>
          <w:rFonts w:ascii="Times New Roman" w:hAnsi="Times New Roman"/>
        </w:rPr>
        <w:t xml:space="preserve"> </w:t>
      </w:r>
      <w:r w:rsidR="00151F7C" w:rsidRPr="00273D10">
        <w:rPr>
          <w:rFonts w:ascii="Times New Roman" w:hAnsi="Times New Roman"/>
        </w:rPr>
        <w:t xml:space="preserve">clearly </w:t>
      </w:r>
      <w:r w:rsidR="00DB0FEE" w:rsidRPr="00273D10">
        <w:rPr>
          <w:rFonts w:ascii="Times New Roman" w:hAnsi="Times New Roman"/>
        </w:rPr>
        <w:t xml:space="preserve">a deliberate decision by </w:t>
      </w:r>
      <w:r w:rsidR="00737E3F" w:rsidRPr="00273D10">
        <w:rPr>
          <w:rFonts w:ascii="Times New Roman" w:hAnsi="Times New Roman"/>
        </w:rPr>
        <w:t xml:space="preserve">the appellant's trial counsel "in the sense that he did not consider that such a direction was necessary given the </w:t>
      </w:r>
      <w:r w:rsidR="00737E3F" w:rsidRPr="00273D10">
        <w:rPr>
          <w:rFonts w:ascii="Times New Roman" w:hAnsi="Times New Roman"/>
          <w:i/>
        </w:rPr>
        <w:t xml:space="preserve">Murray </w:t>
      </w:r>
      <w:r w:rsidR="00737E3F" w:rsidRPr="00273D10">
        <w:rPr>
          <w:rFonts w:ascii="Times New Roman" w:hAnsi="Times New Roman"/>
        </w:rPr>
        <w:t>direction and the manner in which the defence case was put"</w:t>
      </w:r>
      <w:r w:rsidR="003321C3" w:rsidRPr="00273D10">
        <w:rPr>
          <w:rStyle w:val="FootnoteReference"/>
          <w:rFonts w:ascii="Times New Roman" w:hAnsi="Times New Roman"/>
          <w:sz w:val="24"/>
        </w:rPr>
        <w:footnoteReference w:id="21"/>
      </w:r>
      <w:r w:rsidR="00940816" w:rsidRPr="00273D10">
        <w:rPr>
          <w:rFonts w:ascii="Times New Roman" w:hAnsi="Times New Roman"/>
        </w:rPr>
        <w:t>.</w:t>
      </w:r>
      <w:r w:rsidR="00A95241" w:rsidRPr="00273D10">
        <w:rPr>
          <w:rFonts w:ascii="Times New Roman" w:hAnsi="Times New Roman"/>
        </w:rPr>
        <w:t xml:space="preserve"> </w:t>
      </w:r>
    </w:p>
    <w:p w14:paraId="6BC458D1" w14:textId="3A3FBC3F" w:rsidR="004B1769" w:rsidRPr="00273D10" w:rsidRDefault="0093449D"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5D442D" w:rsidRPr="00273D10">
        <w:rPr>
          <w:rFonts w:ascii="Times New Roman" w:hAnsi="Times New Roman"/>
        </w:rPr>
        <w:t>Beech</w:t>
      </w:r>
      <w:r w:rsidR="005D442D" w:rsidRPr="00273D10">
        <w:rPr>
          <w:rFonts w:ascii="Times New Roman" w:hAnsi="Times New Roman"/>
        </w:rPr>
        <w:noBreakHyphen/>
        <w:t>Jones J</w:t>
      </w:r>
      <w:r w:rsidR="00032F92" w:rsidRPr="00273D10">
        <w:rPr>
          <w:rFonts w:ascii="Times New Roman" w:hAnsi="Times New Roman"/>
        </w:rPr>
        <w:t xml:space="preserve"> </w:t>
      </w:r>
      <w:r w:rsidR="00B35065" w:rsidRPr="00273D10">
        <w:rPr>
          <w:rFonts w:ascii="Times New Roman" w:hAnsi="Times New Roman"/>
        </w:rPr>
        <w:t xml:space="preserve">also considered that the nature of the defence case of concoction and the various straightforward paths of reasoning towards guilt available to the jury meant </w:t>
      </w:r>
      <w:r w:rsidR="00032F92" w:rsidRPr="00273D10">
        <w:rPr>
          <w:rFonts w:ascii="Times New Roman" w:hAnsi="Times New Roman"/>
        </w:rPr>
        <w:t xml:space="preserve">there was little practical </w:t>
      </w:r>
      <w:r w:rsidR="00C966B5" w:rsidRPr="00273D10">
        <w:rPr>
          <w:rFonts w:ascii="Times New Roman" w:hAnsi="Times New Roman"/>
        </w:rPr>
        <w:t>risk</w:t>
      </w:r>
      <w:r w:rsidR="00032F92" w:rsidRPr="00273D10">
        <w:rPr>
          <w:rFonts w:ascii="Times New Roman" w:hAnsi="Times New Roman"/>
        </w:rPr>
        <w:t xml:space="preserve"> that the jury might </w:t>
      </w:r>
      <w:r w:rsidR="00B35065" w:rsidRPr="00273D10">
        <w:rPr>
          <w:rFonts w:ascii="Times New Roman" w:hAnsi="Times New Roman"/>
        </w:rPr>
        <w:t>embark upon</w:t>
      </w:r>
      <w:r w:rsidR="00032F92" w:rsidRPr="00273D10">
        <w:rPr>
          <w:rFonts w:ascii="Times New Roman" w:hAnsi="Times New Roman"/>
        </w:rPr>
        <w:t xml:space="preserve"> the circuitous ro</w:t>
      </w:r>
      <w:r w:rsidR="00082B89" w:rsidRPr="00273D10">
        <w:rPr>
          <w:rFonts w:ascii="Times New Roman" w:hAnsi="Times New Roman"/>
        </w:rPr>
        <w:t>u</w:t>
      </w:r>
      <w:r w:rsidR="00032F92" w:rsidRPr="00273D10">
        <w:rPr>
          <w:rFonts w:ascii="Times New Roman" w:hAnsi="Times New Roman"/>
        </w:rPr>
        <w:t>te of tendency reasoning.</w:t>
      </w:r>
      <w:r w:rsidR="00852618" w:rsidRPr="00273D10">
        <w:rPr>
          <w:rFonts w:ascii="Times New Roman" w:hAnsi="Times New Roman"/>
        </w:rPr>
        <w:t xml:space="preserve"> </w:t>
      </w:r>
      <w:r w:rsidR="00C966B5" w:rsidRPr="00273D10">
        <w:rPr>
          <w:rFonts w:ascii="Times New Roman" w:hAnsi="Times New Roman"/>
        </w:rPr>
        <w:t>In this regard,</w:t>
      </w:r>
      <w:r w:rsidR="005D442D" w:rsidRPr="00273D10">
        <w:rPr>
          <w:rFonts w:ascii="Times New Roman" w:hAnsi="Times New Roman"/>
        </w:rPr>
        <w:t xml:space="preserve"> his Honour</w:t>
      </w:r>
      <w:r w:rsidR="00852618" w:rsidRPr="00273D10">
        <w:rPr>
          <w:rFonts w:ascii="Times New Roman" w:hAnsi="Times New Roman"/>
        </w:rPr>
        <w:t xml:space="preserve"> </w:t>
      </w:r>
      <w:r w:rsidR="00C46939" w:rsidRPr="00273D10">
        <w:rPr>
          <w:rFonts w:ascii="Times New Roman" w:hAnsi="Times New Roman"/>
        </w:rPr>
        <w:t>said</w:t>
      </w:r>
      <w:r w:rsidR="00852618" w:rsidRPr="00273D10">
        <w:rPr>
          <w:rStyle w:val="FootnoteReference"/>
          <w:rFonts w:ascii="Times New Roman" w:hAnsi="Times New Roman"/>
          <w:sz w:val="24"/>
        </w:rPr>
        <w:footnoteReference w:id="22"/>
      </w:r>
      <w:r w:rsidR="00852618" w:rsidRPr="00273D10">
        <w:rPr>
          <w:rFonts w:ascii="Times New Roman" w:hAnsi="Times New Roman"/>
        </w:rPr>
        <w:t>:</w:t>
      </w:r>
    </w:p>
    <w:p w14:paraId="4FCBD946" w14:textId="77777777" w:rsidR="00273D10" w:rsidRDefault="00313CB5" w:rsidP="00273D10">
      <w:pPr>
        <w:pStyle w:val="LeftrightafterHC"/>
        <w:spacing w:before="0" w:after="260" w:line="280" w:lineRule="exact"/>
        <w:ind w:right="0"/>
        <w:jc w:val="both"/>
        <w:rPr>
          <w:rFonts w:ascii="Times New Roman" w:hAnsi="Times New Roman"/>
        </w:rPr>
      </w:pPr>
      <w:r w:rsidRPr="00273D10">
        <w:rPr>
          <w:rFonts w:ascii="Times New Roman" w:hAnsi="Times New Roman"/>
        </w:rPr>
        <w:t xml:space="preserve">"Given the defence case that the children were party to an orchestrated campaign of lies, the most likely paths of reasoning that were adverse to the </w:t>
      </w:r>
      <w:r w:rsidR="00CF77F1" w:rsidRPr="00273D10">
        <w:rPr>
          <w:rFonts w:ascii="Times New Roman" w:hAnsi="Times New Roman"/>
        </w:rPr>
        <w:t xml:space="preserve">[appellant] </w:t>
      </w:r>
      <w:r w:rsidR="008372D8" w:rsidRPr="00273D10">
        <w:rPr>
          <w:rFonts w:ascii="Times New Roman" w:hAnsi="Times New Roman"/>
        </w:rPr>
        <w:t xml:space="preserve">and consistent with the </w:t>
      </w:r>
      <w:r w:rsidR="0044088D" w:rsidRPr="00273D10">
        <w:rPr>
          <w:rFonts w:ascii="Times New Roman" w:hAnsi="Times New Roman"/>
        </w:rPr>
        <w:t xml:space="preserve">directions </w:t>
      </w:r>
      <w:r w:rsidR="008372D8" w:rsidRPr="00273D10">
        <w:rPr>
          <w:rFonts w:ascii="Times New Roman" w:hAnsi="Times New Roman"/>
        </w:rPr>
        <w:t xml:space="preserve">given to the jury did not involve tendency reasoning. These paths of reasoning were a rejection of the existence of any such manipulation by the </w:t>
      </w:r>
      <w:r w:rsidR="00B12880" w:rsidRPr="00273D10">
        <w:rPr>
          <w:rFonts w:ascii="Times New Roman" w:hAnsi="Times New Roman"/>
        </w:rPr>
        <w:t xml:space="preserve">[appellant's] ex-wife and a separate assessment of each child's evidence to the effect that they were honest and reliable, or an acceptance of the honesty and reliability of the evidence of one child as a basis for rejecting the [appellant's] evidence which might then impact on an assessment </w:t>
      </w:r>
      <w:r w:rsidR="003A2ED5" w:rsidRPr="00273D10">
        <w:rPr>
          <w:rFonts w:ascii="Times New Roman" w:hAnsi="Times New Roman"/>
        </w:rPr>
        <w:t>of the honesty and reliability of the evidence of the other children. Neither of those paths of reasoning involves tendency reasoning."</w:t>
      </w:r>
    </w:p>
    <w:p w14:paraId="00D78628" w14:textId="3BC35620" w:rsidR="00A5455A" w:rsidRPr="00273D10" w:rsidRDefault="004B1769"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93449D" w:rsidRPr="00273D10">
        <w:rPr>
          <w:rFonts w:ascii="Times New Roman" w:hAnsi="Times New Roman"/>
        </w:rPr>
        <w:t>Macfarlan JA</w:t>
      </w:r>
      <w:r w:rsidR="003E6142" w:rsidRPr="00273D10">
        <w:rPr>
          <w:rFonts w:ascii="Times New Roman" w:hAnsi="Times New Roman"/>
        </w:rPr>
        <w:t>, in dissent,</w:t>
      </w:r>
      <w:r w:rsidR="0093449D" w:rsidRPr="00273D10">
        <w:rPr>
          <w:rFonts w:ascii="Times New Roman" w:hAnsi="Times New Roman"/>
        </w:rPr>
        <w:t xml:space="preserve"> </w:t>
      </w:r>
      <w:r w:rsidR="007F7FDD" w:rsidRPr="00273D10">
        <w:rPr>
          <w:rFonts w:ascii="Times New Roman" w:hAnsi="Times New Roman"/>
        </w:rPr>
        <w:t>considered that</w:t>
      </w:r>
      <w:r w:rsidR="00EE67BB" w:rsidRPr="00273D10">
        <w:rPr>
          <w:rFonts w:ascii="Times New Roman" w:hAnsi="Times New Roman"/>
        </w:rPr>
        <w:t xml:space="preserve"> </w:t>
      </w:r>
      <w:r w:rsidR="004A4F06" w:rsidRPr="00273D10">
        <w:rPr>
          <w:rFonts w:ascii="Times New Roman" w:hAnsi="Times New Roman"/>
        </w:rPr>
        <w:t xml:space="preserve">there </w:t>
      </w:r>
      <w:r w:rsidR="00626034" w:rsidRPr="00273D10">
        <w:rPr>
          <w:rFonts w:ascii="Times New Roman" w:hAnsi="Times New Roman"/>
        </w:rPr>
        <w:t xml:space="preserve">was </w:t>
      </w:r>
      <w:r w:rsidR="00EE67BB" w:rsidRPr="00273D10">
        <w:rPr>
          <w:rFonts w:ascii="Times New Roman" w:hAnsi="Times New Roman"/>
        </w:rPr>
        <w:t xml:space="preserve">a "significant risk" </w:t>
      </w:r>
      <w:r w:rsidR="00856CC3" w:rsidRPr="00273D10">
        <w:rPr>
          <w:rFonts w:ascii="Times New Roman" w:hAnsi="Times New Roman"/>
        </w:rPr>
        <w:t xml:space="preserve">that the jury would engage in </w:t>
      </w:r>
      <w:r w:rsidR="003D240F" w:rsidRPr="00273D10">
        <w:rPr>
          <w:rFonts w:ascii="Times New Roman" w:hAnsi="Times New Roman"/>
        </w:rPr>
        <w:t xml:space="preserve">impermissible </w:t>
      </w:r>
      <w:r w:rsidR="00856CC3" w:rsidRPr="00273D10">
        <w:rPr>
          <w:rFonts w:ascii="Times New Roman" w:hAnsi="Times New Roman"/>
        </w:rPr>
        <w:t>tendency reasoning</w:t>
      </w:r>
      <w:r w:rsidR="00B4273E" w:rsidRPr="00273D10">
        <w:rPr>
          <w:rFonts w:ascii="Times New Roman" w:hAnsi="Times New Roman"/>
        </w:rPr>
        <w:t xml:space="preserve"> so that the </w:t>
      </w:r>
      <w:r w:rsidR="00677CDD" w:rsidRPr="00273D10">
        <w:rPr>
          <w:rFonts w:ascii="Times New Roman" w:hAnsi="Times New Roman"/>
        </w:rPr>
        <w:t xml:space="preserve">absence of </w:t>
      </w:r>
      <w:r w:rsidR="00677CDD" w:rsidRPr="00273D10">
        <w:rPr>
          <w:rFonts w:ascii="Times New Roman" w:hAnsi="Times New Roman"/>
        </w:rPr>
        <w:lastRenderedPageBreak/>
        <w:t>an anti</w:t>
      </w:r>
      <w:r w:rsidR="00677CDD" w:rsidRPr="00273D10">
        <w:rPr>
          <w:rFonts w:ascii="Times New Roman" w:hAnsi="Times New Roman"/>
        </w:rPr>
        <w:noBreakHyphen/>
        <w:t>tendency direction rendered the trial unfair</w:t>
      </w:r>
      <w:r w:rsidR="00677CDD" w:rsidRPr="00273D10">
        <w:rPr>
          <w:rStyle w:val="FootnoteReference"/>
          <w:rFonts w:ascii="Times New Roman" w:hAnsi="Times New Roman"/>
          <w:sz w:val="24"/>
        </w:rPr>
        <w:footnoteReference w:id="23"/>
      </w:r>
      <w:r w:rsidR="00677CDD" w:rsidRPr="00273D10">
        <w:rPr>
          <w:rFonts w:ascii="Times New Roman" w:hAnsi="Times New Roman"/>
        </w:rPr>
        <w:t>.</w:t>
      </w:r>
      <w:r w:rsidR="004A4F06" w:rsidRPr="00273D10">
        <w:rPr>
          <w:rFonts w:ascii="Times New Roman" w:hAnsi="Times New Roman"/>
        </w:rPr>
        <w:t xml:space="preserve"> </w:t>
      </w:r>
      <w:r w:rsidR="00BF76FF" w:rsidRPr="00273D10">
        <w:rPr>
          <w:rFonts w:ascii="Times New Roman" w:hAnsi="Times New Roman"/>
        </w:rPr>
        <w:t>Macfarlan JA reasoned that a</w:t>
      </w:r>
      <w:r w:rsidR="009D4F2A" w:rsidRPr="00273D10">
        <w:rPr>
          <w:rFonts w:ascii="Times New Roman" w:hAnsi="Times New Roman"/>
        </w:rPr>
        <w:t xml:space="preserve"> ruling </w:t>
      </w:r>
      <w:r w:rsidR="00B37DB3" w:rsidRPr="00273D10">
        <w:rPr>
          <w:rFonts w:ascii="Times New Roman" w:hAnsi="Times New Roman"/>
        </w:rPr>
        <w:t>against the cross</w:t>
      </w:r>
      <w:r w:rsidR="0098436C" w:rsidRPr="00273D10">
        <w:rPr>
          <w:rFonts w:ascii="Times New Roman" w:hAnsi="Times New Roman"/>
        </w:rPr>
        <w:noBreakHyphen/>
      </w:r>
      <w:r w:rsidR="00B37DB3" w:rsidRPr="00273D10">
        <w:rPr>
          <w:rFonts w:ascii="Times New Roman" w:hAnsi="Times New Roman"/>
        </w:rPr>
        <w:t>admissibility of evidence relating to multiple counts</w:t>
      </w:r>
      <w:r w:rsidR="009D4F2A" w:rsidRPr="00273D10">
        <w:rPr>
          <w:rFonts w:ascii="Times New Roman" w:hAnsi="Times New Roman"/>
        </w:rPr>
        <w:t xml:space="preserve"> would ordinarily result in an order for separate trials, because of the difficulty of confining the jury to permissible </w:t>
      </w:r>
      <w:r w:rsidR="005420D9" w:rsidRPr="00273D10">
        <w:rPr>
          <w:rFonts w:ascii="Times New Roman" w:hAnsi="Times New Roman"/>
        </w:rPr>
        <w:t>non-tendency reasoning</w:t>
      </w:r>
      <w:r w:rsidR="005420D9" w:rsidRPr="00273D10">
        <w:rPr>
          <w:rStyle w:val="FootnoteReference"/>
          <w:rFonts w:ascii="Times New Roman" w:hAnsi="Times New Roman"/>
          <w:sz w:val="24"/>
        </w:rPr>
        <w:footnoteReference w:id="24"/>
      </w:r>
      <w:r w:rsidR="00B4273E" w:rsidRPr="00273D10">
        <w:rPr>
          <w:rFonts w:ascii="Times New Roman" w:hAnsi="Times New Roman"/>
        </w:rPr>
        <w:t>,</w:t>
      </w:r>
      <w:r w:rsidR="00BF76FF" w:rsidRPr="00273D10">
        <w:rPr>
          <w:rFonts w:ascii="Times New Roman" w:hAnsi="Times New Roman"/>
        </w:rPr>
        <w:t xml:space="preserve"> and since</w:t>
      </w:r>
      <w:r w:rsidR="00BC0DC2" w:rsidRPr="00273D10">
        <w:rPr>
          <w:rFonts w:ascii="Times New Roman" w:hAnsi="Times New Roman"/>
        </w:rPr>
        <w:t xml:space="preserve"> that had not </w:t>
      </w:r>
      <w:r w:rsidR="00AB53EA" w:rsidRPr="00273D10">
        <w:rPr>
          <w:rFonts w:ascii="Times New Roman" w:hAnsi="Times New Roman"/>
        </w:rPr>
        <w:t>occurred</w:t>
      </w:r>
      <w:r w:rsidR="00401529" w:rsidRPr="00273D10">
        <w:rPr>
          <w:rFonts w:ascii="Times New Roman" w:hAnsi="Times New Roman"/>
        </w:rPr>
        <w:t xml:space="preserve">, it </w:t>
      </w:r>
      <w:r w:rsidR="00B078CF" w:rsidRPr="00273D10">
        <w:rPr>
          <w:rFonts w:ascii="Times New Roman" w:hAnsi="Times New Roman"/>
        </w:rPr>
        <w:t xml:space="preserve">was incumbent on </w:t>
      </w:r>
      <w:r w:rsidR="00AB53EA" w:rsidRPr="00273D10">
        <w:rPr>
          <w:rFonts w:ascii="Times New Roman" w:hAnsi="Times New Roman"/>
        </w:rPr>
        <w:t xml:space="preserve">the trial judge </w:t>
      </w:r>
      <w:r w:rsidR="00B078CF" w:rsidRPr="00273D10">
        <w:rPr>
          <w:rFonts w:ascii="Times New Roman" w:hAnsi="Times New Roman"/>
        </w:rPr>
        <w:t>to attempt to ameliorate, as far as possible, the potential prejudice to the appellant by</w:t>
      </w:r>
      <w:r w:rsidR="00AD6B33" w:rsidRPr="00273D10">
        <w:rPr>
          <w:rFonts w:ascii="Times New Roman" w:hAnsi="Times New Roman"/>
        </w:rPr>
        <w:t xml:space="preserve"> the</w:t>
      </w:r>
      <w:r w:rsidR="00B078CF" w:rsidRPr="00273D10">
        <w:rPr>
          <w:rFonts w:ascii="Times New Roman" w:hAnsi="Times New Roman"/>
        </w:rPr>
        <w:t xml:space="preserve"> giving </w:t>
      </w:r>
      <w:r w:rsidR="00AD6B33" w:rsidRPr="00273D10">
        <w:rPr>
          <w:rFonts w:ascii="Times New Roman" w:hAnsi="Times New Roman"/>
        </w:rPr>
        <w:t xml:space="preserve">of </w:t>
      </w:r>
      <w:r w:rsidR="00B078CF" w:rsidRPr="00273D10">
        <w:rPr>
          <w:rFonts w:ascii="Times New Roman" w:hAnsi="Times New Roman"/>
        </w:rPr>
        <w:t>appropriate directions</w:t>
      </w:r>
      <w:r w:rsidR="00B078CF" w:rsidRPr="00273D10">
        <w:rPr>
          <w:rStyle w:val="FootnoteReference"/>
          <w:rFonts w:ascii="Times New Roman" w:hAnsi="Times New Roman"/>
          <w:sz w:val="24"/>
        </w:rPr>
        <w:footnoteReference w:id="25"/>
      </w:r>
      <w:r w:rsidR="00B078CF" w:rsidRPr="00273D10">
        <w:rPr>
          <w:rFonts w:ascii="Times New Roman" w:hAnsi="Times New Roman"/>
        </w:rPr>
        <w:t xml:space="preserve">. </w:t>
      </w:r>
      <w:r w:rsidR="003D748E" w:rsidRPr="00273D10">
        <w:rPr>
          <w:rFonts w:ascii="Times New Roman" w:hAnsi="Times New Roman"/>
        </w:rPr>
        <w:t>In his Honour's view, t</w:t>
      </w:r>
      <w:r w:rsidR="009E69F6" w:rsidRPr="00273D10">
        <w:rPr>
          <w:rFonts w:ascii="Times New Roman" w:hAnsi="Times New Roman"/>
        </w:rPr>
        <w:t xml:space="preserve">he </w:t>
      </w:r>
      <w:r w:rsidR="009E69F6" w:rsidRPr="00273D10">
        <w:rPr>
          <w:rFonts w:ascii="Times New Roman" w:hAnsi="Times New Roman"/>
          <w:i/>
        </w:rPr>
        <w:t xml:space="preserve">Murray </w:t>
      </w:r>
      <w:r w:rsidR="009E69F6" w:rsidRPr="00273D10">
        <w:rPr>
          <w:rFonts w:ascii="Times New Roman" w:hAnsi="Times New Roman"/>
        </w:rPr>
        <w:t xml:space="preserve">direction was insufficient to avoid such prejudice, </w:t>
      </w:r>
      <w:r w:rsidR="00AD6B33" w:rsidRPr="00273D10">
        <w:rPr>
          <w:rFonts w:ascii="Times New Roman" w:hAnsi="Times New Roman"/>
        </w:rPr>
        <w:t>not</w:t>
      </w:r>
      <w:r w:rsidR="009E69F6" w:rsidRPr="00273D10">
        <w:rPr>
          <w:rFonts w:ascii="Times New Roman" w:hAnsi="Times New Roman"/>
        </w:rPr>
        <w:t xml:space="preserve"> least because it did not rule out the possibility of </w:t>
      </w:r>
      <w:r w:rsidR="004B7E97" w:rsidRPr="00273D10">
        <w:rPr>
          <w:rFonts w:ascii="Times New Roman" w:hAnsi="Times New Roman"/>
        </w:rPr>
        <w:t>the jury employing tendency reasoning as between counts relating to the same complainant</w:t>
      </w:r>
      <w:r w:rsidR="004B7E97" w:rsidRPr="00273D10">
        <w:rPr>
          <w:rStyle w:val="FootnoteReference"/>
          <w:rFonts w:ascii="Times New Roman" w:hAnsi="Times New Roman"/>
          <w:sz w:val="24"/>
        </w:rPr>
        <w:footnoteReference w:id="26"/>
      </w:r>
      <w:r w:rsidR="004B7E97" w:rsidRPr="00273D10">
        <w:rPr>
          <w:rFonts w:ascii="Times New Roman" w:hAnsi="Times New Roman"/>
        </w:rPr>
        <w:t>.</w:t>
      </w:r>
      <w:r w:rsidR="00E21018" w:rsidRPr="00273D10">
        <w:rPr>
          <w:rFonts w:ascii="Times New Roman" w:hAnsi="Times New Roman"/>
        </w:rPr>
        <w:t xml:space="preserve"> </w:t>
      </w:r>
    </w:p>
    <w:p w14:paraId="45FE3D9F" w14:textId="6B50DDFE" w:rsidR="004A0AFE" w:rsidRPr="00273D10" w:rsidRDefault="00CA0D71" w:rsidP="00273D10">
      <w:pPr>
        <w:pStyle w:val="HeadingL1"/>
        <w:spacing w:after="260" w:line="280" w:lineRule="exact"/>
        <w:ind w:right="0"/>
        <w:jc w:val="both"/>
        <w:rPr>
          <w:rFonts w:ascii="Times New Roman" w:hAnsi="Times New Roman"/>
        </w:rPr>
      </w:pPr>
      <w:r w:rsidRPr="00273D10">
        <w:rPr>
          <w:rFonts w:ascii="Times New Roman" w:hAnsi="Times New Roman"/>
        </w:rPr>
        <w:t>The appellant's submissions</w:t>
      </w:r>
    </w:p>
    <w:p w14:paraId="6B3613E0" w14:textId="3D0DF4AC" w:rsidR="006E0E6E" w:rsidRPr="00273D10" w:rsidRDefault="005B7C05"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6E0E6E" w:rsidRPr="00273D10">
        <w:rPr>
          <w:rFonts w:ascii="Times New Roman" w:hAnsi="Times New Roman"/>
        </w:rPr>
        <w:t>The appellant submitted that the key issue in the trial – whether the complainants' evidence as to the sexual assaults committed upon them should be accepted – was the kind of issue where the risk of impermissible tendency reasoning was high</w:t>
      </w:r>
      <w:r w:rsidR="007C6578" w:rsidRPr="00273D10">
        <w:rPr>
          <w:rFonts w:ascii="Times New Roman" w:hAnsi="Times New Roman"/>
        </w:rPr>
        <w:t>. Because that was so</w:t>
      </w:r>
      <w:r w:rsidR="006E0E6E" w:rsidRPr="00273D10">
        <w:rPr>
          <w:rFonts w:ascii="Times New Roman" w:hAnsi="Times New Roman"/>
        </w:rPr>
        <w:t xml:space="preserve">, </w:t>
      </w:r>
      <w:r w:rsidR="00085643" w:rsidRPr="00273D10">
        <w:rPr>
          <w:rFonts w:ascii="Times New Roman" w:hAnsi="Times New Roman"/>
        </w:rPr>
        <w:t>the appellant submitted</w:t>
      </w:r>
      <w:r w:rsidR="008C2966" w:rsidRPr="00273D10">
        <w:rPr>
          <w:rFonts w:ascii="Times New Roman" w:hAnsi="Times New Roman"/>
        </w:rPr>
        <w:t>,</w:t>
      </w:r>
      <w:r w:rsidR="00085643" w:rsidRPr="00273D10">
        <w:rPr>
          <w:rFonts w:ascii="Times New Roman" w:hAnsi="Times New Roman"/>
        </w:rPr>
        <w:t xml:space="preserve"> </w:t>
      </w:r>
      <w:r w:rsidR="006E0E6E" w:rsidRPr="00273D10">
        <w:rPr>
          <w:rFonts w:ascii="Times New Roman" w:hAnsi="Times New Roman"/>
        </w:rPr>
        <w:t xml:space="preserve">the absence of an invitation from either counsel at trial to the jury to engage in tendency reasoning was of no moment. </w:t>
      </w:r>
      <w:r w:rsidR="0074056D" w:rsidRPr="00273D10">
        <w:rPr>
          <w:rFonts w:ascii="Times New Roman" w:hAnsi="Times New Roman"/>
        </w:rPr>
        <w:t>T</w:t>
      </w:r>
      <w:r w:rsidR="006E0E6E" w:rsidRPr="00273D10">
        <w:rPr>
          <w:rFonts w:ascii="Times New Roman" w:hAnsi="Times New Roman"/>
        </w:rPr>
        <w:t>he risk</w:t>
      </w:r>
      <w:r w:rsidR="00085643" w:rsidRPr="00273D10">
        <w:rPr>
          <w:rFonts w:ascii="Times New Roman" w:hAnsi="Times New Roman"/>
        </w:rPr>
        <w:t xml:space="preserve"> was</w:t>
      </w:r>
      <w:r w:rsidR="0074056D" w:rsidRPr="00273D10">
        <w:rPr>
          <w:rFonts w:ascii="Times New Roman" w:hAnsi="Times New Roman"/>
        </w:rPr>
        <w:t xml:space="preserve"> </w:t>
      </w:r>
      <w:r w:rsidR="006E0E6E" w:rsidRPr="00273D10">
        <w:rPr>
          <w:rFonts w:ascii="Times New Roman" w:hAnsi="Times New Roman"/>
        </w:rPr>
        <w:t xml:space="preserve">that the jury may be naturally inclined to engage in tendency reasoning unless they </w:t>
      </w:r>
      <w:r w:rsidR="00DC04FA" w:rsidRPr="00273D10">
        <w:rPr>
          <w:rFonts w:ascii="Times New Roman" w:hAnsi="Times New Roman"/>
        </w:rPr>
        <w:t>we</w:t>
      </w:r>
      <w:r w:rsidR="006E0E6E" w:rsidRPr="00273D10">
        <w:rPr>
          <w:rFonts w:ascii="Times New Roman" w:hAnsi="Times New Roman"/>
        </w:rPr>
        <w:t xml:space="preserve">re clearly directed against </w:t>
      </w:r>
      <w:r w:rsidR="0074056D" w:rsidRPr="00273D10">
        <w:rPr>
          <w:rFonts w:ascii="Times New Roman" w:hAnsi="Times New Roman"/>
        </w:rPr>
        <w:t>that course</w:t>
      </w:r>
      <w:r w:rsidR="00816BB4" w:rsidRPr="00273D10">
        <w:rPr>
          <w:rFonts w:ascii="Times New Roman" w:hAnsi="Times New Roman"/>
        </w:rPr>
        <w:t xml:space="preserve"> by</w:t>
      </w:r>
      <w:r w:rsidR="006E0E6E" w:rsidRPr="00273D10">
        <w:rPr>
          <w:rFonts w:ascii="Times New Roman" w:hAnsi="Times New Roman"/>
        </w:rPr>
        <w:t xml:space="preserve"> positive steps.</w:t>
      </w:r>
    </w:p>
    <w:p w14:paraId="413FEECC" w14:textId="2A4EC3FD" w:rsidR="00CA0D71" w:rsidRPr="00273D10" w:rsidRDefault="006E0E6E"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364F43" w:rsidRPr="00273D10">
        <w:rPr>
          <w:rFonts w:ascii="Times New Roman" w:hAnsi="Times New Roman"/>
        </w:rPr>
        <w:t xml:space="preserve">The appellant </w:t>
      </w:r>
      <w:r w:rsidR="005B7C05" w:rsidRPr="00273D10">
        <w:rPr>
          <w:rFonts w:ascii="Times New Roman" w:hAnsi="Times New Roman"/>
        </w:rPr>
        <w:t>submitted that</w:t>
      </w:r>
      <w:r w:rsidR="0037243B" w:rsidRPr="00273D10">
        <w:rPr>
          <w:rFonts w:ascii="Times New Roman" w:hAnsi="Times New Roman"/>
        </w:rPr>
        <w:t xml:space="preserve"> Beech</w:t>
      </w:r>
      <w:r w:rsidR="0037243B" w:rsidRPr="00273D10">
        <w:rPr>
          <w:rFonts w:ascii="Times New Roman" w:hAnsi="Times New Roman"/>
        </w:rPr>
        <w:noBreakHyphen/>
        <w:t>Jones J</w:t>
      </w:r>
      <w:r w:rsidR="000D4651" w:rsidRPr="00273D10">
        <w:rPr>
          <w:rFonts w:ascii="Times New Roman" w:hAnsi="Times New Roman"/>
        </w:rPr>
        <w:t xml:space="preserve"> erre</w:t>
      </w:r>
      <w:r w:rsidR="00930D81" w:rsidRPr="00273D10">
        <w:rPr>
          <w:rFonts w:ascii="Times New Roman" w:hAnsi="Times New Roman"/>
        </w:rPr>
        <w:t>d in proceeding on the footing</w:t>
      </w:r>
      <w:r w:rsidR="0037243B" w:rsidRPr="00273D10">
        <w:rPr>
          <w:rFonts w:ascii="Times New Roman" w:hAnsi="Times New Roman"/>
        </w:rPr>
        <w:t xml:space="preserve"> that there was n</w:t>
      </w:r>
      <w:r w:rsidR="00930D81" w:rsidRPr="00273D10">
        <w:rPr>
          <w:rFonts w:ascii="Times New Roman" w:hAnsi="Times New Roman"/>
        </w:rPr>
        <w:t>o</w:t>
      </w:r>
      <w:r w:rsidR="0037243B" w:rsidRPr="00273D10">
        <w:rPr>
          <w:rFonts w:ascii="Times New Roman" w:hAnsi="Times New Roman"/>
        </w:rPr>
        <w:t xml:space="preserve"> requirement</w:t>
      </w:r>
      <w:r w:rsidR="00930D81" w:rsidRPr="00273D10">
        <w:rPr>
          <w:rFonts w:ascii="Times New Roman" w:hAnsi="Times New Roman"/>
        </w:rPr>
        <w:t xml:space="preserve"> of law</w:t>
      </w:r>
      <w:r w:rsidR="0037243B" w:rsidRPr="00273D10">
        <w:rPr>
          <w:rFonts w:ascii="Times New Roman" w:hAnsi="Times New Roman"/>
        </w:rPr>
        <w:t xml:space="preserve"> that an anti</w:t>
      </w:r>
      <w:r w:rsidR="0037243B" w:rsidRPr="00273D10">
        <w:rPr>
          <w:rFonts w:ascii="Times New Roman" w:hAnsi="Times New Roman"/>
        </w:rPr>
        <w:noBreakHyphen/>
        <w:t>tendency direction should</w:t>
      </w:r>
      <w:r w:rsidR="00AA6D08" w:rsidRPr="00273D10">
        <w:rPr>
          <w:rFonts w:ascii="Times New Roman" w:hAnsi="Times New Roman"/>
        </w:rPr>
        <w:t xml:space="preserve"> always</w:t>
      </w:r>
      <w:r w:rsidR="0037243B" w:rsidRPr="00273D10">
        <w:rPr>
          <w:rFonts w:ascii="Times New Roman" w:hAnsi="Times New Roman"/>
        </w:rPr>
        <w:t xml:space="preserve"> be given </w:t>
      </w:r>
      <w:r w:rsidR="00AA6D08" w:rsidRPr="00273D10">
        <w:rPr>
          <w:rFonts w:ascii="Times New Roman" w:hAnsi="Times New Roman"/>
        </w:rPr>
        <w:t>where multiple sexual offences are charged and where tendency reasoning is not permissible</w:t>
      </w:r>
      <w:r w:rsidR="0037243B" w:rsidRPr="00273D10">
        <w:rPr>
          <w:rFonts w:ascii="Times New Roman" w:hAnsi="Times New Roman"/>
        </w:rPr>
        <w:t xml:space="preserve">. </w:t>
      </w:r>
      <w:r w:rsidR="00B3662B" w:rsidRPr="00273D10">
        <w:rPr>
          <w:rFonts w:ascii="Times New Roman" w:hAnsi="Times New Roman"/>
        </w:rPr>
        <w:t xml:space="preserve">The appellant submitted that his Honour was wrong to distinguish the observations of McHugh J in </w:t>
      </w:r>
      <w:r w:rsidR="00B3662B" w:rsidRPr="00273D10">
        <w:rPr>
          <w:rFonts w:ascii="Times New Roman" w:hAnsi="Times New Roman"/>
          <w:i/>
        </w:rPr>
        <w:t>KRM v The Queen</w:t>
      </w:r>
      <w:r w:rsidR="00B3662B" w:rsidRPr="00273D10">
        <w:rPr>
          <w:rStyle w:val="FootnoteReference"/>
          <w:rFonts w:ascii="Times New Roman" w:hAnsi="Times New Roman"/>
          <w:sz w:val="24"/>
        </w:rPr>
        <w:footnoteReference w:id="27"/>
      </w:r>
      <w:r w:rsidR="00B3662B" w:rsidRPr="00273D10">
        <w:rPr>
          <w:rFonts w:ascii="Times New Roman" w:hAnsi="Times New Roman"/>
          <w:i/>
        </w:rPr>
        <w:t xml:space="preserve"> </w:t>
      </w:r>
      <w:r w:rsidR="00B3662B" w:rsidRPr="00273D10">
        <w:rPr>
          <w:rFonts w:ascii="Times New Roman" w:hAnsi="Times New Roman"/>
        </w:rPr>
        <w:t xml:space="preserve">to the effect </w:t>
      </w:r>
      <w:r w:rsidR="00B3662B" w:rsidRPr="00273D10">
        <w:rPr>
          <w:rFonts w:ascii="Times New Roman" w:hAnsi="Times New Roman"/>
        </w:rPr>
        <w:lastRenderedPageBreak/>
        <w:t xml:space="preserve">that, in cases involving a trial on multiple counts of sexual offences against multiple complainants, a tendency warning </w:t>
      </w:r>
      <w:r w:rsidR="004B0481" w:rsidRPr="00273D10">
        <w:rPr>
          <w:rFonts w:ascii="Times New Roman" w:hAnsi="Times New Roman"/>
        </w:rPr>
        <w:t>"</w:t>
      </w:r>
      <w:r w:rsidR="00B3662B" w:rsidRPr="00273D10">
        <w:rPr>
          <w:rFonts w:ascii="Times New Roman" w:hAnsi="Times New Roman"/>
        </w:rPr>
        <w:t xml:space="preserve">will almost certainly be required". </w:t>
      </w:r>
      <w:r w:rsidR="005F41C4" w:rsidRPr="00273D10">
        <w:rPr>
          <w:rFonts w:ascii="Times New Roman" w:hAnsi="Times New Roman"/>
        </w:rPr>
        <w:t>In this regard, the</w:t>
      </w:r>
      <w:r w:rsidR="00B331FF" w:rsidRPr="00273D10">
        <w:rPr>
          <w:rFonts w:ascii="Times New Roman" w:hAnsi="Times New Roman"/>
        </w:rPr>
        <w:t xml:space="preserve"> appellant </w:t>
      </w:r>
      <w:r w:rsidR="00B3662B" w:rsidRPr="00273D10">
        <w:rPr>
          <w:rFonts w:ascii="Times New Roman" w:hAnsi="Times New Roman"/>
        </w:rPr>
        <w:t xml:space="preserve">relied on </w:t>
      </w:r>
      <w:r w:rsidR="001D6826" w:rsidRPr="00273D10">
        <w:rPr>
          <w:rFonts w:ascii="Times New Roman" w:hAnsi="Times New Roman"/>
        </w:rPr>
        <w:t xml:space="preserve">the observations </w:t>
      </w:r>
      <w:r w:rsidR="008604D2" w:rsidRPr="00273D10">
        <w:rPr>
          <w:rFonts w:ascii="Times New Roman" w:hAnsi="Times New Roman"/>
        </w:rPr>
        <w:t xml:space="preserve">of Brennan J in </w:t>
      </w:r>
      <w:r w:rsidR="008604D2" w:rsidRPr="00273D10">
        <w:rPr>
          <w:rFonts w:ascii="Times New Roman" w:hAnsi="Times New Roman"/>
          <w:i/>
        </w:rPr>
        <w:t>Sutton v The Queen</w:t>
      </w:r>
      <w:r w:rsidR="008604D2" w:rsidRPr="00273D10">
        <w:rPr>
          <w:rStyle w:val="FootnoteReference"/>
          <w:rFonts w:ascii="Times New Roman" w:hAnsi="Times New Roman"/>
          <w:sz w:val="24"/>
        </w:rPr>
        <w:footnoteReference w:id="28"/>
      </w:r>
      <w:r w:rsidR="008604D2" w:rsidRPr="00273D10">
        <w:rPr>
          <w:rFonts w:ascii="Times New Roman" w:hAnsi="Times New Roman"/>
        </w:rPr>
        <w:t>:</w:t>
      </w:r>
      <w:r w:rsidR="0037243B" w:rsidRPr="00273D10">
        <w:rPr>
          <w:rFonts w:ascii="Times New Roman" w:hAnsi="Times New Roman"/>
        </w:rPr>
        <w:t xml:space="preserve"> </w:t>
      </w:r>
    </w:p>
    <w:p w14:paraId="3D5CB9BB" w14:textId="77777777" w:rsidR="00273D10" w:rsidRDefault="005978A1" w:rsidP="00273D10">
      <w:pPr>
        <w:pStyle w:val="leftright"/>
        <w:spacing w:before="0" w:after="260" w:line="280" w:lineRule="exact"/>
        <w:ind w:right="0"/>
        <w:jc w:val="both"/>
        <w:rPr>
          <w:rFonts w:ascii="Times New Roman" w:hAnsi="Times New Roman"/>
        </w:rPr>
      </w:pPr>
      <w:r w:rsidRPr="00273D10">
        <w:rPr>
          <w:rFonts w:ascii="Times New Roman" w:hAnsi="Times New Roman"/>
        </w:rPr>
        <w:tab/>
        <w:t>"When two or more counts constituting a series of offences of a similar character are joined in the same information, a real risk of prejudice to an accused person may arise from the adverse effect which evidence of his implication in one of the offences charged in the indictment is likely to have upon the jury's mind in deciding whether he is guilty of another of those offences. Where that evidence is not admissible towards proof of his guilt of the other offence, some step must be taken to protect the accused person against the risk of impermissible prejudice. Sometimes a direction to the jury is sufficient to guard against such a risk; sometimes it is not. Where a direction to the jury is not sufficient to guard against such a risk, an application for separate trials should generally be granted."</w:t>
      </w:r>
    </w:p>
    <w:p w14:paraId="4B09DC3D" w14:textId="53B762F9" w:rsidR="003D6F5C" w:rsidRPr="00273D10" w:rsidRDefault="00F57656"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A22252" w:rsidRPr="00273D10">
        <w:rPr>
          <w:rFonts w:ascii="Times New Roman" w:hAnsi="Times New Roman"/>
        </w:rPr>
        <w:t xml:space="preserve">One may pause here to </w:t>
      </w:r>
      <w:r w:rsidR="00F243AD" w:rsidRPr="00273D10">
        <w:rPr>
          <w:rFonts w:ascii="Times New Roman" w:hAnsi="Times New Roman"/>
        </w:rPr>
        <w:t>recall</w:t>
      </w:r>
      <w:r w:rsidR="00A22252" w:rsidRPr="00273D10">
        <w:rPr>
          <w:rFonts w:ascii="Times New Roman" w:hAnsi="Times New Roman"/>
        </w:rPr>
        <w:t xml:space="preserve"> that</w:t>
      </w:r>
      <w:r w:rsidR="00F243AD" w:rsidRPr="00273D10">
        <w:rPr>
          <w:rFonts w:ascii="Times New Roman" w:hAnsi="Times New Roman"/>
        </w:rPr>
        <w:t>,</w:t>
      </w:r>
      <w:r w:rsidR="00A22252" w:rsidRPr="00273D10">
        <w:rPr>
          <w:rFonts w:ascii="Times New Roman" w:hAnsi="Times New Roman"/>
        </w:rPr>
        <w:t xml:space="preserve"> in</w:t>
      </w:r>
      <w:r w:rsidR="003D6F5C" w:rsidRPr="00273D10">
        <w:rPr>
          <w:rFonts w:ascii="Times New Roman" w:hAnsi="Times New Roman"/>
        </w:rPr>
        <w:t xml:space="preserve"> the present case, </w:t>
      </w:r>
      <w:r w:rsidR="00D0493C" w:rsidRPr="00273D10">
        <w:rPr>
          <w:rFonts w:ascii="Times New Roman" w:hAnsi="Times New Roman"/>
        </w:rPr>
        <w:t xml:space="preserve">a number of directions were given which tended to ameliorate the risk adverted to by Brennan J. </w:t>
      </w:r>
      <w:r w:rsidR="00561EAB" w:rsidRPr="00273D10">
        <w:rPr>
          <w:rFonts w:ascii="Times New Roman" w:hAnsi="Times New Roman"/>
        </w:rPr>
        <w:t>The real question is whether</w:t>
      </w:r>
      <w:r w:rsidR="001070AE" w:rsidRPr="00273D10">
        <w:rPr>
          <w:rFonts w:ascii="Times New Roman" w:hAnsi="Times New Roman"/>
        </w:rPr>
        <w:t>,</w:t>
      </w:r>
      <w:r w:rsidR="00561EAB" w:rsidRPr="00273D10">
        <w:rPr>
          <w:rFonts w:ascii="Times New Roman" w:hAnsi="Times New Roman"/>
        </w:rPr>
        <w:t xml:space="preserve"> in the circumstances of the case, those directions were sufficient to remove the practical risk that the jury might reason to a conviction on any count by tende</w:t>
      </w:r>
      <w:r w:rsidR="00A1686D" w:rsidRPr="00273D10">
        <w:rPr>
          <w:rFonts w:ascii="Times New Roman" w:hAnsi="Times New Roman"/>
        </w:rPr>
        <w:t xml:space="preserve">ncy reasoning. </w:t>
      </w:r>
    </w:p>
    <w:p w14:paraId="6C866DA7" w14:textId="5EA87CF3" w:rsidR="000D5154" w:rsidRPr="00273D10" w:rsidRDefault="003D6F5C"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380230" w:rsidRPr="00273D10">
        <w:rPr>
          <w:rFonts w:ascii="Times New Roman" w:hAnsi="Times New Roman"/>
        </w:rPr>
        <w:t xml:space="preserve">The appellant submitted that the separate consideration direction </w:t>
      </w:r>
      <w:r w:rsidR="0035622C" w:rsidRPr="00273D10">
        <w:rPr>
          <w:rFonts w:ascii="Times New Roman" w:hAnsi="Times New Roman"/>
        </w:rPr>
        <w:t xml:space="preserve">was inadequate to </w:t>
      </w:r>
      <w:r w:rsidR="00BF4BA1" w:rsidRPr="00273D10">
        <w:rPr>
          <w:rFonts w:ascii="Times New Roman" w:hAnsi="Times New Roman"/>
        </w:rPr>
        <w:t xml:space="preserve">instruct the jury as to what evidence they could consider in relation to each count. First, the appellant noted that a </w:t>
      </w:r>
      <w:r w:rsidR="008C4994" w:rsidRPr="00273D10">
        <w:rPr>
          <w:rFonts w:ascii="Times New Roman" w:hAnsi="Times New Roman"/>
        </w:rPr>
        <w:t xml:space="preserve">separate consideration direction typically </w:t>
      </w:r>
      <w:r w:rsidR="00F62263" w:rsidRPr="00273D10">
        <w:rPr>
          <w:rFonts w:ascii="Times New Roman" w:hAnsi="Times New Roman"/>
        </w:rPr>
        <w:t>involves two parts: that the jury "must consider each count separately</w:t>
      </w:r>
      <w:r w:rsidR="00C33D1C" w:rsidRPr="00273D10">
        <w:rPr>
          <w:rFonts w:ascii="Times New Roman" w:hAnsi="Times New Roman"/>
        </w:rPr>
        <w:t>", and that the jury must consider each count "</w:t>
      </w:r>
      <w:r w:rsidR="00F62263" w:rsidRPr="00273D10">
        <w:rPr>
          <w:rFonts w:ascii="Times New Roman" w:hAnsi="Times New Roman"/>
        </w:rPr>
        <w:t>only by reference to the evidence that applies to it"</w:t>
      </w:r>
      <w:r w:rsidR="00F62263" w:rsidRPr="00273D10">
        <w:rPr>
          <w:rStyle w:val="FootnoteReference"/>
          <w:rFonts w:ascii="Times New Roman" w:hAnsi="Times New Roman"/>
          <w:sz w:val="24"/>
        </w:rPr>
        <w:footnoteReference w:id="29"/>
      </w:r>
      <w:r w:rsidR="00F62263" w:rsidRPr="00273D10">
        <w:rPr>
          <w:rFonts w:ascii="Times New Roman" w:hAnsi="Times New Roman"/>
        </w:rPr>
        <w:t xml:space="preserve">. </w:t>
      </w:r>
      <w:r w:rsidR="00B53D26" w:rsidRPr="00273D10">
        <w:rPr>
          <w:rFonts w:ascii="Times New Roman" w:hAnsi="Times New Roman"/>
        </w:rPr>
        <w:t xml:space="preserve">The direction given by the trial judge </w:t>
      </w:r>
      <w:r w:rsidR="00D2612E" w:rsidRPr="00273D10">
        <w:rPr>
          <w:rFonts w:ascii="Times New Roman" w:hAnsi="Times New Roman"/>
        </w:rPr>
        <w:t xml:space="preserve">did not </w:t>
      </w:r>
      <w:r w:rsidR="003E42C8" w:rsidRPr="00273D10">
        <w:rPr>
          <w:rFonts w:ascii="Times New Roman" w:hAnsi="Times New Roman"/>
        </w:rPr>
        <w:t xml:space="preserve">contain </w:t>
      </w:r>
      <w:r w:rsidR="00B53D26" w:rsidRPr="00273D10">
        <w:rPr>
          <w:rFonts w:ascii="Times New Roman" w:hAnsi="Times New Roman"/>
        </w:rPr>
        <w:t xml:space="preserve">the second </w:t>
      </w:r>
      <w:r w:rsidR="003E42C8" w:rsidRPr="00273D10">
        <w:rPr>
          <w:rFonts w:ascii="Times New Roman" w:hAnsi="Times New Roman"/>
        </w:rPr>
        <w:t>warning and so</w:t>
      </w:r>
      <w:r w:rsidR="00D2612E" w:rsidRPr="00273D10">
        <w:rPr>
          <w:rFonts w:ascii="Times New Roman" w:hAnsi="Times New Roman"/>
        </w:rPr>
        <w:t xml:space="preserve">, in the appellant's submission, </w:t>
      </w:r>
      <w:r w:rsidR="002466F3" w:rsidRPr="00273D10">
        <w:rPr>
          <w:rFonts w:ascii="Times New Roman" w:hAnsi="Times New Roman"/>
        </w:rPr>
        <w:t xml:space="preserve">did not identify for the jury the evidence available </w:t>
      </w:r>
      <w:r w:rsidR="00507CC3" w:rsidRPr="00273D10">
        <w:rPr>
          <w:rFonts w:ascii="Times New Roman" w:hAnsi="Times New Roman"/>
        </w:rPr>
        <w:t>to prove</w:t>
      </w:r>
      <w:r w:rsidR="002466F3" w:rsidRPr="00273D10">
        <w:rPr>
          <w:rFonts w:ascii="Times New Roman" w:hAnsi="Times New Roman"/>
        </w:rPr>
        <w:t xml:space="preserve"> each count.</w:t>
      </w:r>
      <w:r w:rsidR="00F775EF" w:rsidRPr="00273D10">
        <w:rPr>
          <w:rFonts w:ascii="Times New Roman" w:hAnsi="Times New Roman"/>
        </w:rPr>
        <w:t xml:space="preserve"> </w:t>
      </w:r>
    </w:p>
    <w:p w14:paraId="5010961A" w14:textId="00CE5823" w:rsidR="00AE49CF" w:rsidRPr="00273D10" w:rsidRDefault="004F45B4"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085643" w:rsidRPr="00273D10">
        <w:rPr>
          <w:rFonts w:ascii="Times New Roman" w:hAnsi="Times New Roman"/>
        </w:rPr>
        <w:t>Nor, in the appellant's submission, did</w:t>
      </w:r>
      <w:r w:rsidR="005345F8" w:rsidRPr="00273D10">
        <w:rPr>
          <w:rFonts w:ascii="Times New Roman" w:hAnsi="Times New Roman"/>
        </w:rPr>
        <w:t xml:space="preserve"> the</w:t>
      </w:r>
      <w:r w:rsidR="00FB74DD" w:rsidRPr="00273D10">
        <w:rPr>
          <w:rFonts w:ascii="Times New Roman" w:hAnsi="Times New Roman"/>
        </w:rPr>
        <w:t xml:space="preserve"> </w:t>
      </w:r>
      <w:r w:rsidR="00FB74DD" w:rsidRPr="00273D10">
        <w:rPr>
          <w:rFonts w:ascii="Times New Roman" w:hAnsi="Times New Roman"/>
          <w:i/>
        </w:rPr>
        <w:t>Murray</w:t>
      </w:r>
      <w:r w:rsidR="00FB74DD" w:rsidRPr="00273D10">
        <w:rPr>
          <w:rFonts w:ascii="Times New Roman" w:hAnsi="Times New Roman"/>
        </w:rPr>
        <w:t xml:space="preserve"> direction identify for the jury</w:t>
      </w:r>
      <w:r w:rsidR="00085643" w:rsidRPr="00273D10">
        <w:rPr>
          <w:rFonts w:ascii="Times New Roman" w:hAnsi="Times New Roman"/>
        </w:rPr>
        <w:t>, with clarity,</w:t>
      </w:r>
      <w:r w:rsidR="00FB74DD" w:rsidRPr="00273D10">
        <w:rPr>
          <w:rFonts w:ascii="Times New Roman" w:hAnsi="Times New Roman"/>
        </w:rPr>
        <w:t xml:space="preserve"> </w:t>
      </w:r>
      <w:r w:rsidR="00C70BC4" w:rsidRPr="00273D10">
        <w:rPr>
          <w:rFonts w:ascii="Times New Roman" w:hAnsi="Times New Roman"/>
        </w:rPr>
        <w:t xml:space="preserve">the </w:t>
      </w:r>
      <w:r w:rsidR="00FB74DD" w:rsidRPr="00273D10">
        <w:rPr>
          <w:rFonts w:ascii="Times New Roman" w:hAnsi="Times New Roman"/>
        </w:rPr>
        <w:t xml:space="preserve">evidence </w:t>
      </w:r>
      <w:r w:rsidR="00C70BC4" w:rsidRPr="00273D10">
        <w:rPr>
          <w:rFonts w:ascii="Times New Roman" w:hAnsi="Times New Roman"/>
        </w:rPr>
        <w:t xml:space="preserve">to which </w:t>
      </w:r>
      <w:r w:rsidR="00FB74DD" w:rsidRPr="00273D10">
        <w:rPr>
          <w:rFonts w:ascii="Times New Roman" w:hAnsi="Times New Roman"/>
        </w:rPr>
        <w:t xml:space="preserve">they were entitled to have regard in </w:t>
      </w:r>
      <w:r w:rsidR="00EC3291" w:rsidRPr="00273D10">
        <w:rPr>
          <w:rFonts w:ascii="Times New Roman" w:hAnsi="Times New Roman"/>
        </w:rPr>
        <w:t xml:space="preserve">assessing the </w:t>
      </w:r>
      <w:r w:rsidR="000A6575" w:rsidRPr="00273D10">
        <w:rPr>
          <w:rFonts w:ascii="Times New Roman" w:hAnsi="Times New Roman"/>
        </w:rPr>
        <w:t xml:space="preserve">honesty and </w:t>
      </w:r>
      <w:r w:rsidR="00EC3291" w:rsidRPr="00273D10">
        <w:rPr>
          <w:rFonts w:ascii="Times New Roman" w:hAnsi="Times New Roman"/>
        </w:rPr>
        <w:t xml:space="preserve">reliability of each complainant. </w:t>
      </w:r>
      <w:r w:rsidR="005F382F" w:rsidRPr="00273D10">
        <w:rPr>
          <w:rFonts w:ascii="Times New Roman" w:hAnsi="Times New Roman"/>
        </w:rPr>
        <w:t xml:space="preserve">Indeed, in the appellant's submission, the </w:t>
      </w:r>
      <w:r w:rsidR="005F382F" w:rsidRPr="00273D10">
        <w:rPr>
          <w:rFonts w:ascii="Times New Roman" w:hAnsi="Times New Roman"/>
          <w:i/>
        </w:rPr>
        <w:t xml:space="preserve">Murray </w:t>
      </w:r>
      <w:r w:rsidR="005F382F" w:rsidRPr="00273D10">
        <w:rPr>
          <w:rFonts w:ascii="Times New Roman" w:hAnsi="Times New Roman"/>
        </w:rPr>
        <w:t xml:space="preserve">direction </w:t>
      </w:r>
      <w:r w:rsidR="000A6575" w:rsidRPr="00273D10">
        <w:rPr>
          <w:rFonts w:ascii="Times New Roman" w:hAnsi="Times New Roman"/>
        </w:rPr>
        <w:t xml:space="preserve">given in this case </w:t>
      </w:r>
      <w:r w:rsidR="005F382F" w:rsidRPr="00273D10">
        <w:rPr>
          <w:rFonts w:ascii="Times New Roman" w:hAnsi="Times New Roman"/>
        </w:rPr>
        <w:t>was capable of being understood by the jury as an invitation to engage in tendency reasoning across multiple complainants, rather than an admonition against reasoning in that way.</w:t>
      </w:r>
      <w:r w:rsidR="008E2ADD" w:rsidRPr="00273D10">
        <w:rPr>
          <w:rFonts w:ascii="Times New Roman" w:hAnsi="Times New Roman"/>
        </w:rPr>
        <w:t xml:space="preserve"> </w:t>
      </w:r>
      <w:r w:rsidR="00085643" w:rsidRPr="00273D10">
        <w:rPr>
          <w:rFonts w:ascii="Times New Roman" w:hAnsi="Times New Roman"/>
        </w:rPr>
        <w:t xml:space="preserve">In </w:t>
      </w:r>
      <w:r w:rsidR="00085643" w:rsidRPr="00273D10">
        <w:rPr>
          <w:rFonts w:ascii="Times New Roman" w:hAnsi="Times New Roman"/>
        </w:rPr>
        <w:lastRenderedPageBreak/>
        <w:t>any event</w:t>
      </w:r>
      <w:r w:rsidR="008E2ADD" w:rsidRPr="00273D10">
        <w:rPr>
          <w:rFonts w:ascii="Times New Roman" w:hAnsi="Times New Roman"/>
        </w:rPr>
        <w:t>,</w:t>
      </w:r>
      <w:r w:rsidR="00EC3291" w:rsidRPr="00273D10">
        <w:rPr>
          <w:rFonts w:ascii="Times New Roman" w:hAnsi="Times New Roman"/>
        </w:rPr>
        <w:t xml:space="preserve"> the appellant submitted</w:t>
      </w:r>
      <w:r w:rsidR="00F724B0" w:rsidRPr="00273D10">
        <w:rPr>
          <w:rFonts w:ascii="Times New Roman" w:hAnsi="Times New Roman"/>
        </w:rPr>
        <w:t>,</w:t>
      </w:r>
      <w:r w:rsidR="00EC3291" w:rsidRPr="00273D10">
        <w:rPr>
          <w:rFonts w:ascii="Times New Roman" w:hAnsi="Times New Roman"/>
        </w:rPr>
        <w:t xml:space="preserve"> the </w:t>
      </w:r>
      <w:r w:rsidR="00EC3291" w:rsidRPr="00273D10">
        <w:rPr>
          <w:rFonts w:ascii="Times New Roman" w:hAnsi="Times New Roman"/>
          <w:i/>
        </w:rPr>
        <w:t xml:space="preserve">Murray </w:t>
      </w:r>
      <w:r w:rsidR="00EC3291" w:rsidRPr="00273D10">
        <w:rPr>
          <w:rFonts w:ascii="Times New Roman" w:hAnsi="Times New Roman"/>
        </w:rPr>
        <w:t xml:space="preserve">direction was ineffective to ward against impermissible </w:t>
      </w:r>
      <w:r w:rsidR="002840FD" w:rsidRPr="00273D10">
        <w:rPr>
          <w:rFonts w:ascii="Times New Roman" w:hAnsi="Times New Roman"/>
        </w:rPr>
        <w:t>tendency reasoning between counts relating to the same complainant.</w:t>
      </w:r>
      <w:r w:rsidR="00EC3291" w:rsidRPr="00273D10">
        <w:rPr>
          <w:rFonts w:ascii="Times New Roman" w:hAnsi="Times New Roman"/>
        </w:rPr>
        <w:t xml:space="preserve"> </w:t>
      </w:r>
    </w:p>
    <w:p w14:paraId="1462AE1E" w14:textId="74B309DB" w:rsidR="003505F2" w:rsidRPr="00273D10" w:rsidRDefault="00D27B21"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8F3960" w:rsidRPr="00273D10">
        <w:rPr>
          <w:rFonts w:ascii="Times New Roman" w:hAnsi="Times New Roman"/>
        </w:rPr>
        <w:t>T</w:t>
      </w:r>
      <w:r w:rsidRPr="00273D10">
        <w:rPr>
          <w:rFonts w:ascii="Times New Roman" w:hAnsi="Times New Roman"/>
        </w:rPr>
        <w:t>he appellant contended that Beech</w:t>
      </w:r>
      <w:r w:rsidRPr="00273D10">
        <w:rPr>
          <w:rFonts w:ascii="Times New Roman" w:hAnsi="Times New Roman"/>
        </w:rPr>
        <w:noBreakHyphen/>
        <w:t>Jones</w:t>
      </w:r>
      <w:r w:rsidR="009204C0" w:rsidRPr="00273D10">
        <w:rPr>
          <w:rFonts w:ascii="Times New Roman" w:hAnsi="Times New Roman"/>
        </w:rPr>
        <w:t> </w:t>
      </w:r>
      <w:r w:rsidRPr="00273D10">
        <w:rPr>
          <w:rFonts w:ascii="Times New Roman" w:hAnsi="Times New Roman"/>
        </w:rPr>
        <w:t xml:space="preserve">J </w:t>
      </w:r>
      <w:r w:rsidR="00824901" w:rsidRPr="00273D10">
        <w:rPr>
          <w:rFonts w:ascii="Times New Roman" w:hAnsi="Times New Roman"/>
        </w:rPr>
        <w:t xml:space="preserve">was wrong to </w:t>
      </w:r>
      <w:r w:rsidR="006C2AFA" w:rsidRPr="00273D10">
        <w:rPr>
          <w:rFonts w:ascii="Times New Roman" w:hAnsi="Times New Roman"/>
        </w:rPr>
        <w:t>infer</w:t>
      </w:r>
      <w:r w:rsidR="00982868" w:rsidRPr="00273D10">
        <w:rPr>
          <w:rFonts w:ascii="Times New Roman" w:hAnsi="Times New Roman"/>
        </w:rPr>
        <w:t xml:space="preserve"> that</w:t>
      </w:r>
      <w:r w:rsidR="006C2AFA" w:rsidRPr="00273D10">
        <w:rPr>
          <w:rFonts w:ascii="Times New Roman" w:hAnsi="Times New Roman"/>
        </w:rPr>
        <w:t xml:space="preserve"> the failure o</w:t>
      </w:r>
      <w:r w:rsidR="002A609A" w:rsidRPr="00273D10">
        <w:rPr>
          <w:rFonts w:ascii="Times New Roman" w:hAnsi="Times New Roman"/>
        </w:rPr>
        <w:t xml:space="preserve">f the appellant's </w:t>
      </w:r>
      <w:r w:rsidR="001C68B6" w:rsidRPr="00273D10">
        <w:rPr>
          <w:rFonts w:ascii="Times New Roman" w:hAnsi="Times New Roman"/>
        </w:rPr>
        <w:t xml:space="preserve">trial </w:t>
      </w:r>
      <w:r w:rsidR="002A609A" w:rsidRPr="00273D10">
        <w:rPr>
          <w:rFonts w:ascii="Times New Roman" w:hAnsi="Times New Roman"/>
        </w:rPr>
        <w:t xml:space="preserve">counsel to request an anti-tendency direction was a deliberate decision made </w:t>
      </w:r>
      <w:r w:rsidR="009204C0" w:rsidRPr="00273D10">
        <w:rPr>
          <w:rFonts w:ascii="Times New Roman" w:hAnsi="Times New Roman"/>
        </w:rPr>
        <w:t xml:space="preserve">in </w:t>
      </w:r>
      <w:r w:rsidR="001D441C" w:rsidRPr="00273D10">
        <w:rPr>
          <w:rFonts w:ascii="Times New Roman" w:hAnsi="Times New Roman"/>
        </w:rPr>
        <w:t xml:space="preserve">the belief that such a direction was not necessary </w:t>
      </w:r>
      <w:r w:rsidR="00516706" w:rsidRPr="00273D10">
        <w:rPr>
          <w:rFonts w:ascii="Times New Roman" w:hAnsi="Times New Roman"/>
        </w:rPr>
        <w:t>in the circumstances</w:t>
      </w:r>
      <w:r w:rsidR="001D441C" w:rsidRPr="00273D10">
        <w:rPr>
          <w:rFonts w:ascii="Times New Roman" w:hAnsi="Times New Roman"/>
        </w:rPr>
        <w:t xml:space="preserve">. </w:t>
      </w:r>
      <w:r w:rsidR="00182AA4" w:rsidRPr="00273D10">
        <w:rPr>
          <w:rFonts w:ascii="Times New Roman" w:hAnsi="Times New Roman"/>
        </w:rPr>
        <w:t xml:space="preserve">In the appellant's submission, </w:t>
      </w:r>
      <w:r w:rsidR="007226BE" w:rsidRPr="00273D10">
        <w:rPr>
          <w:rFonts w:ascii="Times New Roman" w:hAnsi="Times New Roman"/>
        </w:rPr>
        <w:t xml:space="preserve">as </w:t>
      </w:r>
      <w:r w:rsidR="00FC127F" w:rsidRPr="00273D10">
        <w:rPr>
          <w:rFonts w:ascii="Times New Roman" w:hAnsi="Times New Roman"/>
        </w:rPr>
        <w:t>Macfarlan JA conclude</w:t>
      </w:r>
      <w:r w:rsidR="007226BE" w:rsidRPr="00273D10">
        <w:rPr>
          <w:rFonts w:ascii="Times New Roman" w:hAnsi="Times New Roman"/>
        </w:rPr>
        <w:t>d</w:t>
      </w:r>
      <w:r w:rsidR="00A2785F" w:rsidRPr="00273D10">
        <w:rPr>
          <w:rStyle w:val="FootnoteReference"/>
          <w:rFonts w:ascii="Times New Roman" w:hAnsi="Times New Roman"/>
          <w:sz w:val="24"/>
        </w:rPr>
        <w:footnoteReference w:id="30"/>
      </w:r>
      <w:r w:rsidR="007226BE" w:rsidRPr="00273D10">
        <w:rPr>
          <w:rFonts w:ascii="Times New Roman" w:hAnsi="Times New Roman"/>
        </w:rPr>
        <w:t>,</w:t>
      </w:r>
      <w:r w:rsidR="00FC127F" w:rsidRPr="00273D10">
        <w:rPr>
          <w:rFonts w:ascii="Times New Roman" w:hAnsi="Times New Roman"/>
        </w:rPr>
        <w:t xml:space="preserve"> it was not possible to form a view whether the appellant's </w:t>
      </w:r>
      <w:r w:rsidR="00A2785F" w:rsidRPr="00273D10">
        <w:rPr>
          <w:rFonts w:ascii="Times New Roman" w:hAnsi="Times New Roman"/>
        </w:rPr>
        <w:t xml:space="preserve">trial </w:t>
      </w:r>
      <w:r w:rsidR="00FC127F" w:rsidRPr="00273D10">
        <w:rPr>
          <w:rFonts w:ascii="Times New Roman" w:hAnsi="Times New Roman"/>
        </w:rPr>
        <w:t>counsel made a calculated forensic decision not to seek an anti-tendency direction.</w:t>
      </w:r>
      <w:r w:rsidR="00DD4FD6" w:rsidRPr="00273D10">
        <w:rPr>
          <w:rFonts w:ascii="Times New Roman" w:hAnsi="Times New Roman"/>
        </w:rPr>
        <w:t xml:space="preserve"> It was emphasised that even experienced counsel may make mistakes or </w:t>
      </w:r>
      <w:r w:rsidR="000D7760" w:rsidRPr="00273D10">
        <w:rPr>
          <w:rFonts w:ascii="Times New Roman" w:hAnsi="Times New Roman"/>
        </w:rPr>
        <w:t>be guilty of oversight and omission</w:t>
      </w:r>
      <w:r w:rsidR="000D7760" w:rsidRPr="00273D10">
        <w:rPr>
          <w:rStyle w:val="FootnoteReference"/>
          <w:rFonts w:ascii="Times New Roman" w:hAnsi="Times New Roman"/>
          <w:sz w:val="24"/>
        </w:rPr>
        <w:footnoteReference w:id="31"/>
      </w:r>
      <w:r w:rsidR="00FA6B7A" w:rsidRPr="00273D10">
        <w:rPr>
          <w:rFonts w:ascii="Times New Roman" w:hAnsi="Times New Roman"/>
        </w:rPr>
        <w:t xml:space="preserve">. Accordingly, so it was said, </w:t>
      </w:r>
      <w:r w:rsidR="0094147C" w:rsidRPr="00273D10">
        <w:rPr>
          <w:rFonts w:ascii="Times New Roman" w:hAnsi="Times New Roman"/>
        </w:rPr>
        <w:t xml:space="preserve">the absence of a request for a direction did not </w:t>
      </w:r>
      <w:r w:rsidR="00195DDF" w:rsidRPr="00273D10">
        <w:rPr>
          <w:rFonts w:ascii="Times New Roman" w:hAnsi="Times New Roman"/>
        </w:rPr>
        <w:t xml:space="preserve">relieve </w:t>
      </w:r>
      <w:r w:rsidR="0094147C" w:rsidRPr="00273D10">
        <w:rPr>
          <w:rFonts w:ascii="Times New Roman" w:hAnsi="Times New Roman"/>
        </w:rPr>
        <w:t xml:space="preserve">the trial judge </w:t>
      </w:r>
      <w:r w:rsidR="00195DDF" w:rsidRPr="00273D10">
        <w:rPr>
          <w:rFonts w:ascii="Times New Roman" w:hAnsi="Times New Roman"/>
        </w:rPr>
        <w:t xml:space="preserve">of his </w:t>
      </w:r>
      <w:r w:rsidR="0094147C" w:rsidRPr="00273D10">
        <w:rPr>
          <w:rFonts w:ascii="Times New Roman" w:hAnsi="Times New Roman"/>
        </w:rPr>
        <w:t xml:space="preserve">duty to </w:t>
      </w:r>
      <w:r w:rsidR="00BB5355" w:rsidRPr="00273D10">
        <w:rPr>
          <w:rFonts w:ascii="Times New Roman" w:hAnsi="Times New Roman"/>
        </w:rPr>
        <w:t>provide appropriate warnings to the jury</w:t>
      </w:r>
      <w:r w:rsidR="00A21952" w:rsidRPr="00273D10">
        <w:rPr>
          <w:rFonts w:ascii="Times New Roman" w:hAnsi="Times New Roman"/>
        </w:rPr>
        <w:t>.</w:t>
      </w:r>
    </w:p>
    <w:p w14:paraId="2E23E09D" w14:textId="21B32159" w:rsidR="003505F2" w:rsidRPr="00273D10" w:rsidRDefault="000C7338" w:rsidP="00273D10">
      <w:pPr>
        <w:pStyle w:val="HeadingL1"/>
        <w:spacing w:after="260" w:line="280" w:lineRule="exact"/>
        <w:ind w:right="0"/>
        <w:jc w:val="both"/>
        <w:rPr>
          <w:rFonts w:ascii="Times New Roman" w:hAnsi="Times New Roman"/>
        </w:rPr>
      </w:pPr>
      <w:r w:rsidRPr="00273D10">
        <w:rPr>
          <w:rFonts w:ascii="Times New Roman" w:hAnsi="Times New Roman"/>
        </w:rPr>
        <w:t>The Crown's submissions</w:t>
      </w:r>
    </w:p>
    <w:p w14:paraId="32619BFB" w14:textId="138E0DEC" w:rsidR="00B80282" w:rsidRPr="00273D10" w:rsidRDefault="000C7338" w:rsidP="00273D10">
      <w:pPr>
        <w:pStyle w:val="FixListStyle"/>
        <w:spacing w:after="260" w:line="280" w:lineRule="exact"/>
        <w:ind w:right="0"/>
        <w:jc w:val="both"/>
        <w:rPr>
          <w:rFonts w:ascii="Times New Roman" w:hAnsi="Times New Roman"/>
        </w:rPr>
      </w:pPr>
      <w:r w:rsidRPr="00273D10">
        <w:rPr>
          <w:rFonts w:ascii="Times New Roman" w:hAnsi="Times New Roman"/>
        </w:rPr>
        <w:tab/>
        <w:t xml:space="preserve">The Crown </w:t>
      </w:r>
      <w:r w:rsidR="00DC04FA" w:rsidRPr="00273D10">
        <w:rPr>
          <w:rFonts w:ascii="Times New Roman" w:hAnsi="Times New Roman"/>
        </w:rPr>
        <w:t xml:space="preserve">submitted that the appellant had not demonstrated that the </w:t>
      </w:r>
      <w:r w:rsidR="005160B9" w:rsidRPr="00273D10">
        <w:rPr>
          <w:rFonts w:ascii="Times New Roman" w:hAnsi="Times New Roman"/>
        </w:rPr>
        <w:t xml:space="preserve">failure to give an anti-tendency direction </w:t>
      </w:r>
      <w:r w:rsidR="00DC04FA" w:rsidRPr="00273D10">
        <w:rPr>
          <w:rFonts w:ascii="Times New Roman" w:hAnsi="Times New Roman"/>
        </w:rPr>
        <w:t xml:space="preserve">gave </w:t>
      </w:r>
      <w:r w:rsidR="005160B9" w:rsidRPr="00273D10">
        <w:rPr>
          <w:rFonts w:ascii="Times New Roman" w:hAnsi="Times New Roman"/>
        </w:rPr>
        <w:t>rise to a miscarriage of justice</w:t>
      </w:r>
      <w:r w:rsidR="00DC04FA" w:rsidRPr="00273D10">
        <w:rPr>
          <w:rFonts w:ascii="Times New Roman" w:hAnsi="Times New Roman"/>
        </w:rPr>
        <w:t>,</w:t>
      </w:r>
      <w:r w:rsidR="005160B9" w:rsidRPr="00273D10">
        <w:rPr>
          <w:rFonts w:ascii="Times New Roman" w:hAnsi="Times New Roman"/>
        </w:rPr>
        <w:t xml:space="preserve"> </w:t>
      </w:r>
      <w:r w:rsidR="00DC04FA" w:rsidRPr="00273D10">
        <w:rPr>
          <w:rFonts w:ascii="Times New Roman" w:hAnsi="Times New Roman"/>
        </w:rPr>
        <w:t xml:space="preserve">because he had not demonstrated that there was a </w:t>
      </w:r>
      <w:r w:rsidR="005160B9" w:rsidRPr="00273D10">
        <w:rPr>
          <w:rFonts w:ascii="Times New Roman" w:hAnsi="Times New Roman"/>
        </w:rPr>
        <w:t>"real chance" that the jury</w:t>
      </w:r>
      <w:r w:rsidR="00C72B38" w:rsidRPr="00273D10">
        <w:rPr>
          <w:rFonts w:ascii="Times New Roman" w:hAnsi="Times New Roman"/>
        </w:rPr>
        <w:t xml:space="preserve"> </w:t>
      </w:r>
      <w:r w:rsidR="00DC04FA" w:rsidRPr="00273D10">
        <w:rPr>
          <w:rFonts w:ascii="Times New Roman" w:hAnsi="Times New Roman"/>
        </w:rPr>
        <w:t xml:space="preserve">in the present case </w:t>
      </w:r>
      <w:r w:rsidR="00C72B38" w:rsidRPr="00273D10">
        <w:rPr>
          <w:rFonts w:ascii="Times New Roman" w:hAnsi="Times New Roman"/>
        </w:rPr>
        <w:t>might have</w:t>
      </w:r>
      <w:r w:rsidR="005160B9" w:rsidRPr="00273D10">
        <w:rPr>
          <w:rFonts w:ascii="Times New Roman" w:hAnsi="Times New Roman"/>
        </w:rPr>
        <w:t xml:space="preserve"> improperly engaged in tendency reasoning</w:t>
      </w:r>
      <w:r w:rsidR="005160B9" w:rsidRPr="00273D10">
        <w:rPr>
          <w:rStyle w:val="FootnoteReference"/>
          <w:rFonts w:ascii="Times New Roman" w:hAnsi="Times New Roman"/>
          <w:sz w:val="24"/>
        </w:rPr>
        <w:footnoteReference w:id="32"/>
      </w:r>
      <w:r w:rsidR="000D564E" w:rsidRPr="00273D10">
        <w:rPr>
          <w:rFonts w:ascii="Times New Roman" w:hAnsi="Times New Roman"/>
        </w:rPr>
        <w:t>.</w:t>
      </w:r>
      <w:r w:rsidR="008C2329" w:rsidRPr="00273D10">
        <w:rPr>
          <w:rFonts w:ascii="Times New Roman" w:hAnsi="Times New Roman"/>
        </w:rPr>
        <w:t xml:space="preserve"> </w:t>
      </w:r>
    </w:p>
    <w:p w14:paraId="6C46CE16" w14:textId="3986638F" w:rsidR="00391977" w:rsidRPr="00273D10" w:rsidRDefault="00B80282"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302539" w:rsidRPr="00273D10">
        <w:rPr>
          <w:rFonts w:ascii="Times New Roman" w:hAnsi="Times New Roman"/>
        </w:rPr>
        <w:t xml:space="preserve">The Crown submitted that the </w:t>
      </w:r>
      <w:r w:rsidR="00B611E1" w:rsidRPr="00273D10">
        <w:rPr>
          <w:rFonts w:ascii="Times New Roman" w:hAnsi="Times New Roman"/>
        </w:rPr>
        <w:t xml:space="preserve">extent of the </w:t>
      </w:r>
      <w:r w:rsidR="00302539" w:rsidRPr="00273D10">
        <w:rPr>
          <w:rFonts w:ascii="Times New Roman" w:hAnsi="Times New Roman"/>
        </w:rPr>
        <w:t xml:space="preserve">risk </w:t>
      </w:r>
      <w:r w:rsidR="00B611E1" w:rsidRPr="00273D10">
        <w:rPr>
          <w:rFonts w:ascii="Times New Roman" w:hAnsi="Times New Roman"/>
        </w:rPr>
        <w:t xml:space="preserve">depends on the issues in the trial, contrasting the present case </w:t>
      </w:r>
      <w:r w:rsidR="00004411" w:rsidRPr="00273D10">
        <w:rPr>
          <w:rFonts w:ascii="Times New Roman" w:hAnsi="Times New Roman"/>
        </w:rPr>
        <w:t xml:space="preserve">with </w:t>
      </w:r>
      <w:r w:rsidR="00E56F71" w:rsidRPr="00273D10">
        <w:rPr>
          <w:rFonts w:ascii="Times New Roman" w:hAnsi="Times New Roman"/>
        </w:rPr>
        <w:t>cases where the identity of the assailant is in issue and the risk of impermissible tendency reasoning is particularly high.</w:t>
      </w:r>
      <w:r w:rsidR="00DC04FA" w:rsidRPr="00273D10">
        <w:rPr>
          <w:rFonts w:ascii="Times New Roman" w:hAnsi="Times New Roman"/>
        </w:rPr>
        <w:t xml:space="preserve"> </w:t>
      </w:r>
      <w:r w:rsidR="00187546" w:rsidRPr="00273D10">
        <w:rPr>
          <w:rFonts w:ascii="Times New Roman" w:hAnsi="Times New Roman"/>
        </w:rPr>
        <w:t>In</w:t>
      </w:r>
      <w:r w:rsidR="00DD634F" w:rsidRPr="00273D10">
        <w:rPr>
          <w:rFonts w:ascii="Times New Roman" w:hAnsi="Times New Roman"/>
        </w:rPr>
        <w:t xml:space="preserve"> the Crown's submission</w:t>
      </w:r>
      <w:r w:rsidR="00F242CF" w:rsidRPr="00273D10">
        <w:rPr>
          <w:rFonts w:ascii="Times New Roman" w:hAnsi="Times New Roman"/>
        </w:rPr>
        <w:t>,</w:t>
      </w:r>
      <w:r w:rsidR="00DD634F" w:rsidRPr="00273D10">
        <w:rPr>
          <w:rFonts w:ascii="Times New Roman" w:hAnsi="Times New Roman"/>
        </w:rPr>
        <w:t xml:space="preserve"> neither the Crown Prosecutor nor the defence invited the jury to engage in tendency reasoning</w:t>
      </w:r>
      <w:r w:rsidR="00421DD2" w:rsidRPr="00273D10">
        <w:rPr>
          <w:rFonts w:ascii="Times New Roman" w:hAnsi="Times New Roman"/>
        </w:rPr>
        <w:t>.</w:t>
      </w:r>
      <w:r w:rsidR="00A90C3C" w:rsidRPr="00273D10">
        <w:rPr>
          <w:rFonts w:ascii="Times New Roman" w:hAnsi="Times New Roman"/>
        </w:rPr>
        <w:t xml:space="preserve"> Nor did any of the directions </w:t>
      </w:r>
      <w:r w:rsidR="00B836FF" w:rsidRPr="00273D10">
        <w:rPr>
          <w:rFonts w:ascii="Times New Roman" w:hAnsi="Times New Roman"/>
        </w:rPr>
        <w:t>suggest that tendency reasoning would be permissible.</w:t>
      </w:r>
      <w:r w:rsidRPr="00273D10">
        <w:rPr>
          <w:rFonts w:ascii="Times New Roman" w:hAnsi="Times New Roman"/>
        </w:rPr>
        <w:t xml:space="preserve"> T</w:t>
      </w:r>
      <w:r w:rsidR="00245FC2" w:rsidRPr="00273D10">
        <w:rPr>
          <w:rFonts w:ascii="Times New Roman" w:hAnsi="Times New Roman"/>
        </w:rPr>
        <w:t xml:space="preserve">he giving of the character direction, the context direction, the separate consideration direction and the </w:t>
      </w:r>
      <w:r w:rsidR="00245FC2" w:rsidRPr="00273D10">
        <w:rPr>
          <w:rFonts w:ascii="Times New Roman" w:hAnsi="Times New Roman"/>
          <w:i/>
        </w:rPr>
        <w:t xml:space="preserve">Murray </w:t>
      </w:r>
      <w:r w:rsidR="00245FC2" w:rsidRPr="00273D10">
        <w:rPr>
          <w:rFonts w:ascii="Times New Roman" w:hAnsi="Times New Roman"/>
        </w:rPr>
        <w:t xml:space="preserve">direction </w:t>
      </w:r>
      <w:r w:rsidR="00AB6680" w:rsidRPr="00273D10">
        <w:rPr>
          <w:rFonts w:ascii="Times New Roman" w:hAnsi="Times New Roman"/>
        </w:rPr>
        <w:t xml:space="preserve">sufficiently mitigated </w:t>
      </w:r>
      <w:r w:rsidR="00737977" w:rsidRPr="00273D10">
        <w:rPr>
          <w:rFonts w:ascii="Times New Roman" w:hAnsi="Times New Roman"/>
        </w:rPr>
        <w:t xml:space="preserve">the </w:t>
      </w:r>
      <w:r w:rsidR="00004411" w:rsidRPr="00273D10">
        <w:rPr>
          <w:rFonts w:ascii="Times New Roman" w:hAnsi="Times New Roman"/>
        </w:rPr>
        <w:t xml:space="preserve">theoretical </w:t>
      </w:r>
      <w:r w:rsidR="00AB6680" w:rsidRPr="00273D10">
        <w:rPr>
          <w:rFonts w:ascii="Times New Roman" w:hAnsi="Times New Roman"/>
        </w:rPr>
        <w:t>risk that the jury would employ tendency reasoning.</w:t>
      </w:r>
      <w:r w:rsidR="00044ADC" w:rsidRPr="00273D10">
        <w:rPr>
          <w:rFonts w:ascii="Times New Roman" w:hAnsi="Times New Roman"/>
        </w:rPr>
        <w:t xml:space="preserve"> </w:t>
      </w:r>
    </w:p>
    <w:p w14:paraId="5649BC0E" w14:textId="34A45DD7" w:rsidR="00391977" w:rsidRPr="00273D10" w:rsidRDefault="00391977"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044ADC" w:rsidRPr="00273D10">
        <w:rPr>
          <w:rFonts w:ascii="Times New Roman" w:hAnsi="Times New Roman"/>
        </w:rPr>
        <w:t xml:space="preserve">The </w:t>
      </w:r>
      <w:r w:rsidR="00217332" w:rsidRPr="00273D10">
        <w:rPr>
          <w:rFonts w:ascii="Times New Roman" w:hAnsi="Times New Roman"/>
        </w:rPr>
        <w:t xml:space="preserve">Crown </w:t>
      </w:r>
      <w:r w:rsidR="00A733A6" w:rsidRPr="00273D10">
        <w:rPr>
          <w:rFonts w:ascii="Times New Roman" w:hAnsi="Times New Roman"/>
        </w:rPr>
        <w:t xml:space="preserve">noted </w:t>
      </w:r>
      <w:r w:rsidR="00217332" w:rsidRPr="00273D10">
        <w:rPr>
          <w:rFonts w:ascii="Times New Roman" w:hAnsi="Times New Roman"/>
        </w:rPr>
        <w:t xml:space="preserve">that the </w:t>
      </w:r>
      <w:r w:rsidR="00A733A6" w:rsidRPr="00273D10">
        <w:rPr>
          <w:rFonts w:ascii="Times New Roman" w:hAnsi="Times New Roman"/>
        </w:rPr>
        <w:t xml:space="preserve">omission of the </w:t>
      </w:r>
      <w:r w:rsidR="00217332" w:rsidRPr="00273D10">
        <w:rPr>
          <w:rFonts w:ascii="Times New Roman" w:hAnsi="Times New Roman"/>
        </w:rPr>
        <w:t xml:space="preserve">"second limb" of the </w:t>
      </w:r>
      <w:r w:rsidR="00A733A6" w:rsidRPr="00273D10">
        <w:rPr>
          <w:rFonts w:ascii="Times New Roman" w:hAnsi="Times New Roman"/>
        </w:rPr>
        <w:t xml:space="preserve">standard </w:t>
      </w:r>
      <w:r w:rsidR="00217332" w:rsidRPr="00273D10">
        <w:rPr>
          <w:rFonts w:ascii="Times New Roman" w:hAnsi="Times New Roman"/>
        </w:rPr>
        <w:t>separate consideration direction</w:t>
      </w:r>
      <w:r w:rsidR="00BF4944" w:rsidRPr="00273D10">
        <w:rPr>
          <w:rFonts w:ascii="Times New Roman" w:hAnsi="Times New Roman"/>
        </w:rPr>
        <w:t xml:space="preserve"> </w:t>
      </w:r>
      <w:r w:rsidR="004F3CE8" w:rsidRPr="00273D10">
        <w:rPr>
          <w:rFonts w:ascii="Times New Roman" w:hAnsi="Times New Roman"/>
        </w:rPr>
        <w:t>–</w:t>
      </w:r>
      <w:r w:rsidR="00BF4944" w:rsidRPr="00273D10">
        <w:rPr>
          <w:rFonts w:ascii="Times New Roman" w:hAnsi="Times New Roman"/>
        </w:rPr>
        <w:t xml:space="preserve"> to consider each count "only by reference to the evidence that applies to it" </w:t>
      </w:r>
      <w:r w:rsidR="004F3CE8" w:rsidRPr="00273D10">
        <w:rPr>
          <w:rFonts w:ascii="Times New Roman" w:hAnsi="Times New Roman"/>
        </w:rPr>
        <w:t>–</w:t>
      </w:r>
      <w:r w:rsidR="00BF4944" w:rsidRPr="00273D10">
        <w:rPr>
          <w:rFonts w:ascii="Times New Roman" w:hAnsi="Times New Roman"/>
        </w:rPr>
        <w:t xml:space="preserve"> </w:t>
      </w:r>
      <w:r w:rsidR="004F3CE8" w:rsidRPr="00273D10">
        <w:rPr>
          <w:rFonts w:ascii="Times New Roman" w:hAnsi="Times New Roman"/>
        </w:rPr>
        <w:t xml:space="preserve">was </w:t>
      </w:r>
      <w:r w:rsidR="00B247FA" w:rsidRPr="00273D10">
        <w:rPr>
          <w:rFonts w:ascii="Times New Roman" w:hAnsi="Times New Roman"/>
        </w:rPr>
        <w:t>apt</w:t>
      </w:r>
      <w:r w:rsidR="004F3CE8" w:rsidRPr="00273D10">
        <w:rPr>
          <w:rFonts w:ascii="Times New Roman" w:hAnsi="Times New Roman"/>
        </w:rPr>
        <w:t xml:space="preserve"> to ensure the defence case was not </w:t>
      </w:r>
      <w:r w:rsidR="004F3CE8" w:rsidRPr="00273D10">
        <w:rPr>
          <w:rFonts w:ascii="Times New Roman" w:hAnsi="Times New Roman"/>
        </w:rPr>
        <w:lastRenderedPageBreak/>
        <w:t xml:space="preserve">undermined, defence counsel having invited the jury to consider all the evidence </w:t>
      </w:r>
      <w:r w:rsidR="00085643" w:rsidRPr="00273D10">
        <w:rPr>
          <w:rFonts w:ascii="Times New Roman" w:hAnsi="Times New Roman"/>
        </w:rPr>
        <w:t xml:space="preserve">and </w:t>
      </w:r>
      <w:r w:rsidR="004F3CE8" w:rsidRPr="00273D10">
        <w:rPr>
          <w:rFonts w:ascii="Times New Roman" w:hAnsi="Times New Roman"/>
        </w:rPr>
        <w:t xml:space="preserve">to "join the dots" </w:t>
      </w:r>
      <w:r w:rsidR="00D63AF1" w:rsidRPr="00273D10">
        <w:rPr>
          <w:rFonts w:ascii="Times New Roman" w:hAnsi="Times New Roman"/>
        </w:rPr>
        <w:t>to</w:t>
      </w:r>
      <w:r w:rsidR="004F3CE8" w:rsidRPr="00273D10">
        <w:rPr>
          <w:rFonts w:ascii="Times New Roman" w:hAnsi="Times New Roman"/>
        </w:rPr>
        <w:t xml:space="preserve"> conclude that each of the complainants was lying. </w:t>
      </w:r>
      <w:r w:rsidRPr="00273D10">
        <w:rPr>
          <w:rFonts w:ascii="Times New Roman" w:hAnsi="Times New Roman"/>
        </w:rPr>
        <w:t>I</w:t>
      </w:r>
      <w:r w:rsidR="002F1DEC" w:rsidRPr="00273D10">
        <w:rPr>
          <w:rFonts w:ascii="Times New Roman" w:hAnsi="Times New Roman"/>
        </w:rPr>
        <w:t xml:space="preserve">n any event, </w:t>
      </w:r>
      <w:r w:rsidR="0039360B" w:rsidRPr="00273D10">
        <w:rPr>
          <w:rFonts w:ascii="Times New Roman" w:hAnsi="Times New Roman"/>
        </w:rPr>
        <w:t xml:space="preserve">the </w:t>
      </w:r>
      <w:r w:rsidR="0039360B" w:rsidRPr="00273D10">
        <w:rPr>
          <w:rFonts w:ascii="Times New Roman" w:hAnsi="Times New Roman"/>
          <w:i/>
        </w:rPr>
        <w:t>Murray</w:t>
      </w:r>
      <w:r w:rsidR="0039360B" w:rsidRPr="00273D10">
        <w:rPr>
          <w:rFonts w:ascii="Times New Roman" w:hAnsi="Times New Roman"/>
        </w:rPr>
        <w:t xml:space="preserve"> direction clearly directed the jury as to the evidence they could use when reasoning towards guilt</w:t>
      </w:r>
      <w:r w:rsidR="00FD2FD4" w:rsidRPr="00273D10">
        <w:rPr>
          <w:rFonts w:ascii="Times New Roman" w:hAnsi="Times New Roman"/>
        </w:rPr>
        <w:t xml:space="preserve">. </w:t>
      </w:r>
    </w:p>
    <w:p w14:paraId="3C72BC0E" w14:textId="2096E406" w:rsidR="00AC4E26" w:rsidRPr="00273D10" w:rsidRDefault="00713D3B" w:rsidP="00273D10">
      <w:pPr>
        <w:pStyle w:val="HeadingL1"/>
        <w:spacing w:after="260" w:line="280" w:lineRule="exact"/>
        <w:ind w:right="0"/>
        <w:jc w:val="both"/>
        <w:rPr>
          <w:rFonts w:ascii="Times New Roman" w:hAnsi="Times New Roman"/>
        </w:rPr>
      </w:pPr>
      <w:r w:rsidRPr="00273D10">
        <w:rPr>
          <w:rFonts w:ascii="Times New Roman" w:hAnsi="Times New Roman"/>
        </w:rPr>
        <w:t>A miscarriage of justice?</w:t>
      </w:r>
    </w:p>
    <w:p w14:paraId="600F0A5A" w14:textId="5C429670" w:rsidR="00A07602" w:rsidRPr="00273D10" w:rsidRDefault="00AC4E26"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9026A3" w:rsidRPr="00273D10">
        <w:rPr>
          <w:rFonts w:ascii="Times New Roman" w:hAnsi="Times New Roman"/>
        </w:rPr>
        <w:t>Insofar as the appellant's argument depends upon the proposition that an anti</w:t>
      </w:r>
      <w:r w:rsidR="009026A3" w:rsidRPr="00273D10">
        <w:rPr>
          <w:rFonts w:ascii="Times New Roman" w:hAnsi="Times New Roman"/>
        </w:rPr>
        <w:noBreakHyphen/>
        <w:t>tendency direction must be given in every case where multiple counts</w:t>
      </w:r>
      <w:r w:rsidR="00785ABE" w:rsidRPr="00273D10">
        <w:rPr>
          <w:rFonts w:ascii="Times New Roman" w:hAnsi="Times New Roman"/>
        </w:rPr>
        <w:t xml:space="preserve"> of sexual </w:t>
      </w:r>
      <w:r w:rsidR="00FC2F3A" w:rsidRPr="00273D10">
        <w:rPr>
          <w:rFonts w:ascii="Times New Roman" w:hAnsi="Times New Roman"/>
        </w:rPr>
        <w:t>offences</w:t>
      </w:r>
      <w:r w:rsidR="009026A3" w:rsidRPr="00273D10">
        <w:rPr>
          <w:rFonts w:ascii="Times New Roman" w:hAnsi="Times New Roman"/>
        </w:rPr>
        <w:t xml:space="preserve"> </w:t>
      </w:r>
      <w:r w:rsidR="00A07602" w:rsidRPr="00273D10">
        <w:rPr>
          <w:rFonts w:ascii="Times New Roman" w:hAnsi="Times New Roman"/>
        </w:rPr>
        <w:t xml:space="preserve">against </w:t>
      </w:r>
      <w:r w:rsidR="009026A3" w:rsidRPr="00273D10">
        <w:rPr>
          <w:rFonts w:ascii="Times New Roman" w:hAnsi="Times New Roman"/>
        </w:rPr>
        <w:t xml:space="preserve">several complainants </w:t>
      </w:r>
      <w:r w:rsidR="00A07602" w:rsidRPr="00273D10">
        <w:rPr>
          <w:rFonts w:ascii="Times New Roman" w:hAnsi="Times New Roman"/>
        </w:rPr>
        <w:t>involving</w:t>
      </w:r>
      <w:r w:rsidR="009026A3" w:rsidRPr="00273D10">
        <w:rPr>
          <w:rFonts w:ascii="Times New Roman" w:hAnsi="Times New Roman"/>
        </w:rPr>
        <w:t xml:space="preserve"> similar fact evidence are tried together,</w:t>
      </w:r>
      <w:r w:rsidR="00A07602" w:rsidRPr="00273D10">
        <w:rPr>
          <w:rFonts w:ascii="Times New Roman" w:hAnsi="Times New Roman"/>
        </w:rPr>
        <w:t xml:space="preserve"> that submission must be rejected.</w:t>
      </w:r>
      <w:r w:rsidR="009026A3" w:rsidRPr="00273D10">
        <w:rPr>
          <w:rFonts w:ascii="Times New Roman" w:hAnsi="Times New Roman"/>
        </w:rPr>
        <w:t xml:space="preserve"> </w:t>
      </w:r>
      <w:r w:rsidR="00A07602" w:rsidRPr="00273D10">
        <w:rPr>
          <w:rFonts w:ascii="Times New Roman" w:hAnsi="Times New Roman"/>
        </w:rPr>
        <w:t>I</w:t>
      </w:r>
      <w:r w:rsidR="00C72B38" w:rsidRPr="00273D10">
        <w:rPr>
          <w:rFonts w:ascii="Times New Roman" w:hAnsi="Times New Roman"/>
        </w:rPr>
        <w:t>t is noteworthy that</w:t>
      </w:r>
      <w:r w:rsidR="009026A3" w:rsidRPr="00273D10">
        <w:rPr>
          <w:rFonts w:ascii="Times New Roman" w:hAnsi="Times New Roman"/>
        </w:rPr>
        <w:t xml:space="preserve"> the authorities</w:t>
      </w:r>
      <w:r w:rsidR="00F245EE" w:rsidRPr="00273D10">
        <w:rPr>
          <w:rFonts w:ascii="Times New Roman" w:hAnsi="Times New Roman"/>
        </w:rPr>
        <w:t xml:space="preserve">, including </w:t>
      </w:r>
      <w:r w:rsidR="00B05432" w:rsidRPr="00273D10">
        <w:rPr>
          <w:rFonts w:ascii="Times New Roman" w:hAnsi="Times New Roman"/>
          <w:i/>
          <w:iCs/>
        </w:rPr>
        <w:t>KRM v The Queen</w:t>
      </w:r>
      <w:r w:rsidR="00845864" w:rsidRPr="00273D10">
        <w:rPr>
          <w:rStyle w:val="FootnoteReference"/>
          <w:rFonts w:ascii="Times New Roman" w:hAnsi="Times New Roman"/>
          <w:iCs/>
          <w:sz w:val="24"/>
        </w:rPr>
        <w:footnoteReference w:id="33"/>
      </w:r>
      <w:r w:rsidR="00F245EE" w:rsidRPr="00273D10">
        <w:rPr>
          <w:rFonts w:ascii="Times New Roman" w:hAnsi="Times New Roman"/>
        </w:rPr>
        <w:t>,</w:t>
      </w:r>
      <w:r w:rsidR="009026A3" w:rsidRPr="00273D10">
        <w:rPr>
          <w:rFonts w:ascii="Times New Roman" w:hAnsi="Times New Roman"/>
        </w:rPr>
        <w:t xml:space="preserve"> </w:t>
      </w:r>
      <w:r w:rsidR="003C61C9" w:rsidRPr="00273D10">
        <w:rPr>
          <w:rFonts w:ascii="Times New Roman" w:hAnsi="Times New Roman"/>
        </w:rPr>
        <w:t xml:space="preserve">simply </w:t>
      </w:r>
      <w:r w:rsidR="009026A3" w:rsidRPr="00273D10">
        <w:rPr>
          <w:rFonts w:ascii="Times New Roman" w:hAnsi="Times New Roman"/>
        </w:rPr>
        <w:t xml:space="preserve">do not support </w:t>
      </w:r>
      <w:r w:rsidR="00552A91" w:rsidRPr="00273D10">
        <w:rPr>
          <w:rFonts w:ascii="Times New Roman" w:hAnsi="Times New Roman"/>
        </w:rPr>
        <w:t>the</w:t>
      </w:r>
      <w:r w:rsidR="00214EA6" w:rsidRPr="00273D10">
        <w:rPr>
          <w:rFonts w:ascii="Times New Roman" w:hAnsi="Times New Roman"/>
        </w:rPr>
        <w:t xml:space="preserve"> absolute</w:t>
      </w:r>
      <w:r w:rsidR="009026A3" w:rsidRPr="00273D10">
        <w:rPr>
          <w:rFonts w:ascii="Times New Roman" w:hAnsi="Times New Roman"/>
        </w:rPr>
        <w:t xml:space="preserve"> proposition that </w:t>
      </w:r>
      <w:r w:rsidR="00A07602" w:rsidRPr="00273D10">
        <w:rPr>
          <w:rFonts w:ascii="Times New Roman" w:hAnsi="Times New Roman"/>
        </w:rPr>
        <w:t xml:space="preserve">a </w:t>
      </w:r>
      <w:r w:rsidR="009026A3" w:rsidRPr="00273D10">
        <w:rPr>
          <w:rFonts w:ascii="Times New Roman" w:hAnsi="Times New Roman"/>
        </w:rPr>
        <w:t>failure to give an anti</w:t>
      </w:r>
      <w:r w:rsidR="009026A3" w:rsidRPr="00273D10">
        <w:rPr>
          <w:rFonts w:ascii="Times New Roman" w:hAnsi="Times New Roman"/>
        </w:rPr>
        <w:noBreakHyphen/>
        <w:t xml:space="preserve">tendency direction </w:t>
      </w:r>
      <w:r w:rsidR="00A07602" w:rsidRPr="00273D10">
        <w:rPr>
          <w:rFonts w:ascii="Times New Roman" w:hAnsi="Times New Roman"/>
        </w:rPr>
        <w:t xml:space="preserve">in such circumstances </w:t>
      </w:r>
      <w:r w:rsidR="009026A3" w:rsidRPr="00273D10">
        <w:rPr>
          <w:rFonts w:ascii="Times New Roman" w:hAnsi="Times New Roman"/>
        </w:rPr>
        <w:t>always constitutes a miscarriage of justice</w:t>
      </w:r>
      <w:r w:rsidR="00A07602" w:rsidRPr="00273D10">
        <w:rPr>
          <w:rStyle w:val="FootnoteReference"/>
          <w:rFonts w:ascii="Times New Roman" w:hAnsi="Times New Roman"/>
          <w:sz w:val="24"/>
        </w:rPr>
        <w:footnoteReference w:id="34"/>
      </w:r>
      <w:r w:rsidR="009026A3" w:rsidRPr="00273D10">
        <w:rPr>
          <w:rFonts w:ascii="Times New Roman" w:hAnsi="Times New Roman"/>
        </w:rPr>
        <w:t>.</w:t>
      </w:r>
      <w:r w:rsidR="005C6AA2" w:rsidRPr="00273D10">
        <w:rPr>
          <w:rFonts w:ascii="Times New Roman" w:hAnsi="Times New Roman"/>
        </w:rPr>
        <w:t xml:space="preserve"> </w:t>
      </w:r>
    </w:p>
    <w:p w14:paraId="46DA0EF4" w14:textId="01923429" w:rsidR="004B1C38" w:rsidRPr="00273D10" w:rsidRDefault="00A07602"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5C6AA2" w:rsidRPr="00273D10">
        <w:rPr>
          <w:rFonts w:ascii="Times New Roman" w:hAnsi="Times New Roman"/>
        </w:rPr>
        <w:t>It m</w:t>
      </w:r>
      <w:r w:rsidR="00214EA6" w:rsidRPr="00273D10">
        <w:rPr>
          <w:rFonts w:ascii="Times New Roman" w:hAnsi="Times New Roman"/>
        </w:rPr>
        <w:t>ay</w:t>
      </w:r>
      <w:r w:rsidR="005C6AA2" w:rsidRPr="00273D10">
        <w:rPr>
          <w:rFonts w:ascii="Times New Roman" w:hAnsi="Times New Roman"/>
        </w:rPr>
        <w:t xml:space="preserve"> be accepted, of course,</w:t>
      </w:r>
      <w:r w:rsidR="002F648A" w:rsidRPr="00273D10">
        <w:rPr>
          <w:rFonts w:ascii="Times New Roman" w:hAnsi="Times New Roman"/>
        </w:rPr>
        <w:t xml:space="preserve"> that courts must be astute to protect the accused person against the risk of impermissible </w:t>
      </w:r>
      <w:r w:rsidRPr="00273D10">
        <w:rPr>
          <w:rFonts w:ascii="Times New Roman" w:hAnsi="Times New Roman"/>
        </w:rPr>
        <w:t>tendency reasoning</w:t>
      </w:r>
      <w:r w:rsidR="002F648A" w:rsidRPr="00273D10">
        <w:rPr>
          <w:rFonts w:ascii="Times New Roman" w:hAnsi="Times New Roman"/>
        </w:rPr>
        <w:t>, a risk that is "peculiarly" strong in cases where sexual offences are alleged</w:t>
      </w:r>
      <w:r w:rsidR="002F648A" w:rsidRPr="00273D10">
        <w:rPr>
          <w:rStyle w:val="FootnoteReference"/>
          <w:rFonts w:ascii="Times New Roman" w:hAnsi="Times New Roman"/>
          <w:sz w:val="24"/>
        </w:rPr>
        <w:footnoteReference w:id="35"/>
      </w:r>
      <w:r w:rsidR="002F648A" w:rsidRPr="00273D10">
        <w:rPr>
          <w:rFonts w:ascii="Times New Roman" w:hAnsi="Times New Roman"/>
        </w:rPr>
        <w:t xml:space="preserve">. </w:t>
      </w:r>
      <w:r w:rsidR="004B1C38" w:rsidRPr="00273D10">
        <w:rPr>
          <w:rFonts w:ascii="Times New Roman" w:hAnsi="Times New Roman"/>
        </w:rPr>
        <w:t>As Macfarlan JA observed</w:t>
      </w:r>
      <w:r w:rsidRPr="00273D10">
        <w:rPr>
          <w:rFonts w:ascii="Times New Roman" w:hAnsi="Times New Roman"/>
        </w:rPr>
        <w:t>,</w:t>
      </w:r>
      <w:r w:rsidR="004B1C38" w:rsidRPr="00273D10">
        <w:rPr>
          <w:rFonts w:ascii="Times New Roman" w:hAnsi="Times New Roman"/>
        </w:rPr>
        <w:t xml:space="preserve"> in </w:t>
      </w:r>
      <w:r w:rsidRPr="00273D10">
        <w:rPr>
          <w:rFonts w:ascii="Times New Roman" w:hAnsi="Times New Roman"/>
        </w:rPr>
        <w:t xml:space="preserve">a </w:t>
      </w:r>
      <w:r w:rsidR="004B1C38" w:rsidRPr="00273D10">
        <w:rPr>
          <w:rFonts w:ascii="Times New Roman" w:hAnsi="Times New Roman"/>
        </w:rPr>
        <w:t>sexual assault case, as a matter of "ordinary human experience"</w:t>
      </w:r>
      <w:r w:rsidR="004B1C38" w:rsidRPr="00273D10">
        <w:rPr>
          <w:rStyle w:val="FootnoteReference"/>
          <w:rFonts w:ascii="Times New Roman" w:hAnsi="Times New Roman"/>
          <w:sz w:val="24"/>
        </w:rPr>
        <w:footnoteReference w:id="36"/>
      </w:r>
      <w:r w:rsidR="004B1C38" w:rsidRPr="00273D10">
        <w:rPr>
          <w:rFonts w:ascii="Times New Roman" w:hAnsi="Times New Roman"/>
        </w:rPr>
        <w:t xml:space="preserve">, it </w:t>
      </w:r>
      <w:r w:rsidRPr="00273D10">
        <w:rPr>
          <w:rFonts w:ascii="Times New Roman" w:hAnsi="Times New Roman"/>
        </w:rPr>
        <w:t xml:space="preserve">may be </w:t>
      </w:r>
      <w:r w:rsidR="004B1C38" w:rsidRPr="00273D10">
        <w:rPr>
          <w:rFonts w:ascii="Times New Roman" w:hAnsi="Times New Roman"/>
        </w:rPr>
        <w:t xml:space="preserve">natural for </w:t>
      </w:r>
      <w:r w:rsidRPr="00273D10">
        <w:rPr>
          <w:rFonts w:ascii="Times New Roman" w:hAnsi="Times New Roman"/>
        </w:rPr>
        <w:t xml:space="preserve">the jury </w:t>
      </w:r>
      <w:r w:rsidR="004B1C38" w:rsidRPr="00273D10">
        <w:rPr>
          <w:rFonts w:ascii="Times New Roman" w:hAnsi="Times New Roman"/>
        </w:rPr>
        <w:t xml:space="preserve">to use conclusions about one or more charged offences to assist </w:t>
      </w:r>
      <w:r w:rsidR="00164333" w:rsidRPr="00273D10">
        <w:rPr>
          <w:rFonts w:ascii="Times New Roman" w:hAnsi="Times New Roman"/>
        </w:rPr>
        <w:t xml:space="preserve">them </w:t>
      </w:r>
      <w:r w:rsidR="004B1C38" w:rsidRPr="00273D10">
        <w:rPr>
          <w:rFonts w:ascii="Times New Roman" w:hAnsi="Times New Roman"/>
        </w:rPr>
        <w:t xml:space="preserve">in deciding whether another </w:t>
      </w:r>
      <w:r w:rsidRPr="00273D10">
        <w:rPr>
          <w:rFonts w:ascii="Times New Roman" w:hAnsi="Times New Roman"/>
        </w:rPr>
        <w:t xml:space="preserve">charged </w:t>
      </w:r>
      <w:r w:rsidR="004B1C38" w:rsidRPr="00273D10">
        <w:rPr>
          <w:rFonts w:ascii="Times New Roman" w:hAnsi="Times New Roman"/>
        </w:rPr>
        <w:t xml:space="preserve">offence was committed. </w:t>
      </w:r>
      <w:r w:rsidR="008A5D7E" w:rsidRPr="00273D10">
        <w:rPr>
          <w:rFonts w:ascii="Times New Roman" w:hAnsi="Times New Roman"/>
        </w:rPr>
        <w:t xml:space="preserve">But there is no absolute rule that </w:t>
      </w:r>
      <w:r w:rsidRPr="00273D10">
        <w:rPr>
          <w:rFonts w:ascii="Times New Roman" w:hAnsi="Times New Roman"/>
        </w:rPr>
        <w:t xml:space="preserve">in such cases </w:t>
      </w:r>
      <w:r w:rsidR="008A5D7E" w:rsidRPr="00273D10">
        <w:rPr>
          <w:rFonts w:ascii="Times New Roman" w:hAnsi="Times New Roman"/>
        </w:rPr>
        <w:t xml:space="preserve">the risk of impermissible tendency reasoning is such as always to </w:t>
      </w:r>
      <w:r w:rsidRPr="00273D10">
        <w:rPr>
          <w:rFonts w:ascii="Times New Roman" w:hAnsi="Times New Roman"/>
        </w:rPr>
        <w:t xml:space="preserve">necessitate </w:t>
      </w:r>
      <w:r w:rsidR="008A5D7E" w:rsidRPr="00273D10">
        <w:rPr>
          <w:rFonts w:ascii="Times New Roman" w:hAnsi="Times New Roman"/>
        </w:rPr>
        <w:t>the giving of an anti</w:t>
      </w:r>
      <w:r w:rsidR="008A5D7E" w:rsidRPr="00273D10">
        <w:rPr>
          <w:rFonts w:ascii="Times New Roman" w:hAnsi="Times New Roman"/>
        </w:rPr>
        <w:noBreakHyphen/>
        <w:t>tendency direction. T</w:t>
      </w:r>
      <w:r w:rsidR="004B1C38" w:rsidRPr="00273D10">
        <w:rPr>
          <w:rFonts w:ascii="Times New Roman" w:hAnsi="Times New Roman"/>
        </w:rPr>
        <w:t>he risk</w:t>
      </w:r>
      <w:r w:rsidR="008A5D7E" w:rsidRPr="00273D10">
        <w:rPr>
          <w:rFonts w:ascii="Times New Roman" w:hAnsi="Times New Roman"/>
        </w:rPr>
        <w:t xml:space="preserve"> of tendency reasoning</w:t>
      </w:r>
      <w:r w:rsidR="004B1C38" w:rsidRPr="00273D10">
        <w:rPr>
          <w:rFonts w:ascii="Times New Roman" w:hAnsi="Times New Roman"/>
        </w:rPr>
        <w:t xml:space="preserve"> is not present in every case to the same extent; </w:t>
      </w:r>
      <w:r w:rsidRPr="00273D10">
        <w:rPr>
          <w:rFonts w:ascii="Times New Roman" w:hAnsi="Times New Roman"/>
        </w:rPr>
        <w:t xml:space="preserve">rather, </w:t>
      </w:r>
      <w:r w:rsidR="004B1C38" w:rsidRPr="00273D10">
        <w:rPr>
          <w:rFonts w:ascii="Times New Roman" w:hAnsi="Times New Roman"/>
        </w:rPr>
        <w:t>the extent of the risk will depend upon the issues presented by the parties and the other directions given by the trial judge.</w:t>
      </w:r>
    </w:p>
    <w:p w14:paraId="08C8D43C" w14:textId="3C7E7F91" w:rsidR="008769CF" w:rsidRPr="00273D10" w:rsidRDefault="00FD06D1"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A07602" w:rsidRPr="00273D10">
        <w:rPr>
          <w:rFonts w:ascii="Times New Roman" w:hAnsi="Times New Roman"/>
        </w:rPr>
        <w:t xml:space="preserve">As the Crown suggested, the risk may be </w:t>
      </w:r>
      <w:r w:rsidR="00385F52" w:rsidRPr="00273D10">
        <w:rPr>
          <w:rFonts w:ascii="Times New Roman" w:hAnsi="Times New Roman"/>
        </w:rPr>
        <w:t>higher where</w:t>
      </w:r>
      <w:r w:rsidR="00A07602" w:rsidRPr="00273D10">
        <w:rPr>
          <w:rFonts w:ascii="Times New Roman" w:hAnsi="Times New Roman"/>
        </w:rPr>
        <w:t>, for example,</w:t>
      </w:r>
      <w:r w:rsidR="00385F52" w:rsidRPr="00273D10">
        <w:rPr>
          <w:rFonts w:ascii="Times New Roman" w:hAnsi="Times New Roman"/>
        </w:rPr>
        <w:t xml:space="preserve"> the issue is as to the identity of the offender </w:t>
      </w:r>
      <w:r w:rsidR="00A07602" w:rsidRPr="00273D10">
        <w:rPr>
          <w:rFonts w:ascii="Times New Roman" w:hAnsi="Times New Roman"/>
        </w:rPr>
        <w:t xml:space="preserve">and </w:t>
      </w:r>
      <w:r w:rsidR="00385F52" w:rsidRPr="00273D10">
        <w:rPr>
          <w:rFonts w:ascii="Times New Roman" w:hAnsi="Times New Roman"/>
        </w:rPr>
        <w:t>the evidence of identification is circumstantial.</w:t>
      </w:r>
      <w:r w:rsidR="00D13951" w:rsidRPr="00273D10">
        <w:rPr>
          <w:rFonts w:ascii="Times New Roman" w:hAnsi="Times New Roman"/>
        </w:rPr>
        <w:t xml:space="preserve"> </w:t>
      </w:r>
      <w:r w:rsidR="008E28E2" w:rsidRPr="00273D10">
        <w:rPr>
          <w:rFonts w:ascii="Times New Roman" w:hAnsi="Times New Roman"/>
        </w:rPr>
        <w:t>Given the issues tendered by the parties to the jury</w:t>
      </w:r>
      <w:r w:rsidR="00587048" w:rsidRPr="00273D10">
        <w:rPr>
          <w:rFonts w:ascii="Times New Roman" w:hAnsi="Times New Roman"/>
        </w:rPr>
        <w:t xml:space="preserve"> in this case</w:t>
      </w:r>
      <w:r w:rsidR="008E28E2" w:rsidRPr="00273D10">
        <w:rPr>
          <w:rFonts w:ascii="Times New Roman" w:hAnsi="Times New Roman"/>
        </w:rPr>
        <w:t xml:space="preserve">, </w:t>
      </w:r>
      <w:r w:rsidR="00A07602" w:rsidRPr="00273D10">
        <w:rPr>
          <w:rFonts w:ascii="Times New Roman" w:hAnsi="Times New Roman"/>
        </w:rPr>
        <w:t xml:space="preserve">however, </w:t>
      </w:r>
      <w:r w:rsidR="008E28E2" w:rsidRPr="00273D10">
        <w:rPr>
          <w:rFonts w:ascii="Times New Roman" w:hAnsi="Times New Roman"/>
        </w:rPr>
        <w:t>there is an air of unreality in the suggestion that an anti</w:t>
      </w:r>
      <w:r w:rsidR="008E28E2" w:rsidRPr="00273D10">
        <w:rPr>
          <w:rFonts w:ascii="Times New Roman" w:hAnsi="Times New Roman"/>
        </w:rPr>
        <w:noBreakHyphen/>
        <w:t xml:space="preserve">tendency </w:t>
      </w:r>
      <w:r w:rsidR="008E28E2" w:rsidRPr="00273D10">
        <w:rPr>
          <w:rFonts w:ascii="Times New Roman" w:hAnsi="Times New Roman"/>
        </w:rPr>
        <w:lastRenderedPageBreak/>
        <w:t xml:space="preserve">direction was necessary to ensure that the jury did not reason </w:t>
      </w:r>
      <w:r w:rsidR="00CD3109" w:rsidRPr="00273D10">
        <w:rPr>
          <w:rFonts w:ascii="Times New Roman" w:hAnsi="Times New Roman"/>
        </w:rPr>
        <w:t xml:space="preserve">to </w:t>
      </w:r>
      <w:r w:rsidR="008E28E2" w:rsidRPr="00273D10">
        <w:rPr>
          <w:rFonts w:ascii="Times New Roman" w:hAnsi="Times New Roman"/>
        </w:rPr>
        <w:t xml:space="preserve">guilt by reliance on tendency reasoning. </w:t>
      </w:r>
      <w:r w:rsidR="00583BE9" w:rsidRPr="00273D10">
        <w:rPr>
          <w:rFonts w:ascii="Times New Roman" w:hAnsi="Times New Roman"/>
        </w:rPr>
        <w:t xml:space="preserve">The defence case put at front of mind for the jury the </w:t>
      </w:r>
      <w:r w:rsidR="00587048" w:rsidRPr="00273D10">
        <w:rPr>
          <w:rFonts w:ascii="Times New Roman" w:hAnsi="Times New Roman"/>
        </w:rPr>
        <w:t xml:space="preserve">appellant's </w:t>
      </w:r>
      <w:r w:rsidR="00583BE9" w:rsidRPr="00273D10">
        <w:rPr>
          <w:rFonts w:ascii="Times New Roman" w:hAnsi="Times New Roman"/>
        </w:rPr>
        <w:t xml:space="preserve">contention that each complainant was lying about </w:t>
      </w:r>
      <w:r w:rsidR="00A07602" w:rsidRPr="00273D10">
        <w:rPr>
          <w:rFonts w:ascii="Times New Roman" w:hAnsi="Times New Roman"/>
        </w:rPr>
        <w:t xml:space="preserve">the </w:t>
      </w:r>
      <w:r w:rsidR="00583BE9" w:rsidRPr="00273D10">
        <w:rPr>
          <w:rFonts w:ascii="Times New Roman" w:hAnsi="Times New Roman"/>
        </w:rPr>
        <w:t>count</w:t>
      </w:r>
      <w:r w:rsidR="00A07602" w:rsidRPr="00273D10">
        <w:rPr>
          <w:rFonts w:ascii="Times New Roman" w:hAnsi="Times New Roman"/>
        </w:rPr>
        <w:t>s</w:t>
      </w:r>
      <w:r w:rsidR="00583BE9" w:rsidRPr="00273D10">
        <w:rPr>
          <w:rFonts w:ascii="Times New Roman" w:hAnsi="Times New Roman"/>
        </w:rPr>
        <w:t xml:space="preserve"> on the indictment that concerned the particular complainant. Each complainant was said to be concocting his or her evidence </w:t>
      </w:r>
      <w:r w:rsidR="003C61C9" w:rsidRPr="00273D10">
        <w:rPr>
          <w:rFonts w:ascii="Times New Roman" w:hAnsi="Times New Roman"/>
        </w:rPr>
        <w:t xml:space="preserve">as part of a conspiracy </w:t>
      </w:r>
      <w:r w:rsidR="00EF634C" w:rsidRPr="00273D10">
        <w:rPr>
          <w:rFonts w:ascii="Times New Roman" w:hAnsi="Times New Roman"/>
        </w:rPr>
        <w:t>against the appellant</w:t>
      </w:r>
      <w:r w:rsidR="00583BE9" w:rsidRPr="00273D10">
        <w:rPr>
          <w:rFonts w:ascii="Times New Roman" w:hAnsi="Times New Roman"/>
        </w:rPr>
        <w:t xml:space="preserve">. </w:t>
      </w:r>
      <w:r w:rsidR="00B7115D" w:rsidRPr="00273D10">
        <w:rPr>
          <w:rFonts w:ascii="Times New Roman" w:hAnsi="Times New Roman"/>
        </w:rPr>
        <w:t>Counsel for the defence, in his closing address, submitted to the jury that "</w:t>
      </w:r>
      <w:r w:rsidR="00A07602" w:rsidRPr="00273D10">
        <w:rPr>
          <w:rFonts w:ascii="Times New Roman" w:hAnsi="Times New Roman"/>
        </w:rPr>
        <w:t>[</w:t>
      </w:r>
      <w:r w:rsidR="00B7115D" w:rsidRPr="00273D10">
        <w:rPr>
          <w:rFonts w:ascii="Times New Roman" w:hAnsi="Times New Roman"/>
        </w:rPr>
        <w:t>a</w:t>
      </w:r>
      <w:r w:rsidR="00A07602" w:rsidRPr="00273D10">
        <w:rPr>
          <w:rFonts w:ascii="Times New Roman" w:hAnsi="Times New Roman"/>
        </w:rPr>
        <w:t>]</w:t>
      </w:r>
      <w:r w:rsidR="00B7115D" w:rsidRPr="00273D10">
        <w:rPr>
          <w:rFonts w:ascii="Times New Roman" w:hAnsi="Times New Roman"/>
        </w:rPr>
        <w:t xml:space="preserve">ll you are concerned </w:t>
      </w:r>
      <w:r w:rsidR="00A07602" w:rsidRPr="00273D10">
        <w:rPr>
          <w:rFonts w:ascii="Times New Roman" w:hAnsi="Times New Roman"/>
        </w:rPr>
        <w:t>[</w:t>
      </w:r>
      <w:r w:rsidR="00B7115D" w:rsidRPr="00273D10">
        <w:rPr>
          <w:rFonts w:ascii="Times New Roman" w:hAnsi="Times New Roman"/>
        </w:rPr>
        <w:t>with</w:t>
      </w:r>
      <w:r w:rsidR="00A07602" w:rsidRPr="00273D10">
        <w:rPr>
          <w:rFonts w:ascii="Times New Roman" w:hAnsi="Times New Roman"/>
        </w:rPr>
        <w:t>]</w:t>
      </w:r>
      <w:r w:rsidR="00B7115D" w:rsidRPr="00273D10">
        <w:rPr>
          <w:rFonts w:ascii="Times New Roman" w:hAnsi="Times New Roman"/>
        </w:rPr>
        <w:t xml:space="preserve"> is as to whether you can find beyond reasonable doubt that </w:t>
      </w:r>
      <w:r w:rsidR="00A07602" w:rsidRPr="00273D10">
        <w:rPr>
          <w:rFonts w:ascii="Times New Roman" w:hAnsi="Times New Roman"/>
        </w:rPr>
        <w:t>[</w:t>
      </w:r>
      <w:r w:rsidR="00B7115D" w:rsidRPr="00273D10">
        <w:rPr>
          <w:rFonts w:ascii="Times New Roman" w:hAnsi="Times New Roman"/>
        </w:rPr>
        <w:t>the prosecution</w:t>
      </w:r>
      <w:r w:rsidR="00A07602" w:rsidRPr="00273D10">
        <w:rPr>
          <w:rFonts w:ascii="Times New Roman" w:hAnsi="Times New Roman"/>
        </w:rPr>
        <w:t>]</w:t>
      </w:r>
      <w:r w:rsidR="00B7115D" w:rsidRPr="00273D10">
        <w:rPr>
          <w:rFonts w:ascii="Times New Roman" w:hAnsi="Times New Roman"/>
        </w:rPr>
        <w:t xml:space="preserve"> witnesses are reliable".</w:t>
      </w:r>
      <w:r w:rsidR="00FD308B" w:rsidRPr="00273D10">
        <w:rPr>
          <w:rFonts w:ascii="Times New Roman" w:hAnsi="Times New Roman"/>
        </w:rPr>
        <w:t xml:space="preserve"> </w:t>
      </w:r>
    </w:p>
    <w:p w14:paraId="6A4A2C87" w14:textId="3A71ADAE" w:rsidR="00B733C0" w:rsidRPr="00273D10" w:rsidRDefault="008769CF"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B733C0" w:rsidRPr="00273D10">
        <w:rPr>
          <w:rFonts w:ascii="Times New Roman" w:hAnsi="Times New Roman"/>
        </w:rPr>
        <w:t xml:space="preserve">True it is that, as a matter of law, the rejection of the defence </w:t>
      </w:r>
      <w:r w:rsidR="00382668" w:rsidRPr="00273D10">
        <w:rPr>
          <w:rFonts w:ascii="Times New Roman" w:hAnsi="Times New Roman"/>
        </w:rPr>
        <w:t xml:space="preserve">case </w:t>
      </w:r>
      <w:r w:rsidR="00B733C0" w:rsidRPr="00273D10">
        <w:rPr>
          <w:rFonts w:ascii="Times New Roman" w:hAnsi="Times New Roman"/>
        </w:rPr>
        <w:t>of concoction did not mean that the appellant was, ipso facto, guilty on any count</w:t>
      </w:r>
      <w:r w:rsidR="00A07602" w:rsidRPr="00273D10">
        <w:rPr>
          <w:rFonts w:ascii="Times New Roman" w:hAnsi="Times New Roman"/>
        </w:rPr>
        <w:t>.</w:t>
      </w:r>
      <w:r w:rsidR="00B733C0" w:rsidRPr="00273D10">
        <w:rPr>
          <w:rFonts w:ascii="Times New Roman" w:hAnsi="Times New Roman"/>
        </w:rPr>
        <w:t xml:space="preserve"> </w:t>
      </w:r>
      <w:r w:rsidR="00A07602" w:rsidRPr="00273D10">
        <w:rPr>
          <w:rFonts w:ascii="Times New Roman" w:hAnsi="Times New Roman"/>
        </w:rPr>
        <w:t>B</w:t>
      </w:r>
      <w:r w:rsidR="00B733C0" w:rsidRPr="00273D10">
        <w:rPr>
          <w:rFonts w:ascii="Times New Roman" w:hAnsi="Times New Roman"/>
        </w:rPr>
        <w:t xml:space="preserve">ut </w:t>
      </w:r>
      <w:r w:rsidR="00085643" w:rsidRPr="00273D10">
        <w:rPr>
          <w:rFonts w:ascii="Times New Roman" w:hAnsi="Times New Roman"/>
        </w:rPr>
        <w:t xml:space="preserve">there can be little doubt that in the present case the issue of credibility as between the appellant on the one hand, and each of the complainants and their mother on the other hand, was overwhelmingly likely to be decisive of the appellant's guilt on any count. And confronted with such a stark contest of credibility, </w:t>
      </w:r>
      <w:r w:rsidR="00195160" w:rsidRPr="00273D10">
        <w:rPr>
          <w:rFonts w:ascii="Times New Roman" w:hAnsi="Times New Roman"/>
        </w:rPr>
        <w:t xml:space="preserve">to reject the defence case of concoction was </w:t>
      </w:r>
      <w:r w:rsidR="00B733C0" w:rsidRPr="00273D10">
        <w:rPr>
          <w:rFonts w:ascii="Times New Roman" w:hAnsi="Times New Roman"/>
        </w:rPr>
        <w:t xml:space="preserve">a legitimate path of reasoning </w:t>
      </w:r>
      <w:r w:rsidR="00195160" w:rsidRPr="00273D10">
        <w:rPr>
          <w:rFonts w:ascii="Times New Roman" w:hAnsi="Times New Roman"/>
        </w:rPr>
        <w:t xml:space="preserve">which was consistent </w:t>
      </w:r>
      <w:r w:rsidR="008F3A2C" w:rsidRPr="00273D10">
        <w:rPr>
          <w:rFonts w:ascii="Times New Roman" w:hAnsi="Times New Roman"/>
        </w:rPr>
        <w:t>with the</w:t>
      </w:r>
      <w:r w:rsidR="00B733C0" w:rsidRPr="00273D10">
        <w:rPr>
          <w:rFonts w:ascii="Times New Roman" w:hAnsi="Times New Roman"/>
        </w:rPr>
        <w:t xml:space="preserve"> </w:t>
      </w:r>
      <w:r w:rsidR="00911255" w:rsidRPr="00273D10">
        <w:rPr>
          <w:rFonts w:ascii="Times New Roman" w:hAnsi="Times New Roman"/>
          <w:i/>
          <w:iCs/>
        </w:rPr>
        <w:t>Murray</w:t>
      </w:r>
      <w:r w:rsidR="00B733C0" w:rsidRPr="00273D10">
        <w:rPr>
          <w:rFonts w:ascii="Times New Roman" w:hAnsi="Times New Roman"/>
        </w:rPr>
        <w:t xml:space="preserve"> direction that the jury could convict in respect of a count only if </w:t>
      </w:r>
      <w:r w:rsidR="00CD3109" w:rsidRPr="00273D10">
        <w:rPr>
          <w:rFonts w:ascii="Times New Roman" w:hAnsi="Times New Roman"/>
        </w:rPr>
        <w:t>they were</w:t>
      </w:r>
      <w:r w:rsidR="00B733C0" w:rsidRPr="00273D10">
        <w:rPr>
          <w:rFonts w:ascii="Times New Roman" w:hAnsi="Times New Roman"/>
        </w:rPr>
        <w:t xml:space="preserve"> satisfied beyond reasonable doubt </w:t>
      </w:r>
      <w:r w:rsidR="00A07602" w:rsidRPr="00273D10">
        <w:rPr>
          <w:rFonts w:ascii="Times New Roman" w:hAnsi="Times New Roman"/>
        </w:rPr>
        <w:t xml:space="preserve">as to </w:t>
      </w:r>
      <w:r w:rsidR="00B733C0" w:rsidRPr="00273D10">
        <w:rPr>
          <w:rFonts w:ascii="Times New Roman" w:hAnsi="Times New Roman"/>
        </w:rPr>
        <w:t>the reliability of the evidence of the complainant in respect of that count</w:t>
      </w:r>
      <w:r w:rsidR="00A07602" w:rsidRPr="00273D10">
        <w:rPr>
          <w:rFonts w:ascii="Times New Roman" w:hAnsi="Times New Roman"/>
        </w:rPr>
        <w:t>.</w:t>
      </w:r>
      <w:r w:rsidR="00911255" w:rsidRPr="00273D10">
        <w:rPr>
          <w:rFonts w:ascii="Times New Roman" w:hAnsi="Times New Roman"/>
        </w:rPr>
        <w:t xml:space="preserve"> </w:t>
      </w:r>
      <w:r w:rsidR="00A07602" w:rsidRPr="00273D10">
        <w:rPr>
          <w:rFonts w:ascii="Times New Roman" w:hAnsi="Times New Roman"/>
        </w:rPr>
        <w:t>T</w:t>
      </w:r>
      <w:r w:rsidR="00911255" w:rsidRPr="00273D10">
        <w:rPr>
          <w:rFonts w:ascii="Times New Roman" w:hAnsi="Times New Roman"/>
        </w:rPr>
        <w:t xml:space="preserve">hat path of reasoning did not stray into tendency reasoning. </w:t>
      </w:r>
      <w:r w:rsidR="00085643" w:rsidRPr="00273D10">
        <w:rPr>
          <w:rFonts w:ascii="Times New Roman" w:hAnsi="Times New Roman"/>
        </w:rPr>
        <w:t xml:space="preserve">If the jury were to accept that the evidence of each complainant </w:t>
      </w:r>
      <w:r w:rsidR="00D33D13" w:rsidRPr="00273D10">
        <w:rPr>
          <w:rFonts w:ascii="Times New Roman" w:hAnsi="Times New Roman"/>
        </w:rPr>
        <w:t>was</w:t>
      </w:r>
      <w:r w:rsidR="00085643" w:rsidRPr="00273D10">
        <w:rPr>
          <w:rFonts w:ascii="Times New Roman" w:hAnsi="Times New Roman"/>
        </w:rPr>
        <w:t xml:space="preserve"> honest and reliable, the jury would have no occasion to resort to tendency reasoning to bolster the evidence of an unconvincing complainant by reference to a finding of guilt in respect of another complainant. </w:t>
      </w:r>
      <w:r w:rsidR="00911255" w:rsidRPr="00273D10">
        <w:rPr>
          <w:rFonts w:ascii="Times New Roman" w:hAnsi="Times New Roman"/>
        </w:rPr>
        <w:t xml:space="preserve">The </w:t>
      </w:r>
      <w:r w:rsidR="00911255" w:rsidRPr="00273D10">
        <w:rPr>
          <w:rFonts w:ascii="Times New Roman" w:hAnsi="Times New Roman"/>
          <w:i/>
          <w:iCs/>
        </w:rPr>
        <w:t>Murray</w:t>
      </w:r>
      <w:r w:rsidR="00911255" w:rsidRPr="00273D10">
        <w:rPr>
          <w:rFonts w:ascii="Times New Roman" w:hAnsi="Times New Roman"/>
        </w:rPr>
        <w:t xml:space="preserve"> direction was clear, and it had the force of simplicity</w:t>
      </w:r>
      <w:r w:rsidR="00B733C0" w:rsidRPr="00273D10">
        <w:rPr>
          <w:rFonts w:ascii="Times New Roman" w:hAnsi="Times New Roman"/>
        </w:rPr>
        <w:t>.</w:t>
      </w:r>
    </w:p>
    <w:p w14:paraId="7F4CBAA6" w14:textId="3FD45FBE" w:rsidR="002C76E1" w:rsidRPr="00273D10" w:rsidRDefault="00631559"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1B49CB" w:rsidRPr="00273D10">
        <w:rPr>
          <w:rFonts w:ascii="Times New Roman" w:hAnsi="Times New Roman"/>
        </w:rPr>
        <w:t>G</w:t>
      </w:r>
      <w:r w:rsidR="002C76E1" w:rsidRPr="00273D10">
        <w:rPr>
          <w:rFonts w:ascii="Times New Roman" w:hAnsi="Times New Roman"/>
        </w:rPr>
        <w:t xml:space="preserve">iven the directions that </w:t>
      </w:r>
      <w:r w:rsidR="005B5766" w:rsidRPr="00273D10">
        <w:rPr>
          <w:rFonts w:ascii="Times New Roman" w:hAnsi="Times New Roman"/>
        </w:rPr>
        <w:t xml:space="preserve">the jury </w:t>
      </w:r>
      <w:r w:rsidR="002C76E1" w:rsidRPr="00273D10">
        <w:rPr>
          <w:rFonts w:ascii="Times New Roman" w:hAnsi="Times New Roman"/>
        </w:rPr>
        <w:t xml:space="preserve">were actually given by the trial judge, </w:t>
      </w:r>
      <w:r w:rsidR="00EC34EF" w:rsidRPr="00273D10">
        <w:rPr>
          <w:rFonts w:ascii="Times New Roman" w:hAnsi="Times New Roman"/>
        </w:rPr>
        <w:t xml:space="preserve">it was distinctly unlikely that they would </w:t>
      </w:r>
      <w:r w:rsidR="002C76E1" w:rsidRPr="00273D10">
        <w:rPr>
          <w:rFonts w:ascii="Times New Roman" w:hAnsi="Times New Roman"/>
        </w:rPr>
        <w:t>reason that a doubt about the reliability of a</w:t>
      </w:r>
      <w:r w:rsidR="00941F33" w:rsidRPr="00273D10">
        <w:rPr>
          <w:rFonts w:ascii="Times New Roman" w:hAnsi="Times New Roman"/>
        </w:rPr>
        <w:t>ny</w:t>
      </w:r>
      <w:r w:rsidR="002C76E1" w:rsidRPr="00273D10">
        <w:rPr>
          <w:rFonts w:ascii="Times New Roman" w:hAnsi="Times New Roman"/>
        </w:rPr>
        <w:t xml:space="preserve"> complainant in relation to any one complaint </w:t>
      </w:r>
      <w:r w:rsidR="00941F33" w:rsidRPr="00273D10">
        <w:rPr>
          <w:rFonts w:ascii="Times New Roman" w:hAnsi="Times New Roman"/>
        </w:rPr>
        <w:t xml:space="preserve">might </w:t>
      </w:r>
      <w:r w:rsidR="002C76E1" w:rsidRPr="00273D10">
        <w:rPr>
          <w:rFonts w:ascii="Times New Roman" w:hAnsi="Times New Roman"/>
        </w:rPr>
        <w:t xml:space="preserve">be resolved by </w:t>
      </w:r>
      <w:r w:rsidR="00592732" w:rsidRPr="00273D10">
        <w:rPr>
          <w:rFonts w:ascii="Times New Roman" w:hAnsi="Times New Roman"/>
        </w:rPr>
        <w:t xml:space="preserve">reasoning that the appellant was the kind of person who was disposed to engage in such conduct based </w:t>
      </w:r>
      <w:r w:rsidR="002C76E1" w:rsidRPr="00273D10">
        <w:rPr>
          <w:rFonts w:ascii="Times New Roman" w:hAnsi="Times New Roman"/>
        </w:rPr>
        <w:t xml:space="preserve">on the evidence in relation to other </w:t>
      </w:r>
      <w:r w:rsidR="003C0238" w:rsidRPr="00273D10">
        <w:rPr>
          <w:rFonts w:ascii="Times New Roman" w:hAnsi="Times New Roman"/>
        </w:rPr>
        <w:t>counts</w:t>
      </w:r>
      <w:r w:rsidR="00941F33" w:rsidRPr="00273D10">
        <w:rPr>
          <w:rFonts w:ascii="Times New Roman" w:hAnsi="Times New Roman"/>
        </w:rPr>
        <w:t>.</w:t>
      </w:r>
      <w:r w:rsidR="002C76E1" w:rsidRPr="00273D10">
        <w:rPr>
          <w:rFonts w:ascii="Times New Roman" w:hAnsi="Times New Roman"/>
        </w:rPr>
        <w:t xml:space="preserve"> </w:t>
      </w:r>
    </w:p>
    <w:p w14:paraId="6F674413" w14:textId="5BF0C41A" w:rsidR="00641B7C" w:rsidRPr="00273D10" w:rsidRDefault="00641B7C"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FF4F1C" w:rsidRPr="00273D10">
        <w:rPr>
          <w:rFonts w:ascii="Times New Roman" w:hAnsi="Times New Roman"/>
        </w:rPr>
        <w:t>Further in this regard, t</w:t>
      </w:r>
      <w:r w:rsidRPr="00273D10">
        <w:rPr>
          <w:rFonts w:ascii="Times New Roman" w:hAnsi="Times New Roman"/>
        </w:rPr>
        <w:t>he Crown was scrupulous to put its case to the jury with the evidence of each of the complainants</w:t>
      </w:r>
      <w:r w:rsidR="00CD3109" w:rsidRPr="00273D10">
        <w:rPr>
          <w:rFonts w:ascii="Times New Roman" w:hAnsi="Times New Roman"/>
        </w:rPr>
        <w:t>,</w:t>
      </w:r>
      <w:r w:rsidRPr="00273D10">
        <w:rPr>
          <w:rFonts w:ascii="Times New Roman" w:hAnsi="Times New Roman"/>
        </w:rPr>
        <w:t xml:space="preserve"> </w:t>
      </w:r>
      <w:r w:rsidR="00CD3109" w:rsidRPr="00273D10">
        <w:rPr>
          <w:rFonts w:ascii="Times New Roman" w:hAnsi="Times New Roman"/>
        </w:rPr>
        <w:t>and the arguments</w:t>
      </w:r>
      <w:r w:rsidRPr="00273D10">
        <w:rPr>
          <w:rFonts w:ascii="Times New Roman" w:hAnsi="Times New Roman"/>
        </w:rPr>
        <w:t xml:space="preserve"> in favour of accepting that evidence as honest and reliable</w:t>
      </w:r>
      <w:r w:rsidR="00CD3109" w:rsidRPr="00273D10">
        <w:rPr>
          <w:rFonts w:ascii="Times New Roman" w:hAnsi="Times New Roman"/>
        </w:rPr>
        <w:t>, summarised</w:t>
      </w:r>
      <w:r w:rsidRPr="00273D10">
        <w:rPr>
          <w:rFonts w:ascii="Times New Roman" w:hAnsi="Times New Roman"/>
        </w:rPr>
        <w:t xml:space="preserve"> separately as to each complainant</w:t>
      </w:r>
      <w:r w:rsidR="00371AA9" w:rsidRPr="00273D10">
        <w:rPr>
          <w:rFonts w:ascii="Times New Roman" w:hAnsi="Times New Roman"/>
        </w:rPr>
        <w:t xml:space="preserve"> and as to each count</w:t>
      </w:r>
      <w:r w:rsidRPr="00273D10">
        <w:rPr>
          <w:rFonts w:ascii="Times New Roman" w:hAnsi="Times New Roman"/>
        </w:rPr>
        <w:t>. The Crown's response to the appellant's attack upon the credibility and reliability of the complainants was put to the jury in the following terms:</w:t>
      </w:r>
    </w:p>
    <w:p w14:paraId="4A6E1DE4" w14:textId="77777777" w:rsidR="00273D10" w:rsidRDefault="00A07602" w:rsidP="00273D10">
      <w:pPr>
        <w:pStyle w:val="LeftrightafterHC"/>
        <w:spacing w:before="0" w:after="260" w:line="280" w:lineRule="exact"/>
        <w:ind w:right="0"/>
        <w:jc w:val="both"/>
        <w:rPr>
          <w:rFonts w:ascii="Times New Roman" w:hAnsi="Times New Roman"/>
        </w:rPr>
      </w:pPr>
      <w:r w:rsidRPr="00273D10">
        <w:rPr>
          <w:rFonts w:ascii="Times New Roman" w:hAnsi="Times New Roman"/>
        </w:rPr>
        <w:tab/>
      </w:r>
      <w:r w:rsidR="00641B7C" w:rsidRPr="00273D10">
        <w:rPr>
          <w:rFonts w:ascii="Times New Roman" w:hAnsi="Times New Roman"/>
        </w:rPr>
        <w:t xml:space="preserve">"Of course, if you believe that [the accused] is telling you the truth, that he did not commit these offences, then clearly the Crown has not established its case. Even if you do not positively believe [the accused], but what he says gives you a reasonable doubt as to whether he did commit these offences, then you could not be satisfied beyond a reasonable doubt that he did, in fact, commit the offences. What the Crown says to you though </w:t>
      </w:r>
      <w:r w:rsidR="00641B7C" w:rsidRPr="00273D10">
        <w:rPr>
          <w:rFonts w:ascii="Times New Roman" w:hAnsi="Times New Roman"/>
        </w:rPr>
        <w:lastRenderedPageBreak/>
        <w:t>is this</w:t>
      </w:r>
      <w:r w:rsidR="00CD3109" w:rsidRPr="00273D10">
        <w:rPr>
          <w:rFonts w:ascii="Times New Roman" w:hAnsi="Times New Roman"/>
        </w:rPr>
        <w:t>.</w:t>
      </w:r>
      <w:r w:rsidR="00641B7C" w:rsidRPr="00273D10">
        <w:rPr>
          <w:rFonts w:ascii="Times New Roman" w:hAnsi="Times New Roman"/>
        </w:rPr>
        <w:t xml:space="preserve"> You would reject [the accused's] evidence entirely and you would reject it on critical issues involving his children and once you reject him in the way </w:t>
      </w:r>
      <w:r w:rsidRPr="00273D10">
        <w:rPr>
          <w:rFonts w:ascii="Times New Roman" w:hAnsi="Times New Roman"/>
        </w:rPr>
        <w:t xml:space="preserve">in which </w:t>
      </w:r>
      <w:r w:rsidR="00641B7C" w:rsidRPr="00273D10">
        <w:rPr>
          <w:rFonts w:ascii="Times New Roman" w:hAnsi="Times New Roman"/>
        </w:rPr>
        <w:t xml:space="preserve">he dealt with his children, whether it be physically or decently, you put his evidence to one side and you go back to the Crown case and you work out whether you're satisfied that those three children told </w:t>
      </w:r>
      <w:r w:rsidRPr="00273D10">
        <w:rPr>
          <w:rFonts w:ascii="Times New Roman" w:hAnsi="Times New Roman"/>
        </w:rPr>
        <w:t xml:space="preserve">you </w:t>
      </w:r>
      <w:r w:rsidR="00641B7C" w:rsidRPr="00273D10">
        <w:rPr>
          <w:rFonts w:ascii="Times New Roman" w:hAnsi="Times New Roman"/>
        </w:rPr>
        <w:t>the truth."</w:t>
      </w:r>
    </w:p>
    <w:p w14:paraId="42759EF2" w14:textId="23BAA58F" w:rsidR="00641B7C" w:rsidRPr="00273D10" w:rsidRDefault="00641B7C" w:rsidP="00273D10">
      <w:pPr>
        <w:pStyle w:val="FixListStyle"/>
        <w:spacing w:after="260" w:line="280" w:lineRule="exact"/>
        <w:ind w:right="0"/>
        <w:jc w:val="both"/>
        <w:rPr>
          <w:rFonts w:ascii="Times New Roman" w:hAnsi="Times New Roman"/>
        </w:rPr>
      </w:pPr>
      <w:r w:rsidRPr="00273D10">
        <w:rPr>
          <w:rFonts w:ascii="Times New Roman" w:hAnsi="Times New Roman"/>
        </w:rPr>
        <w:tab/>
        <w:t xml:space="preserve">The Crown case was focussed upon the credibility and reliability of the complainants in light of evidence including the aggression evidence and the rugby ball incident evidence. The Crown case </w:t>
      </w:r>
      <w:r w:rsidR="00D33D13" w:rsidRPr="00273D10">
        <w:rPr>
          <w:rFonts w:ascii="Times New Roman" w:hAnsi="Times New Roman"/>
        </w:rPr>
        <w:t xml:space="preserve">invited the jury </w:t>
      </w:r>
      <w:r w:rsidR="006851D9" w:rsidRPr="00273D10">
        <w:rPr>
          <w:rFonts w:ascii="Times New Roman" w:hAnsi="Times New Roman"/>
        </w:rPr>
        <w:t xml:space="preserve">to follow an </w:t>
      </w:r>
      <w:r w:rsidRPr="00273D10">
        <w:rPr>
          <w:rFonts w:ascii="Times New Roman" w:hAnsi="Times New Roman"/>
        </w:rPr>
        <w:t>orthodox path of reasoning to conviction</w:t>
      </w:r>
      <w:r w:rsidR="00D33D13" w:rsidRPr="00273D10">
        <w:rPr>
          <w:rFonts w:ascii="Times New Roman" w:hAnsi="Times New Roman"/>
        </w:rPr>
        <w:t>,</w:t>
      </w:r>
      <w:r w:rsidRPr="00273D10">
        <w:rPr>
          <w:rFonts w:ascii="Times New Roman" w:hAnsi="Times New Roman"/>
        </w:rPr>
        <w:t xml:space="preserve"> which made the risk that the jury might </w:t>
      </w:r>
      <w:r w:rsidR="00D33D13" w:rsidRPr="00273D10">
        <w:rPr>
          <w:rFonts w:ascii="Times New Roman" w:hAnsi="Times New Roman"/>
        </w:rPr>
        <w:t xml:space="preserve">instead </w:t>
      </w:r>
      <w:r w:rsidRPr="00273D10">
        <w:rPr>
          <w:rFonts w:ascii="Times New Roman" w:hAnsi="Times New Roman"/>
        </w:rPr>
        <w:t xml:space="preserve">detour into tendency reasoning </w:t>
      </w:r>
      <w:r w:rsidR="007479BD" w:rsidRPr="00273D10">
        <w:rPr>
          <w:rFonts w:ascii="Times New Roman" w:hAnsi="Times New Roman"/>
        </w:rPr>
        <w:t xml:space="preserve">distinctly </w:t>
      </w:r>
      <w:r w:rsidRPr="00273D10">
        <w:rPr>
          <w:rFonts w:ascii="Times New Roman" w:hAnsi="Times New Roman"/>
        </w:rPr>
        <w:t>remote.</w:t>
      </w:r>
    </w:p>
    <w:p w14:paraId="45E98231" w14:textId="61063588" w:rsidR="00774D63" w:rsidRPr="00273D10" w:rsidRDefault="001E2263" w:rsidP="00273D10">
      <w:pPr>
        <w:pStyle w:val="HeadingL1"/>
        <w:spacing w:after="260" w:line="280" w:lineRule="exact"/>
        <w:ind w:right="0"/>
        <w:jc w:val="both"/>
        <w:rPr>
          <w:rFonts w:ascii="Times New Roman" w:hAnsi="Times New Roman"/>
        </w:rPr>
      </w:pPr>
      <w:r w:rsidRPr="00273D10">
        <w:rPr>
          <w:rFonts w:ascii="Times New Roman" w:hAnsi="Times New Roman"/>
        </w:rPr>
        <w:t>Forensic advantage</w:t>
      </w:r>
      <w:r w:rsidR="000E093B" w:rsidRPr="00273D10">
        <w:rPr>
          <w:rFonts w:ascii="Times New Roman" w:hAnsi="Times New Roman"/>
        </w:rPr>
        <w:t>?</w:t>
      </w:r>
    </w:p>
    <w:p w14:paraId="46407C9F" w14:textId="69F71D9C" w:rsidR="000E093B" w:rsidRPr="00273D10" w:rsidRDefault="000E093B"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0D39DB" w:rsidRPr="00273D10">
        <w:rPr>
          <w:rFonts w:ascii="Times New Roman" w:hAnsi="Times New Roman"/>
        </w:rPr>
        <w:t xml:space="preserve">A </w:t>
      </w:r>
      <w:r w:rsidRPr="00273D10">
        <w:rPr>
          <w:rFonts w:ascii="Times New Roman" w:hAnsi="Times New Roman"/>
        </w:rPr>
        <w:t xml:space="preserve">rational decision by defence counsel as to the conduct of a criminal trial </w:t>
      </w:r>
      <w:r w:rsidR="00A07602" w:rsidRPr="00273D10">
        <w:rPr>
          <w:rFonts w:ascii="Times New Roman" w:hAnsi="Times New Roman"/>
        </w:rPr>
        <w:t xml:space="preserve">that </w:t>
      </w:r>
      <w:r w:rsidRPr="00273D10">
        <w:rPr>
          <w:rFonts w:ascii="Times New Roman" w:hAnsi="Times New Roman"/>
        </w:rPr>
        <w:t xml:space="preserve">can be seen to </w:t>
      </w:r>
      <w:r w:rsidR="00F90EE0" w:rsidRPr="00273D10">
        <w:rPr>
          <w:rFonts w:ascii="Times New Roman" w:hAnsi="Times New Roman"/>
        </w:rPr>
        <w:t xml:space="preserve">have </w:t>
      </w:r>
      <w:r w:rsidRPr="00273D10">
        <w:rPr>
          <w:rFonts w:ascii="Times New Roman" w:hAnsi="Times New Roman"/>
        </w:rPr>
        <w:t>be</w:t>
      </w:r>
      <w:r w:rsidR="00F90EE0" w:rsidRPr="00273D10">
        <w:rPr>
          <w:rFonts w:ascii="Times New Roman" w:hAnsi="Times New Roman"/>
        </w:rPr>
        <w:t>en</w:t>
      </w:r>
      <w:r w:rsidRPr="00273D10">
        <w:rPr>
          <w:rFonts w:ascii="Times New Roman" w:hAnsi="Times New Roman"/>
        </w:rPr>
        <w:t xml:space="preserve"> a legitimate forensic choice that competent counsel could fairly make will not give rise to a miscarriage of justice w</w:t>
      </w:r>
      <w:r w:rsidR="006867C2" w:rsidRPr="00273D10">
        <w:rPr>
          <w:rFonts w:ascii="Times New Roman" w:hAnsi="Times New Roman"/>
        </w:rPr>
        <w:t>i</w:t>
      </w:r>
      <w:r w:rsidRPr="00273D10">
        <w:rPr>
          <w:rFonts w:ascii="Times New Roman" w:hAnsi="Times New Roman"/>
        </w:rPr>
        <w:t>thin</w:t>
      </w:r>
      <w:r w:rsidR="006867C2" w:rsidRPr="00273D10">
        <w:rPr>
          <w:rFonts w:ascii="Times New Roman" w:hAnsi="Times New Roman"/>
        </w:rPr>
        <w:t xml:space="preserve"> </w:t>
      </w:r>
      <w:r w:rsidRPr="00273D10">
        <w:rPr>
          <w:rFonts w:ascii="Times New Roman" w:hAnsi="Times New Roman"/>
        </w:rPr>
        <w:t xml:space="preserve">s 6(1) of the </w:t>
      </w:r>
      <w:r w:rsidRPr="00273D10">
        <w:rPr>
          <w:rFonts w:ascii="Times New Roman" w:hAnsi="Times New Roman"/>
          <w:i/>
          <w:iCs/>
        </w:rPr>
        <w:t>Criminal Appeal Act</w:t>
      </w:r>
      <w:r w:rsidRPr="00273D10">
        <w:rPr>
          <w:rStyle w:val="FootnoteReference"/>
          <w:rFonts w:ascii="Times New Roman" w:hAnsi="Times New Roman"/>
          <w:iCs/>
          <w:sz w:val="24"/>
        </w:rPr>
        <w:footnoteReference w:id="37"/>
      </w:r>
      <w:r w:rsidR="006867C2" w:rsidRPr="00273D10">
        <w:rPr>
          <w:rFonts w:ascii="Times New Roman" w:hAnsi="Times New Roman"/>
          <w:i/>
          <w:iCs/>
        </w:rPr>
        <w:t>.</w:t>
      </w:r>
      <w:r w:rsidR="00D33D13" w:rsidRPr="00273D10">
        <w:rPr>
          <w:rFonts w:ascii="Times New Roman" w:hAnsi="Times New Roman"/>
        </w:rPr>
        <w:t xml:space="preserve"> The adversarial system does justice through the diligent </w:t>
      </w:r>
      <w:r w:rsidR="007479BD" w:rsidRPr="00273D10">
        <w:rPr>
          <w:rFonts w:ascii="Times New Roman" w:hAnsi="Times New Roman"/>
        </w:rPr>
        <w:t xml:space="preserve">exertions </w:t>
      </w:r>
      <w:r w:rsidR="00D33D13" w:rsidRPr="00273D10">
        <w:rPr>
          <w:rFonts w:ascii="Times New Roman" w:hAnsi="Times New Roman"/>
        </w:rPr>
        <w:t xml:space="preserve">of competent counsel </w:t>
      </w:r>
      <w:r w:rsidR="007479BD" w:rsidRPr="00273D10">
        <w:rPr>
          <w:rFonts w:ascii="Times New Roman" w:hAnsi="Times New Roman"/>
        </w:rPr>
        <w:t xml:space="preserve">in </w:t>
      </w:r>
      <w:r w:rsidR="00D33D13" w:rsidRPr="00273D10">
        <w:rPr>
          <w:rFonts w:ascii="Times New Roman" w:hAnsi="Times New Roman"/>
        </w:rPr>
        <w:t>coming to grips with the special circumstances of the particular case.</w:t>
      </w:r>
    </w:p>
    <w:p w14:paraId="28441535" w14:textId="375D213A" w:rsidR="00E16523" w:rsidRPr="00273D10" w:rsidRDefault="002A6AC8" w:rsidP="00273D10">
      <w:pPr>
        <w:pStyle w:val="FixListStyle"/>
        <w:spacing w:after="260" w:line="280" w:lineRule="exact"/>
        <w:ind w:right="0"/>
        <w:jc w:val="both"/>
        <w:rPr>
          <w:rFonts w:ascii="Times New Roman" w:hAnsi="Times New Roman"/>
        </w:rPr>
      </w:pPr>
      <w:r w:rsidRPr="00273D10">
        <w:rPr>
          <w:rFonts w:ascii="Times New Roman" w:hAnsi="Times New Roman"/>
        </w:rPr>
        <w:tab/>
        <w:t>It m</w:t>
      </w:r>
      <w:r w:rsidR="00543610" w:rsidRPr="00273D10">
        <w:rPr>
          <w:rFonts w:ascii="Times New Roman" w:hAnsi="Times New Roman"/>
        </w:rPr>
        <w:t xml:space="preserve">ight be suggested </w:t>
      </w:r>
      <w:r w:rsidRPr="00273D10">
        <w:rPr>
          <w:rFonts w:ascii="Times New Roman" w:hAnsi="Times New Roman"/>
        </w:rPr>
        <w:t xml:space="preserve">that the failure </w:t>
      </w:r>
      <w:r w:rsidR="00A07602" w:rsidRPr="00273D10">
        <w:rPr>
          <w:rFonts w:ascii="Times New Roman" w:hAnsi="Times New Roman"/>
        </w:rPr>
        <w:t xml:space="preserve">by defence counsel </w:t>
      </w:r>
      <w:r w:rsidRPr="00273D10">
        <w:rPr>
          <w:rFonts w:ascii="Times New Roman" w:hAnsi="Times New Roman"/>
        </w:rPr>
        <w:t>to seek a direction</w:t>
      </w:r>
      <w:r w:rsidR="00A07602" w:rsidRPr="00273D10">
        <w:rPr>
          <w:rFonts w:ascii="Times New Roman" w:hAnsi="Times New Roman"/>
        </w:rPr>
        <w:t>,</w:t>
      </w:r>
      <w:r w:rsidRPr="00273D10">
        <w:rPr>
          <w:rFonts w:ascii="Times New Roman" w:hAnsi="Times New Roman"/>
        </w:rPr>
        <w:t xml:space="preserve"> the fundamental </w:t>
      </w:r>
      <w:r w:rsidR="00D33D13" w:rsidRPr="00273D10">
        <w:rPr>
          <w:rFonts w:ascii="Times New Roman" w:hAnsi="Times New Roman"/>
        </w:rPr>
        <w:t xml:space="preserve">premise </w:t>
      </w:r>
      <w:r w:rsidRPr="00273D10">
        <w:rPr>
          <w:rFonts w:ascii="Times New Roman" w:hAnsi="Times New Roman"/>
        </w:rPr>
        <w:t>of which is that the jury might accept the evidence of a complainant on one count</w:t>
      </w:r>
      <w:r w:rsidR="00A07602" w:rsidRPr="00273D10">
        <w:rPr>
          <w:rFonts w:ascii="Times New Roman" w:hAnsi="Times New Roman"/>
        </w:rPr>
        <w:t>,</w:t>
      </w:r>
      <w:r w:rsidRPr="00273D10">
        <w:rPr>
          <w:rFonts w:ascii="Times New Roman" w:hAnsi="Times New Roman"/>
        </w:rPr>
        <w:t xml:space="preserve"> </w:t>
      </w:r>
      <w:r w:rsidR="00A07602" w:rsidRPr="00273D10">
        <w:rPr>
          <w:rFonts w:ascii="Times New Roman" w:hAnsi="Times New Roman"/>
        </w:rPr>
        <w:t>reflects</w:t>
      </w:r>
      <w:r w:rsidRPr="00273D10">
        <w:rPr>
          <w:rFonts w:ascii="Times New Roman" w:hAnsi="Times New Roman"/>
        </w:rPr>
        <w:t xml:space="preserve"> a choice on the part of the appellant</w:t>
      </w:r>
      <w:r w:rsidR="00A07602" w:rsidRPr="00273D10">
        <w:rPr>
          <w:rFonts w:ascii="Times New Roman" w:hAnsi="Times New Roman"/>
        </w:rPr>
        <w:t>'s representatives</w:t>
      </w:r>
      <w:r w:rsidRPr="00273D10">
        <w:rPr>
          <w:rFonts w:ascii="Times New Roman" w:hAnsi="Times New Roman"/>
        </w:rPr>
        <w:t xml:space="preserve"> to give no countenance to </w:t>
      </w:r>
      <w:r w:rsidR="00A07602" w:rsidRPr="00273D10">
        <w:rPr>
          <w:rFonts w:ascii="Times New Roman" w:hAnsi="Times New Roman"/>
        </w:rPr>
        <w:t xml:space="preserve">even </w:t>
      </w:r>
      <w:r w:rsidRPr="00273D10">
        <w:rPr>
          <w:rFonts w:ascii="Times New Roman" w:hAnsi="Times New Roman"/>
        </w:rPr>
        <w:t xml:space="preserve">the possibility </w:t>
      </w:r>
      <w:r w:rsidR="00A07602" w:rsidRPr="00273D10">
        <w:rPr>
          <w:rFonts w:ascii="Times New Roman" w:hAnsi="Times New Roman"/>
        </w:rPr>
        <w:t>that the appellant might be convicted</w:t>
      </w:r>
      <w:r w:rsidRPr="00273D10">
        <w:rPr>
          <w:rFonts w:ascii="Times New Roman" w:hAnsi="Times New Roman"/>
        </w:rPr>
        <w:t xml:space="preserve"> on </w:t>
      </w:r>
      <w:r w:rsidR="00A07602" w:rsidRPr="00273D10">
        <w:rPr>
          <w:rFonts w:ascii="Times New Roman" w:hAnsi="Times New Roman"/>
        </w:rPr>
        <w:t xml:space="preserve">any </w:t>
      </w:r>
      <w:r w:rsidRPr="00273D10">
        <w:rPr>
          <w:rFonts w:ascii="Times New Roman" w:hAnsi="Times New Roman"/>
        </w:rPr>
        <w:t>count</w:t>
      </w:r>
      <w:r w:rsidR="0081535F" w:rsidRPr="00273D10">
        <w:rPr>
          <w:rFonts w:ascii="Times New Roman" w:hAnsi="Times New Roman"/>
        </w:rPr>
        <w:t>, g</w:t>
      </w:r>
      <w:r w:rsidR="007143FC" w:rsidRPr="00273D10">
        <w:rPr>
          <w:rFonts w:ascii="Times New Roman" w:hAnsi="Times New Roman"/>
        </w:rPr>
        <w:t>iven the</w:t>
      </w:r>
      <w:r w:rsidR="00481999" w:rsidRPr="00273D10">
        <w:rPr>
          <w:rFonts w:ascii="Times New Roman" w:hAnsi="Times New Roman"/>
        </w:rPr>
        <w:t xml:space="preserve"> stark </w:t>
      </w:r>
      <w:r w:rsidR="0081535F" w:rsidRPr="00273D10">
        <w:rPr>
          <w:rFonts w:ascii="Times New Roman" w:hAnsi="Times New Roman"/>
        </w:rPr>
        <w:t xml:space="preserve">contest of </w:t>
      </w:r>
      <w:r w:rsidR="00481999" w:rsidRPr="00273D10">
        <w:rPr>
          <w:rFonts w:ascii="Times New Roman" w:hAnsi="Times New Roman"/>
        </w:rPr>
        <w:t xml:space="preserve">credibility that the defence </w:t>
      </w:r>
      <w:r w:rsidR="00A07602" w:rsidRPr="00273D10">
        <w:rPr>
          <w:rFonts w:ascii="Times New Roman" w:hAnsi="Times New Roman"/>
        </w:rPr>
        <w:t>case presented</w:t>
      </w:r>
      <w:r w:rsidR="00481999" w:rsidRPr="00273D10">
        <w:rPr>
          <w:rFonts w:ascii="Times New Roman" w:hAnsi="Times New Roman"/>
        </w:rPr>
        <w:t xml:space="preserve"> to the jury</w:t>
      </w:r>
      <w:r w:rsidR="0081535F" w:rsidRPr="00273D10">
        <w:rPr>
          <w:rFonts w:ascii="Times New Roman" w:hAnsi="Times New Roman"/>
        </w:rPr>
        <w:t>.</w:t>
      </w:r>
      <w:r w:rsidR="00A32947" w:rsidRPr="00273D10">
        <w:rPr>
          <w:rFonts w:ascii="Times New Roman" w:hAnsi="Times New Roman"/>
        </w:rPr>
        <w:t xml:space="preserve"> </w:t>
      </w:r>
      <w:r w:rsidR="000F19A0" w:rsidRPr="00273D10">
        <w:rPr>
          <w:rFonts w:ascii="Times New Roman" w:hAnsi="Times New Roman"/>
        </w:rPr>
        <w:t xml:space="preserve">It </w:t>
      </w:r>
      <w:r w:rsidR="00A32947" w:rsidRPr="00273D10">
        <w:rPr>
          <w:rFonts w:ascii="Times New Roman" w:hAnsi="Times New Roman"/>
        </w:rPr>
        <w:t>might also be suggested</w:t>
      </w:r>
      <w:r w:rsidR="000F19A0" w:rsidRPr="00273D10">
        <w:rPr>
          <w:rFonts w:ascii="Times New Roman" w:hAnsi="Times New Roman"/>
        </w:rPr>
        <w:t xml:space="preserve"> that the appellant's case was unequivocally that the </w:t>
      </w:r>
      <w:r w:rsidR="00D33D13" w:rsidRPr="00273D10">
        <w:rPr>
          <w:rFonts w:ascii="Times New Roman" w:hAnsi="Times New Roman"/>
        </w:rPr>
        <w:t xml:space="preserve">allegation </w:t>
      </w:r>
      <w:r w:rsidR="000F19A0" w:rsidRPr="00273D10">
        <w:rPr>
          <w:rFonts w:ascii="Times New Roman" w:hAnsi="Times New Roman"/>
        </w:rPr>
        <w:t xml:space="preserve">that he had sexually assaulted any of his children on any occasion was a wicked lie. </w:t>
      </w:r>
      <w:r w:rsidRPr="00273D10">
        <w:rPr>
          <w:rFonts w:ascii="Times New Roman" w:hAnsi="Times New Roman"/>
        </w:rPr>
        <w:t xml:space="preserve">It might </w:t>
      </w:r>
      <w:r w:rsidR="003B1A7F" w:rsidRPr="00273D10">
        <w:rPr>
          <w:rFonts w:ascii="Times New Roman" w:hAnsi="Times New Roman"/>
        </w:rPr>
        <w:t>have been thought</w:t>
      </w:r>
      <w:r w:rsidRPr="00273D10">
        <w:rPr>
          <w:rFonts w:ascii="Times New Roman" w:hAnsi="Times New Roman"/>
        </w:rPr>
        <w:t xml:space="preserve"> that the forensic strategy </w:t>
      </w:r>
      <w:r w:rsidR="00A07602" w:rsidRPr="00273D10">
        <w:rPr>
          <w:rFonts w:ascii="Times New Roman" w:hAnsi="Times New Roman"/>
        </w:rPr>
        <w:t xml:space="preserve">that </w:t>
      </w:r>
      <w:r w:rsidRPr="00273D10">
        <w:rPr>
          <w:rFonts w:ascii="Times New Roman" w:hAnsi="Times New Roman"/>
        </w:rPr>
        <w:t xml:space="preserve">the defence </w:t>
      </w:r>
      <w:r w:rsidR="003F45CB" w:rsidRPr="00273D10">
        <w:rPr>
          <w:rFonts w:ascii="Times New Roman" w:hAnsi="Times New Roman"/>
        </w:rPr>
        <w:t xml:space="preserve">actually </w:t>
      </w:r>
      <w:r w:rsidRPr="00273D10">
        <w:rPr>
          <w:rFonts w:ascii="Times New Roman" w:hAnsi="Times New Roman"/>
        </w:rPr>
        <w:t xml:space="preserve">pursued </w:t>
      </w:r>
      <w:r w:rsidR="00A07602" w:rsidRPr="00273D10">
        <w:rPr>
          <w:rFonts w:ascii="Times New Roman" w:hAnsi="Times New Roman"/>
        </w:rPr>
        <w:t xml:space="preserve">was the only strategy that </w:t>
      </w:r>
      <w:r w:rsidRPr="00273D10">
        <w:rPr>
          <w:rFonts w:ascii="Times New Roman" w:hAnsi="Times New Roman"/>
        </w:rPr>
        <w:t xml:space="preserve">would, if successful, result in acquittals on all counts. </w:t>
      </w:r>
      <w:r w:rsidR="006B754A" w:rsidRPr="00273D10">
        <w:rPr>
          <w:rFonts w:ascii="Times New Roman" w:hAnsi="Times New Roman"/>
        </w:rPr>
        <w:t>Bold though such a</w:t>
      </w:r>
      <w:r w:rsidR="00D33D13" w:rsidRPr="00273D10">
        <w:rPr>
          <w:rFonts w:ascii="Times New Roman" w:hAnsi="Times New Roman"/>
        </w:rPr>
        <w:t xml:space="preserve"> forensic strategy may </w:t>
      </w:r>
      <w:r w:rsidR="006B754A" w:rsidRPr="00273D10">
        <w:rPr>
          <w:rFonts w:ascii="Times New Roman" w:hAnsi="Times New Roman"/>
        </w:rPr>
        <w:t>seem</w:t>
      </w:r>
      <w:r w:rsidR="00D33D13" w:rsidRPr="00273D10">
        <w:rPr>
          <w:rFonts w:ascii="Times New Roman" w:hAnsi="Times New Roman"/>
        </w:rPr>
        <w:t>,</w:t>
      </w:r>
      <w:r w:rsidR="00631AE7" w:rsidRPr="00273D10">
        <w:rPr>
          <w:rFonts w:ascii="Times New Roman" w:hAnsi="Times New Roman"/>
        </w:rPr>
        <w:t xml:space="preserve"> </w:t>
      </w:r>
      <w:r w:rsidR="00D33D13" w:rsidRPr="00273D10">
        <w:rPr>
          <w:rFonts w:ascii="Times New Roman" w:hAnsi="Times New Roman"/>
        </w:rPr>
        <w:t>in the course of human experience it is not unknown for bold strategies to fail.</w:t>
      </w:r>
    </w:p>
    <w:p w14:paraId="4E33686B" w14:textId="12634489" w:rsidR="002A6AC8" w:rsidRPr="00273D10" w:rsidRDefault="00B771E4"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2A6AC8" w:rsidRPr="00273D10">
        <w:rPr>
          <w:rFonts w:ascii="Times New Roman" w:hAnsi="Times New Roman"/>
        </w:rPr>
        <w:t>It is not, however, necessary to pursue</w:t>
      </w:r>
      <w:r w:rsidR="000C69D2" w:rsidRPr="00273D10">
        <w:rPr>
          <w:rFonts w:ascii="Times New Roman" w:hAnsi="Times New Roman"/>
        </w:rPr>
        <w:t xml:space="preserve"> any of</w:t>
      </w:r>
      <w:r w:rsidR="002A6AC8" w:rsidRPr="00273D10">
        <w:rPr>
          <w:rFonts w:ascii="Times New Roman" w:hAnsi="Times New Roman"/>
        </w:rPr>
        <w:t xml:space="preserve"> these speculations</w:t>
      </w:r>
      <w:r w:rsidR="000C69D2" w:rsidRPr="00273D10">
        <w:rPr>
          <w:rFonts w:ascii="Times New Roman" w:hAnsi="Times New Roman"/>
        </w:rPr>
        <w:t xml:space="preserve"> further</w:t>
      </w:r>
      <w:r w:rsidR="002A6AC8" w:rsidRPr="00273D10">
        <w:rPr>
          <w:rFonts w:ascii="Times New Roman" w:hAnsi="Times New Roman"/>
        </w:rPr>
        <w:t>.</w:t>
      </w:r>
      <w:r w:rsidR="00D21BDB" w:rsidRPr="00273D10">
        <w:rPr>
          <w:rFonts w:ascii="Times New Roman" w:hAnsi="Times New Roman"/>
        </w:rPr>
        <w:t xml:space="preserve"> In the Court of Criminal Appeal, Beech</w:t>
      </w:r>
      <w:r w:rsidR="00D21BDB" w:rsidRPr="00273D10">
        <w:rPr>
          <w:rFonts w:ascii="Times New Roman" w:hAnsi="Times New Roman"/>
        </w:rPr>
        <w:noBreakHyphen/>
        <w:t xml:space="preserve">Jones J was not satisfied that the failure of </w:t>
      </w:r>
      <w:r w:rsidR="00D21BDB" w:rsidRPr="00273D10">
        <w:rPr>
          <w:rFonts w:ascii="Times New Roman" w:hAnsi="Times New Roman"/>
        </w:rPr>
        <w:lastRenderedPageBreak/>
        <w:t>the defence at trial to seek an anti</w:t>
      </w:r>
      <w:r w:rsidR="00D21BDB" w:rsidRPr="00273D10">
        <w:rPr>
          <w:rFonts w:ascii="Times New Roman" w:hAnsi="Times New Roman"/>
        </w:rPr>
        <w:noBreakHyphen/>
        <w:t>tendency direction was explicable in terms of the pursuit of forensic advantage</w:t>
      </w:r>
      <w:r w:rsidR="00D21BDB" w:rsidRPr="00273D10">
        <w:rPr>
          <w:rStyle w:val="FootnoteReference"/>
          <w:rFonts w:ascii="Times New Roman" w:hAnsi="Times New Roman"/>
          <w:sz w:val="24"/>
        </w:rPr>
        <w:footnoteReference w:id="38"/>
      </w:r>
      <w:r w:rsidR="00D21BDB" w:rsidRPr="00273D10">
        <w:rPr>
          <w:rFonts w:ascii="Times New Roman" w:hAnsi="Times New Roman"/>
        </w:rPr>
        <w:t>.</w:t>
      </w:r>
    </w:p>
    <w:p w14:paraId="2E080FE7" w14:textId="51883218" w:rsidR="003C5983" w:rsidRPr="00273D10" w:rsidRDefault="003C5983" w:rsidP="00273D10">
      <w:pPr>
        <w:pStyle w:val="FixListStyle"/>
        <w:spacing w:after="260" w:line="280" w:lineRule="exact"/>
        <w:ind w:right="0"/>
        <w:jc w:val="both"/>
        <w:rPr>
          <w:rFonts w:ascii="Times New Roman" w:hAnsi="Times New Roman"/>
        </w:rPr>
      </w:pPr>
      <w:r w:rsidRPr="00273D10">
        <w:rPr>
          <w:rFonts w:ascii="Times New Roman" w:hAnsi="Times New Roman"/>
        </w:rPr>
        <w:tab/>
        <w:t xml:space="preserve">It </w:t>
      </w:r>
      <w:r w:rsidR="0005160D" w:rsidRPr="00273D10">
        <w:rPr>
          <w:rFonts w:ascii="Times New Roman" w:hAnsi="Times New Roman"/>
        </w:rPr>
        <w:t xml:space="preserve">was, of course, theoretically </w:t>
      </w:r>
      <w:r w:rsidRPr="00273D10">
        <w:rPr>
          <w:rFonts w:ascii="Times New Roman" w:hAnsi="Times New Roman"/>
        </w:rPr>
        <w:t>possible for the trial judge to give an anti</w:t>
      </w:r>
      <w:r w:rsidRPr="00273D10">
        <w:rPr>
          <w:rFonts w:ascii="Times New Roman" w:hAnsi="Times New Roman"/>
        </w:rPr>
        <w:noBreakHyphen/>
        <w:t>tendency direction while at the same time reminding the jury of the defence case that they should scrutinise the evidence of all the complainants and their mother and so discern indications of concoction. But the issue is not about what was theoretically possible</w:t>
      </w:r>
      <w:r w:rsidR="0005160D" w:rsidRPr="00273D10">
        <w:rPr>
          <w:rFonts w:ascii="Times New Roman" w:hAnsi="Times New Roman"/>
        </w:rPr>
        <w:t xml:space="preserve"> or even what </w:t>
      </w:r>
      <w:r w:rsidR="00A07602" w:rsidRPr="00273D10">
        <w:rPr>
          <w:rFonts w:ascii="Times New Roman" w:hAnsi="Times New Roman"/>
        </w:rPr>
        <w:t xml:space="preserve">might have been </w:t>
      </w:r>
      <w:r w:rsidR="0005160D" w:rsidRPr="00273D10">
        <w:rPr>
          <w:rFonts w:ascii="Times New Roman" w:hAnsi="Times New Roman"/>
        </w:rPr>
        <w:t>prudent</w:t>
      </w:r>
      <w:r w:rsidRPr="00273D10">
        <w:rPr>
          <w:rFonts w:ascii="Times New Roman" w:hAnsi="Times New Roman"/>
        </w:rPr>
        <w:t xml:space="preserve">. The issue is whether the extent of the risk of impermissible tendency reasoning as </w:t>
      </w:r>
      <w:r w:rsidR="00A13BF5" w:rsidRPr="00273D10">
        <w:rPr>
          <w:rFonts w:ascii="Times New Roman" w:hAnsi="Times New Roman"/>
        </w:rPr>
        <w:t>a</w:t>
      </w:r>
      <w:r w:rsidRPr="00273D10">
        <w:rPr>
          <w:rFonts w:ascii="Times New Roman" w:hAnsi="Times New Roman"/>
        </w:rPr>
        <w:t xml:space="preserve"> pathway to verdict</w:t>
      </w:r>
      <w:r w:rsidR="00A07602" w:rsidRPr="00273D10">
        <w:rPr>
          <w:rFonts w:ascii="Times New Roman" w:hAnsi="Times New Roman"/>
        </w:rPr>
        <w:t>s</w:t>
      </w:r>
      <w:r w:rsidRPr="00273D10">
        <w:rPr>
          <w:rFonts w:ascii="Times New Roman" w:hAnsi="Times New Roman"/>
        </w:rPr>
        <w:t xml:space="preserve"> of guilty was such as to require an anti</w:t>
      </w:r>
      <w:r w:rsidRPr="00273D10">
        <w:rPr>
          <w:rFonts w:ascii="Times New Roman" w:hAnsi="Times New Roman"/>
        </w:rPr>
        <w:noBreakHyphen/>
        <w:t xml:space="preserve">tendency direction </w:t>
      </w:r>
      <w:r w:rsidR="00A13BF5" w:rsidRPr="00273D10">
        <w:rPr>
          <w:rFonts w:ascii="Times New Roman" w:hAnsi="Times New Roman"/>
        </w:rPr>
        <w:t xml:space="preserve">to obviate </w:t>
      </w:r>
      <w:r w:rsidRPr="00273D10">
        <w:rPr>
          <w:rFonts w:ascii="Times New Roman" w:hAnsi="Times New Roman"/>
        </w:rPr>
        <w:t>that risk in the circumstances of this case.</w:t>
      </w:r>
    </w:p>
    <w:p w14:paraId="606CE80D" w14:textId="1E3DAB3F" w:rsidR="007C28DA" w:rsidRPr="00273D10" w:rsidRDefault="007C28DA" w:rsidP="00273D10">
      <w:pPr>
        <w:pStyle w:val="FixListStyle"/>
        <w:spacing w:after="260" w:line="280" w:lineRule="exact"/>
        <w:ind w:right="0"/>
        <w:jc w:val="both"/>
        <w:rPr>
          <w:rFonts w:ascii="Times New Roman" w:hAnsi="Times New Roman"/>
        </w:rPr>
      </w:pPr>
      <w:r w:rsidRPr="00273D10">
        <w:rPr>
          <w:rFonts w:ascii="Times New Roman" w:hAnsi="Times New Roman"/>
        </w:rPr>
        <w:tab/>
        <w:t xml:space="preserve">If the jury were to entertain a doubt as to whether even one of the complainants was a reliable witness, then </w:t>
      </w:r>
      <w:r w:rsidR="00D33D13" w:rsidRPr="00273D10">
        <w:rPr>
          <w:rFonts w:ascii="Times New Roman" w:hAnsi="Times New Roman"/>
        </w:rPr>
        <w:t xml:space="preserve">they </w:t>
      </w:r>
      <w:r w:rsidRPr="00273D10">
        <w:rPr>
          <w:rFonts w:ascii="Times New Roman" w:hAnsi="Times New Roman"/>
        </w:rPr>
        <w:t>might well have been disposed to entertain the possibility that all the complainants' evidence was concocted.</w:t>
      </w:r>
      <w:r w:rsidR="002363F4" w:rsidRPr="00273D10">
        <w:rPr>
          <w:rFonts w:ascii="Times New Roman" w:hAnsi="Times New Roman"/>
        </w:rPr>
        <w:t xml:space="preserve"> On the other hand, if the jury were satisfied beyond reasonable doubt that the evidence of each complainant was honest and reliable in accord</w:t>
      </w:r>
      <w:r w:rsidR="00C62049" w:rsidRPr="00273D10">
        <w:rPr>
          <w:rFonts w:ascii="Times New Roman" w:hAnsi="Times New Roman"/>
        </w:rPr>
        <w:t xml:space="preserve">ance with the separate consideration direction and the </w:t>
      </w:r>
      <w:r w:rsidR="00C62049" w:rsidRPr="00273D10">
        <w:rPr>
          <w:rFonts w:ascii="Times New Roman" w:hAnsi="Times New Roman"/>
          <w:i/>
          <w:iCs/>
        </w:rPr>
        <w:t xml:space="preserve">Murray </w:t>
      </w:r>
      <w:r w:rsidR="00C62049" w:rsidRPr="00273D10">
        <w:rPr>
          <w:rFonts w:ascii="Times New Roman" w:hAnsi="Times New Roman"/>
        </w:rPr>
        <w:t>direction, then there would simply be no occasion for the jury to resort to tendency reasoning.</w:t>
      </w:r>
      <w:r w:rsidR="00AC6DEB" w:rsidRPr="00273D10">
        <w:rPr>
          <w:rFonts w:ascii="Times New Roman" w:hAnsi="Times New Roman"/>
        </w:rPr>
        <w:t xml:space="preserve"> The </w:t>
      </w:r>
      <w:r w:rsidR="00AC6DEB" w:rsidRPr="00273D10">
        <w:rPr>
          <w:rFonts w:ascii="Times New Roman" w:hAnsi="Times New Roman"/>
          <w:i/>
          <w:iCs/>
        </w:rPr>
        <w:t xml:space="preserve">Murray </w:t>
      </w:r>
      <w:r w:rsidR="00AC6DEB" w:rsidRPr="00273D10">
        <w:rPr>
          <w:rFonts w:ascii="Times New Roman" w:hAnsi="Times New Roman"/>
        </w:rPr>
        <w:t>direction</w:t>
      </w:r>
      <w:r w:rsidR="00D33D13" w:rsidRPr="00273D10">
        <w:rPr>
          <w:rFonts w:ascii="Times New Roman" w:hAnsi="Times New Roman"/>
        </w:rPr>
        <w:t>,</w:t>
      </w:r>
      <w:r w:rsidR="00AC6DEB" w:rsidRPr="00273D10">
        <w:rPr>
          <w:rFonts w:ascii="Times New Roman" w:hAnsi="Times New Roman"/>
        </w:rPr>
        <w:t xml:space="preserve"> which the appellant's counsel had secured</w:t>
      </w:r>
      <w:r w:rsidR="00D33D13" w:rsidRPr="00273D10">
        <w:rPr>
          <w:rFonts w:ascii="Times New Roman" w:hAnsi="Times New Roman"/>
        </w:rPr>
        <w:t>,</w:t>
      </w:r>
      <w:r w:rsidR="00AC6DEB" w:rsidRPr="00273D10">
        <w:rPr>
          <w:rFonts w:ascii="Times New Roman" w:hAnsi="Times New Roman"/>
        </w:rPr>
        <w:t xml:space="preserve"> meant that the jury </w:t>
      </w:r>
      <w:r w:rsidR="00D33D13" w:rsidRPr="00273D10">
        <w:rPr>
          <w:rFonts w:ascii="Times New Roman" w:hAnsi="Times New Roman"/>
        </w:rPr>
        <w:t xml:space="preserve">were </w:t>
      </w:r>
      <w:r w:rsidR="00AC6DEB" w:rsidRPr="00273D10">
        <w:rPr>
          <w:rFonts w:ascii="Times New Roman" w:hAnsi="Times New Roman"/>
        </w:rPr>
        <w:t>focus</w:t>
      </w:r>
      <w:r w:rsidR="00370C0E" w:rsidRPr="00273D10">
        <w:rPr>
          <w:rFonts w:ascii="Times New Roman" w:hAnsi="Times New Roman"/>
        </w:rPr>
        <w:t>s</w:t>
      </w:r>
      <w:r w:rsidR="00AC6DEB" w:rsidRPr="00273D10">
        <w:rPr>
          <w:rFonts w:ascii="Times New Roman" w:hAnsi="Times New Roman"/>
        </w:rPr>
        <w:t xml:space="preserve">ed on whether any of the complainants might not be honest </w:t>
      </w:r>
      <w:r w:rsidR="00AD17D4" w:rsidRPr="00273D10">
        <w:rPr>
          <w:rFonts w:ascii="Times New Roman" w:hAnsi="Times New Roman"/>
        </w:rPr>
        <w:t>and reliable. If, with that focus, the jury were satisfied that each complainant was honest and reliable, verdicts of guilty would follow directly. But in no case would a conviction on any count follow from reasoning that doubts about the honesty and reliability of any complainant could be resolved in favour of conviction by tendency reasoning.</w:t>
      </w:r>
    </w:p>
    <w:p w14:paraId="4A82349D" w14:textId="04EE5B6C" w:rsidR="00D97B68" w:rsidRPr="00273D10" w:rsidRDefault="00E50CD4" w:rsidP="00273D10">
      <w:pPr>
        <w:pStyle w:val="HeadingL1"/>
        <w:spacing w:after="260" w:line="280" w:lineRule="exact"/>
        <w:ind w:right="0"/>
        <w:jc w:val="both"/>
        <w:rPr>
          <w:rFonts w:ascii="Times New Roman" w:hAnsi="Times New Roman"/>
        </w:rPr>
      </w:pPr>
      <w:r w:rsidRPr="00273D10">
        <w:rPr>
          <w:rFonts w:ascii="Times New Roman" w:hAnsi="Times New Roman"/>
        </w:rPr>
        <w:t>A deliberate decision and its significance</w:t>
      </w:r>
    </w:p>
    <w:p w14:paraId="2E9C2DB5" w14:textId="4AF4243E" w:rsidR="002A6AC8" w:rsidRPr="00273D10" w:rsidRDefault="002A6AC8" w:rsidP="00273D10">
      <w:pPr>
        <w:pStyle w:val="FixListStyle"/>
        <w:spacing w:after="260" w:line="280" w:lineRule="exact"/>
        <w:ind w:right="0"/>
        <w:jc w:val="both"/>
        <w:rPr>
          <w:rFonts w:ascii="Times New Roman" w:hAnsi="Times New Roman"/>
        </w:rPr>
      </w:pPr>
      <w:r w:rsidRPr="00273D10">
        <w:rPr>
          <w:rFonts w:ascii="Times New Roman" w:hAnsi="Times New Roman"/>
        </w:rPr>
        <w:tab/>
        <w:t>Within our system of justice</w:t>
      </w:r>
      <w:r w:rsidR="00E50CD4" w:rsidRPr="00273D10">
        <w:rPr>
          <w:rFonts w:ascii="Times New Roman" w:hAnsi="Times New Roman"/>
        </w:rPr>
        <w:t>,</w:t>
      </w:r>
      <w:r w:rsidR="003D1731" w:rsidRPr="00273D10">
        <w:rPr>
          <w:rFonts w:ascii="Times New Roman" w:hAnsi="Times New Roman"/>
        </w:rPr>
        <w:t xml:space="preserve"> save</w:t>
      </w:r>
      <w:r w:rsidRPr="00273D10">
        <w:rPr>
          <w:rFonts w:ascii="Times New Roman" w:hAnsi="Times New Roman"/>
        </w:rPr>
        <w:t xml:space="preserve"> for exceptional cases, "parties are bound by the conduct of their counsel, who exercise a wide discretion in deciding what issues to contest, what witnesses to call, what evidence to lead or to seek to have excluded, and what lines of argument to pursue"</w:t>
      </w:r>
      <w:r w:rsidRPr="00273D10">
        <w:rPr>
          <w:rStyle w:val="FootnoteReference"/>
          <w:rFonts w:ascii="Times New Roman" w:hAnsi="Times New Roman"/>
          <w:sz w:val="24"/>
        </w:rPr>
        <w:footnoteReference w:id="39"/>
      </w:r>
      <w:r w:rsidRPr="00273D10">
        <w:rPr>
          <w:rFonts w:ascii="Times New Roman" w:hAnsi="Times New Roman"/>
        </w:rPr>
        <w:t>.</w:t>
      </w:r>
      <w:r w:rsidR="00FE572F" w:rsidRPr="00273D10">
        <w:rPr>
          <w:rFonts w:ascii="Times New Roman" w:hAnsi="Times New Roman"/>
        </w:rPr>
        <w:t xml:space="preserve"> </w:t>
      </w:r>
      <w:r w:rsidRPr="00273D10">
        <w:rPr>
          <w:rFonts w:ascii="Times New Roman" w:hAnsi="Times New Roman"/>
        </w:rPr>
        <w:t>While it is true that</w:t>
      </w:r>
      <w:r w:rsidR="00A07602" w:rsidRPr="00273D10">
        <w:rPr>
          <w:rFonts w:ascii="Times New Roman" w:hAnsi="Times New Roman"/>
        </w:rPr>
        <w:t>,</w:t>
      </w:r>
      <w:r w:rsidRPr="00273D10">
        <w:rPr>
          <w:rFonts w:ascii="Times New Roman" w:hAnsi="Times New Roman"/>
        </w:rPr>
        <w:t xml:space="preserve"> as Kiefel</w:t>
      </w:r>
      <w:r w:rsidR="00D33D13" w:rsidRPr="00273D10">
        <w:rPr>
          <w:rFonts w:ascii="Times New Roman" w:hAnsi="Times New Roman"/>
        </w:rPr>
        <w:t> CJ</w:t>
      </w:r>
      <w:r w:rsidRPr="00273D10">
        <w:rPr>
          <w:rFonts w:ascii="Times New Roman" w:hAnsi="Times New Roman"/>
        </w:rPr>
        <w:t xml:space="preserve">, Bell, Gageler and Gordon JJ said in </w:t>
      </w:r>
      <w:r w:rsidRPr="00273D10">
        <w:rPr>
          <w:rFonts w:ascii="Times New Roman" w:hAnsi="Times New Roman"/>
          <w:i/>
          <w:iCs/>
        </w:rPr>
        <w:t>De Silva v The Queen</w:t>
      </w:r>
      <w:r w:rsidRPr="00273D10">
        <w:rPr>
          <w:rStyle w:val="FootnoteReference"/>
          <w:rFonts w:ascii="Times New Roman" w:hAnsi="Times New Roman"/>
          <w:sz w:val="24"/>
        </w:rPr>
        <w:footnoteReference w:id="40"/>
      </w:r>
      <w:r w:rsidRPr="00273D10">
        <w:rPr>
          <w:rFonts w:ascii="Times New Roman" w:hAnsi="Times New Roman"/>
        </w:rPr>
        <w:t>:</w:t>
      </w:r>
    </w:p>
    <w:p w14:paraId="642BDCED" w14:textId="77777777" w:rsidR="00273D10" w:rsidRDefault="002A6AC8" w:rsidP="00273D10">
      <w:pPr>
        <w:pStyle w:val="LeftrightafterHC"/>
        <w:spacing w:before="0" w:after="260" w:line="280" w:lineRule="exact"/>
        <w:ind w:right="0"/>
        <w:jc w:val="both"/>
        <w:rPr>
          <w:rFonts w:ascii="Times New Roman" w:hAnsi="Times New Roman"/>
        </w:rPr>
      </w:pPr>
      <w:r w:rsidRPr="00273D10">
        <w:rPr>
          <w:rFonts w:ascii="Times New Roman" w:hAnsi="Times New Roman"/>
        </w:rPr>
        <w:lastRenderedPageBreak/>
        <w:t>"</w:t>
      </w:r>
      <w:r w:rsidR="00A13514" w:rsidRPr="00273D10">
        <w:rPr>
          <w:rFonts w:ascii="Times New Roman" w:hAnsi="Times New Roman"/>
        </w:rPr>
        <w:t>[t]</w:t>
      </w:r>
      <w:r w:rsidRPr="00273D10">
        <w:rPr>
          <w:rFonts w:ascii="Times New Roman" w:hAnsi="Times New Roman"/>
        </w:rPr>
        <w:t>he failure of counsel to seek a direction is not determinative against successful challenge in a case in which the direction was required to avoid a perceptible risk of the miscarriage of justice"</w:t>
      </w:r>
      <w:r w:rsidR="00A958C0" w:rsidRPr="00273D10">
        <w:rPr>
          <w:rFonts w:ascii="Times New Roman" w:hAnsi="Times New Roman"/>
        </w:rPr>
        <w:t>,</w:t>
      </w:r>
    </w:p>
    <w:p w14:paraId="5DC581ED" w14:textId="6F8BE061" w:rsidR="002A6AC8" w:rsidRPr="00273D10" w:rsidRDefault="002A6AC8" w:rsidP="00273D10">
      <w:pPr>
        <w:pStyle w:val="NormalBody"/>
        <w:spacing w:after="260" w:line="280" w:lineRule="exact"/>
        <w:ind w:right="0"/>
        <w:jc w:val="both"/>
        <w:rPr>
          <w:rFonts w:ascii="Times New Roman" w:hAnsi="Times New Roman"/>
        </w:rPr>
      </w:pPr>
      <w:r w:rsidRPr="00273D10">
        <w:rPr>
          <w:rFonts w:ascii="Times New Roman" w:hAnsi="Times New Roman"/>
        </w:rPr>
        <w:t>their Honours went on to say:</w:t>
      </w:r>
    </w:p>
    <w:p w14:paraId="696546EB" w14:textId="77777777" w:rsidR="00273D10" w:rsidRDefault="002A6AC8" w:rsidP="00273D10">
      <w:pPr>
        <w:pStyle w:val="LeftrightafterHC"/>
        <w:spacing w:before="0" w:after="260" w:line="280" w:lineRule="exact"/>
        <w:ind w:right="0"/>
        <w:jc w:val="both"/>
        <w:rPr>
          <w:rFonts w:ascii="Times New Roman" w:hAnsi="Times New Roman"/>
        </w:rPr>
      </w:pPr>
      <w:r w:rsidRPr="00273D10">
        <w:rPr>
          <w:rFonts w:ascii="Times New Roman" w:hAnsi="Times New Roman"/>
        </w:rPr>
        <w:t>"</w:t>
      </w:r>
      <w:r w:rsidR="00717F30" w:rsidRPr="00273D10">
        <w:rPr>
          <w:rFonts w:ascii="Times New Roman" w:hAnsi="Times New Roman"/>
        </w:rPr>
        <w:t>T</w:t>
      </w:r>
      <w:r w:rsidRPr="00273D10">
        <w:rPr>
          <w:rFonts w:ascii="Times New Roman" w:hAnsi="Times New Roman"/>
        </w:rPr>
        <w:t>he absence of an application for a direction may ... tend against finding that that risk was present."</w:t>
      </w:r>
    </w:p>
    <w:p w14:paraId="24D66C23" w14:textId="7DFCE189" w:rsidR="00BC5865" w:rsidRPr="00273D10" w:rsidRDefault="002A6AC8"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C321F7" w:rsidRPr="00273D10">
        <w:rPr>
          <w:rFonts w:ascii="Times New Roman" w:hAnsi="Times New Roman"/>
        </w:rPr>
        <w:t>T</w:t>
      </w:r>
      <w:r w:rsidR="00BC5865" w:rsidRPr="00273D10">
        <w:rPr>
          <w:rFonts w:ascii="Times New Roman" w:hAnsi="Times New Roman"/>
        </w:rPr>
        <w:t>he majority of the Court of Criminal Appeal were right to conclude that the failure of the appellant's counsel at trial to seek an anti-tendency direction was a deliberate decision based on the circumstance "that he did not consider that such a direction was necessary"</w:t>
      </w:r>
      <w:r w:rsidR="00BC5865" w:rsidRPr="00273D10">
        <w:rPr>
          <w:rStyle w:val="FootnoteReference"/>
          <w:rFonts w:ascii="Times New Roman" w:hAnsi="Times New Roman"/>
          <w:sz w:val="24"/>
        </w:rPr>
        <w:footnoteReference w:id="41"/>
      </w:r>
      <w:r w:rsidR="00BC5865" w:rsidRPr="00273D10">
        <w:rPr>
          <w:rFonts w:ascii="Times New Roman" w:hAnsi="Times New Roman"/>
        </w:rPr>
        <w:t xml:space="preserve"> to ensure a fair trial of the </w:t>
      </w:r>
      <w:r w:rsidR="003F5544" w:rsidRPr="00273D10">
        <w:rPr>
          <w:rFonts w:ascii="Times New Roman" w:hAnsi="Times New Roman"/>
        </w:rPr>
        <w:t>appellant</w:t>
      </w:r>
      <w:r w:rsidR="00BC5865" w:rsidRPr="00273D10">
        <w:rPr>
          <w:rFonts w:ascii="Times New Roman" w:hAnsi="Times New Roman"/>
        </w:rPr>
        <w:t>. Indeed, this is</w:t>
      </w:r>
      <w:r w:rsidR="00C321F7" w:rsidRPr="00273D10">
        <w:rPr>
          <w:rFonts w:ascii="Times New Roman" w:hAnsi="Times New Roman"/>
        </w:rPr>
        <w:t xml:space="preserve"> clearly</w:t>
      </w:r>
      <w:r w:rsidR="00BC5865" w:rsidRPr="00273D10">
        <w:rPr>
          <w:rFonts w:ascii="Times New Roman" w:hAnsi="Times New Roman"/>
        </w:rPr>
        <w:t xml:space="preserve"> the better view.</w:t>
      </w:r>
    </w:p>
    <w:p w14:paraId="290AF68A" w14:textId="3A4C1FC6" w:rsidR="005039C7" w:rsidRPr="00273D10" w:rsidRDefault="00E008F3"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1A2275" w:rsidRPr="00273D10">
        <w:rPr>
          <w:rFonts w:ascii="Times New Roman" w:hAnsi="Times New Roman"/>
        </w:rPr>
        <w:t xml:space="preserve">There </w:t>
      </w:r>
      <w:r w:rsidR="003C5983" w:rsidRPr="00273D10">
        <w:rPr>
          <w:rFonts w:ascii="Times New Roman" w:hAnsi="Times New Roman"/>
        </w:rPr>
        <w:t xml:space="preserve">is no reason to doubt the competence of defence counsel. </w:t>
      </w:r>
      <w:r w:rsidR="001A2275" w:rsidRPr="00273D10">
        <w:rPr>
          <w:rFonts w:ascii="Times New Roman" w:hAnsi="Times New Roman"/>
        </w:rPr>
        <w:t xml:space="preserve">Indeed, it may be said that he conducted his client's case with considerable success. </w:t>
      </w:r>
      <w:r w:rsidR="003C5983" w:rsidRPr="00273D10">
        <w:rPr>
          <w:rFonts w:ascii="Times New Roman" w:hAnsi="Times New Roman"/>
        </w:rPr>
        <w:t>He resisted, successfully, the Crown's tendency ap</w:t>
      </w:r>
      <w:r w:rsidR="0023348F" w:rsidRPr="00273D10">
        <w:rPr>
          <w:rFonts w:ascii="Times New Roman" w:hAnsi="Times New Roman"/>
        </w:rPr>
        <w:t>p</w:t>
      </w:r>
      <w:r w:rsidR="003C5983" w:rsidRPr="00273D10">
        <w:rPr>
          <w:rFonts w:ascii="Times New Roman" w:hAnsi="Times New Roman"/>
        </w:rPr>
        <w:t>lication</w:t>
      </w:r>
      <w:r w:rsidR="006E31C3" w:rsidRPr="00273D10">
        <w:rPr>
          <w:rFonts w:ascii="Times New Roman" w:hAnsi="Times New Roman"/>
        </w:rPr>
        <w:t xml:space="preserve">. </w:t>
      </w:r>
      <w:r w:rsidR="003D1731" w:rsidRPr="00273D10">
        <w:rPr>
          <w:rFonts w:ascii="Times New Roman" w:hAnsi="Times New Roman"/>
        </w:rPr>
        <w:t xml:space="preserve">And, as </w:t>
      </w:r>
      <w:r w:rsidR="0023348F" w:rsidRPr="00273D10">
        <w:rPr>
          <w:rFonts w:ascii="Times New Roman" w:hAnsi="Times New Roman"/>
        </w:rPr>
        <w:t>has been seen, in the course of the trial judge's summing</w:t>
      </w:r>
      <w:r w:rsidR="00D33D13" w:rsidRPr="00273D10">
        <w:rPr>
          <w:rFonts w:ascii="Times New Roman" w:hAnsi="Times New Roman"/>
        </w:rPr>
        <w:noBreakHyphen/>
      </w:r>
      <w:r w:rsidR="0023348F" w:rsidRPr="00273D10">
        <w:rPr>
          <w:rFonts w:ascii="Times New Roman" w:hAnsi="Times New Roman"/>
        </w:rPr>
        <w:t>up</w:t>
      </w:r>
      <w:r w:rsidR="00D33D13" w:rsidRPr="00273D10">
        <w:rPr>
          <w:rFonts w:ascii="Times New Roman" w:hAnsi="Times New Roman"/>
        </w:rPr>
        <w:t>,</w:t>
      </w:r>
      <w:r w:rsidR="0023348F" w:rsidRPr="00273D10">
        <w:rPr>
          <w:rFonts w:ascii="Times New Roman" w:hAnsi="Times New Roman"/>
        </w:rPr>
        <w:t xml:space="preserve"> </w:t>
      </w:r>
      <w:r w:rsidR="004F3975" w:rsidRPr="00273D10">
        <w:rPr>
          <w:rFonts w:ascii="Times New Roman" w:hAnsi="Times New Roman"/>
        </w:rPr>
        <w:t xml:space="preserve">when </w:t>
      </w:r>
      <w:r w:rsidR="0023348F" w:rsidRPr="00273D10">
        <w:rPr>
          <w:rFonts w:ascii="Times New Roman" w:hAnsi="Times New Roman"/>
        </w:rPr>
        <w:t xml:space="preserve">defence counsel was afforded the opportunity to consider whether further directions were required, </w:t>
      </w:r>
      <w:r w:rsidR="00085F1B" w:rsidRPr="00273D10">
        <w:rPr>
          <w:rFonts w:ascii="Times New Roman" w:hAnsi="Times New Roman"/>
        </w:rPr>
        <w:t>he did not seek an anti</w:t>
      </w:r>
      <w:r w:rsidR="00085F1B" w:rsidRPr="00273D10">
        <w:rPr>
          <w:rFonts w:ascii="Times New Roman" w:hAnsi="Times New Roman"/>
        </w:rPr>
        <w:noBreakHyphen/>
        <w:t xml:space="preserve">tendency direction in respect of the counts on the indictment but rather </w:t>
      </w:r>
      <w:r w:rsidR="005301B4" w:rsidRPr="00273D10">
        <w:rPr>
          <w:rFonts w:ascii="Times New Roman" w:hAnsi="Times New Roman"/>
        </w:rPr>
        <w:t>pressed – again successfully – his application for</w:t>
      </w:r>
      <w:r w:rsidR="00085F1B" w:rsidRPr="00273D10">
        <w:rPr>
          <w:rFonts w:ascii="Times New Roman" w:hAnsi="Times New Roman"/>
        </w:rPr>
        <w:t xml:space="preserve"> the </w:t>
      </w:r>
      <w:r w:rsidR="00085F1B" w:rsidRPr="00273D10">
        <w:rPr>
          <w:rFonts w:ascii="Times New Roman" w:hAnsi="Times New Roman"/>
          <w:i/>
        </w:rPr>
        <w:t xml:space="preserve">Murray </w:t>
      </w:r>
      <w:r w:rsidR="00085F1B" w:rsidRPr="00273D10">
        <w:rPr>
          <w:rFonts w:ascii="Times New Roman" w:hAnsi="Times New Roman"/>
        </w:rPr>
        <w:t>direction</w:t>
      </w:r>
      <w:r w:rsidR="00D33D13" w:rsidRPr="00273D10">
        <w:rPr>
          <w:rFonts w:ascii="Times New Roman" w:hAnsi="Times New Roman"/>
        </w:rPr>
        <w:t>,</w:t>
      </w:r>
      <w:r w:rsidR="00085F1B" w:rsidRPr="00273D10">
        <w:rPr>
          <w:rFonts w:ascii="Times New Roman" w:hAnsi="Times New Roman"/>
        </w:rPr>
        <w:t xml:space="preserve"> which was ultimately given by the trial judge. </w:t>
      </w:r>
      <w:r w:rsidR="004848FC" w:rsidRPr="00273D10">
        <w:rPr>
          <w:rFonts w:ascii="Times New Roman" w:hAnsi="Times New Roman"/>
        </w:rPr>
        <w:t>In these circumstances, t</w:t>
      </w:r>
      <w:r w:rsidR="00085F1B" w:rsidRPr="00273D10">
        <w:rPr>
          <w:rFonts w:ascii="Times New Roman" w:hAnsi="Times New Roman"/>
        </w:rPr>
        <w:t xml:space="preserve">he </w:t>
      </w:r>
      <w:r w:rsidR="006B5B2B" w:rsidRPr="00273D10">
        <w:rPr>
          <w:rFonts w:ascii="Times New Roman" w:hAnsi="Times New Roman"/>
        </w:rPr>
        <w:t>suggestion</w:t>
      </w:r>
      <w:r w:rsidR="00085F1B" w:rsidRPr="00273D10">
        <w:rPr>
          <w:rFonts w:ascii="Times New Roman" w:hAnsi="Times New Roman"/>
        </w:rPr>
        <w:t xml:space="preserve"> that defence counsel failed to seek an anti</w:t>
      </w:r>
      <w:r w:rsidR="00085F1B" w:rsidRPr="00273D10">
        <w:rPr>
          <w:rFonts w:ascii="Times New Roman" w:hAnsi="Times New Roman"/>
        </w:rPr>
        <w:noBreakHyphen/>
        <w:t xml:space="preserve">tendency direction as </w:t>
      </w:r>
      <w:r w:rsidR="00A07602" w:rsidRPr="00273D10">
        <w:rPr>
          <w:rFonts w:ascii="Times New Roman" w:hAnsi="Times New Roman"/>
        </w:rPr>
        <w:t xml:space="preserve">a </w:t>
      </w:r>
      <w:r w:rsidR="00085F1B" w:rsidRPr="00273D10">
        <w:rPr>
          <w:rFonts w:ascii="Times New Roman" w:hAnsi="Times New Roman"/>
        </w:rPr>
        <w:t>result of oversight</w:t>
      </w:r>
      <w:r w:rsidR="00C42C78" w:rsidRPr="00273D10">
        <w:rPr>
          <w:rFonts w:ascii="Times New Roman" w:hAnsi="Times New Roman"/>
        </w:rPr>
        <w:t xml:space="preserve"> on his part</w:t>
      </w:r>
      <w:r w:rsidR="00085F1B" w:rsidRPr="00273D10">
        <w:rPr>
          <w:rFonts w:ascii="Times New Roman" w:hAnsi="Times New Roman"/>
        </w:rPr>
        <w:t xml:space="preserve"> is </w:t>
      </w:r>
      <w:r w:rsidR="00C343A4" w:rsidRPr="00273D10">
        <w:rPr>
          <w:rFonts w:ascii="Times New Roman" w:hAnsi="Times New Roman"/>
        </w:rPr>
        <w:t>fanciful</w:t>
      </w:r>
      <w:r w:rsidR="00085F1B" w:rsidRPr="00273D10">
        <w:rPr>
          <w:rFonts w:ascii="Times New Roman" w:hAnsi="Times New Roman"/>
        </w:rPr>
        <w:t>.</w:t>
      </w:r>
    </w:p>
    <w:p w14:paraId="123EAAEF" w14:textId="3DA512A9" w:rsidR="00B10462" w:rsidRPr="00273D10" w:rsidRDefault="007A7032"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C66F48" w:rsidRPr="00273D10">
        <w:rPr>
          <w:rFonts w:ascii="Times New Roman" w:hAnsi="Times New Roman"/>
        </w:rPr>
        <w:t>O</w:t>
      </w:r>
      <w:r w:rsidR="00EC1D54" w:rsidRPr="00273D10">
        <w:rPr>
          <w:rFonts w:ascii="Times New Roman" w:hAnsi="Times New Roman"/>
        </w:rPr>
        <w:t>ne can be confident that the appellant's counsel at trial did not seek an anti</w:t>
      </w:r>
      <w:r w:rsidR="00EC1D54" w:rsidRPr="00273D10">
        <w:rPr>
          <w:rFonts w:ascii="Times New Roman" w:hAnsi="Times New Roman"/>
        </w:rPr>
        <w:noBreakHyphen/>
        <w:t xml:space="preserve">tendency direction </w:t>
      </w:r>
      <w:r w:rsidR="00C42C78" w:rsidRPr="00273D10">
        <w:rPr>
          <w:rFonts w:ascii="Times New Roman" w:hAnsi="Times New Roman"/>
        </w:rPr>
        <w:t>for the reason that</w:t>
      </w:r>
      <w:r w:rsidR="00EC1D54" w:rsidRPr="00273D10">
        <w:rPr>
          <w:rFonts w:ascii="Times New Roman" w:hAnsi="Times New Roman"/>
        </w:rPr>
        <w:t xml:space="preserve"> he perceived th</w:t>
      </w:r>
      <w:r w:rsidR="00920B5B" w:rsidRPr="00273D10">
        <w:rPr>
          <w:rFonts w:ascii="Times New Roman" w:hAnsi="Times New Roman"/>
        </w:rPr>
        <w:t>at</w:t>
      </w:r>
      <w:r w:rsidR="00C42C78" w:rsidRPr="00273D10">
        <w:rPr>
          <w:rFonts w:ascii="Times New Roman" w:hAnsi="Times New Roman"/>
        </w:rPr>
        <w:t xml:space="preserve">, </w:t>
      </w:r>
      <w:r w:rsidR="00A07602" w:rsidRPr="00273D10">
        <w:rPr>
          <w:rFonts w:ascii="Times New Roman" w:hAnsi="Times New Roman"/>
        </w:rPr>
        <w:t xml:space="preserve">in light of </w:t>
      </w:r>
      <w:r w:rsidR="00C42C78" w:rsidRPr="00273D10">
        <w:rPr>
          <w:rFonts w:ascii="Times New Roman" w:hAnsi="Times New Roman"/>
        </w:rPr>
        <w:t>the directions that were given to the jury and the stark choice presented to the jury by the parties,</w:t>
      </w:r>
      <w:r w:rsidR="00920B5B" w:rsidRPr="00273D10">
        <w:rPr>
          <w:rFonts w:ascii="Times New Roman" w:hAnsi="Times New Roman"/>
        </w:rPr>
        <w:t xml:space="preserve"> there was little practical risk that the jury would reason to verdict</w:t>
      </w:r>
      <w:r w:rsidR="00A07602" w:rsidRPr="00273D10">
        <w:rPr>
          <w:rFonts w:ascii="Times New Roman" w:hAnsi="Times New Roman"/>
        </w:rPr>
        <w:t>s</w:t>
      </w:r>
      <w:r w:rsidR="00920B5B" w:rsidRPr="00273D10">
        <w:rPr>
          <w:rFonts w:ascii="Times New Roman" w:hAnsi="Times New Roman"/>
        </w:rPr>
        <w:t xml:space="preserve"> of guilt</w:t>
      </w:r>
      <w:r w:rsidR="00E53B35" w:rsidRPr="00273D10">
        <w:rPr>
          <w:rFonts w:ascii="Times New Roman" w:hAnsi="Times New Roman"/>
        </w:rPr>
        <w:t>y</w:t>
      </w:r>
      <w:r w:rsidR="00920B5B" w:rsidRPr="00273D10">
        <w:rPr>
          <w:rFonts w:ascii="Times New Roman" w:hAnsi="Times New Roman"/>
        </w:rPr>
        <w:t xml:space="preserve"> via the impermissible path of tendency reasoning. </w:t>
      </w:r>
      <w:r w:rsidR="004C2832" w:rsidRPr="00273D10">
        <w:rPr>
          <w:rFonts w:ascii="Times New Roman" w:hAnsi="Times New Roman"/>
        </w:rPr>
        <w:t>T</w:t>
      </w:r>
      <w:r w:rsidR="00920B5B" w:rsidRPr="00273D10">
        <w:rPr>
          <w:rFonts w:ascii="Times New Roman" w:hAnsi="Times New Roman"/>
        </w:rPr>
        <w:t>he</w:t>
      </w:r>
      <w:r w:rsidR="00CA7D6A" w:rsidRPr="00273D10">
        <w:rPr>
          <w:rFonts w:ascii="Times New Roman" w:hAnsi="Times New Roman"/>
        </w:rPr>
        <w:t xml:space="preserve"> Court of Criminal Appeal ha</w:t>
      </w:r>
      <w:r w:rsidR="004C2832" w:rsidRPr="00273D10">
        <w:rPr>
          <w:rFonts w:ascii="Times New Roman" w:hAnsi="Times New Roman"/>
        </w:rPr>
        <w:t>d no</w:t>
      </w:r>
      <w:r w:rsidR="00CA7D6A" w:rsidRPr="00273D10">
        <w:rPr>
          <w:rFonts w:ascii="Times New Roman" w:hAnsi="Times New Roman"/>
        </w:rPr>
        <w:t xml:space="preserve"> reason to reach a different assessment of that risk</w:t>
      </w:r>
      <w:r w:rsidR="004C2832" w:rsidRPr="00273D10">
        <w:rPr>
          <w:rFonts w:ascii="Times New Roman" w:hAnsi="Times New Roman"/>
        </w:rPr>
        <w:t>, and neither does this Court</w:t>
      </w:r>
      <w:r w:rsidR="00CA7D6A" w:rsidRPr="00273D10">
        <w:rPr>
          <w:rFonts w:ascii="Times New Roman" w:hAnsi="Times New Roman"/>
        </w:rPr>
        <w:t>. While it is true that the rejection of the defence case of concoction would not mean</w:t>
      </w:r>
      <w:r w:rsidR="00DE4002" w:rsidRPr="00273D10">
        <w:rPr>
          <w:rFonts w:ascii="Times New Roman" w:hAnsi="Times New Roman"/>
        </w:rPr>
        <w:t>, ipso facto,</w:t>
      </w:r>
      <w:r w:rsidR="00CA7D6A" w:rsidRPr="00273D10">
        <w:rPr>
          <w:rFonts w:ascii="Times New Roman" w:hAnsi="Times New Roman"/>
        </w:rPr>
        <w:t xml:space="preserve"> that the appellant was guilty on all ten counts, </w:t>
      </w:r>
      <w:r w:rsidR="00A65C36" w:rsidRPr="00273D10">
        <w:rPr>
          <w:rFonts w:ascii="Times New Roman" w:hAnsi="Times New Roman"/>
        </w:rPr>
        <w:t xml:space="preserve">the </w:t>
      </w:r>
      <w:r w:rsidR="00EA50CC" w:rsidRPr="00273D10">
        <w:rPr>
          <w:rFonts w:ascii="Times New Roman" w:hAnsi="Times New Roman"/>
        </w:rPr>
        <w:t xml:space="preserve">straightforward path of reasoning by which </w:t>
      </w:r>
      <w:r w:rsidR="00CA7D6A" w:rsidRPr="00273D10">
        <w:rPr>
          <w:rFonts w:ascii="Times New Roman" w:hAnsi="Times New Roman"/>
        </w:rPr>
        <w:t xml:space="preserve">the jury would accept the evidence of each complainant </w:t>
      </w:r>
      <w:r w:rsidR="008A1914" w:rsidRPr="00273D10">
        <w:rPr>
          <w:rFonts w:ascii="Times New Roman" w:hAnsi="Times New Roman"/>
        </w:rPr>
        <w:t>(</w:t>
      </w:r>
      <w:r w:rsidR="00CA7D6A" w:rsidRPr="00273D10">
        <w:rPr>
          <w:rFonts w:ascii="Times New Roman" w:hAnsi="Times New Roman"/>
        </w:rPr>
        <w:t>and their mother</w:t>
      </w:r>
      <w:r w:rsidR="008A1914" w:rsidRPr="00273D10">
        <w:rPr>
          <w:rFonts w:ascii="Times New Roman" w:hAnsi="Times New Roman"/>
        </w:rPr>
        <w:t>)</w:t>
      </w:r>
      <w:r w:rsidR="00CA7D6A" w:rsidRPr="00273D10">
        <w:rPr>
          <w:rFonts w:ascii="Times New Roman" w:hAnsi="Times New Roman"/>
        </w:rPr>
        <w:t xml:space="preserve"> as </w:t>
      </w:r>
      <w:r w:rsidR="00C8030A" w:rsidRPr="00273D10">
        <w:rPr>
          <w:rFonts w:ascii="Times New Roman" w:hAnsi="Times New Roman"/>
        </w:rPr>
        <w:t xml:space="preserve">honest and reliable </w:t>
      </w:r>
      <w:r w:rsidR="00FC6E20" w:rsidRPr="00273D10">
        <w:rPr>
          <w:rFonts w:ascii="Times New Roman" w:hAnsi="Times New Roman"/>
        </w:rPr>
        <w:t xml:space="preserve">beyond reasonable doubt </w:t>
      </w:r>
      <w:r w:rsidR="00CA7D6A" w:rsidRPr="00273D10">
        <w:rPr>
          <w:rFonts w:ascii="Times New Roman" w:hAnsi="Times New Roman"/>
        </w:rPr>
        <w:t xml:space="preserve">was such as to render recourse to </w:t>
      </w:r>
      <w:r w:rsidR="00CC0557" w:rsidRPr="00273D10">
        <w:rPr>
          <w:rFonts w:ascii="Times New Roman" w:hAnsi="Times New Roman"/>
        </w:rPr>
        <w:t xml:space="preserve">the circuitous path of </w:t>
      </w:r>
      <w:r w:rsidR="00CA7D6A" w:rsidRPr="00273D10">
        <w:rPr>
          <w:rFonts w:ascii="Times New Roman" w:hAnsi="Times New Roman"/>
        </w:rPr>
        <w:t xml:space="preserve">tendency reasoning </w:t>
      </w:r>
      <w:r w:rsidR="0008165E" w:rsidRPr="00273D10">
        <w:rPr>
          <w:rFonts w:ascii="Times New Roman" w:hAnsi="Times New Roman"/>
        </w:rPr>
        <w:t xml:space="preserve">a </w:t>
      </w:r>
      <w:r w:rsidR="00CA7D6A" w:rsidRPr="00273D10">
        <w:rPr>
          <w:rFonts w:ascii="Times New Roman" w:hAnsi="Times New Roman"/>
        </w:rPr>
        <w:t xml:space="preserve">theoretical </w:t>
      </w:r>
      <w:r w:rsidR="002B1661" w:rsidRPr="00273D10">
        <w:rPr>
          <w:rFonts w:ascii="Times New Roman" w:hAnsi="Times New Roman"/>
        </w:rPr>
        <w:t xml:space="preserve">risk </w:t>
      </w:r>
      <w:r w:rsidR="00D161E3" w:rsidRPr="00273D10">
        <w:rPr>
          <w:rFonts w:ascii="Times New Roman" w:hAnsi="Times New Roman"/>
        </w:rPr>
        <w:t>only.</w:t>
      </w:r>
    </w:p>
    <w:p w14:paraId="0FF6B330" w14:textId="1892D882" w:rsidR="00444E73" w:rsidRPr="00273D10" w:rsidRDefault="00444E73" w:rsidP="00273D10">
      <w:pPr>
        <w:pStyle w:val="HeadingL1"/>
        <w:spacing w:after="260" w:line="280" w:lineRule="exact"/>
        <w:ind w:right="0"/>
        <w:jc w:val="both"/>
        <w:rPr>
          <w:rFonts w:ascii="Times New Roman" w:hAnsi="Times New Roman"/>
        </w:rPr>
      </w:pPr>
      <w:r w:rsidRPr="00273D10">
        <w:rPr>
          <w:rFonts w:ascii="Times New Roman" w:hAnsi="Times New Roman"/>
        </w:rPr>
        <w:lastRenderedPageBreak/>
        <w:t>Conclusion</w:t>
      </w:r>
      <w:r w:rsidR="002E251B" w:rsidRPr="00273D10">
        <w:rPr>
          <w:rFonts w:ascii="Times New Roman" w:hAnsi="Times New Roman"/>
        </w:rPr>
        <w:t xml:space="preserve"> and order</w:t>
      </w:r>
    </w:p>
    <w:p w14:paraId="2002E216" w14:textId="4C221000" w:rsidR="005F5F62" w:rsidRPr="00273D10" w:rsidRDefault="00444E73"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2E251B" w:rsidRPr="00273D10">
        <w:rPr>
          <w:rFonts w:ascii="Times New Roman" w:hAnsi="Times New Roman"/>
        </w:rPr>
        <w:t xml:space="preserve">The </w:t>
      </w:r>
      <w:r w:rsidR="005F5F62" w:rsidRPr="00273D10">
        <w:rPr>
          <w:rFonts w:ascii="Times New Roman" w:hAnsi="Times New Roman"/>
        </w:rPr>
        <w:t xml:space="preserve">majority of the Court of Criminal Appeal </w:t>
      </w:r>
      <w:r w:rsidR="00076FB0" w:rsidRPr="00273D10">
        <w:rPr>
          <w:rFonts w:ascii="Times New Roman" w:hAnsi="Times New Roman"/>
        </w:rPr>
        <w:t xml:space="preserve">were right to refuse </w:t>
      </w:r>
      <w:r w:rsidR="005F5F62" w:rsidRPr="00273D10">
        <w:rPr>
          <w:rFonts w:ascii="Times New Roman" w:hAnsi="Times New Roman"/>
        </w:rPr>
        <w:t>the appellant leave to appeal on the ground argued in this Court.</w:t>
      </w:r>
    </w:p>
    <w:p w14:paraId="64495E74" w14:textId="77777777" w:rsidR="00C40BDF" w:rsidRDefault="008A1914" w:rsidP="00273D10">
      <w:pPr>
        <w:pStyle w:val="FixListStyle"/>
        <w:spacing w:after="260" w:line="280" w:lineRule="exact"/>
        <w:ind w:right="0"/>
        <w:jc w:val="both"/>
        <w:rPr>
          <w:rFonts w:ascii="Times New Roman" w:hAnsi="Times New Roman"/>
        </w:rPr>
      </w:pPr>
      <w:r w:rsidRPr="00273D10">
        <w:rPr>
          <w:rFonts w:ascii="Times New Roman" w:hAnsi="Times New Roman"/>
        </w:rPr>
        <w:tab/>
      </w:r>
      <w:r w:rsidR="006E23F9" w:rsidRPr="00273D10">
        <w:rPr>
          <w:rFonts w:ascii="Times New Roman" w:hAnsi="Times New Roman"/>
        </w:rPr>
        <w:t xml:space="preserve">The appeal </w:t>
      </w:r>
      <w:r w:rsidR="001B549D" w:rsidRPr="00273D10">
        <w:rPr>
          <w:rFonts w:ascii="Times New Roman" w:hAnsi="Times New Roman"/>
        </w:rPr>
        <w:t xml:space="preserve">should </w:t>
      </w:r>
      <w:r w:rsidR="006E23F9" w:rsidRPr="00273D10">
        <w:rPr>
          <w:rFonts w:ascii="Times New Roman" w:hAnsi="Times New Roman"/>
        </w:rPr>
        <w:t xml:space="preserve">be </w:t>
      </w:r>
      <w:r w:rsidR="001B549D" w:rsidRPr="00273D10">
        <w:rPr>
          <w:rFonts w:ascii="Times New Roman" w:hAnsi="Times New Roman"/>
        </w:rPr>
        <w:t>dis</w:t>
      </w:r>
      <w:r w:rsidR="006E23F9" w:rsidRPr="00273D10">
        <w:rPr>
          <w:rFonts w:ascii="Times New Roman" w:hAnsi="Times New Roman"/>
        </w:rPr>
        <w:t>missed.</w:t>
      </w:r>
    </w:p>
    <w:p w14:paraId="275A945D" w14:textId="77777777" w:rsidR="00C40BDF" w:rsidRDefault="00C40BDF" w:rsidP="00273D10">
      <w:pPr>
        <w:pStyle w:val="FixListStyle"/>
        <w:spacing w:after="260" w:line="280" w:lineRule="exact"/>
        <w:ind w:right="0"/>
        <w:jc w:val="both"/>
        <w:rPr>
          <w:rFonts w:ascii="Times New Roman" w:hAnsi="Times New Roman"/>
        </w:rPr>
        <w:sectPr w:rsidR="00C40BDF" w:rsidSect="00614472">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4B5A7FCB" w14:textId="77777777" w:rsidR="00C40BDF" w:rsidRPr="009856B8" w:rsidRDefault="00C40BDF" w:rsidP="00C40BDF">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9856B8">
        <w:rPr>
          <w:rFonts w:ascii="Times New Roman" w:hAnsi="Times New Roman"/>
        </w:rPr>
        <w:lastRenderedPageBreak/>
        <w:t>EDELMAN AND GLEESON JJ.   The relevant facts concerning the prosecution and defence cases and the course of the trial are set out in the judgment of Kiefel CJ,</w:t>
      </w:r>
      <w:r w:rsidRPr="009856B8" w:rsidDel="00722494">
        <w:rPr>
          <w:rFonts w:ascii="Times New Roman" w:hAnsi="Times New Roman"/>
        </w:rPr>
        <w:t xml:space="preserve"> </w:t>
      </w:r>
      <w:r w:rsidRPr="009856B8">
        <w:rPr>
          <w:rFonts w:ascii="Times New Roman" w:hAnsi="Times New Roman"/>
        </w:rPr>
        <w:t>Keane and Steward JJ. We also gratefully adopt their Honours' description of the reasoning of the New South Wales Court of Criminal Appeal.</w:t>
      </w:r>
    </w:p>
    <w:p w14:paraId="69E56297" w14:textId="77777777" w:rsidR="00C40BDF" w:rsidRPr="009856B8" w:rsidRDefault="00C40BDF" w:rsidP="00C40BDF">
      <w:pPr>
        <w:pStyle w:val="FixListStyle"/>
        <w:numPr>
          <w:ilvl w:val="0"/>
          <w:numId w:val="18"/>
        </w:numPr>
        <w:spacing w:after="260" w:line="280" w:lineRule="exact"/>
        <w:ind w:left="0" w:right="0" w:hanging="720"/>
        <w:jc w:val="both"/>
        <w:rPr>
          <w:rFonts w:ascii="Times New Roman" w:hAnsi="Times New Roman"/>
        </w:rPr>
      </w:pPr>
      <w:r w:rsidRPr="009856B8">
        <w:rPr>
          <w:rFonts w:ascii="Times New Roman" w:hAnsi="Times New Roman"/>
        </w:rPr>
        <w:tab/>
        <w:t>The issue is whether, by reason of the trial judge's failure to give the anti</w:t>
      </w:r>
      <w:r>
        <w:rPr>
          <w:rFonts w:ascii="Times New Roman" w:hAnsi="Times New Roman"/>
        </w:rPr>
        <w:noBreakHyphen/>
      </w:r>
      <w:r w:rsidRPr="009856B8">
        <w:rPr>
          <w:rFonts w:ascii="Times New Roman" w:hAnsi="Times New Roman"/>
        </w:rPr>
        <w:t xml:space="preserve">tendency direction, "on any other ground whatsoever there was a miscarriage of justice" within the meaning of s 6(1) of the </w:t>
      </w:r>
      <w:r w:rsidRPr="009856B8">
        <w:rPr>
          <w:rFonts w:ascii="Times New Roman" w:hAnsi="Times New Roman"/>
          <w:i/>
        </w:rPr>
        <w:t xml:space="preserve">Criminal Appeal Act 1912 </w:t>
      </w:r>
      <w:r w:rsidRPr="009856B8">
        <w:rPr>
          <w:rFonts w:ascii="Times New Roman" w:hAnsi="Times New Roman"/>
        </w:rPr>
        <w:t>(NSW). The appellant contends that he was deprived of his entitlement to a trial in which the relevant law was correctly explained to the jury, and that this was a miscarriage of justice</w:t>
      </w:r>
      <w:r w:rsidRPr="009856B8">
        <w:rPr>
          <w:rStyle w:val="FootnoteReference"/>
          <w:rFonts w:ascii="Times New Roman" w:hAnsi="Times New Roman"/>
          <w:sz w:val="24"/>
        </w:rPr>
        <w:footnoteReference w:id="42"/>
      </w:r>
      <w:r w:rsidRPr="009856B8">
        <w:rPr>
          <w:rFonts w:ascii="Times New Roman" w:hAnsi="Times New Roman"/>
        </w:rPr>
        <w:t xml:space="preserve">. The law relevantly included that </w:t>
      </w:r>
      <w:r w:rsidRPr="009856B8">
        <w:rPr>
          <w:rFonts w:ascii="Times New Roman" w:hAnsi="Times New Roman"/>
          <w:shd w:val="clear" w:color="auto" w:fill="FFFFFF"/>
        </w:rPr>
        <w:t>evidence admitted for one purpose is not admissible for another purpose, and cannot be used for another purpose</w:t>
      </w:r>
      <w:r w:rsidRPr="009856B8">
        <w:rPr>
          <w:rStyle w:val="FootnoteReference"/>
          <w:rFonts w:ascii="Times New Roman" w:hAnsi="Times New Roman"/>
          <w:sz w:val="24"/>
          <w:shd w:val="clear" w:color="auto" w:fill="FFFFFF"/>
        </w:rPr>
        <w:footnoteReference w:id="43"/>
      </w:r>
      <w:r w:rsidRPr="009856B8">
        <w:rPr>
          <w:rFonts w:ascii="Times New Roman" w:hAnsi="Times New Roman"/>
          <w:shd w:val="clear" w:color="auto" w:fill="FFFFFF"/>
        </w:rPr>
        <w:t xml:space="preserve">. In </w:t>
      </w:r>
      <w:r w:rsidRPr="009856B8">
        <w:rPr>
          <w:rFonts w:ascii="Times New Roman" w:hAnsi="Times New Roman"/>
          <w:i/>
          <w:shd w:val="clear" w:color="auto" w:fill="FFFFFF"/>
        </w:rPr>
        <w:t>Sutton v The Queen</w:t>
      </w:r>
      <w:r w:rsidRPr="009856B8">
        <w:rPr>
          <w:rStyle w:val="FootnoteReference"/>
          <w:rFonts w:ascii="Times New Roman" w:hAnsi="Times New Roman"/>
          <w:sz w:val="24"/>
          <w:shd w:val="clear" w:color="auto" w:fill="FFFFFF"/>
        </w:rPr>
        <w:footnoteReference w:id="44"/>
      </w:r>
      <w:r w:rsidRPr="009856B8">
        <w:rPr>
          <w:rFonts w:ascii="Times New Roman" w:hAnsi="Times New Roman"/>
          <w:shd w:val="clear" w:color="auto" w:fill="FFFFFF"/>
        </w:rPr>
        <w:t>,</w:t>
      </w:r>
      <w:r w:rsidRPr="009856B8">
        <w:rPr>
          <w:rFonts w:ascii="Times New Roman" w:hAnsi="Times New Roman"/>
          <w:i/>
          <w:shd w:val="clear" w:color="auto" w:fill="FFFFFF"/>
        </w:rPr>
        <w:t xml:space="preserve"> </w:t>
      </w:r>
      <w:r w:rsidRPr="009856B8">
        <w:rPr>
          <w:rFonts w:ascii="Times New Roman" w:hAnsi="Times New Roman"/>
          <w:shd w:val="clear" w:color="auto" w:fill="FFFFFF"/>
        </w:rPr>
        <w:t>Brennan J explained the rationale for this rule as follows:</w:t>
      </w:r>
    </w:p>
    <w:p w14:paraId="20041E83" w14:textId="77777777" w:rsidR="00C40BDF" w:rsidRDefault="00C40BDF" w:rsidP="009856B8">
      <w:pPr>
        <w:pStyle w:val="LeftrightafterHC"/>
        <w:spacing w:before="0" w:after="260" w:line="280" w:lineRule="exact"/>
        <w:ind w:right="0"/>
        <w:jc w:val="both"/>
        <w:rPr>
          <w:rFonts w:ascii="Times New Roman" w:hAnsi="Times New Roman"/>
        </w:rPr>
      </w:pPr>
      <w:r w:rsidRPr="009856B8">
        <w:rPr>
          <w:rFonts w:ascii="Times New Roman" w:hAnsi="Times New Roman"/>
        </w:rPr>
        <w:t>"[I]n a criminal trial evidence of the commission of offences other than the offence charged is prima facie inadmissible against an accused person. The chief reason for the prima facie inadmissibility of evidence of an offence other than the offence charged is this: it is thought that the antipathy which evidence of another offence is apt to engender may unjustly erode the presumption of innocence which protects an accused person at his trial; ie, the evidence of the other offence may be regarded by the jury as being more probative of guilt of the offence charged than it can fairly be thought to be."</w:t>
      </w:r>
    </w:p>
    <w:p w14:paraId="59135165" w14:textId="77777777" w:rsidR="00C40BDF" w:rsidRPr="009856B8" w:rsidRDefault="00C40BDF" w:rsidP="00C40BDF">
      <w:pPr>
        <w:pStyle w:val="FixListStyle"/>
        <w:numPr>
          <w:ilvl w:val="0"/>
          <w:numId w:val="18"/>
        </w:numPr>
        <w:spacing w:after="260" w:line="280" w:lineRule="exact"/>
        <w:ind w:left="0" w:right="0" w:hanging="720"/>
        <w:jc w:val="both"/>
        <w:rPr>
          <w:rFonts w:ascii="Times New Roman" w:hAnsi="Times New Roman"/>
        </w:rPr>
      </w:pPr>
      <w:r w:rsidRPr="009856B8">
        <w:rPr>
          <w:rFonts w:ascii="Times New Roman" w:hAnsi="Times New Roman"/>
          <w:shd w:val="clear" w:color="auto" w:fill="FFFFFF"/>
        </w:rPr>
        <w:tab/>
        <w:t xml:space="preserve">"[C]riminal courts take it as axiomatic that, where the evidence reveals the criminal convictions or propensity of the accused, there is a real risk that the jury will reason towards guilt </w:t>
      </w:r>
      <w:r w:rsidRPr="009856B8">
        <w:rPr>
          <w:rFonts w:ascii="Times New Roman" w:hAnsi="Times New Roman"/>
        </w:rPr>
        <w:t>by</w:t>
      </w:r>
      <w:r w:rsidRPr="009856B8">
        <w:rPr>
          <w:rFonts w:ascii="Times New Roman" w:hAnsi="Times New Roman"/>
          <w:shd w:val="clear" w:color="auto" w:fill="FFFFFF"/>
        </w:rPr>
        <w:t xml:space="preserve"> using the conviction or propensity."</w:t>
      </w:r>
      <w:r w:rsidRPr="009856B8">
        <w:rPr>
          <w:rStyle w:val="FootnoteReference"/>
          <w:rFonts w:ascii="Times New Roman" w:hAnsi="Times New Roman"/>
          <w:sz w:val="24"/>
          <w:shd w:val="clear" w:color="auto" w:fill="FFFFFF"/>
        </w:rPr>
        <w:footnoteReference w:id="45"/>
      </w:r>
      <w:r w:rsidRPr="009856B8">
        <w:rPr>
          <w:rFonts w:ascii="Times New Roman" w:hAnsi="Times New Roman"/>
          <w:shd w:val="clear" w:color="auto" w:fill="FFFFFF"/>
        </w:rPr>
        <w:t xml:space="preserve"> The risk arises because such evidence would ordinarily be regarded as relevant and because it is thought that juries are likely to attach importance (and, indeed, too much importance) to such evidence</w:t>
      </w:r>
      <w:r w:rsidRPr="009856B8">
        <w:rPr>
          <w:rStyle w:val="FootnoteReference"/>
          <w:rFonts w:ascii="Times New Roman" w:hAnsi="Times New Roman"/>
          <w:sz w:val="24"/>
          <w:shd w:val="clear" w:color="auto" w:fill="FFFFFF"/>
        </w:rPr>
        <w:footnoteReference w:id="46"/>
      </w:r>
      <w:r w:rsidRPr="009856B8">
        <w:rPr>
          <w:rFonts w:ascii="Times New Roman" w:hAnsi="Times New Roman"/>
          <w:shd w:val="clear" w:color="auto" w:fill="FFFFFF"/>
        </w:rPr>
        <w:t xml:space="preserve">. Thus, the concern to be addressed is the prospect </w:t>
      </w:r>
      <w:r w:rsidRPr="009856B8">
        <w:rPr>
          <w:rFonts w:ascii="Times New Roman" w:hAnsi="Times New Roman"/>
          <w:shd w:val="clear" w:color="auto" w:fill="FFFFFF"/>
        </w:rPr>
        <w:lastRenderedPageBreak/>
        <w:t>that a jury, applying ordinary reasoning, might engage in tendency reasoning unless discouraged</w:t>
      </w:r>
      <w:r w:rsidRPr="009856B8">
        <w:rPr>
          <w:rStyle w:val="FootnoteReference"/>
          <w:rFonts w:ascii="Times New Roman" w:hAnsi="Times New Roman"/>
          <w:sz w:val="24"/>
          <w:shd w:val="clear" w:color="auto" w:fill="FFFFFF"/>
        </w:rPr>
        <w:footnoteReference w:id="47"/>
      </w:r>
      <w:r w:rsidRPr="009856B8">
        <w:rPr>
          <w:rFonts w:ascii="Times New Roman" w:hAnsi="Times New Roman"/>
          <w:shd w:val="clear" w:color="auto" w:fill="FFFFFF"/>
        </w:rPr>
        <w:t>.</w:t>
      </w:r>
    </w:p>
    <w:p w14:paraId="5526664F" w14:textId="77777777" w:rsidR="00C40BDF" w:rsidRPr="009856B8" w:rsidRDefault="00C40BDF" w:rsidP="00C40BDF">
      <w:pPr>
        <w:pStyle w:val="FixListStyle"/>
        <w:numPr>
          <w:ilvl w:val="0"/>
          <w:numId w:val="18"/>
        </w:numPr>
        <w:spacing w:after="260" w:line="280" w:lineRule="exact"/>
        <w:ind w:left="0" w:right="0" w:hanging="720"/>
        <w:jc w:val="both"/>
        <w:rPr>
          <w:rFonts w:ascii="Times New Roman" w:hAnsi="Times New Roman"/>
        </w:rPr>
      </w:pPr>
      <w:r w:rsidRPr="009856B8">
        <w:rPr>
          <w:rFonts w:ascii="Times New Roman" w:hAnsi="Times New Roman"/>
          <w:shd w:val="clear" w:color="auto" w:fill="FFFFFF"/>
        </w:rPr>
        <w:tab/>
        <w:t xml:space="preserve">The law's acceptance that propensity reasoning will often be highly prejudicial is reflected in s 97 of the </w:t>
      </w:r>
      <w:r w:rsidRPr="009856B8">
        <w:rPr>
          <w:rFonts w:ascii="Times New Roman" w:hAnsi="Times New Roman"/>
          <w:i/>
          <w:shd w:val="clear" w:color="auto" w:fill="FFFFFF"/>
        </w:rPr>
        <w:t xml:space="preserve">Evidence Act 1995 </w:t>
      </w:r>
      <w:r w:rsidRPr="009856B8">
        <w:rPr>
          <w:rFonts w:ascii="Times New Roman" w:hAnsi="Times New Roman"/>
          <w:shd w:val="clear" w:color="auto" w:fill="FFFFFF"/>
        </w:rPr>
        <w:t xml:space="preserve">(NSW), which conditions the admissibility of evidence of "the character, reputation or conduct of a person, or a tendency that a person has or had" to prove that the person has or had a tendency to act in a particular way, on a requirement of "significant probative value". The difficulty of mitigating the risk was expressed graphically by </w:t>
      </w:r>
      <w:r w:rsidRPr="009856B8">
        <w:rPr>
          <w:rFonts w:ascii="Times New Roman" w:hAnsi="Times New Roman"/>
        </w:rPr>
        <w:t xml:space="preserve">Lord Cross of Chelsea, </w:t>
      </w:r>
      <w:r w:rsidRPr="009856B8">
        <w:rPr>
          <w:rFonts w:ascii="Times New Roman" w:hAnsi="Times New Roman"/>
          <w:shd w:val="clear" w:color="auto" w:fill="FFFFFF"/>
        </w:rPr>
        <w:t>who, i</w:t>
      </w:r>
      <w:r w:rsidRPr="009856B8">
        <w:rPr>
          <w:rFonts w:ascii="Times New Roman" w:hAnsi="Times New Roman"/>
        </w:rPr>
        <w:t xml:space="preserve">n </w:t>
      </w:r>
      <w:r w:rsidRPr="009856B8">
        <w:rPr>
          <w:rFonts w:ascii="Times New Roman" w:hAnsi="Times New Roman"/>
          <w:i/>
        </w:rPr>
        <w:t>Director of Public Prosecutions v Boardman</w:t>
      </w:r>
      <w:r w:rsidRPr="009856B8">
        <w:rPr>
          <w:rStyle w:val="FootnoteReference"/>
          <w:rFonts w:ascii="Times New Roman" w:hAnsi="Times New Roman"/>
          <w:sz w:val="24"/>
        </w:rPr>
        <w:footnoteReference w:id="48"/>
      </w:r>
      <w:r w:rsidRPr="009856B8">
        <w:rPr>
          <w:rFonts w:ascii="Times New Roman" w:hAnsi="Times New Roman"/>
        </w:rPr>
        <w:t>, observed that a trial involving multiple complainants would require the jury to "perform mental gymnastics" by directions to the effect that "in considering whether the accused is guilty of the offence alleged against him by A they must put out of mind the fact – which they know – that B and C are making similar allegations against him".</w:t>
      </w:r>
    </w:p>
    <w:p w14:paraId="3D2FBDA4" w14:textId="77777777" w:rsidR="00C40BDF" w:rsidRPr="009856B8" w:rsidRDefault="00C40BDF" w:rsidP="00C40BDF">
      <w:pPr>
        <w:pStyle w:val="FixListStyle"/>
        <w:numPr>
          <w:ilvl w:val="0"/>
          <w:numId w:val="18"/>
        </w:numPr>
        <w:spacing w:after="260" w:line="280" w:lineRule="exact"/>
        <w:ind w:left="0" w:right="0" w:hanging="720"/>
        <w:jc w:val="both"/>
        <w:rPr>
          <w:rFonts w:ascii="Times New Roman" w:hAnsi="Times New Roman"/>
        </w:rPr>
      </w:pPr>
      <w:r w:rsidRPr="009856B8">
        <w:rPr>
          <w:rFonts w:ascii="Times New Roman" w:hAnsi="Times New Roman"/>
          <w:shd w:val="clear" w:color="auto" w:fill="FFFFFF"/>
        </w:rPr>
        <w:tab/>
        <w:t>The risk of tendency reasoning was increased in this case because the trial did not merely involve multiple complainants</w:t>
      </w:r>
      <w:r w:rsidRPr="009856B8">
        <w:rPr>
          <w:rStyle w:val="FootnoteReference"/>
          <w:rFonts w:ascii="Times New Roman" w:hAnsi="Times New Roman"/>
          <w:sz w:val="24"/>
          <w:shd w:val="clear" w:color="auto" w:fill="FFFFFF"/>
        </w:rPr>
        <w:footnoteReference w:id="49"/>
      </w:r>
      <w:r w:rsidRPr="009856B8">
        <w:rPr>
          <w:rFonts w:ascii="Times New Roman" w:hAnsi="Times New Roman"/>
          <w:shd w:val="clear" w:color="auto" w:fill="FFFFFF"/>
        </w:rPr>
        <w:t>, but alleged conduct that may have suggested to a jury tendencies of paedophilic and incestuous attraction on the part of the appellant. In such circumstances, an anti-tendency warning has been said to be "particularly important"</w:t>
      </w:r>
      <w:r w:rsidRPr="009856B8">
        <w:rPr>
          <w:rStyle w:val="FootnoteReference"/>
          <w:rFonts w:ascii="Times New Roman" w:hAnsi="Times New Roman"/>
          <w:sz w:val="24"/>
          <w:shd w:val="clear" w:color="auto" w:fill="FFFFFF"/>
        </w:rPr>
        <w:footnoteReference w:id="50"/>
      </w:r>
      <w:r w:rsidRPr="009856B8">
        <w:rPr>
          <w:rFonts w:ascii="Times New Roman" w:hAnsi="Times New Roman"/>
          <w:shd w:val="clear" w:color="auto" w:fill="FFFFFF"/>
        </w:rPr>
        <w:t>.</w:t>
      </w:r>
    </w:p>
    <w:p w14:paraId="6B8B075B" w14:textId="77777777" w:rsidR="00C40BDF" w:rsidRPr="009856B8" w:rsidRDefault="00C40BDF" w:rsidP="00C40BDF">
      <w:pPr>
        <w:pStyle w:val="FixListStyle"/>
        <w:numPr>
          <w:ilvl w:val="0"/>
          <w:numId w:val="18"/>
        </w:numPr>
        <w:spacing w:after="260" w:line="280" w:lineRule="exact"/>
        <w:ind w:left="0" w:right="0" w:hanging="720"/>
        <w:jc w:val="both"/>
        <w:rPr>
          <w:rFonts w:ascii="Times New Roman" w:hAnsi="Times New Roman"/>
        </w:rPr>
      </w:pPr>
      <w:r w:rsidRPr="009856B8">
        <w:rPr>
          <w:rFonts w:ascii="Times New Roman" w:hAnsi="Times New Roman"/>
          <w:shd w:val="clear" w:color="auto" w:fill="FFFFFF"/>
        </w:rPr>
        <w:tab/>
        <w:t xml:space="preserve">Separate trials in relation to the allegations of each complainant would have avoided the real and well-recognised risk that the jury could reason towards guilt in respect of offences against one child by reference to evidence of offences against </w:t>
      </w:r>
      <w:r w:rsidRPr="009856B8">
        <w:rPr>
          <w:rFonts w:ascii="Times New Roman" w:hAnsi="Times New Roman"/>
          <w:shd w:val="clear" w:color="auto" w:fill="FFFFFF"/>
        </w:rPr>
        <w:lastRenderedPageBreak/>
        <w:t>another child</w:t>
      </w:r>
      <w:r w:rsidRPr="009856B8">
        <w:rPr>
          <w:rStyle w:val="FootnoteReference"/>
          <w:rFonts w:ascii="Times New Roman" w:hAnsi="Times New Roman"/>
          <w:sz w:val="24"/>
          <w:shd w:val="clear" w:color="auto" w:fill="FFFFFF"/>
        </w:rPr>
        <w:footnoteReference w:id="51"/>
      </w:r>
      <w:r w:rsidRPr="009856B8">
        <w:rPr>
          <w:rFonts w:ascii="Times New Roman" w:hAnsi="Times New Roman"/>
          <w:shd w:val="clear" w:color="auto" w:fill="FFFFFF"/>
        </w:rPr>
        <w:t xml:space="preserve">. </w:t>
      </w:r>
      <w:r w:rsidRPr="009856B8">
        <w:rPr>
          <w:rFonts w:ascii="Times New Roman" w:hAnsi="Times New Roman"/>
        </w:rPr>
        <w:t xml:space="preserve">However, </w:t>
      </w:r>
      <w:r w:rsidRPr="009856B8">
        <w:rPr>
          <w:rFonts w:ascii="Times New Roman" w:hAnsi="Times New Roman"/>
          <w:shd w:val="clear" w:color="auto" w:fill="FFFFFF"/>
        </w:rPr>
        <w:t xml:space="preserve">the appellant chose to have a single trial because an </w:t>
      </w:r>
      <w:r w:rsidRPr="009856B8">
        <w:rPr>
          <w:rFonts w:ascii="Times New Roman" w:hAnsi="Times New Roman"/>
        </w:rPr>
        <w:t xml:space="preserve">important aspect of his defence was that the allegations were concocted. The defence argued that the complainants had "put stories together", poisoned by their mother so that she could both maximise her position in proceedings in the Family Court of Australia against the appellant and inflict upon him as much pain as possible. In order to make good that case, the appellant wished to have a single trial of all the charges. </w:t>
      </w:r>
    </w:p>
    <w:p w14:paraId="4FA61289" w14:textId="77777777" w:rsidR="00C40BDF" w:rsidRPr="009856B8" w:rsidRDefault="00C40BDF" w:rsidP="00C40BDF">
      <w:pPr>
        <w:pStyle w:val="FixListStyle"/>
        <w:numPr>
          <w:ilvl w:val="0"/>
          <w:numId w:val="18"/>
        </w:numPr>
        <w:spacing w:after="260" w:line="280" w:lineRule="exact"/>
        <w:ind w:left="0" w:right="0" w:hanging="720"/>
        <w:jc w:val="both"/>
        <w:rPr>
          <w:rFonts w:ascii="Times New Roman" w:hAnsi="Times New Roman"/>
        </w:rPr>
      </w:pPr>
      <w:r w:rsidRPr="009856B8">
        <w:rPr>
          <w:rFonts w:ascii="Times New Roman" w:hAnsi="Times New Roman"/>
        </w:rPr>
        <w:tab/>
        <w:t>Having determined upon a single trial, the "most obvious danger [was] that a jury, unless adequately warned, and perhaps even if given the strongest warning, [would] find irresistible the temptation to use the evidence relevant to one set of charges as an aid to reaching a conclusion in relation to another set of charges"</w:t>
      </w:r>
      <w:r w:rsidRPr="009856B8">
        <w:rPr>
          <w:rStyle w:val="FootnoteReference"/>
          <w:rFonts w:ascii="Times New Roman" w:hAnsi="Times New Roman"/>
          <w:sz w:val="24"/>
        </w:rPr>
        <w:footnoteReference w:id="52"/>
      </w:r>
      <w:r w:rsidRPr="009856B8">
        <w:rPr>
          <w:rFonts w:ascii="Times New Roman" w:hAnsi="Times New Roman"/>
        </w:rPr>
        <w:t xml:space="preserve">. Thus, in </w:t>
      </w:r>
      <w:r w:rsidRPr="009856B8">
        <w:rPr>
          <w:rFonts w:ascii="Times New Roman" w:hAnsi="Times New Roman"/>
          <w:i/>
        </w:rPr>
        <w:t>KRM v The Queen</w:t>
      </w:r>
      <w:r w:rsidRPr="009856B8">
        <w:rPr>
          <w:rStyle w:val="FootnoteReference"/>
          <w:rFonts w:ascii="Times New Roman" w:hAnsi="Times New Roman"/>
          <w:sz w:val="24"/>
        </w:rPr>
        <w:footnoteReference w:id="53"/>
      </w:r>
      <w:r w:rsidRPr="009856B8">
        <w:rPr>
          <w:rFonts w:ascii="Times New Roman" w:hAnsi="Times New Roman"/>
        </w:rPr>
        <w:t>,</w:t>
      </w:r>
      <w:r w:rsidRPr="009856B8">
        <w:rPr>
          <w:rFonts w:ascii="Times New Roman" w:hAnsi="Times New Roman"/>
          <w:i/>
        </w:rPr>
        <w:t xml:space="preserve"> </w:t>
      </w:r>
      <w:r w:rsidRPr="009856B8">
        <w:rPr>
          <w:rFonts w:ascii="Times New Roman" w:hAnsi="Times New Roman"/>
        </w:rPr>
        <w:t xml:space="preserve">McHugh J expressed the opinion that, in the case of a single trial of alleged offences against different victims where the evidence in respect of one or more counts is inadmissible in respect of the other counts, "a propensity warning will almost certainly be required". In </w:t>
      </w:r>
      <w:r w:rsidRPr="009856B8">
        <w:rPr>
          <w:rFonts w:ascii="Times New Roman" w:hAnsi="Times New Roman"/>
          <w:i/>
        </w:rPr>
        <w:t>Roach v The Queen</w:t>
      </w:r>
      <w:r w:rsidRPr="009856B8">
        <w:rPr>
          <w:rStyle w:val="FootnoteReference"/>
          <w:rFonts w:ascii="Times New Roman" w:hAnsi="Times New Roman"/>
          <w:sz w:val="24"/>
        </w:rPr>
        <w:footnoteReference w:id="54"/>
      </w:r>
      <w:r w:rsidRPr="009856B8">
        <w:rPr>
          <w:rFonts w:ascii="Times New Roman" w:hAnsi="Times New Roman"/>
        </w:rPr>
        <w:t>,</w:t>
      </w:r>
      <w:r w:rsidRPr="009856B8">
        <w:rPr>
          <w:rFonts w:ascii="Times New Roman" w:hAnsi="Times New Roman"/>
          <w:i/>
        </w:rPr>
        <w:t xml:space="preserve"> </w:t>
      </w:r>
      <w:r w:rsidRPr="009856B8">
        <w:rPr>
          <w:rFonts w:ascii="Times New Roman" w:hAnsi="Times New Roman"/>
        </w:rPr>
        <w:t>the plurality stated:</w:t>
      </w:r>
    </w:p>
    <w:p w14:paraId="312201F0" w14:textId="77777777" w:rsidR="00C40BDF" w:rsidRDefault="00C40BDF" w:rsidP="009856B8">
      <w:pPr>
        <w:pStyle w:val="LRIndentafterHC"/>
        <w:spacing w:before="0" w:after="260" w:line="280" w:lineRule="exact"/>
        <w:ind w:right="0"/>
        <w:jc w:val="both"/>
        <w:rPr>
          <w:rFonts w:ascii="Times New Roman" w:hAnsi="Times New Roman"/>
        </w:rPr>
      </w:pPr>
      <w:r w:rsidRPr="009856B8">
        <w:rPr>
          <w:rFonts w:ascii="Times New Roman" w:hAnsi="Times New Roman"/>
        </w:rPr>
        <w:t>"The importance of directions in cases where evidence may show propensity should not be underestimated. It is necessary in such a case that a trial judge give a clear and comprehensible warning about the misuse of the evidence for that purpose and explain the purpose for which it is tendered. A trial judge should identify the inferences which may be open from it or the questions which may have occurred to the jury without the evidence. Those inferences and those questions should be identified by the prosecution at an early point in the trial."</w:t>
      </w:r>
    </w:p>
    <w:p w14:paraId="00B12ACF" w14:textId="77777777" w:rsidR="00C40BDF" w:rsidRPr="009856B8" w:rsidRDefault="00C40BDF" w:rsidP="00C40BDF">
      <w:pPr>
        <w:pStyle w:val="FixListStyle"/>
        <w:numPr>
          <w:ilvl w:val="0"/>
          <w:numId w:val="18"/>
        </w:numPr>
        <w:spacing w:after="260" w:line="280" w:lineRule="exact"/>
        <w:ind w:left="0" w:right="0" w:hanging="720"/>
        <w:jc w:val="both"/>
        <w:rPr>
          <w:rFonts w:ascii="Times New Roman" w:hAnsi="Times New Roman"/>
        </w:rPr>
      </w:pPr>
      <w:r w:rsidRPr="009856B8">
        <w:rPr>
          <w:rFonts w:ascii="Times New Roman" w:hAnsi="Times New Roman"/>
        </w:rPr>
        <w:tab/>
        <w:t xml:space="preserve">The obvious danger of impermissible tendency reasoning in the appellant's trial required mitigation unless there was no real risk that the jury might convict </w:t>
      </w:r>
      <w:r w:rsidRPr="009856B8">
        <w:rPr>
          <w:rFonts w:ascii="Times New Roman" w:hAnsi="Times New Roman"/>
        </w:rPr>
        <w:lastRenderedPageBreak/>
        <w:t>the appellant by a chain of impermissible reasoning</w:t>
      </w:r>
      <w:r w:rsidRPr="009856B8">
        <w:rPr>
          <w:rStyle w:val="FootnoteReference"/>
          <w:rFonts w:ascii="Times New Roman" w:hAnsi="Times New Roman"/>
          <w:sz w:val="24"/>
        </w:rPr>
        <w:footnoteReference w:id="55"/>
      </w:r>
      <w:r w:rsidRPr="009856B8">
        <w:rPr>
          <w:rFonts w:ascii="Times New Roman" w:hAnsi="Times New Roman"/>
        </w:rPr>
        <w:t xml:space="preserve">. There was a miscarriage of justice in this case if, </w:t>
      </w:r>
      <w:r w:rsidRPr="009856B8">
        <w:rPr>
          <w:rFonts w:ascii="Times New Roman" w:hAnsi="Times New Roman"/>
          <w:shd w:val="clear" w:color="auto" w:fill="FFFFFF"/>
        </w:rPr>
        <w:t>in the absence of the anti-tendency direction</w:t>
      </w:r>
      <w:r w:rsidRPr="009856B8">
        <w:rPr>
          <w:rFonts w:ascii="Times New Roman" w:hAnsi="Times New Roman"/>
        </w:rPr>
        <w:t xml:space="preserve">, there is a real and not fanciful risk that </w:t>
      </w:r>
      <w:r w:rsidRPr="009856B8">
        <w:rPr>
          <w:rFonts w:ascii="Times New Roman" w:hAnsi="Times New Roman"/>
          <w:shd w:val="clear" w:color="auto" w:fill="FFFFFF"/>
        </w:rPr>
        <w:t>the jury might have used propensity reasoning to find the appellant guilty</w:t>
      </w:r>
      <w:r w:rsidRPr="009856B8">
        <w:rPr>
          <w:rStyle w:val="FootnoteReference"/>
          <w:rFonts w:ascii="Times New Roman" w:hAnsi="Times New Roman"/>
          <w:sz w:val="24"/>
          <w:shd w:val="clear" w:color="auto" w:fill="FFFFFF"/>
        </w:rPr>
        <w:footnoteReference w:id="56"/>
      </w:r>
      <w:r w:rsidRPr="009856B8">
        <w:rPr>
          <w:rFonts w:ascii="Times New Roman" w:hAnsi="Times New Roman"/>
          <w:shd w:val="clear" w:color="auto" w:fill="FFFFFF"/>
        </w:rPr>
        <w:t>.</w:t>
      </w:r>
    </w:p>
    <w:p w14:paraId="27C3F9C7" w14:textId="77777777" w:rsidR="00C40BDF" w:rsidRPr="009856B8" w:rsidRDefault="00C40BDF" w:rsidP="009856B8">
      <w:pPr>
        <w:pStyle w:val="HeadingL1"/>
        <w:spacing w:after="260" w:line="280" w:lineRule="exact"/>
        <w:ind w:right="0"/>
        <w:jc w:val="both"/>
        <w:rPr>
          <w:rFonts w:ascii="Times New Roman" w:hAnsi="Times New Roman"/>
        </w:rPr>
      </w:pPr>
      <w:r w:rsidRPr="009856B8">
        <w:rPr>
          <w:rFonts w:ascii="Times New Roman" w:hAnsi="Times New Roman"/>
        </w:rPr>
        <w:t>Assessment of risk of impermissible tendency reasoning</w:t>
      </w:r>
    </w:p>
    <w:p w14:paraId="24521213" w14:textId="77777777" w:rsidR="00C40BDF" w:rsidRPr="009856B8" w:rsidRDefault="00C40BDF" w:rsidP="00C40BDF">
      <w:pPr>
        <w:pStyle w:val="FixListStyle"/>
        <w:numPr>
          <w:ilvl w:val="0"/>
          <w:numId w:val="18"/>
        </w:numPr>
        <w:spacing w:after="260" w:line="280" w:lineRule="exact"/>
        <w:ind w:left="0" w:right="0" w:hanging="720"/>
        <w:jc w:val="both"/>
        <w:rPr>
          <w:rFonts w:ascii="Times New Roman" w:hAnsi="Times New Roman"/>
        </w:rPr>
      </w:pPr>
      <w:r w:rsidRPr="009856B8">
        <w:rPr>
          <w:rFonts w:ascii="Times New Roman" w:hAnsi="Times New Roman"/>
        </w:rPr>
        <w:tab/>
        <w:t>It was common ground that there was a risk of impermissible tendency reasoning in this case. The respondent accepted that the risk was of a sufficient magnitude to have compelled separate trials if they had been sought by the appellant.</w:t>
      </w:r>
    </w:p>
    <w:p w14:paraId="7B8C2C84" w14:textId="77777777" w:rsidR="00C40BDF" w:rsidRPr="009856B8" w:rsidRDefault="00C40BDF" w:rsidP="00C40BDF">
      <w:pPr>
        <w:pStyle w:val="FixListStyle"/>
        <w:numPr>
          <w:ilvl w:val="0"/>
          <w:numId w:val="18"/>
        </w:numPr>
        <w:spacing w:after="260" w:line="280" w:lineRule="exact"/>
        <w:ind w:left="0" w:right="0" w:hanging="720"/>
        <w:jc w:val="both"/>
        <w:rPr>
          <w:rFonts w:ascii="Times New Roman" w:hAnsi="Times New Roman"/>
        </w:rPr>
      </w:pPr>
      <w:r w:rsidRPr="009856B8">
        <w:rPr>
          <w:rFonts w:ascii="Times New Roman" w:hAnsi="Times New Roman"/>
        </w:rPr>
        <w:tab/>
        <w:t xml:space="preserve">The starting point is the "axiomatic" proposition </w:t>
      </w:r>
      <w:r w:rsidRPr="009856B8">
        <w:rPr>
          <w:rFonts w:ascii="Times New Roman" w:hAnsi="Times New Roman"/>
          <w:shd w:val="clear" w:color="auto" w:fill="FFFFFF"/>
        </w:rPr>
        <w:t xml:space="preserve">that where the evidence may have revealed to the jury a propensity to offend, there was a real risk that the jury would reason towards guilt by using the identified propensity. The risk necessarily arose in this case because there was a joint trial of charges involving multiple complainants. The risk was exacerbated by reason of the nature of the </w:t>
      </w:r>
      <w:r w:rsidRPr="009856B8">
        <w:rPr>
          <w:rFonts w:ascii="Times New Roman" w:hAnsi="Times New Roman"/>
        </w:rPr>
        <w:t xml:space="preserve">particular charges, involving, as they did, sexual offences against three of the appellant's five children. The risk was further exacerbated because of the particular nature of the alleged offences involving the third and fifth children, demonstrated by the trial judge's finding as to the significant probative value of the evidence of those children for the purposes of s 97 of the </w:t>
      </w:r>
      <w:r w:rsidRPr="009856B8">
        <w:rPr>
          <w:rFonts w:ascii="Times New Roman" w:hAnsi="Times New Roman"/>
          <w:i/>
        </w:rPr>
        <w:t>Evidence Act</w:t>
      </w:r>
      <w:r w:rsidRPr="009856B8">
        <w:rPr>
          <w:rFonts w:ascii="Times New Roman" w:hAnsi="Times New Roman"/>
        </w:rPr>
        <w:t>.</w:t>
      </w:r>
    </w:p>
    <w:p w14:paraId="4B94C2B2" w14:textId="77777777" w:rsidR="00C40BDF" w:rsidRPr="009856B8" w:rsidRDefault="00C40BDF" w:rsidP="00C40BDF">
      <w:pPr>
        <w:pStyle w:val="FixListStyle"/>
        <w:numPr>
          <w:ilvl w:val="0"/>
          <w:numId w:val="18"/>
        </w:numPr>
        <w:spacing w:after="260" w:line="280" w:lineRule="exact"/>
        <w:ind w:left="0" w:right="0" w:hanging="720"/>
        <w:jc w:val="both"/>
        <w:rPr>
          <w:rFonts w:ascii="Times New Roman" w:hAnsi="Times New Roman"/>
        </w:rPr>
      </w:pPr>
      <w:r w:rsidRPr="009856B8">
        <w:rPr>
          <w:rFonts w:ascii="Times New Roman" w:hAnsi="Times New Roman"/>
        </w:rPr>
        <w:tab/>
        <w:t xml:space="preserve">Although the prosecution did not suggest tendency reasoning to the jury from the outset (its tendency evidence application being undecided), nor did it proceed in the manner advocated by </w:t>
      </w:r>
      <w:r w:rsidRPr="009856B8">
        <w:rPr>
          <w:rFonts w:ascii="Times New Roman" w:hAnsi="Times New Roman"/>
          <w:i/>
        </w:rPr>
        <w:t>Roach v The Queen</w:t>
      </w:r>
      <w:r w:rsidRPr="009856B8">
        <w:rPr>
          <w:rStyle w:val="FootnoteReference"/>
          <w:rFonts w:ascii="Times New Roman" w:hAnsi="Times New Roman"/>
          <w:sz w:val="24"/>
        </w:rPr>
        <w:footnoteReference w:id="57"/>
      </w:r>
      <w:r w:rsidRPr="009856B8">
        <w:rPr>
          <w:rFonts w:ascii="Times New Roman" w:hAnsi="Times New Roman"/>
        </w:rPr>
        <w:t>,</w:t>
      </w:r>
      <w:r w:rsidRPr="009856B8">
        <w:rPr>
          <w:rFonts w:ascii="Times New Roman" w:hAnsi="Times New Roman"/>
          <w:i/>
        </w:rPr>
        <w:t xml:space="preserve"> </w:t>
      </w:r>
      <w:r w:rsidRPr="009856B8">
        <w:rPr>
          <w:rFonts w:ascii="Times New Roman" w:hAnsi="Times New Roman"/>
        </w:rPr>
        <w:t xml:space="preserve">namely by identifying the inferences which may be open from evidence of multiple offences against multiple complainants at an early point in the trial and dispelling those inferences. Consistent with the determination of the tendency application after the complainants' evidence had been adduced, no directions were given by the trial judge limiting the use of the evidence of any single complainant prior to, or </w:t>
      </w:r>
      <w:r w:rsidRPr="009856B8">
        <w:rPr>
          <w:rFonts w:ascii="Times New Roman" w:hAnsi="Times New Roman"/>
        </w:rPr>
        <w:lastRenderedPageBreak/>
        <w:t>immediately following, that evidence being given</w:t>
      </w:r>
      <w:r w:rsidRPr="009856B8">
        <w:rPr>
          <w:rStyle w:val="FootnoteReference"/>
          <w:rFonts w:ascii="Times New Roman" w:hAnsi="Times New Roman"/>
          <w:sz w:val="24"/>
        </w:rPr>
        <w:footnoteReference w:id="58"/>
      </w:r>
      <w:r w:rsidRPr="009856B8">
        <w:rPr>
          <w:rFonts w:ascii="Times New Roman" w:hAnsi="Times New Roman"/>
        </w:rPr>
        <w:t>. This aspect of the course of the trial left the jury open to the significant temptation, as the trial proceeded, of using the evidence of the charges concerning each complainant in its evaluation of the evidence of each of the other complainants.</w:t>
      </w:r>
    </w:p>
    <w:p w14:paraId="24FDF6C4" w14:textId="77777777" w:rsidR="00C40BDF" w:rsidRPr="009856B8" w:rsidRDefault="00C40BDF" w:rsidP="00C40BDF">
      <w:pPr>
        <w:pStyle w:val="FixListStyle"/>
        <w:numPr>
          <w:ilvl w:val="0"/>
          <w:numId w:val="18"/>
        </w:numPr>
        <w:spacing w:after="260" w:line="280" w:lineRule="exact"/>
        <w:ind w:left="0" w:right="0" w:hanging="720"/>
        <w:jc w:val="both"/>
        <w:rPr>
          <w:rFonts w:ascii="Times New Roman" w:hAnsi="Times New Roman"/>
        </w:rPr>
      </w:pPr>
      <w:r w:rsidRPr="009856B8">
        <w:rPr>
          <w:rFonts w:ascii="Times New Roman" w:hAnsi="Times New Roman"/>
        </w:rPr>
        <w:tab/>
        <w:t>The matters identified above point to a high risk of tendency reasoning by the jury, unless otherwise instructed.</w:t>
      </w:r>
    </w:p>
    <w:p w14:paraId="3DF07759" w14:textId="77777777" w:rsidR="00C40BDF" w:rsidRPr="009856B8" w:rsidRDefault="00C40BDF" w:rsidP="00C40BDF">
      <w:pPr>
        <w:pStyle w:val="FixListStyle"/>
        <w:numPr>
          <w:ilvl w:val="0"/>
          <w:numId w:val="18"/>
        </w:numPr>
        <w:spacing w:after="260" w:line="280" w:lineRule="exact"/>
        <w:ind w:left="0" w:right="0" w:hanging="720"/>
        <w:jc w:val="both"/>
        <w:rPr>
          <w:rFonts w:ascii="Times New Roman" w:hAnsi="Times New Roman"/>
        </w:rPr>
      </w:pPr>
      <w:r w:rsidRPr="009856B8">
        <w:rPr>
          <w:rFonts w:ascii="Times New Roman" w:hAnsi="Times New Roman"/>
        </w:rPr>
        <w:tab/>
        <w:t>Although the risk might have been effectively addressed by directions of the general kind given by the trial judge to the jury, the directions in this trial did not achieve that result</w:t>
      </w:r>
      <w:r w:rsidRPr="009856B8">
        <w:rPr>
          <w:rStyle w:val="FootnoteReference"/>
          <w:rFonts w:ascii="Times New Roman" w:hAnsi="Times New Roman"/>
          <w:sz w:val="24"/>
        </w:rPr>
        <w:footnoteReference w:id="59"/>
      </w:r>
      <w:r w:rsidRPr="009856B8">
        <w:rPr>
          <w:rFonts w:ascii="Times New Roman" w:hAnsi="Times New Roman"/>
        </w:rPr>
        <w:t>. In particular, the separate consideration direction given by the trial judge</w:t>
      </w:r>
      <w:r w:rsidRPr="009856B8">
        <w:rPr>
          <w:rStyle w:val="FootnoteReference"/>
          <w:rFonts w:ascii="Times New Roman" w:hAnsi="Times New Roman"/>
          <w:sz w:val="24"/>
        </w:rPr>
        <w:footnoteReference w:id="60"/>
      </w:r>
      <w:r w:rsidRPr="009856B8">
        <w:rPr>
          <w:rFonts w:ascii="Times New Roman" w:hAnsi="Times New Roman"/>
        </w:rPr>
        <w:t xml:space="preserve"> did not follow the common language of such a direction, as stated by McHugh J in </w:t>
      </w:r>
      <w:r w:rsidRPr="009856B8">
        <w:rPr>
          <w:rFonts w:ascii="Times New Roman" w:hAnsi="Times New Roman"/>
          <w:i/>
        </w:rPr>
        <w:t>KRM v The Queen</w:t>
      </w:r>
      <w:r w:rsidRPr="009856B8">
        <w:rPr>
          <w:rStyle w:val="FootnoteReference"/>
          <w:rFonts w:ascii="Times New Roman" w:hAnsi="Times New Roman"/>
          <w:sz w:val="24"/>
        </w:rPr>
        <w:footnoteReference w:id="61"/>
      </w:r>
      <w:r w:rsidRPr="009856B8">
        <w:rPr>
          <w:rFonts w:ascii="Times New Roman" w:hAnsi="Times New Roman"/>
        </w:rPr>
        <w:t>, in that it omitted words to the effect that the jury must consider each count only by reference to the evidence that applies to the count. The respondent submitted that the separate consideration direction was adapted to take into account the defence case of concoction. Even if this be true, the direction given to the jury in this case failed to convey what evidence was relevant to each count and what evidence was not to be used in the course of giving separate consideration to each count. The direction did not effectively address the risk that the jury would reason towards guilt in relation to the counts concerning one complainant by reference to the evidence of the other complainants.</w:t>
      </w:r>
    </w:p>
    <w:p w14:paraId="4D1F695F" w14:textId="77777777" w:rsidR="00C40BDF" w:rsidRPr="009856B8" w:rsidRDefault="00C40BDF" w:rsidP="00C40BDF">
      <w:pPr>
        <w:pStyle w:val="FixListStyle"/>
        <w:numPr>
          <w:ilvl w:val="0"/>
          <w:numId w:val="18"/>
        </w:numPr>
        <w:spacing w:after="260" w:line="280" w:lineRule="exact"/>
        <w:ind w:left="0" w:right="0" w:hanging="720"/>
        <w:jc w:val="both"/>
        <w:rPr>
          <w:rFonts w:ascii="Times New Roman" w:hAnsi="Times New Roman"/>
        </w:rPr>
      </w:pPr>
      <w:r w:rsidRPr="009856B8">
        <w:rPr>
          <w:rFonts w:ascii="Times New Roman" w:hAnsi="Times New Roman"/>
        </w:rPr>
        <w:tab/>
        <w:t xml:space="preserve">The trial judge gave a </w:t>
      </w:r>
      <w:r w:rsidRPr="009856B8">
        <w:rPr>
          <w:rFonts w:ascii="Times New Roman" w:hAnsi="Times New Roman"/>
          <w:i/>
        </w:rPr>
        <w:t>Murray</w:t>
      </w:r>
      <w:r w:rsidRPr="009856B8">
        <w:rPr>
          <w:rFonts w:ascii="Times New Roman" w:hAnsi="Times New Roman"/>
        </w:rPr>
        <w:t xml:space="preserve"> direction</w:t>
      </w:r>
      <w:r w:rsidRPr="009856B8">
        <w:rPr>
          <w:rStyle w:val="FootnoteReference"/>
          <w:rFonts w:ascii="Times New Roman" w:hAnsi="Times New Roman"/>
          <w:sz w:val="24"/>
        </w:rPr>
        <w:footnoteReference w:id="62"/>
      </w:r>
      <w:r w:rsidRPr="009856B8">
        <w:rPr>
          <w:rFonts w:ascii="Times New Roman" w:hAnsi="Times New Roman"/>
        </w:rPr>
        <w:t>, that is, a direction based on the following statement in</w:t>
      </w:r>
      <w:r w:rsidRPr="009856B8">
        <w:rPr>
          <w:rFonts w:ascii="Times New Roman" w:hAnsi="Times New Roman"/>
          <w:i/>
          <w:iCs/>
          <w:color w:val="333333"/>
          <w:sz w:val="29"/>
          <w:szCs w:val="29"/>
          <w:shd w:val="clear" w:color="auto" w:fill="FFFFFF"/>
        </w:rPr>
        <w:t xml:space="preserve"> </w:t>
      </w:r>
      <w:r w:rsidRPr="009856B8">
        <w:rPr>
          <w:rFonts w:ascii="Times New Roman" w:hAnsi="Times New Roman"/>
          <w:i/>
        </w:rPr>
        <w:t>R v Murray</w:t>
      </w:r>
      <w:r w:rsidRPr="009856B8">
        <w:rPr>
          <w:rStyle w:val="FootnoteReference"/>
          <w:rFonts w:ascii="Times New Roman" w:hAnsi="Times New Roman"/>
          <w:sz w:val="24"/>
        </w:rPr>
        <w:footnoteReference w:id="63"/>
      </w:r>
      <w:r w:rsidRPr="009856B8">
        <w:rPr>
          <w:rFonts w:ascii="Times New Roman" w:hAnsi="Times New Roman"/>
        </w:rPr>
        <w:t xml:space="preserve">, approved in </w:t>
      </w:r>
      <w:r w:rsidRPr="009856B8">
        <w:rPr>
          <w:rFonts w:ascii="Times New Roman" w:hAnsi="Times New Roman"/>
          <w:i/>
        </w:rPr>
        <w:t>Robinson v The Queen</w:t>
      </w:r>
      <w:r w:rsidRPr="009856B8">
        <w:rPr>
          <w:rStyle w:val="FootnoteReference"/>
          <w:rFonts w:ascii="Times New Roman" w:hAnsi="Times New Roman"/>
          <w:sz w:val="24"/>
        </w:rPr>
        <w:footnoteReference w:id="64"/>
      </w:r>
      <w:r w:rsidRPr="009856B8">
        <w:rPr>
          <w:rFonts w:ascii="Times New Roman" w:hAnsi="Times New Roman"/>
        </w:rPr>
        <w:t>:</w:t>
      </w:r>
    </w:p>
    <w:p w14:paraId="491A4BC3" w14:textId="77777777" w:rsidR="00C40BDF" w:rsidRDefault="00C40BDF" w:rsidP="009856B8">
      <w:pPr>
        <w:pStyle w:val="LeftrightafterHC"/>
        <w:spacing w:before="0" w:after="260" w:line="280" w:lineRule="exact"/>
        <w:ind w:right="0"/>
        <w:jc w:val="both"/>
        <w:rPr>
          <w:rFonts w:ascii="Times New Roman" w:hAnsi="Times New Roman"/>
        </w:rPr>
      </w:pPr>
      <w:r w:rsidRPr="009856B8">
        <w:rPr>
          <w:rFonts w:ascii="Times New Roman" w:hAnsi="Times New Roman"/>
        </w:rPr>
        <w:t xml:space="preserve">"In all cases of serious crime it is customary for judges to stress that where there is only one witness asserting the commission of the crime, the evidence of that witness must be scrutinised with great care before a </w:t>
      </w:r>
      <w:r w:rsidRPr="009856B8">
        <w:rPr>
          <w:rFonts w:ascii="Times New Roman" w:hAnsi="Times New Roman"/>
        </w:rPr>
        <w:lastRenderedPageBreak/>
        <w:t>conclusion is arrived at that a verdict of guilty should be brought in; but a direction of that kind does not of itself imply that the witness' evidence is unreliable."</w:t>
      </w:r>
    </w:p>
    <w:p w14:paraId="10D9410C" w14:textId="77777777" w:rsidR="00C40BDF" w:rsidRPr="009856B8" w:rsidRDefault="00C40BDF" w:rsidP="00C40BDF">
      <w:pPr>
        <w:pStyle w:val="FixListStyle"/>
        <w:numPr>
          <w:ilvl w:val="0"/>
          <w:numId w:val="18"/>
        </w:numPr>
        <w:spacing w:after="260" w:line="280" w:lineRule="exact"/>
        <w:ind w:left="0" w:right="0" w:hanging="720"/>
        <w:jc w:val="both"/>
        <w:rPr>
          <w:rFonts w:ascii="Times New Roman" w:hAnsi="Times New Roman"/>
        </w:rPr>
      </w:pPr>
      <w:r w:rsidRPr="009856B8">
        <w:rPr>
          <w:rFonts w:ascii="Times New Roman" w:hAnsi="Times New Roman"/>
        </w:rPr>
        <w:tab/>
        <w:t xml:space="preserve">The </w:t>
      </w:r>
      <w:r w:rsidRPr="009856B8">
        <w:rPr>
          <w:rFonts w:ascii="Times New Roman" w:hAnsi="Times New Roman"/>
          <w:i/>
        </w:rPr>
        <w:t xml:space="preserve">Murray </w:t>
      </w:r>
      <w:r w:rsidRPr="009856B8">
        <w:rPr>
          <w:rFonts w:ascii="Times New Roman" w:hAnsi="Times New Roman"/>
        </w:rPr>
        <w:t xml:space="preserve">direction required the jury to accept the honesty and accuracy of each complainant and to scrutinise their evidence carefully before convicting the appellant of an offence against that complainant. However, the direction did not address, explicitly or implicitly, the risk of tendency reasoning from the evidence of one complainant to the guilt of the appellant of an offence against another complainant. Further, it did not conform to the trial judge's earlier instruction to give separate consideration to separate counts, and it did not indicate that the jury must not have regard to the evidence of offences against the other complainants in assessing the honesty and accuracy of each complainant. To the contrary, the </w:t>
      </w:r>
      <w:r w:rsidRPr="009856B8">
        <w:rPr>
          <w:rFonts w:ascii="Times New Roman" w:hAnsi="Times New Roman"/>
          <w:i/>
        </w:rPr>
        <w:t xml:space="preserve">Murray </w:t>
      </w:r>
      <w:r w:rsidRPr="009856B8">
        <w:rPr>
          <w:rFonts w:ascii="Times New Roman" w:hAnsi="Times New Roman"/>
        </w:rPr>
        <w:t>direction was expressed in a manner which may have positively encouraged the jury to consider the honesty and accuracy of the complainants collectively (by instructing the jury that "unless you are satisfied beyond a reasonable doubt that [the first child], [the third child], and [the fifth child] are both honest and accurate witnesses in the accounts that they have given you cannot find the accused guilty. Before you could convict the accused you should examine the evidence of the complainants very carefully").</w:t>
      </w:r>
    </w:p>
    <w:p w14:paraId="79A12E97" w14:textId="77777777" w:rsidR="00C40BDF" w:rsidRPr="009856B8" w:rsidRDefault="00C40BDF" w:rsidP="00C40BDF">
      <w:pPr>
        <w:pStyle w:val="FixListStyle"/>
        <w:numPr>
          <w:ilvl w:val="0"/>
          <w:numId w:val="18"/>
        </w:numPr>
        <w:spacing w:after="260" w:line="280" w:lineRule="exact"/>
        <w:ind w:left="0" w:right="0" w:hanging="720"/>
        <w:jc w:val="both"/>
        <w:rPr>
          <w:rFonts w:ascii="Times New Roman" w:hAnsi="Times New Roman"/>
        </w:rPr>
      </w:pPr>
      <w:r w:rsidRPr="009856B8">
        <w:rPr>
          <w:rFonts w:ascii="Times New Roman" w:hAnsi="Times New Roman"/>
        </w:rPr>
        <w:tab/>
        <w:t xml:space="preserve">While it may be accepted that the trial judge's directions to the jury did not positively encourage impermissible tendency reasoning, they did not discourage the misuse of the evidence of the various complainants and, accordingly, did not reduce the risk of impermissible reasoning. Beech-Jones J's postulated paths of reasoning are the likely ones but, having regard to the overall conduct of the trial, that is insufficient to support a conclusion that there was no real risk of impermissible tendency reasoning by the jury in this case. That conclusion is in conformity with the result in </w:t>
      </w:r>
      <w:r w:rsidRPr="009856B8">
        <w:rPr>
          <w:rFonts w:ascii="Times New Roman" w:hAnsi="Times New Roman"/>
          <w:i/>
        </w:rPr>
        <w:t>BRS v The Queen</w:t>
      </w:r>
      <w:r w:rsidRPr="009856B8">
        <w:rPr>
          <w:rStyle w:val="FootnoteReference"/>
          <w:rFonts w:ascii="Times New Roman" w:hAnsi="Times New Roman"/>
          <w:sz w:val="24"/>
        </w:rPr>
        <w:footnoteReference w:id="65"/>
      </w:r>
      <w:r w:rsidRPr="009856B8">
        <w:rPr>
          <w:rFonts w:ascii="Times New Roman" w:hAnsi="Times New Roman"/>
        </w:rPr>
        <w:t>,</w:t>
      </w:r>
      <w:r w:rsidRPr="009856B8">
        <w:rPr>
          <w:rFonts w:ascii="Times New Roman" w:hAnsi="Times New Roman"/>
          <w:i/>
        </w:rPr>
        <w:t xml:space="preserve"> </w:t>
      </w:r>
      <w:r w:rsidRPr="009856B8">
        <w:rPr>
          <w:rFonts w:ascii="Times New Roman" w:hAnsi="Times New Roman"/>
        </w:rPr>
        <w:t>in which this Court concluded that the accused had been denied a fair trial, with McHugh J observing that t</w:t>
      </w:r>
      <w:r w:rsidRPr="009856B8">
        <w:rPr>
          <w:rFonts w:ascii="Times New Roman" w:hAnsi="Times New Roman"/>
          <w:shd w:val="clear" w:color="auto" w:fill="FFFFFF"/>
        </w:rPr>
        <w:t>he "only basis for concluding that the jury may have used a forbidden chain of reasoning in reaching its verdict" was the axiomatic proposition that there was a real risk of propensity reasoning in the face of evidence of propensity.</w:t>
      </w:r>
    </w:p>
    <w:p w14:paraId="378550C4" w14:textId="77777777" w:rsidR="00C40BDF" w:rsidRPr="009856B8" w:rsidRDefault="00C40BDF" w:rsidP="00C40BDF">
      <w:pPr>
        <w:pStyle w:val="FixListStyle"/>
        <w:numPr>
          <w:ilvl w:val="0"/>
          <w:numId w:val="18"/>
        </w:numPr>
        <w:spacing w:after="260" w:line="280" w:lineRule="exact"/>
        <w:ind w:left="0" w:right="0" w:hanging="720"/>
        <w:jc w:val="both"/>
        <w:rPr>
          <w:rFonts w:ascii="Times New Roman" w:hAnsi="Times New Roman"/>
        </w:rPr>
      </w:pPr>
      <w:r w:rsidRPr="009856B8">
        <w:rPr>
          <w:rFonts w:ascii="Times New Roman" w:hAnsi="Times New Roman"/>
        </w:rPr>
        <w:tab/>
        <w:t>Finally, it is necessary to consider the significance of the fact that the appellant's counsel did not seek an anti-tendency direction. Beech-Jones J correctly observed that the failure of defence counsel to seek an anti-tendency direction can affect an assessment of the relevant risk</w:t>
      </w:r>
      <w:r w:rsidRPr="009856B8">
        <w:rPr>
          <w:rStyle w:val="FootnoteReference"/>
          <w:rFonts w:ascii="Times New Roman" w:hAnsi="Times New Roman"/>
          <w:sz w:val="24"/>
        </w:rPr>
        <w:footnoteReference w:id="66"/>
      </w:r>
      <w:r w:rsidRPr="009856B8">
        <w:rPr>
          <w:rFonts w:ascii="Times New Roman" w:hAnsi="Times New Roman"/>
        </w:rPr>
        <w:t xml:space="preserve">. However, the failure of </w:t>
      </w:r>
      <w:r w:rsidRPr="009856B8">
        <w:rPr>
          <w:rFonts w:ascii="Times New Roman" w:hAnsi="Times New Roman"/>
        </w:rPr>
        <w:lastRenderedPageBreak/>
        <w:t>counsel to seek the anti-tendency direction is not determinative if the direction was required in order to avoid a perceptible risk of miscarriage of justice</w:t>
      </w:r>
      <w:r w:rsidRPr="009856B8">
        <w:rPr>
          <w:rStyle w:val="FootnoteReference"/>
          <w:rFonts w:ascii="Times New Roman" w:hAnsi="Times New Roman"/>
          <w:sz w:val="24"/>
        </w:rPr>
        <w:footnoteReference w:id="67"/>
      </w:r>
      <w:r w:rsidRPr="009856B8">
        <w:rPr>
          <w:rFonts w:ascii="Times New Roman" w:hAnsi="Times New Roman"/>
        </w:rPr>
        <w:t>. Deliberate forensic choices of the appellant's counsel did not relieve the trial judge of the responsibility to give such directions as were required by law</w:t>
      </w:r>
      <w:r w:rsidRPr="009856B8">
        <w:rPr>
          <w:rStyle w:val="FootnoteReference"/>
          <w:rFonts w:ascii="Times New Roman" w:hAnsi="Times New Roman"/>
          <w:sz w:val="24"/>
        </w:rPr>
        <w:footnoteReference w:id="68"/>
      </w:r>
      <w:r w:rsidRPr="009856B8">
        <w:rPr>
          <w:rFonts w:ascii="Times New Roman" w:hAnsi="Times New Roman"/>
        </w:rPr>
        <w:t>.</w:t>
      </w:r>
    </w:p>
    <w:p w14:paraId="10783710" w14:textId="77777777" w:rsidR="00C40BDF" w:rsidRPr="009856B8" w:rsidRDefault="00C40BDF" w:rsidP="00C40BDF">
      <w:pPr>
        <w:pStyle w:val="FixListStyle"/>
        <w:numPr>
          <w:ilvl w:val="0"/>
          <w:numId w:val="18"/>
        </w:numPr>
        <w:spacing w:after="260" w:line="280" w:lineRule="exact"/>
        <w:ind w:left="0" w:right="0" w:hanging="720"/>
        <w:jc w:val="both"/>
        <w:rPr>
          <w:rFonts w:ascii="Times New Roman" w:hAnsi="Times New Roman"/>
        </w:rPr>
      </w:pPr>
      <w:r w:rsidRPr="009856B8">
        <w:rPr>
          <w:rFonts w:ascii="Times New Roman" w:hAnsi="Times New Roman"/>
        </w:rPr>
        <w:tab/>
        <w:t xml:space="preserve">In this Court, the respondent conceded that it would have been possible for the trial judge to give an asymmetrical anti-tendency direction, that is, a direction that would not have cut across the appellant's concoction case to the extent that it might have relied upon tendency reasoning. More precisely, the direction would have instructed the jury that in considering the defence case, the jury was free to consider all of the evidence, but that in considering the prosecution case, the jury was limited to considering identified evidence in support of each count sequentially. </w:t>
      </w:r>
    </w:p>
    <w:p w14:paraId="6EE51BB4" w14:textId="77777777" w:rsidR="00C40BDF" w:rsidRPr="009856B8" w:rsidRDefault="00C40BDF" w:rsidP="009856B8">
      <w:pPr>
        <w:pStyle w:val="HeadingL1"/>
        <w:spacing w:after="260" w:line="280" w:lineRule="exact"/>
        <w:ind w:right="0"/>
        <w:jc w:val="both"/>
        <w:rPr>
          <w:rFonts w:ascii="Times New Roman" w:hAnsi="Times New Roman"/>
        </w:rPr>
      </w:pPr>
      <w:r w:rsidRPr="009856B8">
        <w:rPr>
          <w:rFonts w:ascii="Times New Roman" w:hAnsi="Times New Roman"/>
        </w:rPr>
        <w:t>Conclusion</w:t>
      </w:r>
    </w:p>
    <w:p w14:paraId="6664BFC0" w14:textId="77777777" w:rsidR="00C40BDF" w:rsidRPr="009856B8" w:rsidRDefault="00C40BDF" w:rsidP="00C40BDF">
      <w:pPr>
        <w:pStyle w:val="FixListStyle"/>
        <w:numPr>
          <w:ilvl w:val="0"/>
          <w:numId w:val="18"/>
        </w:numPr>
        <w:spacing w:after="260" w:line="280" w:lineRule="exact"/>
        <w:ind w:left="0" w:right="0" w:hanging="720"/>
        <w:jc w:val="both"/>
        <w:rPr>
          <w:rFonts w:ascii="Times New Roman" w:hAnsi="Times New Roman"/>
        </w:rPr>
      </w:pPr>
      <w:r w:rsidRPr="009856B8">
        <w:rPr>
          <w:rFonts w:ascii="Times New Roman" w:hAnsi="Times New Roman"/>
        </w:rPr>
        <w:tab/>
        <w:t>For these reasons, the Court of Criminal Appeal erred in failing to identify the real risk of conviction by impermissible reasoning in circumstances where the jury was not explicitly warned that the evidence of each complainant was not relevant to the charges concerning each of the other complainants, or that the evidence of offences against one complainant must not be treated as tending to prove that the appellant was guilty of any offence against another complainant or to prove an inclination in the appellant towards the alleged offending conduct.</w:t>
      </w:r>
    </w:p>
    <w:p w14:paraId="421D103A" w14:textId="77777777" w:rsidR="00C40BDF" w:rsidRPr="009856B8" w:rsidRDefault="00C40BDF" w:rsidP="00C40BDF">
      <w:pPr>
        <w:pStyle w:val="FixListStyle"/>
        <w:numPr>
          <w:ilvl w:val="0"/>
          <w:numId w:val="18"/>
        </w:numPr>
        <w:spacing w:after="260" w:line="280" w:lineRule="exact"/>
        <w:ind w:left="0" w:right="0" w:hanging="720"/>
        <w:jc w:val="both"/>
        <w:rPr>
          <w:rFonts w:ascii="Times New Roman" w:hAnsi="Times New Roman"/>
        </w:rPr>
      </w:pPr>
      <w:r w:rsidRPr="009856B8">
        <w:rPr>
          <w:rFonts w:ascii="Times New Roman" w:hAnsi="Times New Roman"/>
        </w:rPr>
        <w:tab/>
        <w:t xml:space="preserve">In the Court of Criminal Appeal, the respondent did not submit that, if there was a miscarriage of justice, the proviso in s 6(1) of the </w:t>
      </w:r>
      <w:r w:rsidRPr="009856B8">
        <w:rPr>
          <w:rFonts w:ascii="Times New Roman" w:hAnsi="Times New Roman"/>
          <w:i/>
        </w:rPr>
        <w:t>Criminal Appeal Act</w:t>
      </w:r>
      <w:r w:rsidRPr="009856B8">
        <w:rPr>
          <w:rFonts w:ascii="Times New Roman" w:hAnsi="Times New Roman"/>
        </w:rPr>
        <w:t xml:space="preserve"> could be applied. We would allow the appeal, set aside the orders of the Court of Criminal Appeal made on 27 April 2020 and, in their place, order that</w:t>
      </w:r>
      <w:r w:rsidRPr="009856B8">
        <w:rPr>
          <w:rFonts w:ascii="Times New Roman" w:hAnsi="Times New Roman"/>
          <w:b/>
          <w:bCs/>
        </w:rPr>
        <w:t xml:space="preserve"> </w:t>
      </w:r>
      <w:r w:rsidRPr="009856B8">
        <w:rPr>
          <w:rFonts w:ascii="Times New Roman" w:hAnsi="Times New Roman"/>
        </w:rPr>
        <w:t>leave to appeal on ground 1 be granted, the appeal be allowed, the appellant's convictions be quashed, and a retrial be ordered.</w:t>
      </w:r>
    </w:p>
    <w:p w14:paraId="0EB4842B" w14:textId="7E914D97" w:rsidR="006E23F9" w:rsidRPr="00273D10" w:rsidRDefault="006E23F9" w:rsidP="00C40BDF">
      <w:pPr>
        <w:pStyle w:val="FixListStyle"/>
        <w:numPr>
          <w:ilvl w:val="0"/>
          <w:numId w:val="0"/>
        </w:numPr>
        <w:spacing w:after="260" w:line="280" w:lineRule="exact"/>
        <w:ind w:right="0"/>
        <w:jc w:val="both"/>
        <w:rPr>
          <w:rFonts w:ascii="Times New Roman" w:hAnsi="Times New Roman"/>
        </w:rPr>
      </w:pPr>
    </w:p>
    <w:sectPr w:rsidR="006E23F9" w:rsidRPr="00273D10" w:rsidSect="00C40BDF">
      <w:headerReference w:type="even" r:id="rId23"/>
      <w:headerReference w:type="default" r:id="rId24"/>
      <w:headerReference w:type="first" r:id="rId2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8FB20" w14:textId="77777777" w:rsidR="005D4EAB" w:rsidRDefault="005D4EAB">
      <w:pPr>
        <w:spacing w:line="240" w:lineRule="auto"/>
      </w:pPr>
      <w:r>
        <w:separator/>
      </w:r>
    </w:p>
  </w:endnote>
  <w:endnote w:type="continuationSeparator" w:id="0">
    <w:p w14:paraId="0B06D350" w14:textId="77777777" w:rsidR="005D4EAB" w:rsidRDefault="005D4EAB">
      <w:pPr>
        <w:spacing w:line="240" w:lineRule="auto"/>
      </w:pPr>
      <w:r>
        <w:continuationSeparator/>
      </w:r>
    </w:p>
  </w:endnote>
  <w:endnote w:type="continuationNotice" w:id="1">
    <w:p w14:paraId="3C30FCBF" w14:textId="77777777" w:rsidR="005D4EAB" w:rsidRDefault="005D4E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362A0" w14:textId="77777777" w:rsidR="00614472" w:rsidRDefault="00614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08FC0" w14:textId="77777777" w:rsidR="00614472" w:rsidRDefault="00614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C45A4" w14:textId="77777777" w:rsidR="00614472" w:rsidRDefault="006144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F0F75" w14:textId="77777777" w:rsidR="00614472" w:rsidRDefault="006144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EBA2E" w14:textId="77777777" w:rsidR="00614472" w:rsidRDefault="006144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69763" w14:textId="77777777" w:rsidR="00614472" w:rsidRDefault="00614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91FAD" w14:textId="77777777" w:rsidR="005D4EAB" w:rsidRPr="00273D10" w:rsidRDefault="005D4EAB" w:rsidP="00273D10">
      <w:pPr>
        <w:pStyle w:val="Footer"/>
        <w:spacing w:before="120" w:after="20"/>
        <w:ind w:right="0"/>
        <w:rPr>
          <w:rFonts w:ascii="Times New Roman" w:hAnsi="Times New Roman"/>
        </w:rPr>
      </w:pPr>
      <w:r>
        <w:continuationSeparator/>
      </w:r>
    </w:p>
  </w:footnote>
  <w:footnote w:type="continuationSeparator" w:id="0">
    <w:p w14:paraId="410744E4" w14:textId="77777777" w:rsidR="005D4EAB" w:rsidRPr="00273D10" w:rsidRDefault="005D4EAB" w:rsidP="00273D10">
      <w:pPr>
        <w:pStyle w:val="Footer"/>
        <w:spacing w:before="120" w:after="20"/>
        <w:ind w:right="0"/>
        <w:rPr>
          <w:rFonts w:ascii="Times New Roman" w:hAnsi="Times New Roman"/>
        </w:rPr>
      </w:pPr>
      <w:r w:rsidRPr="00273D10">
        <w:rPr>
          <w:rFonts w:ascii="Times New Roman" w:hAnsi="Times New Roman"/>
        </w:rPr>
        <w:continuationSeparator/>
      </w:r>
    </w:p>
  </w:footnote>
  <w:footnote w:type="continuationNotice" w:id="1">
    <w:p w14:paraId="1F4AD7D2" w14:textId="77777777" w:rsidR="005D4EAB" w:rsidRPr="00C40BDF" w:rsidRDefault="005D4EAB">
      <w:pPr>
        <w:jc w:val="right"/>
        <w:rPr>
          <w:rFonts w:ascii="Times New Roman" w:hAnsi="Times New Roman"/>
          <w:sz w:val="24"/>
        </w:rPr>
      </w:pPr>
    </w:p>
  </w:footnote>
  <w:footnote w:id="2">
    <w:p w14:paraId="74A58563" w14:textId="72ED7962"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[13].</w:t>
      </w:r>
    </w:p>
  </w:footnote>
  <w:footnote w:id="3">
    <w:p w14:paraId="7C0E69A5" w14:textId="77777777"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[13].</w:t>
      </w:r>
    </w:p>
  </w:footnote>
  <w:footnote w:id="4">
    <w:p w14:paraId="272380F1" w14:textId="00A8FBE4"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[19]</w:t>
      </w:r>
      <w:r w:rsidRPr="00273D10">
        <w:rPr>
          <w:rFonts w:ascii="Times New Roman" w:hAnsi="Times New Roman"/>
          <w:sz w:val="24"/>
        </w:rPr>
        <w:noBreakHyphen/>
        <w:t>[20].</w:t>
      </w:r>
    </w:p>
  </w:footnote>
  <w:footnote w:id="5">
    <w:p w14:paraId="08409FF5" w14:textId="3241A7FE"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[91].</w:t>
      </w:r>
    </w:p>
  </w:footnote>
  <w:footnote w:id="6">
    <w:p w14:paraId="17BA7EED" w14:textId="77777777"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[17].</w:t>
      </w:r>
    </w:p>
  </w:footnote>
  <w:footnote w:id="7">
    <w:p w14:paraId="68A409B6" w14:textId="77777777"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[93].</w:t>
      </w:r>
    </w:p>
  </w:footnote>
  <w:footnote w:id="8">
    <w:p w14:paraId="2D26C7B3" w14:textId="3A70782F"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[21]</w:t>
      </w:r>
      <w:r w:rsidRPr="00273D10">
        <w:rPr>
          <w:rFonts w:ascii="Times New Roman" w:hAnsi="Times New Roman"/>
          <w:sz w:val="24"/>
        </w:rPr>
        <w:noBreakHyphen/>
        <w:t>[22], [92].</w:t>
      </w:r>
    </w:p>
  </w:footnote>
  <w:footnote w:id="9">
    <w:p w14:paraId="182B16BB" w14:textId="6BAB444E"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[23].</w:t>
      </w:r>
    </w:p>
  </w:footnote>
  <w:footnote w:id="10">
    <w:p w14:paraId="778595FA" w14:textId="52D4C017"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[89].</w:t>
      </w:r>
    </w:p>
  </w:footnote>
  <w:footnote w:id="11">
    <w:p w14:paraId="1D9FB8E4" w14:textId="77777777"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[93].</w:t>
      </w:r>
    </w:p>
  </w:footnote>
  <w:footnote w:id="12">
    <w:p w14:paraId="6560FF5C" w14:textId="44A5760C"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[84], [97].</w:t>
      </w:r>
    </w:p>
  </w:footnote>
  <w:footnote w:id="13">
    <w:p w14:paraId="025F2841" w14:textId="0A312CF5"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[32].</w:t>
      </w:r>
    </w:p>
  </w:footnote>
  <w:footnote w:id="14">
    <w:p w14:paraId="4490410C" w14:textId="156BBAE9"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t xml:space="preserve">So called after </w:t>
      </w:r>
      <w:r w:rsidRPr="00273D10">
        <w:rPr>
          <w:rFonts w:ascii="Times New Roman" w:hAnsi="Times New Roman"/>
          <w:i/>
          <w:iCs/>
          <w:sz w:val="24"/>
        </w:rPr>
        <w:t xml:space="preserve">R v Murray </w:t>
      </w:r>
      <w:r w:rsidRPr="00273D10">
        <w:rPr>
          <w:rFonts w:ascii="Times New Roman" w:hAnsi="Times New Roman"/>
          <w:sz w:val="24"/>
        </w:rPr>
        <w:t>(1987) 11 NSWLR 12.</w:t>
      </w:r>
    </w:p>
  </w:footnote>
  <w:footnote w:id="15">
    <w:p w14:paraId="5D41F78D" w14:textId="27683517"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[99].</w:t>
      </w:r>
    </w:p>
  </w:footnote>
  <w:footnote w:id="16">
    <w:p w14:paraId="2EA7C243" w14:textId="41DF3B04"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[113].</w:t>
      </w:r>
    </w:p>
  </w:footnote>
  <w:footnote w:id="17">
    <w:p w14:paraId="25534235" w14:textId="77F87EE6"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[115].</w:t>
      </w:r>
    </w:p>
  </w:footnote>
  <w:footnote w:id="18">
    <w:p w14:paraId="05AA0DCC" w14:textId="31A2FCAC"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[117].</w:t>
      </w:r>
    </w:p>
  </w:footnote>
  <w:footnote w:id="19">
    <w:p w14:paraId="7A7604FE" w14:textId="79C4F862"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[118].</w:t>
      </w:r>
    </w:p>
  </w:footnote>
  <w:footnote w:id="20">
    <w:p w14:paraId="5321284B" w14:textId="018F843D"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[118], [120].</w:t>
      </w:r>
    </w:p>
  </w:footnote>
  <w:footnote w:id="21">
    <w:p w14:paraId="1FC2EC86" w14:textId="78477902"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[119]. See also [113].</w:t>
      </w:r>
    </w:p>
  </w:footnote>
  <w:footnote w:id="22">
    <w:p w14:paraId="03AE356C" w14:textId="60EE3729"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iCs/>
          <w:sz w:val="24"/>
        </w:rPr>
        <w:t xml:space="preserve">Hamilton (a pseudonym) v The Queen </w:t>
      </w:r>
      <w:r w:rsidRPr="00273D10">
        <w:rPr>
          <w:rFonts w:ascii="Times New Roman" w:hAnsi="Times New Roman"/>
          <w:sz w:val="24"/>
        </w:rPr>
        <w:t>[2020] NSWCCA 80 at [120].</w:t>
      </w:r>
    </w:p>
  </w:footnote>
  <w:footnote w:id="23">
    <w:p w14:paraId="4554A818" w14:textId="24B03940"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[39]</w:t>
      </w:r>
      <w:r w:rsidRPr="00273D10">
        <w:rPr>
          <w:rFonts w:ascii="Times New Roman" w:hAnsi="Times New Roman"/>
          <w:sz w:val="24"/>
        </w:rPr>
        <w:noBreakHyphen/>
        <w:t>[40], [54].</w:t>
      </w:r>
    </w:p>
  </w:footnote>
  <w:footnote w:id="24">
    <w:p w14:paraId="58E47A08" w14:textId="2DC71AC7"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 xml:space="preserve">[2020] NSWCCA 80 at [42], citing </w:t>
      </w:r>
      <w:r w:rsidRPr="00273D10">
        <w:rPr>
          <w:rFonts w:ascii="Times New Roman" w:hAnsi="Times New Roman"/>
          <w:i/>
          <w:sz w:val="24"/>
        </w:rPr>
        <w:t xml:space="preserve">De Jesus v The Queen </w:t>
      </w:r>
      <w:r w:rsidRPr="00273D10">
        <w:rPr>
          <w:rFonts w:ascii="Times New Roman" w:hAnsi="Times New Roman"/>
          <w:sz w:val="24"/>
        </w:rPr>
        <w:t>(1986) 61 ALJR 1 at 2</w:t>
      </w:r>
      <w:r w:rsidRPr="00273D10">
        <w:rPr>
          <w:rFonts w:ascii="Times New Roman" w:hAnsi="Times New Roman"/>
          <w:sz w:val="24"/>
        </w:rPr>
        <w:noBreakHyphen/>
        <w:t>3; 68 ALR 1 at 3</w:t>
      </w:r>
      <w:r w:rsidRPr="00273D10">
        <w:rPr>
          <w:rFonts w:ascii="Times New Roman" w:hAnsi="Times New Roman"/>
          <w:sz w:val="24"/>
        </w:rPr>
        <w:noBreakHyphen/>
        <w:t xml:space="preserve">5; </w:t>
      </w:r>
      <w:r w:rsidRPr="00273D10">
        <w:rPr>
          <w:rFonts w:ascii="Times New Roman" w:hAnsi="Times New Roman"/>
          <w:i/>
          <w:sz w:val="24"/>
        </w:rPr>
        <w:t xml:space="preserve">Sutton v The Queen </w:t>
      </w:r>
      <w:r w:rsidRPr="00273D10">
        <w:rPr>
          <w:rFonts w:ascii="Times New Roman" w:hAnsi="Times New Roman"/>
          <w:sz w:val="24"/>
        </w:rPr>
        <w:t>(1984) 152 CLR 528 at 531, 539, 542</w:t>
      </w:r>
      <w:r w:rsidRPr="00273D10">
        <w:rPr>
          <w:rFonts w:ascii="Times New Roman" w:hAnsi="Times New Roman"/>
          <w:sz w:val="24"/>
        </w:rPr>
        <w:noBreakHyphen/>
        <w:t xml:space="preserve">544, 561, 569; </w:t>
      </w:r>
      <w:r w:rsidRPr="00273D10">
        <w:rPr>
          <w:rFonts w:ascii="Times New Roman" w:hAnsi="Times New Roman"/>
          <w:i/>
          <w:sz w:val="24"/>
        </w:rPr>
        <w:t xml:space="preserve">Hoch v The Queen </w:t>
      </w:r>
      <w:r w:rsidRPr="00273D10">
        <w:rPr>
          <w:rFonts w:ascii="Times New Roman" w:hAnsi="Times New Roman"/>
          <w:sz w:val="24"/>
        </w:rPr>
        <w:t xml:space="preserve">(1988) 165 CLR 292 at 294; </w:t>
      </w:r>
      <w:r w:rsidRPr="00273D10">
        <w:rPr>
          <w:rFonts w:ascii="Times New Roman" w:hAnsi="Times New Roman"/>
          <w:i/>
          <w:sz w:val="24"/>
        </w:rPr>
        <w:t xml:space="preserve">R v Bauer (a pseudonym) </w:t>
      </w:r>
      <w:r w:rsidRPr="00273D10">
        <w:rPr>
          <w:rFonts w:ascii="Times New Roman" w:hAnsi="Times New Roman"/>
          <w:sz w:val="24"/>
        </w:rPr>
        <w:t xml:space="preserve">(2018) 266 CLR 56 at 99 [88]; </w:t>
      </w:r>
      <w:r w:rsidRPr="00273D10">
        <w:rPr>
          <w:rFonts w:ascii="Times New Roman" w:hAnsi="Times New Roman"/>
          <w:i/>
          <w:sz w:val="24"/>
        </w:rPr>
        <w:t xml:space="preserve">Decision restricted </w:t>
      </w:r>
      <w:r w:rsidRPr="00273D10">
        <w:rPr>
          <w:rFonts w:ascii="Times New Roman" w:hAnsi="Times New Roman"/>
          <w:sz w:val="24"/>
        </w:rPr>
        <w:t xml:space="preserve">[2019] NSWCCA 166 at [184], [196]; </w:t>
      </w:r>
      <w:r w:rsidRPr="00273D10">
        <w:rPr>
          <w:rFonts w:ascii="Times New Roman" w:hAnsi="Times New Roman"/>
          <w:i/>
          <w:sz w:val="24"/>
        </w:rPr>
        <w:t xml:space="preserve">Hamalainen v The Queen </w:t>
      </w:r>
      <w:r w:rsidRPr="00273D10">
        <w:rPr>
          <w:rFonts w:ascii="Times New Roman" w:hAnsi="Times New Roman"/>
          <w:sz w:val="24"/>
        </w:rPr>
        <w:t xml:space="preserve">[2019] NSWCCA 276; </w:t>
      </w:r>
      <w:r w:rsidRPr="00273D10">
        <w:rPr>
          <w:rFonts w:ascii="Times New Roman" w:hAnsi="Times New Roman"/>
          <w:i/>
          <w:sz w:val="24"/>
        </w:rPr>
        <w:t>Hughes v The Queen</w:t>
      </w:r>
      <w:r w:rsidRPr="00273D10">
        <w:rPr>
          <w:rFonts w:ascii="Times New Roman" w:hAnsi="Times New Roman"/>
          <w:sz w:val="24"/>
        </w:rPr>
        <w:t xml:space="preserve"> (2017) 263 CLR 338 at 402</w:t>
      </w:r>
      <w:r w:rsidRPr="00273D10">
        <w:rPr>
          <w:rFonts w:ascii="Times New Roman" w:hAnsi="Times New Roman"/>
          <w:sz w:val="24"/>
        </w:rPr>
        <w:noBreakHyphen/>
        <w:t>403 [171]</w:t>
      </w:r>
      <w:r w:rsidRPr="00273D10">
        <w:rPr>
          <w:rFonts w:ascii="Times New Roman" w:hAnsi="Times New Roman"/>
          <w:sz w:val="24"/>
        </w:rPr>
        <w:noBreakHyphen/>
        <w:t>[172].</w:t>
      </w:r>
    </w:p>
  </w:footnote>
  <w:footnote w:id="25">
    <w:p w14:paraId="5C11D019" w14:textId="3FCAAA46"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[43].</w:t>
      </w:r>
    </w:p>
  </w:footnote>
  <w:footnote w:id="26">
    <w:p w14:paraId="0DA6E3D7" w14:textId="7400AA8A"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[45]</w:t>
      </w:r>
      <w:r w:rsidRPr="00273D10">
        <w:rPr>
          <w:rFonts w:ascii="Times New Roman" w:hAnsi="Times New Roman"/>
          <w:sz w:val="24"/>
        </w:rPr>
        <w:noBreakHyphen/>
        <w:t>[46].</w:t>
      </w:r>
    </w:p>
  </w:footnote>
  <w:footnote w:id="27">
    <w:p w14:paraId="3BE258B4" w14:textId="23FED745"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t>(2001) 206 CLR 221 at 233</w:t>
      </w:r>
      <w:r w:rsidRPr="00273D10">
        <w:rPr>
          <w:rFonts w:ascii="Times New Roman" w:hAnsi="Times New Roman"/>
          <w:sz w:val="24"/>
        </w:rPr>
        <w:noBreakHyphen/>
        <w:t>235 [32]</w:t>
      </w:r>
      <w:r w:rsidRPr="00273D10">
        <w:rPr>
          <w:rFonts w:ascii="Times New Roman" w:hAnsi="Times New Roman"/>
          <w:sz w:val="24"/>
        </w:rPr>
        <w:noBreakHyphen/>
        <w:t>[38].</w:t>
      </w:r>
    </w:p>
  </w:footnote>
  <w:footnote w:id="28">
    <w:p w14:paraId="0D1703FC" w14:textId="6092FBEE"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t>(1984) 152 CLR 528 at 541</w:t>
      </w:r>
      <w:r w:rsidRPr="00273D10">
        <w:rPr>
          <w:rFonts w:ascii="Times New Roman" w:hAnsi="Times New Roman"/>
          <w:sz w:val="24"/>
        </w:rPr>
        <w:noBreakHyphen/>
        <w:t xml:space="preserve">542. See also </w:t>
      </w:r>
      <w:r w:rsidRPr="00273D10">
        <w:rPr>
          <w:rFonts w:ascii="Times New Roman" w:hAnsi="Times New Roman"/>
          <w:i/>
          <w:sz w:val="24"/>
        </w:rPr>
        <w:t xml:space="preserve">De Jesus v The Queen </w:t>
      </w:r>
      <w:r w:rsidRPr="00273D10">
        <w:rPr>
          <w:rFonts w:ascii="Times New Roman" w:hAnsi="Times New Roman"/>
          <w:sz w:val="24"/>
        </w:rPr>
        <w:t>(1986) 61 ALJR 1 at 3; 68 ALR 1 at 4</w:t>
      </w:r>
      <w:r w:rsidRPr="00273D10">
        <w:rPr>
          <w:rFonts w:ascii="Times New Roman" w:hAnsi="Times New Roman"/>
          <w:sz w:val="24"/>
        </w:rPr>
        <w:noBreakHyphen/>
        <w:t>5.</w:t>
      </w:r>
    </w:p>
  </w:footnote>
  <w:footnote w:id="29">
    <w:p w14:paraId="5FC28125" w14:textId="11C24BB7"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KRM v The Queen</w:t>
      </w:r>
      <w:r w:rsidRPr="00273D10">
        <w:rPr>
          <w:rFonts w:ascii="Times New Roman" w:hAnsi="Times New Roman"/>
          <w:sz w:val="24"/>
        </w:rPr>
        <w:t xml:space="preserve"> (2001) 206 CLR 221 at 234 [36], 263</w:t>
      </w:r>
      <w:r w:rsidRPr="00273D10">
        <w:rPr>
          <w:rFonts w:ascii="Times New Roman" w:hAnsi="Times New Roman"/>
          <w:sz w:val="24"/>
        </w:rPr>
        <w:noBreakHyphen/>
        <w:t>264 [132].</w:t>
      </w:r>
    </w:p>
  </w:footnote>
  <w:footnote w:id="30">
    <w:p w14:paraId="2A1ED09E" w14:textId="77777777"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[54].</w:t>
      </w:r>
    </w:p>
  </w:footnote>
  <w:footnote w:id="31">
    <w:p w14:paraId="196A44E8" w14:textId="0FE879CC"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t xml:space="preserve">See </w:t>
      </w:r>
      <w:r w:rsidRPr="00273D10">
        <w:rPr>
          <w:rFonts w:ascii="Times New Roman" w:hAnsi="Times New Roman"/>
          <w:i/>
          <w:sz w:val="24"/>
        </w:rPr>
        <w:t>KRM v The Queen</w:t>
      </w:r>
      <w:r w:rsidRPr="00273D10">
        <w:rPr>
          <w:rFonts w:ascii="Times New Roman" w:hAnsi="Times New Roman"/>
          <w:sz w:val="24"/>
        </w:rPr>
        <w:t xml:space="preserve"> (2001) 206 CLR 221 at 255</w:t>
      </w:r>
      <w:r w:rsidRPr="00273D10">
        <w:rPr>
          <w:rFonts w:ascii="Times New Roman" w:hAnsi="Times New Roman"/>
          <w:sz w:val="24"/>
        </w:rPr>
        <w:noBreakHyphen/>
        <w:t xml:space="preserve">256 [101]; </w:t>
      </w:r>
      <w:r w:rsidRPr="00273D10">
        <w:rPr>
          <w:rFonts w:ascii="Times New Roman" w:hAnsi="Times New Roman"/>
          <w:i/>
          <w:sz w:val="24"/>
        </w:rPr>
        <w:t>Doggett v The Queen</w:t>
      </w:r>
      <w:r w:rsidRPr="00273D10">
        <w:rPr>
          <w:rFonts w:ascii="Times New Roman" w:hAnsi="Times New Roman"/>
          <w:sz w:val="24"/>
        </w:rPr>
        <w:t xml:space="preserve"> (2001) 208 CLR 343 at 382</w:t>
      </w:r>
      <w:r w:rsidRPr="00273D10">
        <w:rPr>
          <w:rFonts w:ascii="Times New Roman" w:hAnsi="Times New Roman"/>
          <w:sz w:val="24"/>
        </w:rPr>
        <w:noBreakHyphen/>
        <w:t>383 [147]</w:t>
      </w:r>
      <w:r w:rsidRPr="00273D10">
        <w:rPr>
          <w:rFonts w:ascii="Times New Roman" w:hAnsi="Times New Roman"/>
          <w:sz w:val="24"/>
        </w:rPr>
        <w:noBreakHyphen/>
        <w:t>[148].</w:t>
      </w:r>
    </w:p>
  </w:footnote>
  <w:footnote w:id="32">
    <w:p w14:paraId="4AF95F3E" w14:textId="78662F8B"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t xml:space="preserve">See </w:t>
      </w:r>
      <w:r w:rsidRPr="00273D10">
        <w:rPr>
          <w:rFonts w:ascii="Times New Roman" w:hAnsi="Times New Roman"/>
          <w:i/>
          <w:sz w:val="24"/>
        </w:rPr>
        <w:t xml:space="preserve">Hamilton (a pseudonym) v The Queen </w:t>
      </w:r>
      <w:r w:rsidRPr="00273D10">
        <w:rPr>
          <w:rFonts w:ascii="Times New Roman" w:hAnsi="Times New Roman"/>
          <w:sz w:val="24"/>
        </w:rPr>
        <w:t xml:space="preserve">[2020] NSWCCA 80 at [113], citing </w:t>
      </w:r>
      <w:r w:rsidRPr="00273D10">
        <w:rPr>
          <w:rFonts w:ascii="Times New Roman" w:hAnsi="Times New Roman"/>
          <w:i/>
          <w:sz w:val="24"/>
        </w:rPr>
        <w:t xml:space="preserve">BRS v The Queen </w:t>
      </w:r>
      <w:r w:rsidRPr="00273D10">
        <w:rPr>
          <w:rFonts w:ascii="Times New Roman" w:hAnsi="Times New Roman"/>
          <w:sz w:val="24"/>
        </w:rPr>
        <w:t>(1997) 191 CLR 275 at 306.</w:t>
      </w:r>
    </w:p>
  </w:footnote>
  <w:footnote w:id="33">
    <w:p w14:paraId="6C338E15" w14:textId="09DEC333"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t>(2001) 206 CLR 221 at 234</w:t>
      </w:r>
      <w:r w:rsidRPr="00273D10">
        <w:rPr>
          <w:rFonts w:ascii="Times New Roman" w:hAnsi="Times New Roman"/>
          <w:sz w:val="24"/>
        </w:rPr>
        <w:noBreakHyphen/>
        <w:t>235 [38].</w:t>
      </w:r>
    </w:p>
  </w:footnote>
  <w:footnote w:id="34">
    <w:p w14:paraId="21663829" w14:textId="2843C6F0"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iCs/>
          <w:sz w:val="24"/>
        </w:rPr>
        <w:t xml:space="preserve">BRS v The Queen </w:t>
      </w:r>
      <w:r w:rsidRPr="00273D10">
        <w:rPr>
          <w:rFonts w:ascii="Times New Roman" w:hAnsi="Times New Roman"/>
          <w:sz w:val="24"/>
        </w:rPr>
        <w:t xml:space="preserve">(1997) 191 CLR 275 at 308. See also </w:t>
      </w:r>
      <w:r w:rsidRPr="00273D10">
        <w:rPr>
          <w:rFonts w:ascii="Times New Roman" w:hAnsi="Times New Roman"/>
          <w:i/>
          <w:sz w:val="24"/>
        </w:rPr>
        <w:t xml:space="preserve">Erohin v The Queen </w:t>
      </w:r>
      <w:r w:rsidRPr="00273D10">
        <w:rPr>
          <w:rFonts w:ascii="Times New Roman" w:hAnsi="Times New Roman"/>
          <w:iCs/>
          <w:sz w:val="24"/>
        </w:rPr>
        <w:t xml:space="preserve">[2006] NSWCCA 102; </w:t>
      </w:r>
      <w:r w:rsidRPr="00273D10">
        <w:rPr>
          <w:rFonts w:ascii="Times New Roman" w:hAnsi="Times New Roman"/>
          <w:i/>
          <w:sz w:val="24"/>
        </w:rPr>
        <w:t xml:space="preserve">Toalepai v The Queen </w:t>
      </w:r>
      <w:r w:rsidRPr="00273D10">
        <w:rPr>
          <w:rFonts w:ascii="Times New Roman" w:hAnsi="Times New Roman"/>
          <w:iCs/>
          <w:sz w:val="24"/>
        </w:rPr>
        <w:t xml:space="preserve">[2009] NSWCCA 270; </w:t>
      </w:r>
      <w:r w:rsidRPr="00273D10">
        <w:rPr>
          <w:rFonts w:ascii="Times New Roman" w:hAnsi="Times New Roman"/>
          <w:i/>
          <w:sz w:val="24"/>
        </w:rPr>
        <w:t xml:space="preserve">Jiang v The Queen </w:t>
      </w:r>
      <w:r w:rsidRPr="00273D10">
        <w:rPr>
          <w:rFonts w:ascii="Times New Roman" w:hAnsi="Times New Roman"/>
          <w:iCs/>
          <w:sz w:val="24"/>
        </w:rPr>
        <w:t>[2010] NSWCCA 277;</w:t>
      </w:r>
      <w:r w:rsidRPr="00273D10">
        <w:rPr>
          <w:rFonts w:ascii="Times New Roman" w:hAnsi="Times New Roman"/>
          <w:sz w:val="24"/>
        </w:rPr>
        <w:t xml:space="preserve"> </w:t>
      </w:r>
      <w:r w:rsidRPr="00273D10">
        <w:rPr>
          <w:rFonts w:ascii="Times New Roman" w:hAnsi="Times New Roman"/>
          <w:i/>
          <w:sz w:val="24"/>
        </w:rPr>
        <w:t xml:space="preserve">Lyndon v The Queen </w:t>
      </w:r>
      <w:r w:rsidRPr="00273D10">
        <w:rPr>
          <w:rFonts w:ascii="Times New Roman" w:hAnsi="Times New Roman"/>
          <w:iCs/>
          <w:sz w:val="24"/>
        </w:rPr>
        <w:t>[2014] NSWCCA 112</w:t>
      </w:r>
      <w:r w:rsidRPr="00273D10">
        <w:rPr>
          <w:rFonts w:ascii="Times New Roman" w:hAnsi="Times New Roman"/>
          <w:sz w:val="24"/>
        </w:rPr>
        <w:t>.</w:t>
      </w:r>
    </w:p>
  </w:footnote>
  <w:footnote w:id="35">
    <w:p w14:paraId="33FAA50F" w14:textId="79EB1AC1" w:rsidR="00386822" w:rsidRPr="00273D10" w:rsidRDefault="00386822" w:rsidP="00273D10">
      <w:pPr>
        <w:pStyle w:val="FootnoteText"/>
        <w:spacing w:line="280" w:lineRule="exact"/>
        <w:ind w:right="0"/>
        <w:jc w:val="both"/>
        <w:rPr>
          <w:rFonts w:ascii="Times New Roman" w:hAnsi="Times New Roman"/>
          <w:i/>
          <w:iCs/>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De Jesus v The Queen </w:t>
      </w:r>
      <w:r w:rsidRPr="00273D10">
        <w:rPr>
          <w:rFonts w:ascii="Times New Roman" w:hAnsi="Times New Roman"/>
          <w:sz w:val="24"/>
        </w:rPr>
        <w:t>(1986) 61 ALJR 1 at 3; 68 ALR 1 at 4</w:t>
      </w:r>
      <w:r w:rsidRPr="00273D10">
        <w:rPr>
          <w:rFonts w:ascii="Times New Roman" w:hAnsi="Times New Roman"/>
          <w:sz w:val="24"/>
        </w:rPr>
        <w:noBreakHyphen/>
        <w:t>5.</w:t>
      </w:r>
    </w:p>
  </w:footnote>
  <w:footnote w:id="36">
    <w:p w14:paraId="367C7684" w14:textId="4B33B0B7"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 xml:space="preserve">[2020] NSWCCA 80 at [40], citing </w:t>
      </w:r>
      <w:r w:rsidRPr="00273D10">
        <w:rPr>
          <w:rFonts w:ascii="Times New Roman" w:hAnsi="Times New Roman"/>
          <w:i/>
          <w:sz w:val="24"/>
        </w:rPr>
        <w:t>R v Bauer (a pseudonym)</w:t>
      </w:r>
      <w:r w:rsidRPr="00273D10">
        <w:rPr>
          <w:rFonts w:ascii="Times New Roman" w:hAnsi="Times New Roman"/>
          <w:sz w:val="24"/>
        </w:rPr>
        <w:t xml:space="preserve"> (2018) 266 CLR 56 at 83 [51]. See also </w:t>
      </w:r>
      <w:r w:rsidRPr="00273D10">
        <w:rPr>
          <w:rFonts w:ascii="Times New Roman" w:hAnsi="Times New Roman"/>
          <w:i/>
          <w:iCs/>
          <w:sz w:val="24"/>
        </w:rPr>
        <w:t>HML v The Queen</w:t>
      </w:r>
      <w:r w:rsidRPr="00273D10">
        <w:rPr>
          <w:rFonts w:ascii="Times New Roman" w:hAnsi="Times New Roman"/>
          <w:sz w:val="24"/>
        </w:rPr>
        <w:t xml:space="preserve"> (2008) 235 CLR 334 at 423 [272].</w:t>
      </w:r>
    </w:p>
  </w:footnote>
  <w:footnote w:id="37">
    <w:p w14:paraId="2637BADC" w14:textId="022DC2D4"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iCs/>
          <w:sz w:val="24"/>
        </w:rPr>
        <w:t>TKWJ v The Queen</w:t>
      </w:r>
      <w:r w:rsidRPr="00273D10">
        <w:rPr>
          <w:rFonts w:ascii="Times New Roman" w:hAnsi="Times New Roman"/>
          <w:sz w:val="24"/>
        </w:rPr>
        <w:t xml:space="preserve"> (2002) 212 CLR 124 at 130</w:t>
      </w:r>
      <w:r w:rsidRPr="00273D10">
        <w:rPr>
          <w:rFonts w:ascii="Times New Roman" w:hAnsi="Times New Roman"/>
          <w:sz w:val="24"/>
        </w:rPr>
        <w:noBreakHyphen/>
        <w:t>131 [16], 133</w:t>
      </w:r>
      <w:r w:rsidRPr="00273D10">
        <w:rPr>
          <w:rFonts w:ascii="Times New Roman" w:hAnsi="Times New Roman"/>
          <w:sz w:val="24"/>
        </w:rPr>
        <w:noBreakHyphen/>
        <w:t>134 [26]</w:t>
      </w:r>
      <w:r w:rsidRPr="00273D10">
        <w:rPr>
          <w:rFonts w:ascii="Times New Roman" w:hAnsi="Times New Roman"/>
          <w:sz w:val="24"/>
        </w:rPr>
        <w:noBreakHyphen/>
        <w:t>[31], 147</w:t>
      </w:r>
      <w:r w:rsidRPr="00273D10">
        <w:rPr>
          <w:rFonts w:ascii="Times New Roman" w:hAnsi="Times New Roman"/>
          <w:sz w:val="24"/>
        </w:rPr>
        <w:noBreakHyphen/>
        <w:t>149 [74]</w:t>
      </w:r>
      <w:r w:rsidRPr="00273D10">
        <w:rPr>
          <w:rFonts w:ascii="Times New Roman" w:hAnsi="Times New Roman"/>
          <w:sz w:val="24"/>
        </w:rPr>
        <w:noBreakHyphen/>
        <w:t>[78], 159</w:t>
      </w:r>
      <w:r w:rsidRPr="00273D10">
        <w:rPr>
          <w:rFonts w:ascii="Times New Roman" w:hAnsi="Times New Roman"/>
          <w:sz w:val="24"/>
        </w:rPr>
        <w:noBreakHyphen/>
        <w:t>160 [111]</w:t>
      </w:r>
      <w:r w:rsidRPr="00273D10">
        <w:rPr>
          <w:rFonts w:ascii="Times New Roman" w:hAnsi="Times New Roman"/>
          <w:sz w:val="24"/>
        </w:rPr>
        <w:noBreakHyphen/>
        <w:t>[112].</w:t>
      </w:r>
    </w:p>
  </w:footnote>
  <w:footnote w:id="38">
    <w:p w14:paraId="412B3CC1" w14:textId="7126F31C"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[122].</w:t>
      </w:r>
    </w:p>
  </w:footnote>
  <w:footnote w:id="39">
    <w:p w14:paraId="3ABC7405" w14:textId="4D2C9AAB"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iCs/>
          <w:sz w:val="24"/>
        </w:rPr>
        <w:t>Nudd v The Queen</w:t>
      </w:r>
      <w:r w:rsidRPr="00273D10">
        <w:rPr>
          <w:rFonts w:ascii="Times New Roman" w:hAnsi="Times New Roman"/>
          <w:sz w:val="24"/>
        </w:rPr>
        <w:t xml:space="preserve"> (2006) 80 ALJR 614 at 618 [9]; 225 ALR 161 at 164; </w:t>
      </w:r>
      <w:r w:rsidRPr="00273D10">
        <w:rPr>
          <w:rFonts w:ascii="Times New Roman" w:hAnsi="Times New Roman"/>
          <w:i/>
          <w:iCs/>
          <w:sz w:val="24"/>
        </w:rPr>
        <w:t>R v Baden</w:t>
      </w:r>
      <w:r w:rsidRPr="00273D10">
        <w:rPr>
          <w:rFonts w:ascii="Times New Roman" w:hAnsi="Times New Roman"/>
          <w:i/>
          <w:iCs/>
          <w:sz w:val="24"/>
        </w:rPr>
        <w:noBreakHyphen/>
        <w:t>Clay</w:t>
      </w:r>
      <w:r w:rsidRPr="00273D10">
        <w:rPr>
          <w:rFonts w:ascii="Times New Roman" w:hAnsi="Times New Roman"/>
          <w:sz w:val="24"/>
        </w:rPr>
        <w:t xml:space="preserve"> (2016) 258 CLR 308 at 324 [48].</w:t>
      </w:r>
    </w:p>
  </w:footnote>
  <w:footnote w:id="40">
    <w:p w14:paraId="6ABBBE54" w14:textId="77777777"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t>(2019) 268 CLR 57 at 70 [35].</w:t>
      </w:r>
    </w:p>
  </w:footnote>
  <w:footnote w:id="41">
    <w:p w14:paraId="6AE924F5" w14:textId="190F39EB" w:rsidR="00386822" w:rsidRPr="00273D10" w:rsidRDefault="00386822" w:rsidP="00273D10">
      <w:pPr>
        <w:pStyle w:val="FootnoteText"/>
        <w:spacing w:line="280" w:lineRule="exact"/>
        <w:ind w:right="0"/>
        <w:jc w:val="both"/>
        <w:rPr>
          <w:rFonts w:ascii="Times New Roman" w:hAnsi="Times New Roman"/>
          <w:sz w:val="24"/>
        </w:rPr>
      </w:pPr>
      <w:r w:rsidRPr="00273D10">
        <w:rPr>
          <w:rStyle w:val="FootnoteReference"/>
          <w:rFonts w:ascii="Times New Roman" w:hAnsi="Times New Roman"/>
          <w:sz w:val="22"/>
          <w:vertAlign w:val="baseline"/>
        </w:rPr>
        <w:footnoteRef/>
      </w:r>
      <w:r w:rsidRPr="00273D10">
        <w:rPr>
          <w:rFonts w:ascii="Times New Roman" w:hAnsi="Times New Roman"/>
          <w:sz w:val="24"/>
        </w:rPr>
        <w:t xml:space="preserve"> </w:t>
      </w:r>
      <w:r w:rsidRPr="00273D10">
        <w:rPr>
          <w:rFonts w:ascii="Times New Roman" w:hAnsi="Times New Roman"/>
          <w:sz w:val="24"/>
        </w:rPr>
        <w:tab/>
      </w:r>
      <w:r w:rsidRPr="00273D10">
        <w:rPr>
          <w:rFonts w:ascii="Times New Roman" w:hAnsi="Times New Roman"/>
          <w:i/>
          <w:sz w:val="24"/>
        </w:rPr>
        <w:t xml:space="preserve">Hamilton (a pseudonym) v The Queen </w:t>
      </w:r>
      <w:r w:rsidRPr="00273D10">
        <w:rPr>
          <w:rFonts w:ascii="Times New Roman" w:hAnsi="Times New Roman"/>
          <w:sz w:val="24"/>
        </w:rPr>
        <w:t>[2020] NSWCCA 80 at [119].</w:t>
      </w:r>
    </w:p>
  </w:footnote>
  <w:footnote w:id="42">
    <w:p w14:paraId="700454FD"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r>
      <w:r w:rsidRPr="009856B8">
        <w:rPr>
          <w:rFonts w:ascii="Times New Roman" w:hAnsi="Times New Roman"/>
          <w:i/>
          <w:sz w:val="24"/>
        </w:rPr>
        <w:t xml:space="preserve">Mraz v The Queen </w:t>
      </w:r>
      <w:r w:rsidRPr="009856B8">
        <w:rPr>
          <w:rFonts w:ascii="Times New Roman" w:hAnsi="Times New Roman"/>
          <w:sz w:val="24"/>
        </w:rPr>
        <w:t xml:space="preserve">(1955) 93 CLR 493 at 514; </w:t>
      </w:r>
      <w:r w:rsidRPr="009856B8">
        <w:rPr>
          <w:rFonts w:ascii="Times New Roman" w:hAnsi="Times New Roman"/>
          <w:i/>
          <w:sz w:val="24"/>
        </w:rPr>
        <w:t>Weiss</w:t>
      </w:r>
      <w:r w:rsidRPr="009856B8">
        <w:rPr>
          <w:rFonts w:ascii="Times New Roman" w:hAnsi="Times New Roman"/>
          <w:sz w:val="24"/>
        </w:rPr>
        <w:t xml:space="preserve"> </w:t>
      </w:r>
      <w:r w:rsidRPr="009856B8">
        <w:rPr>
          <w:rFonts w:ascii="Times New Roman" w:hAnsi="Times New Roman"/>
          <w:i/>
          <w:sz w:val="24"/>
        </w:rPr>
        <w:t xml:space="preserve">v The Queen </w:t>
      </w:r>
      <w:r w:rsidRPr="009856B8">
        <w:rPr>
          <w:rFonts w:ascii="Times New Roman" w:hAnsi="Times New Roman"/>
          <w:sz w:val="24"/>
        </w:rPr>
        <w:t>(2005) 224 CLR 300 at 308 [18], 311 [27].</w:t>
      </w:r>
    </w:p>
  </w:footnote>
  <w:footnote w:id="43">
    <w:p w14:paraId="713D5888"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r>
      <w:r w:rsidRPr="009856B8">
        <w:rPr>
          <w:rFonts w:ascii="Times New Roman" w:hAnsi="Times New Roman"/>
          <w:i/>
          <w:sz w:val="24"/>
        </w:rPr>
        <w:t xml:space="preserve">BRS v The Queen </w:t>
      </w:r>
      <w:r w:rsidRPr="009856B8">
        <w:rPr>
          <w:rFonts w:ascii="Times New Roman" w:hAnsi="Times New Roman"/>
          <w:sz w:val="24"/>
        </w:rPr>
        <w:t xml:space="preserve">(1997) 191 CLR 275 at 294, quoting </w:t>
      </w:r>
      <w:r w:rsidRPr="009856B8">
        <w:rPr>
          <w:rFonts w:ascii="Times New Roman" w:hAnsi="Times New Roman"/>
          <w:i/>
          <w:sz w:val="24"/>
        </w:rPr>
        <w:t>B v The Queen</w:t>
      </w:r>
      <w:r w:rsidRPr="009856B8">
        <w:rPr>
          <w:rFonts w:ascii="Times New Roman" w:hAnsi="Times New Roman"/>
          <w:sz w:val="24"/>
        </w:rPr>
        <w:t xml:space="preserve"> (1992) 175 CLR 599 at 607-608.</w:t>
      </w:r>
    </w:p>
  </w:footnote>
  <w:footnote w:id="44">
    <w:p w14:paraId="597A4587"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t>(1984) 152 CLR 528 at 545.</w:t>
      </w:r>
    </w:p>
  </w:footnote>
  <w:footnote w:id="45">
    <w:p w14:paraId="42CA2A14"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r>
      <w:r w:rsidRPr="009856B8">
        <w:rPr>
          <w:rFonts w:ascii="Times New Roman" w:hAnsi="Times New Roman"/>
          <w:i/>
          <w:sz w:val="24"/>
        </w:rPr>
        <w:t>BRS</w:t>
      </w:r>
      <w:r w:rsidRPr="009856B8">
        <w:rPr>
          <w:rFonts w:ascii="Times New Roman" w:hAnsi="Times New Roman"/>
          <w:sz w:val="24"/>
        </w:rPr>
        <w:t xml:space="preserve"> </w:t>
      </w:r>
      <w:r w:rsidRPr="009856B8">
        <w:rPr>
          <w:rFonts w:ascii="Times New Roman" w:hAnsi="Times New Roman"/>
          <w:i/>
          <w:sz w:val="24"/>
        </w:rPr>
        <w:t xml:space="preserve">v The Queen </w:t>
      </w:r>
      <w:r w:rsidRPr="009856B8">
        <w:rPr>
          <w:rFonts w:ascii="Times New Roman" w:hAnsi="Times New Roman"/>
          <w:sz w:val="24"/>
        </w:rPr>
        <w:t>(1997) 191 CLR 275 at 308.</w:t>
      </w:r>
    </w:p>
  </w:footnote>
  <w:footnote w:id="46">
    <w:p w14:paraId="60BD1988"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r>
      <w:r w:rsidRPr="009856B8">
        <w:rPr>
          <w:rFonts w:ascii="Times New Roman" w:hAnsi="Times New Roman"/>
          <w:i/>
          <w:sz w:val="24"/>
        </w:rPr>
        <w:t>Perry v The Queen</w:t>
      </w:r>
      <w:r w:rsidRPr="009856B8">
        <w:rPr>
          <w:rFonts w:ascii="Times New Roman" w:hAnsi="Times New Roman"/>
          <w:sz w:val="24"/>
        </w:rPr>
        <w:t xml:space="preserve"> (1982) 150 CLR 580 at 585; </w:t>
      </w:r>
      <w:r w:rsidRPr="009856B8">
        <w:rPr>
          <w:rFonts w:ascii="Times New Roman" w:hAnsi="Times New Roman"/>
          <w:i/>
          <w:sz w:val="24"/>
        </w:rPr>
        <w:t xml:space="preserve">Gilbert v The Queen </w:t>
      </w:r>
      <w:r w:rsidRPr="009856B8">
        <w:rPr>
          <w:rFonts w:ascii="Times New Roman" w:hAnsi="Times New Roman"/>
          <w:sz w:val="24"/>
        </w:rPr>
        <w:t xml:space="preserve">(2000) 201 CLR 414 at 420 [13]; </w:t>
      </w:r>
      <w:r w:rsidRPr="009856B8">
        <w:rPr>
          <w:rFonts w:ascii="Times New Roman" w:hAnsi="Times New Roman"/>
          <w:i/>
          <w:sz w:val="24"/>
        </w:rPr>
        <w:t>Hughes v The Queen</w:t>
      </w:r>
      <w:r w:rsidRPr="009856B8">
        <w:rPr>
          <w:rFonts w:ascii="Times New Roman" w:hAnsi="Times New Roman"/>
          <w:sz w:val="24"/>
        </w:rPr>
        <w:t xml:space="preserve"> (2017) 263 CLR 338 at 365-366 [71]</w:t>
      </w:r>
      <w:r>
        <w:rPr>
          <w:rFonts w:ascii="Times New Roman" w:hAnsi="Times New Roman"/>
          <w:sz w:val="24"/>
        </w:rPr>
        <w:noBreakHyphen/>
      </w:r>
      <w:r w:rsidRPr="009856B8">
        <w:rPr>
          <w:rFonts w:ascii="Times New Roman" w:hAnsi="Times New Roman"/>
          <w:sz w:val="24"/>
        </w:rPr>
        <w:t>[73].</w:t>
      </w:r>
    </w:p>
  </w:footnote>
  <w:footnote w:id="47">
    <w:p w14:paraId="51894F32"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t xml:space="preserve">See McClellan, "Who is telling the truth? Psychology, common sense and the law" (2006) 80 </w:t>
      </w:r>
      <w:r w:rsidRPr="009856B8">
        <w:rPr>
          <w:rFonts w:ascii="Times New Roman" w:hAnsi="Times New Roman"/>
          <w:i/>
          <w:sz w:val="24"/>
        </w:rPr>
        <w:t xml:space="preserve">Australian Law Journal </w:t>
      </w:r>
      <w:r w:rsidRPr="009856B8">
        <w:rPr>
          <w:rFonts w:ascii="Times New Roman" w:hAnsi="Times New Roman"/>
          <w:sz w:val="24"/>
        </w:rPr>
        <w:t>655 at 657.</w:t>
      </w:r>
    </w:p>
  </w:footnote>
  <w:footnote w:id="48">
    <w:p w14:paraId="1BB0145F"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t xml:space="preserve">[1975] AC 421 at 459. More recently, in </w:t>
      </w:r>
      <w:r w:rsidRPr="009856B8">
        <w:rPr>
          <w:rFonts w:ascii="Times New Roman" w:hAnsi="Times New Roman"/>
          <w:i/>
          <w:sz w:val="24"/>
        </w:rPr>
        <w:t>Hughes v The Queen</w:t>
      </w:r>
      <w:r w:rsidRPr="009856B8">
        <w:rPr>
          <w:rFonts w:ascii="Times New Roman" w:hAnsi="Times New Roman"/>
          <w:sz w:val="24"/>
        </w:rPr>
        <w:t xml:space="preserve"> (2017) 263 CLR 338 at 403 [172], Nettle J concluded, in a trial involving multiple allegations of sexual assault and multiple complainants, that the process of reasoning that would have been required of a properly directed jury was so complex as to have required two separate trials.</w:t>
      </w:r>
    </w:p>
  </w:footnote>
  <w:footnote w:id="49">
    <w:p w14:paraId="4D0A46DE"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r>
      <w:r w:rsidRPr="009856B8">
        <w:rPr>
          <w:rFonts w:ascii="Times New Roman" w:hAnsi="Times New Roman"/>
          <w:i/>
          <w:sz w:val="24"/>
        </w:rPr>
        <w:t>KRM v The Queen</w:t>
      </w:r>
      <w:r w:rsidRPr="009856B8">
        <w:rPr>
          <w:rFonts w:ascii="Times New Roman" w:hAnsi="Times New Roman"/>
          <w:sz w:val="24"/>
        </w:rPr>
        <w:t xml:space="preserve"> (2001) 206 CLR 221 at 254 [97].</w:t>
      </w:r>
    </w:p>
  </w:footnote>
  <w:footnote w:id="50">
    <w:p w14:paraId="1E4DA1FF"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r>
      <w:r w:rsidRPr="009856B8">
        <w:rPr>
          <w:rFonts w:ascii="Times New Roman" w:hAnsi="Times New Roman"/>
          <w:i/>
          <w:sz w:val="24"/>
        </w:rPr>
        <w:t>T</w:t>
      </w:r>
      <w:r w:rsidRPr="009856B8">
        <w:rPr>
          <w:rFonts w:ascii="Times New Roman" w:hAnsi="Times New Roman"/>
          <w:sz w:val="24"/>
        </w:rPr>
        <w:t xml:space="preserve"> (1996) 86 A Crim R 293 at 299. See also </w:t>
      </w:r>
      <w:r w:rsidRPr="009856B8">
        <w:rPr>
          <w:rFonts w:ascii="Times New Roman" w:hAnsi="Times New Roman"/>
          <w:i/>
          <w:sz w:val="24"/>
        </w:rPr>
        <w:t xml:space="preserve">Hughes v The Queen </w:t>
      </w:r>
      <w:r w:rsidRPr="009856B8">
        <w:rPr>
          <w:rFonts w:ascii="Times New Roman" w:hAnsi="Times New Roman"/>
          <w:sz w:val="24"/>
        </w:rPr>
        <w:t>(2017) 263 CLR 338 at 361</w:t>
      </w:r>
      <w:r w:rsidRPr="009856B8">
        <w:rPr>
          <w:rFonts w:ascii="Times New Roman" w:hAnsi="Times New Roman"/>
          <w:sz w:val="24"/>
        </w:rPr>
        <w:noBreakHyphen/>
        <w:t>362 [59]</w:t>
      </w:r>
      <w:r w:rsidRPr="009856B8">
        <w:rPr>
          <w:rFonts w:ascii="Times New Roman" w:hAnsi="Times New Roman"/>
          <w:sz w:val="24"/>
        </w:rPr>
        <w:noBreakHyphen/>
        <w:t>[60], 377 [109], 403 [172].</w:t>
      </w:r>
    </w:p>
  </w:footnote>
  <w:footnote w:id="51">
    <w:p w14:paraId="234C63F8"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t xml:space="preserve">See </w:t>
      </w:r>
      <w:r w:rsidRPr="009856B8">
        <w:rPr>
          <w:rFonts w:ascii="Times New Roman" w:hAnsi="Times New Roman"/>
          <w:i/>
          <w:sz w:val="24"/>
        </w:rPr>
        <w:t>Director of Public Prosecutions v Boardman</w:t>
      </w:r>
      <w:r w:rsidRPr="009856B8">
        <w:rPr>
          <w:rFonts w:ascii="Times New Roman" w:hAnsi="Times New Roman"/>
          <w:sz w:val="24"/>
        </w:rPr>
        <w:t xml:space="preserve"> [1975] AC 421 at 459; </w:t>
      </w:r>
      <w:r w:rsidRPr="009856B8">
        <w:rPr>
          <w:rFonts w:ascii="Times New Roman" w:hAnsi="Times New Roman"/>
          <w:i/>
          <w:sz w:val="24"/>
        </w:rPr>
        <w:t>Sutton v The Queen</w:t>
      </w:r>
      <w:r w:rsidRPr="009856B8">
        <w:rPr>
          <w:rFonts w:ascii="Times New Roman" w:hAnsi="Times New Roman"/>
          <w:sz w:val="24"/>
        </w:rPr>
        <w:t xml:space="preserve"> (1984) 152 CLR 528 at 531, 541</w:t>
      </w:r>
      <w:r w:rsidRPr="009856B8">
        <w:rPr>
          <w:rFonts w:ascii="Times New Roman" w:hAnsi="Times New Roman"/>
          <w:sz w:val="24"/>
        </w:rPr>
        <w:noBreakHyphen/>
        <w:t xml:space="preserve">542; </w:t>
      </w:r>
      <w:r w:rsidRPr="009856B8">
        <w:rPr>
          <w:rFonts w:ascii="Times New Roman" w:hAnsi="Times New Roman"/>
          <w:i/>
          <w:sz w:val="24"/>
        </w:rPr>
        <w:t>De Jesus v The Queen</w:t>
      </w:r>
      <w:r w:rsidRPr="009856B8">
        <w:rPr>
          <w:rFonts w:ascii="Times New Roman" w:hAnsi="Times New Roman"/>
          <w:sz w:val="24"/>
        </w:rPr>
        <w:t xml:space="preserve"> (1986) 61 ALJR 1 at 3; 68 ALR 1 at 4-5.</w:t>
      </w:r>
    </w:p>
  </w:footnote>
  <w:footnote w:id="52">
    <w:p w14:paraId="44A3DAA4"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r>
      <w:r w:rsidRPr="009856B8">
        <w:rPr>
          <w:rFonts w:ascii="Times New Roman" w:hAnsi="Times New Roman"/>
          <w:i/>
          <w:sz w:val="24"/>
        </w:rPr>
        <w:t>R v Johnson</w:t>
      </w:r>
      <w:r w:rsidRPr="009856B8">
        <w:rPr>
          <w:rFonts w:ascii="Times New Roman" w:hAnsi="Times New Roman"/>
          <w:sz w:val="24"/>
        </w:rPr>
        <w:t xml:space="preserve"> (unreported, New South Wales Court of Criminal Appeal, 23 July 1990).</w:t>
      </w:r>
    </w:p>
  </w:footnote>
  <w:footnote w:id="53">
    <w:p w14:paraId="5D078C3C"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t>(2001) 206 CLR 221 at 235 [38].</w:t>
      </w:r>
    </w:p>
  </w:footnote>
  <w:footnote w:id="54">
    <w:p w14:paraId="059BBEA7"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t>(2011) 242 CLR 610 at 625 [47].</w:t>
      </w:r>
    </w:p>
  </w:footnote>
  <w:footnote w:id="55">
    <w:p w14:paraId="42EDD2E0"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r>
      <w:r w:rsidRPr="009856B8">
        <w:rPr>
          <w:rFonts w:ascii="Times New Roman" w:hAnsi="Times New Roman"/>
          <w:i/>
          <w:sz w:val="24"/>
        </w:rPr>
        <w:t>BRS</w:t>
      </w:r>
      <w:r w:rsidRPr="009856B8">
        <w:rPr>
          <w:rFonts w:ascii="Times New Roman" w:hAnsi="Times New Roman"/>
          <w:sz w:val="24"/>
        </w:rPr>
        <w:t xml:space="preserve"> </w:t>
      </w:r>
      <w:r w:rsidRPr="009856B8">
        <w:rPr>
          <w:rFonts w:ascii="Times New Roman" w:hAnsi="Times New Roman"/>
          <w:i/>
          <w:sz w:val="24"/>
        </w:rPr>
        <w:t xml:space="preserve">v The Queen </w:t>
      </w:r>
      <w:r w:rsidRPr="009856B8">
        <w:rPr>
          <w:rFonts w:ascii="Times New Roman" w:hAnsi="Times New Roman"/>
          <w:sz w:val="24"/>
        </w:rPr>
        <w:t xml:space="preserve">(1997) 191 CLR 275 at 306. See also </w:t>
      </w:r>
      <w:r w:rsidRPr="009856B8">
        <w:rPr>
          <w:rFonts w:ascii="Times New Roman" w:hAnsi="Times New Roman"/>
          <w:i/>
          <w:sz w:val="24"/>
        </w:rPr>
        <w:t xml:space="preserve">KRM v The Queen </w:t>
      </w:r>
      <w:r w:rsidRPr="009856B8">
        <w:rPr>
          <w:rFonts w:ascii="Times New Roman" w:hAnsi="Times New Roman"/>
          <w:sz w:val="24"/>
        </w:rPr>
        <w:t>(2001) 206 CLR 221 at 234 [37].</w:t>
      </w:r>
    </w:p>
  </w:footnote>
  <w:footnote w:id="56">
    <w:p w14:paraId="38BFBCC8"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r>
      <w:r w:rsidRPr="009856B8">
        <w:rPr>
          <w:rFonts w:ascii="Times New Roman" w:hAnsi="Times New Roman"/>
          <w:i/>
          <w:sz w:val="24"/>
        </w:rPr>
        <w:t xml:space="preserve">BRS v The Queen </w:t>
      </w:r>
      <w:r w:rsidRPr="009856B8">
        <w:rPr>
          <w:rFonts w:ascii="Times New Roman" w:hAnsi="Times New Roman"/>
          <w:sz w:val="24"/>
        </w:rPr>
        <w:t xml:space="preserve">(1997) 191 CLR 275 at 302, 308, 330; </w:t>
      </w:r>
      <w:r w:rsidRPr="009856B8">
        <w:rPr>
          <w:rFonts w:ascii="Times New Roman" w:hAnsi="Times New Roman"/>
          <w:i/>
          <w:sz w:val="24"/>
        </w:rPr>
        <w:t xml:space="preserve">Gipp v The Queen </w:t>
      </w:r>
      <w:r w:rsidRPr="009856B8">
        <w:rPr>
          <w:rFonts w:ascii="Times New Roman" w:hAnsi="Times New Roman"/>
          <w:sz w:val="24"/>
        </w:rPr>
        <w:t xml:space="preserve">(1998) 194 CLR 106 at 166 [175]. See also </w:t>
      </w:r>
      <w:r w:rsidRPr="009856B8">
        <w:rPr>
          <w:rFonts w:ascii="Times New Roman" w:hAnsi="Times New Roman"/>
          <w:i/>
          <w:sz w:val="24"/>
        </w:rPr>
        <w:t xml:space="preserve">Erohin v The Queen </w:t>
      </w:r>
      <w:r w:rsidRPr="009856B8">
        <w:rPr>
          <w:rFonts w:ascii="Times New Roman" w:hAnsi="Times New Roman"/>
          <w:sz w:val="24"/>
        </w:rPr>
        <w:t xml:space="preserve">[2006] NSWCCA 102 at [68]; </w:t>
      </w:r>
      <w:r w:rsidRPr="009856B8">
        <w:rPr>
          <w:rFonts w:ascii="Times New Roman" w:hAnsi="Times New Roman"/>
          <w:i/>
          <w:sz w:val="24"/>
        </w:rPr>
        <w:t xml:space="preserve">Toalepai v The Queen </w:t>
      </w:r>
      <w:r w:rsidRPr="009856B8">
        <w:rPr>
          <w:rFonts w:ascii="Times New Roman" w:hAnsi="Times New Roman"/>
          <w:sz w:val="24"/>
        </w:rPr>
        <w:t xml:space="preserve">[2009] NSWCCA 270 at [46], [49]; </w:t>
      </w:r>
      <w:r w:rsidRPr="009856B8">
        <w:rPr>
          <w:rFonts w:ascii="Times New Roman" w:hAnsi="Times New Roman"/>
          <w:i/>
          <w:sz w:val="24"/>
        </w:rPr>
        <w:t xml:space="preserve">Jiang v The Queen </w:t>
      </w:r>
      <w:r w:rsidRPr="009856B8">
        <w:rPr>
          <w:rFonts w:ascii="Times New Roman" w:hAnsi="Times New Roman"/>
          <w:sz w:val="24"/>
        </w:rPr>
        <w:t xml:space="preserve">[2010] NSWCCA 277 at [44]; </w:t>
      </w:r>
      <w:r w:rsidRPr="009856B8">
        <w:rPr>
          <w:rFonts w:ascii="Times New Roman" w:hAnsi="Times New Roman"/>
          <w:i/>
          <w:sz w:val="24"/>
        </w:rPr>
        <w:t xml:space="preserve">Lyndon v The Queen </w:t>
      </w:r>
      <w:r w:rsidRPr="009856B8">
        <w:rPr>
          <w:rFonts w:ascii="Times New Roman" w:hAnsi="Times New Roman"/>
          <w:sz w:val="24"/>
        </w:rPr>
        <w:t>[2014] NSWCCA 112 at [63].</w:t>
      </w:r>
    </w:p>
  </w:footnote>
  <w:footnote w:id="57">
    <w:p w14:paraId="2EBA2397"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t>(2011) 242 CLR 610 at 625 [47].</w:t>
      </w:r>
    </w:p>
  </w:footnote>
  <w:footnote w:id="58">
    <w:p w14:paraId="35F43704"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t xml:space="preserve">cf </w:t>
      </w:r>
      <w:r w:rsidRPr="009856B8">
        <w:rPr>
          <w:rFonts w:ascii="Times New Roman" w:hAnsi="Times New Roman"/>
          <w:i/>
          <w:sz w:val="24"/>
        </w:rPr>
        <w:t xml:space="preserve">R v Beserick </w:t>
      </w:r>
      <w:r w:rsidRPr="009856B8">
        <w:rPr>
          <w:rFonts w:ascii="Times New Roman" w:hAnsi="Times New Roman"/>
          <w:sz w:val="24"/>
        </w:rPr>
        <w:t>(1993) 30 NSWLR 510 at 516.</w:t>
      </w:r>
    </w:p>
  </w:footnote>
  <w:footnote w:id="59">
    <w:p w14:paraId="74EF6227"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t xml:space="preserve">cf </w:t>
      </w:r>
      <w:r w:rsidRPr="009856B8">
        <w:rPr>
          <w:rFonts w:ascii="Times New Roman" w:hAnsi="Times New Roman"/>
          <w:i/>
          <w:sz w:val="24"/>
        </w:rPr>
        <w:t xml:space="preserve">R v J [No 2] </w:t>
      </w:r>
      <w:r w:rsidRPr="009856B8">
        <w:rPr>
          <w:rFonts w:ascii="Times New Roman" w:hAnsi="Times New Roman"/>
          <w:sz w:val="24"/>
        </w:rPr>
        <w:t xml:space="preserve">[1998] 3 VR 602 at 639; </w:t>
      </w:r>
      <w:r w:rsidRPr="009856B8">
        <w:rPr>
          <w:rFonts w:ascii="Times New Roman" w:hAnsi="Times New Roman"/>
          <w:i/>
          <w:sz w:val="24"/>
        </w:rPr>
        <w:t xml:space="preserve">R v Robertson </w:t>
      </w:r>
      <w:r w:rsidRPr="009856B8">
        <w:rPr>
          <w:rFonts w:ascii="Times New Roman" w:hAnsi="Times New Roman"/>
          <w:sz w:val="24"/>
        </w:rPr>
        <w:t>[1998] 4 VR 30 at 40.</w:t>
      </w:r>
    </w:p>
  </w:footnote>
  <w:footnote w:id="60">
    <w:p w14:paraId="1E9559DF"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t xml:space="preserve">See </w:t>
      </w:r>
      <w:r w:rsidRPr="009856B8">
        <w:rPr>
          <w:rFonts w:ascii="Times New Roman" w:hAnsi="Times New Roman"/>
          <w:i/>
          <w:sz w:val="24"/>
        </w:rPr>
        <w:t xml:space="preserve">Hamilton (a pseudonym) v The Queen </w:t>
      </w:r>
      <w:r w:rsidRPr="009856B8">
        <w:rPr>
          <w:rFonts w:ascii="Times New Roman" w:hAnsi="Times New Roman"/>
          <w:sz w:val="24"/>
        </w:rPr>
        <w:t>[2020] NSWCCA 80 at [35].</w:t>
      </w:r>
    </w:p>
  </w:footnote>
  <w:footnote w:id="61">
    <w:p w14:paraId="62A58279"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t xml:space="preserve">(2001) 206 CLR 221 at 234 [36]. See also </w:t>
      </w:r>
      <w:r w:rsidRPr="009856B8">
        <w:rPr>
          <w:rFonts w:ascii="Times New Roman" w:hAnsi="Times New Roman"/>
          <w:i/>
          <w:sz w:val="24"/>
        </w:rPr>
        <w:t xml:space="preserve">R v Markuleski </w:t>
      </w:r>
      <w:r w:rsidRPr="009856B8">
        <w:rPr>
          <w:rFonts w:ascii="Times New Roman" w:hAnsi="Times New Roman"/>
          <w:sz w:val="24"/>
        </w:rPr>
        <w:t xml:space="preserve">(2001) 52 NSWLR 82 at 92 [33]. </w:t>
      </w:r>
    </w:p>
  </w:footnote>
  <w:footnote w:id="62">
    <w:p w14:paraId="028B3A39"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t xml:space="preserve">See </w:t>
      </w:r>
      <w:r w:rsidRPr="009856B8">
        <w:rPr>
          <w:rFonts w:ascii="Times New Roman" w:hAnsi="Times New Roman"/>
          <w:i/>
          <w:sz w:val="24"/>
        </w:rPr>
        <w:t xml:space="preserve">Hamilton (a pseudonym) v The Queen </w:t>
      </w:r>
      <w:r w:rsidRPr="009856B8">
        <w:rPr>
          <w:rFonts w:ascii="Times New Roman" w:hAnsi="Times New Roman"/>
          <w:sz w:val="24"/>
        </w:rPr>
        <w:t>[2020] NSWCCA 80 at [104].</w:t>
      </w:r>
    </w:p>
  </w:footnote>
  <w:footnote w:id="63">
    <w:p w14:paraId="32453D27"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r>
      <w:hyperlink r:id="rId1" w:tooltip="View LawCiteRecord" w:history="1">
        <w:r w:rsidRPr="009856B8">
          <w:rPr>
            <w:rFonts w:ascii="Times New Roman" w:hAnsi="Times New Roman"/>
            <w:sz w:val="24"/>
          </w:rPr>
          <w:t>(1987) 11 NSWLR 12</w:t>
        </w:r>
      </w:hyperlink>
      <w:r w:rsidRPr="009856B8">
        <w:rPr>
          <w:rFonts w:ascii="Times New Roman" w:hAnsi="Times New Roman"/>
          <w:sz w:val="24"/>
        </w:rPr>
        <w:t xml:space="preserve"> at 19.</w:t>
      </w:r>
    </w:p>
  </w:footnote>
  <w:footnote w:id="64">
    <w:p w14:paraId="2547CD99" w14:textId="77777777" w:rsidR="00C40BDF" w:rsidRPr="009856B8" w:rsidRDefault="00C40BDF" w:rsidP="009856B8">
      <w:pPr>
        <w:pStyle w:val="FootnoteText"/>
        <w:spacing w:line="280" w:lineRule="exact"/>
        <w:ind w:right="0"/>
        <w:jc w:val="both"/>
        <w:rPr>
          <w:rFonts w:ascii="Times New Roman" w:hAnsi="Times New Roman"/>
          <w:i/>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t xml:space="preserve">(1999) 197 CLR 162 at 168-169 [21]. See also </w:t>
      </w:r>
      <w:r w:rsidRPr="009856B8">
        <w:rPr>
          <w:rFonts w:ascii="Times New Roman" w:hAnsi="Times New Roman"/>
          <w:i/>
          <w:sz w:val="24"/>
        </w:rPr>
        <w:t xml:space="preserve">Tully v The Queen </w:t>
      </w:r>
      <w:r w:rsidRPr="009856B8">
        <w:rPr>
          <w:rFonts w:ascii="Times New Roman" w:hAnsi="Times New Roman"/>
          <w:sz w:val="24"/>
        </w:rPr>
        <w:t>(2006) 230 CLR 234 at 252-253 [55]-[59], 260 [89].</w:t>
      </w:r>
    </w:p>
  </w:footnote>
  <w:footnote w:id="65">
    <w:p w14:paraId="4EA73B8D"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t>(1997) 191 CLR 275 at 308.</w:t>
      </w:r>
    </w:p>
  </w:footnote>
  <w:footnote w:id="66">
    <w:p w14:paraId="00A46951"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r>
      <w:r w:rsidRPr="009856B8">
        <w:rPr>
          <w:rFonts w:ascii="Times New Roman" w:hAnsi="Times New Roman"/>
          <w:i/>
          <w:sz w:val="24"/>
        </w:rPr>
        <w:t xml:space="preserve">Hamilton (a pseudonym) v The Queen </w:t>
      </w:r>
      <w:r w:rsidRPr="009856B8">
        <w:rPr>
          <w:rFonts w:ascii="Times New Roman" w:hAnsi="Times New Roman"/>
          <w:sz w:val="24"/>
        </w:rPr>
        <w:t>[2020] NSWCCA 80 at [113].</w:t>
      </w:r>
    </w:p>
  </w:footnote>
  <w:footnote w:id="67">
    <w:p w14:paraId="3E68FAC7"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r>
      <w:r w:rsidRPr="009856B8">
        <w:rPr>
          <w:rFonts w:ascii="Times New Roman" w:hAnsi="Times New Roman"/>
          <w:i/>
          <w:sz w:val="24"/>
        </w:rPr>
        <w:t xml:space="preserve">De Silva v The Queen </w:t>
      </w:r>
      <w:r w:rsidRPr="009856B8">
        <w:rPr>
          <w:rFonts w:ascii="Times New Roman" w:hAnsi="Times New Roman"/>
          <w:sz w:val="24"/>
        </w:rPr>
        <w:t xml:space="preserve">(2019) 268 CLR 57 at 70 [35]. See also </w:t>
      </w:r>
      <w:r w:rsidRPr="009856B8">
        <w:rPr>
          <w:rFonts w:ascii="Times New Roman" w:hAnsi="Times New Roman"/>
          <w:i/>
          <w:sz w:val="24"/>
        </w:rPr>
        <w:t xml:space="preserve">BRS v The Queen </w:t>
      </w:r>
      <w:r w:rsidRPr="009856B8">
        <w:rPr>
          <w:rFonts w:ascii="Times New Roman" w:hAnsi="Times New Roman"/>
          <w:sz w:val="24"/>
        </w:rPr>
        <w:t xml:space="preserve">(1997) 191 CLR 275 at 294-295, 302; </w:t>
      </w:r>
      <w:r w:rsidRPr="009856B8">
        <w:rPr>
          <w:rFonts w:ascii="Times New Roman" w:hAnsi="Times New Roman"/>
          <w:i/>
          <w:sz w:val="24"/>
        </w:rPr>
        <w:t xml:space="preserve">KRM v The Queen </w:t>
      </w:r>
      <w:r w:rsidRPr="009856B8">
        <w:rPr>
          <w:rFonts w:ascii="Times New Roman" w:hAnsi="Times New Roman"/>
          <w:sz w:val="24"/>
        </w:rPr>
        <w:t>(2001) 206 CLR 221 at 255-256 [101].</w:t>
      </w:r>
    </w:p>
  </w:footnote>
  <w:footnote w:id="68">
    <w:p w14:paraId="5C698088" w14:textId="77777777" w:rsidR="00C40BDF" w:rsidRPr="009856B8" w:rsidRDefault="00C40BDF" w:rsidP="009856B8">
      <w:pPr>
        <w:pStyle w:val="FootnoteText"/>
        <w:spacing w:line="280" w:lineRule="exact"/>
        <w:ind w:right="0"/>
        <w:jc w:val="both"/>
        <w:rPr>
          <w:rFonts w:ascii="Times New Roman" w:hAnsi="Times New Roman"/>
          <w:sz w:val="24"/>
        </w:rPr>
      </w:pPr>
      <w:r w:rsidRPr="009856B8">
        <w:rPr>
          <w:rStyle w:val="FootnoteReference"/>
          <w:rFonts w:ascii="Times New Roman" w:hAnsi="Times New Roman"/>
          <w:sz w:val="22"/>
          <w:vertAlign w:val="baseline"/>
        </w:rPr>
        <w:footnoteRef/>
      </w:r>
      <w:r w:rsidRPr="009856B8">
        <w:rPr>
          <w:rFonts w:ascii="Times New Roman" w:hAnsi="Times New Roman"/>
          <w:sz w:val="24"/>
        </w:rPr>
        <w:t xml:space="preserve"> </w:t>
      </w:r>
      <w:r w:rsidRPr="009856B8">
        <w:rPr>
          <w:rFonts w:ascii="Times New Roman" w:hAnsi="Times New Roman"/>
          <w:sz w:val="24"/>
        </w:rPr>
        <w:tab/>
      </w:r>
      <w:r w:rsidRPr="009856B8">
        <w:rPr>
          <w:rFonts w:ascii="Times New Roman" w:hAnsi="Times New Roman"/>
          <w:i/>
          <w:sz w:val="24"/>
        </w:rPr>
        <w:t>BRS</w:t>
      </w:r>
      <w:r w:rsidRPr="009856B8">
        <w:rPr>
          <w:rFonts w:ascii="Times New Roman" w:hAnsi="Times New Roman"/>
          <w:sz w:val="24"/>
        </w:rPr>
        <w:t xml:space="preserve"> </w:t>
      </w:r>
      <w:r w:rsidRPr="009856B8">
        <w:rPr>
          <w:rFonts w:ascii="Times New Roman" w:hAnsi="Times New Roman"/>
          <w:i/>
          <w:sz w:val="24"/>
        </w:rPr>
        <w:t xml:space="preserve">v The Queen </w:t>
      </w:r>
      <w:r w:rsidRPr="009856B8">
        <w:rPr>
          <w:rFonts w:ascii="Times New Roman" w:hAnsi="Times New Roman"/>
          <w:sz w:val="24"/>
        </w:rPr>
        <w:t>(1997) 191 CLR 275 at 302, 306, 328.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17D0" w14:textId="77777777" w:rsidR="00273D10" w:rsidRPr="00614472" w:rsidRDefault="00273D10" w:rsidP="00614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0F91" w14:textId="1D3A60DD" w:rsidR="00273D10" w:rsidRPr="00614472" w:rsidRDefault="00614472" w:rsidP="00614472">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D1E87" w14:textId="4BF9D254" w:rsidR="00386822" w:rsidRPr="00614472" w:rsidRDefault="00386822" w:rsidP="006144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4155" w14:textId="77777777" w:rsidR="00614472" w:rsidRPr="00273D10" w:rsidRDefault="00614472" w:rsidP="00273D10">
    <w:pPr>
      <w:pStyle w:val="Header"/>
      <w:tabs>
        <w:tab w:val="clear" w:pos="4153"/>
        <w:tab w:val="clear" w:pos="8306"/>
        <w:tab w:val="right" w:pos="1304"/>
      </w:tabs>
      <w:spacing w:line="280" w:lineRule="exact"/>
      <w:ind w:firstLine="0"/>
      <w:rPr>
        <w:rFonts w:ascii="Times New Roman" w:hAnsi="Times New Roman"/>
        <w:i/>
        <w:sz w:val="22"/>
      </w:rPr>
    </w:pPr>
    <w:r w:rsidRPr="00273D10">
      <w:rPr>
        <w:rFonts w:ascii="Times New Roman" w:hAnsi="Times New Roman"/>
        <w:i/>
        <w:sz w:val="22"/>
      </w:rPr>
      <w:t>Kiefel</w:t>
    </w:r>
    <w:r w:rsidRPr="00273D10">
      <w:rPr>
        <w:rFonts w:ascii="Times New Roman" w:hAnsi="Times New Roman"/>
        <w:i/>
        <w:sz w:val="22"/>
      </w:rPr>
      <w:tab/>
      <w:t>CJ</w:t>
    </w:r>
  </w:p>
  <w:p w14:paraId="27F92D93" w14:textId="77777777" w:rsidR="00614472" w:rsidRPr="00273D10" w:rsidRDefault="00614472" w:rsidP="00273D10">
    <w:pPr>
      <w:pStyle w:val="Header"/>
      <w:tabs>
        <w:tab w:val="clear" w:pos="4153"/>
        <w:tab w:val="clear" w:pos="8306"/>
        <w:tab w:val="right" w:pos="1304"/>
      </w:tabs>
      <w:spacing w:line="280" w:lineRule="exact"/>
      <w:ind w:firstLine="0"/>
      <w:rPr>
        <w:rFonts w:ascii="Times New Roman" w:hAnsi="Times New Roman"/>
        <w:i/>
        <w:sz w:val="22"/>
      </w:rPr>
    </w:pPr>
    <w:r w:rsidRPr="00273D10">
      <w:rPr>
        <w:rFonts w:ascii="Times New Roman" w:hAnsi="Times New Roman"/>
        <w:i/>
        <w:sz w:val="22"/>
      </w:rPr>
      <w:t>Keane</w:t>
    </w:r>
    <w:r w:rsidRPr="00273D10">
      <w:rPr>
        <w:rFonts w:ascii="Times New Roman" w:hAnsi="Times New Roman"/>
        <w:i/>
        <w:sz w:val="22"/>
      </w:rPr>
      <w:tab/>
      <w:t>J</w:t>
    </w:r>
  </w:p>
  <w:p w14:paraId="1D56361F" w14:textId="77777777" w:rsidR="00614472" w:rsidRDefault="00614472" w:rsidP="00273D1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0F671550" w14:textId="77777777" w:rsidR="00614472" w:rsidRDefault="00614472" w:rsidP="00273D10">
    <w:pPr>
      <w:pStyle w:val="Header"/>
      <w:tabs>
        <w:tab w:val="clear" w:pos="4153"/>
        <w:tab w:val="clear" w:pos="8306"/>
        <w:tab w:val="right" w:pos="1304"/>
      </w:tabs>
      <w:spacing w:line="280" w:lineRule="exact"/>
      <w:ind w:firstLine="0"/>
      <w:rPr>
        <w:rFonts w:ascii="Times New Roman" w:hAnsi="Times New Roman"/>
        <w:i/>
        <w:sz w:val="22"/>
      </w:rPr>
    </w:pPr>
  </w:p>
  <w:p w14:paraId="00A94D92" w14:textId="77777777" w:rsidR="00614472" w:rsidRDefault="00614472" w:rsidP="00273D1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A1193A8" w14:textId="77777777" w:rsidR="00614472" w:rsidRPr="00273D10" w:rsidRDefault="00614472" w:rsidP="00273D1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57A7" w14:textId="77777777" w:rsidR="00614472" w:rsidRPr="00273D10" w:rsidRDefault="00614472" w:rsidP="00273D10">
    <w:pPr>
      <w:pStyle w:val="Header"/>
      <w:tabs>
        <w:tab w:val="clear" w:pos="4153"/>
        <w:tab w:val="clear" w:pos="8306"/>
        <w:tab w:val="left" w:pos="7200"/>
        <w:tab w:val="right" w:pos="8504"/>
      </w:tabs>
      <w:spacing w:line="280" w:lineRule="exact"/>
      <w:jc w:val="right"/>
      <w:rPr>
        <w:rFonts w:ascii="Times New Roman" w:hAnsi="Times New Roman"/>
        <w:i/>
        <w:sz w:val="22"/>
      </w:rPr>
    </w:pPr>
    <w:r w:rsidRPr="00273D10">
      <w:rPr>
        <w:rFonts w:ascii="Times New Roman" w:hAnsi="Times New Roman"/>
        <w:i/>
        <w:sz w:val="22"/>
      </w:rPr>
      <w:tab/>
      <w:t>Kiefel</w:t>
    </w:r>
    <w:r w:rsidRPr="00273D10">
      <w:rPr>
        <w:rFonts w:ascii="Times New Roman" w:hAnsi="Times New Roman"/>
        <w:i/>
        <w:sz w:val="22"/>
      </w:rPr>
      <w:tab/>
      <w:t>CJ</w:t>
    </w:r>
  </w:p>
  <w:p w14:paraId="74385345" w14:textId="77777777" w:rsidR="00614472" w:rsidRPr="00273D10" w:rsidRDefault="00614472" w:rsidP="00273D10">
    <w:pPr>
      <w:pStyle w:val="Header"/>
      <w:tabs>
        <w:tab w:val="clear" w:pos="4153"/>
        <w:tab w:val="clear" w:pos="8306"/>
        <w:tab w:val="left" w:pos="7200"/>
        <w:tab w:val="right" w:pos="8504"/>
      </w:tabs>
      <w:spacing w:line="280" w:lineRule="exact"/>
      <w:jc w:val="right"/>
      <w:rPr>
        <w:rFonts w:ascii="Times New Roman" w:hAnsi="Times New Roman"/>
        <w:i/>
        <w:sz w:val="22"/>
      </w:rPr>
    </w:pPr>
    <w:r w:rsidRPr="00273D10">
      <w:rPr>
        <w:rFonts w:ascii="Times New Roman" w:hAnsi="Times New Roman"/>
        <w:i/>
        <w:sz w:val="22"/>
      </w:rPr>
      <w:tab/>
      <w:t>Keane</w:t>
    </w:r>
    <w:r w:rsidRPr="00273D10">
      <w:rPr>
        <w:rFonts w:ascii="Times New Roman" w:hAnsi="Times New Roman"/>
        <w:i/>
        <w:sz w:val="22"/>
      </w:rPr>
      <w:tab/>
      <w:t>J</w:t>
    </w:r>
  </w:p>
  <w:p w14:paraId="2FDF6159" w14:textId="77777777" w:rsidR="00614472" w:rsidRDefault="00614472" w:rsidP="00273D1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27A660BC" w14:textId="77777777" w:rsidR="00614472" w:rsidRDefault="00614472" w:rsidP="00273D10">
    <w:pPr>
      <w:pStyle w:val="Header"/>
      <w:tabs>
        <w:tab w:val="clear" w:pos="4153"/>
        <w:tab w:val="clear" w:pos="8306"/>
        <w:tab w:val="left" w:pos="7200"/>
        <w:tab w:val="right" w:pos="8504"/>
      </w:tabs>
      <w:spacing w:line="280" w:lineRule="exact"/>
      <w:jc w:val="right"/>
      <w:rPr>
        <w:rFonts w:ascii="Times New Roman" w:hAnsi="Times New Roman"/>
        <w:i/>
        <w:sz w:val="22"/>
      </w:rPr>
    </w:pPr>
  </w:p>
  <w:p w14:paraId="34D9D820" w14:textId="77777777" w:rsidR="00614472" w:rsidRDefault="00614472" w:rsidP="00273D1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4451693" w14:textId="77777777" w:rsidR="00614472" w:rsidRPr="00273D10" w:rsidRDefault="00614472" w:rsidP="00273D1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DFEBB" w14:textId="77777777" w:rsidR="00614472" w:rsidRDefault="00614472" w:rsidP="00273D10">
    <w:pPr>
      <w:pStyle w:val="Header"/>
      <w:tabs>
        <w:tab w:val="clear" w:pos="4153"/>
        <w:tab w:val="clear" w:pos="8306"/>
        <w:tab w:val="center" w:pos="1134"/>
      </w:tabs>
      <w:spacing w:line="280" w:lineRule="exact"/>
      <w:ind w:firstLine="0"/>
      <w:rPr>
        <w:rFonts w:ascii="Times New Roman" w:hAnsi="Times New Roman"/>
        <w:i/>
        <w:sz w:val="22"/>
      </w:rPr>
    </w:pPr>
  </w:p>
  <w:p w14:paraId="55024DEF" w14:textId="77777777" w:rsidR="00614472" w:rsidRDefault="00614472" w:rsidP="00273D10">
    <w:pPr>
      <w:pStyle w:val="Header"/>
      <w:tabs>
        <w:tab w:val="clear" w:pos="4153"/>
        <w:tab w:val="clear" w:pos="8306"/>
        <w:tab w:val="center" w:pos="1134"/>
      </w:tabs>
      <w:spacing w:line="280" w:lineRule="exact"/>
      <w:ind w:firstLine="0"/>
      <w:rPr>
        <w:rFonts w:ascii="Times New Roman" w:hAnsi="Times New Roman"/>
        <w:i/>
        <w:sz w:val="22"/>
      </w:rPr>
    </w:pPr>
  </w:p>
  <w:p w14:paraId="5474A95B" w14:textId="77777777" w:rsidR="00614472" w:rsidRDefault="00614472" w:rsidP="00273D10">
    <w:pPr>
      <w:pStyle w:val="Header"/>
      <w:tabs>
        <w:tab w:val="clear" w:pos="4153"/>
        <w:tab w:val="clear" w:pos="8306"/>
        <w:tab w:val="center" w:pos="1134"/>
      </w:tabs>
      <w:spacing w:line="280" w:lineRule="exact"/>
      <w:ind w:firstLine="0"/>
      <w:rPr>
        <w:rFonts w:ascii="Times New Roman" w:hAnsi="Times New Roman"/>
        <w:i/>
        <w:sz w:val="22"/>
      </w:rPr>
    </w:pPr>
  </w:p>
  <w:p w14:paraId="1A91F89A" w14:textId="77777777" w:rsidR="00614472" w:rsidRDefault="00614472" w:rsidP="00273D10">
    <w:pPr>
      <w:pStyle w:val="Header"/>
      <w:tabs>
        <w:tab w:val="clear" w:pos="4153"/>
        <w:tab w:val="clear" w:pos="8306"/>
        <w:tab w:val="center" w:pos="1134"/>
      </w:tabs>
      <w:spacing w:line="280" w:lineRule="exact"/>
      <w:ind w:firstLine="0"/>
      <w:rPr>
        <w:rFonts w:ascii="Times New Roman" w:hAnsi="Times New Roman"/>
        <w:i/>
        <w:sz w:val="22"/>
      </w:rPr>
    </w:pPr>
  </w:p>
  <w:p w14:paraId="6CFAFF0A" w14:textId="77777777" w:rsidR="00614472" w:rsidRDefault="00614472" w:rsidP="00273D10">
    <w:pPr>
      <w:pStyle w:val="Header"/>
      <w:tabs>
        <w:tab w:val="clear" w:pos="4153"/>
        <w:tab w:val="clear" w:pos="8306"/>
        <w:tab w:val="center" w:pos="1134"/>
      </w:tabs>
      <w:spacing w:line="280" w:lineRule="exact"/>
      <w:ind w:firstLine="0"/>
      <w:rPr>
        <w:rFonts w:ascii="Times New Roman" w:hAnsi="Times New Roman"/>
        <w:i/>
        <w:sz w:val="22"/>
      </w:rPr>
    </w:pPr>
  </w:p>
  <w:p w14:paraId="74170D54" w14:textId="77777777" w:rsidR="00614472" w:rsidRPr="00273D10" w:rsidRDefault="00614472" w:rsidP="00273D10">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4B759" w14:textId="77777777" w:rsidR="009856B8" w:rsidRPr="009856B8" w:rsidRDefault="00C40BDF" w:rsidP="009856B8">
    <w:pPr>
      <w:pStyle w:val="Header"/>
      <w:tabs>
        <w:tab w:val="clear" w:pos="4153"/>
        <w:tab w:val="clear" w:pos="8306"/>
        <w:tab w:val="right" w:pos="1304"/>
      </w:tabs>
      <w:spacing w:line="280" w:lineRule="exact"/>
      <w:ind w:firstLine="0"/>
      <w:rPr>
        <w:rFonts w:ascii="Times New Roman" w:hAnsi="Times New Roman"/>
        <w:i/>
        <w:sz w:val="22"/>
      </w:rPr>
    </w:pPr>
    <w:r w:rsidRPr="009856B8">
      <w:rPr>
        <w:rFonts w:ascii="Times New Roman" w:hAnsi="Times New Roman"/>
        <w:i/>
        <w:sz w:val="22"/>
      </w:rPr>
      <w:t>Edelman</w:t>
    </w:r>
    <w:r w:rsidRPr="009856B8">
      <w:rPr>
        <w:rFonts w:ascii="Times New Roman" w:hAnsi="Times New Roman"/>
        <w:i/>
        <w:sz w:val="22"/>
      </w:rPr>
      <w:tab/>
      <w:t>J</w:t>
    </w:r>
  </w:p>
  <w:p w14:paraId="56AAB848" w14:textId="77777777" w:rsidR="009856B8" w:rsidRDefault="00C40BDF" w:rsidP="009856B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6E6C9206" w14:textId="77777777" w:rsidR="009856B8" w:rsidRDefault="005D4EAB" w:rsidP="009856B8">
    <w:pPr>
      <w:pStyle w:val="Header"/>
      <w:tabs>
        <w:tab w:val="clear" w:pos="4153"/>
        <w:tab w:val="clear" w:pos="8306"/>
        <w:tab w:val="right" w:pos="1304"/>
      </w:tabs>
      <w:spacing w:line="280" w:lineRule="exact"/>
      <w:ind w:firstLine="0"/>
      <w:rPr>
        <w:rFonts w:ascii="Times New Roman" w:hAnsi="Times New Roman"/>
        <w:i/>
        <w:sz w:val="22"/>
      </w:rPr>
    </w:pPr>
  </w:p>
  <w:p w14:paraId="562AD149" w14:textId="77777777" w:rsidR="009856B8" w:rsidRDefault="00C40BDF" w:rsidP="009856B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43ABC6F2" w14:textId="77777777" w:rsidR="009856B8" w:rsidRPr="009856B8" w:rsidRDefault="005D4EAB" w:rsidP="009856B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0795D" w14:textId="77777777" w:rsidR="009856B8" w:rsidRPr="009856B8" w:rsidRDefault="00C40BDF" w:rsidP="009856B8">
    <w:pPr>
      <w:pStyle w:val="Header"/>
      <w:tabs>
        <w:tab w:val="clear" w:pos="4153"/>
        <w:tab w:val="clear" w:pos="8306"/>
        <w:tab w:val="left" w:pos="7200"/>
        <w:tab w:val="right" w:pos="8504"/>
      </w:tabs>
      <w:spacing w:line="280" w:lineRule="exact"/>
      <w:jc w:val="right"/>
      <w:rPr>
        <w:rFonts w:ascii="Times New Roman" w:hAnsi="Times New Roman"/>
        <w:i/>
        <w:sz w:val="22"/>
      </w:rPr>
    </w:pPr>
    <w:r w:rsidRPr="009856B8">
      <w:rPr>
        <w:rFonts w:ascii="Times New Roman" w:hAnsi="Times New Roman"/>
        <w:i/>
        <w:sz w:val="22"/>
      </w:rPr>
      <w:tab/>
      <w:t>Edelman</w:t>
    </w:r>
    <w:r w:rsidRPr="009856B8">
      <w:rPr>
        <w:rFonts w:ascii="Times New Roman" w:hAnsi="Times New Roman"/>
        <w:i/>
        <w:sz w:val="22"/>
      </w:rPr>
      <w:tab/>
      <w:t>J</w:t>
    </w:r>
  </w:p>
  <w:p w14:paraId="6E9CDA92" w14:textId="77777777" w:rsidR="009856B8" w:rsidRDefault="00C40BDF" w:rsidP="009856B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127A0190" w14:textId="77777777" w:rsidR="009856B8" w:rsidRDefault="005D4EAB" w:rsidP="009856B8">
    <w:pPr>
      <w:pStyle w:val="Header"/>
      <w:tabs>
        <w:tab w:val="clear" w:pos="4153"/>
        <w:tab w:val="clear" w:pos="8306"/>
        <w:tab w:val="left" w:pos="7200"/>
        <w:tab w:val="right" w:pos="8504"/>
      </w:tabs>
      <w:spacing w:line="280" w:lineRule="exact"/>
      <w:jc w:val="right"/>
      <w:rPr>
        <w:rFonts w:ascii="Times New Roman" w:hAnsi="Times New Roman"/>
        <w:i/>
        <w:sz w:val="22"/>
      </w:rPr>
    </w:pPr>
  </w:p>
  <w:p w14:paraId="6D9AA1CA" w14:textId="77777777" w:rsidR="009856B8" w:rsidRDefault="00C40BDF" w:rsidP="009856B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603DB03A" w14:textId="77777777" w:rsidR="009856B8" w:rsidRPr="009856B8" w:rsidRDefault="005D4EAB" w:rsidP="009856B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77B2E" w14:textId="77777777" w:rsidR="009856B8" w:rsidRDefault="005D4EAB" w:rsidP="009856B8">
    <w:pPr>
      <w:pStyle w:val="Header"/>
      <w:tabs>
        <w:tab w:val="clear" w:pos="4153"/>
        <w:tab w:val="clear" w:pos="8306"/>
        <w:tab w:val="center" w:pos="1134"/>
      </w:tabs>
      <w:spacing w:line="280" w:lineRule="exact"/>
      <w:ind w:firstLine="0"/>
      <w:rPr>
        <w:rFonts w:ascii="Times New Roman" w:hAnsi="Times New Roman"/>
        <w:i/>
        <w:sz w:val="22"/>
      </w:rPr>
    </w:pPr>
  </w:p>
  <w:p w14:paraId="158D4AA3" w14:textId="77777777" w:rsidR="009856B8" w:rsidRDefault="005D4EAB" w:rsidP="009856B8">
    <w:pPr>
      <w:pStyle w:val="Header"/>
      <w:tabs>
        <w:tab w:val="clear" w:pos="4153"/>
        <w:tab w:val="clear" w:pos="8306"/>
        <w:tab w:val="center" w:pos="1134"/>
      </w:tabs>
      <w:spacing w:line="280" w:lineRule="exact"/>
      <w:ind w:firstLine="0"/>
      <w:rPr>
        <w:rFonts w:ascii="Times New Roman" w:hAnsi="Times New Roman"/>
        <w:i/>
        <w:sz w:val="22"/>
      </w:rPr>
    </w:pPr>
  </w:p>
  <w:p w14:paraId="68750829" w14:textId="77777777" w:rsidR="009856B8" w:rsidRDefault="005D4EAB" w:rsidP="009856B8">
    <w:pPr>
      <w:pStyle w:val="Header"/>
      <w:tabs>
        <w:tab w:val="clear" w:pos="4153"/>
        <w:tab w:val="clear" w:pos="8306"/>
        <w:tab w:val="center" w:pos="1134"/>
      </w:tabs>
      <w:spacing w:line="280" w:lineRule="exact"/>
      <w:ind w:firstLine="0"/>
      <w:rPr>
        <w:rFonts w:ascii="Times New Roman" w:hAnsi="Times New Roman"/>
        <w:i/>
        <w:sz w:val="22"/>
      </w:rPr>
    </w:pPr>
  </w:p>
  <w:p w14:paraId="6CC6E888" w14:textId="77777777" w:rsidR="009856B8" w:rsidRDefault="005D4EAB" w:rsidP="009856B8">
    <w:pPr>
      <w:pStyle w:val="Header"/>
      <w:tabs>
        <w:tab w:val="clear" w:pos="4153"/>
        <w:tab w:val="clear" w:pos="8306"/>
        <w:tab w:val="center" w:pos="1134"/>
      </w:tabs>
      <w:spacing w:line="280" w:lineRule="exact"/>
      <w:ind w:firstLine="0"/>
      <w:rPr>
        <w:rFonts w:ascii="Times New Roman" w:hAnsi="Times New Roman"/>
        <w:i/>
        <w:sz w:val="22"/>
      </w:rPr>
    </w:pPr>
  </w:p>
  <w:p w14:paraId="25D388DE" w14:textId="77777777" w:rsidR="00E90DE0" w:rsidRPr="009856B8" w:rsidRDefault="005D4EAB" w:rsidP="009856B8">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65"/>
    <w:rsid w:val="000006EE"/>
    <w:rsid w:val="0000143D"/>
    <w:rsid w:val="00002069"/>
    <w:rsid w:val="00002CE6"/>
    <w:rsid w:val="0000316A"/>
    <w:rsid w:val="00003896"/>
    <w:rsid w:val="00004411"/>
    <w:rsid w:val="000046D4"/>
    <w:rsid w:val="000049B7"/>
    <w:rsid w:val="00004A81"/>
    <w:rsid w:val="000110CA"/>
    <w:rsid w:val="0001301A"/>
    <w:rsid w:val="00014B34"/>
    <w:rsid w:val="000168C9"/>
    <w:rsid w:val="00016AB1"/>
    <w:rsid w:val="00016C20"/>
    <w:rsid w:val="00016DBB"/>
    <w:rsid w:val="00017144"/>
    <w:rsid w:val="0001716D"/>
    <w:rsid w:val="00017E86"/>
    <w:rsid w:val="00021A5F"/>
    <w:rsid w:val="000239DC"/>
    <w:rsid w:val="00023CAA"/>
    <w:rsid w:val="00023F34"/>
    <w:rsid w:val="00024977"/>
    <w:rsid w:val="000250AF"/>
    <w:rsid w:val="00025490"/>
    <w:rsid w:val="0002561E"/>
    <w:rsid w:val="000268E1"/>
    <w:rsid w:val="00026AFC"/>
    <w:rsid w:val="00026CCF"/>
    <w:rsid w:val="00030C0F"/>
    <w:rsid w:val="00032F92"/>
    <w:rsid w:val="00033333"/>
    <w:rsid w:val="000339D6"/>
    <w:rsid w:val="0003496B"/>
    <w:rsid w:val="00035219"/>
    <w:rsid w:val="0003575A"/>
    <w:rsid w:val="000360EB"/>
    <w:rsid w:val="00036443"/>
    <w:rsid w:val="00036576"/>
    <w:rsid w:val="00037A5F"/>
    <w:rsid w:val="00037D87"/>
    <w:rsid w:val="00040972"/>
    <w:rsid w:val="000420F9"/>
    <w:rsid w:val="000421DE"/>
    <w:rsid w:val="00043D2C"/>
    <w:rsid w:val="00044ADC"/>
    <w:rsid w:val="000451A9"/>
    <w:rsid w:val="00046812"/>
    <w:rsid w:val="0005160D"/>
    <w:rsid w:val="00051D34"/>
    <w:rsid w:val="00052F0C"/>
    <w:rsid w:val="000546A7"/>
    <w:rsid w:val="00054FDE"/>
    <w:rsid w:val="00055ACD"/>
    <w:rsid w:val="00056F27"/>
    <w:rsid w:val="000573AF"/>
    <w:rsid w:val="0006016F"/>
    <w:rsid w:val="0006169E"/>
    <w:rsid w:val="000626FD"/>
    <w:rsid w:val="0006432B"/>
    <w:rsid w:val="00064C78"/>
    <w:rsid w:val="00064CC5"/>
    <w:rsid w:val="000653D4"/>
    <w:rsid w:val="0007098C"/>
    <w:rsid w:val="00071C35"/>
    <w:rsid w:val="00073987"/>
    <w:rsid w:val="00075F50"/>
    <w:rsid w:val="00076FB0"/>
    <w:rsid w:val="0007708B"/>
    <w:rsid w:val="00077183"/>
    <w:rsid w:val="00080C00"/>
    <w:rsid w:val="00080CE6"/>
    <w:rsid w:val="00080D77"/>
    <w:rsid w:val="0008165E"/>
    <w:rsid w:val="0008248F"/>
    <w:rsid w:val="00082B89"/>
    <w:rsid w:val="00082F74"/>
    <w:rsid w:val="00083864"/>
    <w:rsid w:val="00083A18"/>
    <w:rsid w:val="0008435D"/>
    <w:rsid w:val="00084F0C"/>
    <w:rsid w:val="0008558C"/>
    <w:rsid w:val="00085643"/>
    <w:rsid w:val="00085F13"/>
    <w:rsid w:val="00085F1B"/>
    <w:rsid w:val="00087AA7"/>
    <w:rsid w:val="00093CC5"/>
    <w:rsid w:val="00096A87"/>
    <w:rsid w:val="000970E4"/>
    <w:rsid w:val="000A0CCD"/>
    <w:rsid w:val="000A212E"/>
    <w:rsid w:val="000A28D4"/>
    <w:rsid w:val="000A2AF4"/>
    <w:rsid w:val="000A2EB4"/>
    <w:rsid w:val="000A3DA3"/>
    <w:rsid w:val="000A4635"/>
    <w:rsid w:val="000A5523"/>
    <w:rsid w:val="000A592E"/>
    <w:rsid w:val="000A63C6"/>
    <w:rsid w:val="000A6575"/>
    <w:rsid w:val="000A7604"/>
    <w:rsid w:val="000B0EAC"/>
    <w:rsid w:val="000B2CB2"/>
    <w:rsid w:val="000B3AB5"/>
    <w:rsid w:val="000B425E"/>
    <w:rsid w:val="000B4630"/>
    <w:rsid w:val="000B497F"/>
    <w:rsid w:val="000B684D"/>
    <w:rsid w:val="000B710D"/>
    <w:rsid w:val="000B7558"/>
    <w:rsid w:val="000C04DC"/>
    <w:rsid w:val="000C0D98"/>
    <w:rsid w:val="000C2C92"/>
    <w:rsid w:val="000C350A"/>
    <w:rsid w:val="000C37F7"/>
    <w:rsid w:val="000C40EF"/>
    <w:rsid w:val="000C69D2"/>
    <w:rsid w:val="000C7338"/>
    <w:rsid w:val="000C764A"/>
    <w:rsid w:val="000D01CE"/>
    <w:rsid w:val="000D039B"/>
    <w:rsid w:val="000D0D06"/>
    <w:rsid w:val="000D25E6"/>
    <w:rsid w:val="000D295D"/>
    <w:rsid w:val="000D39DB"/>
    <w:rsid w:val="000D4651"/>
    <w:rsid w:val="000D5154"/>
    <w:rsid w:val="000D564E"/>
    <w:rsid w:val="000D6FCB"/>
    <w:rsid w:val="000D76EF"/>
    <w:rsid w:val="000D7760"/>
    <w:rsid w:val="000E093B"/>
    <w:rsid w:val="000E10C6"/>
    <w:rsid w:val="000E2082"/>
    <w:rsid w:val="000E3F12"/>
    <w:rsid w:val="000E4C2D"/>
    <w:rsid w:val="000E4F28"/>
    <w:rsid w:val="000E58F7"/>
    <w:rsid w:val="000E5999"/>
    <w:rsid w:val="000E5C3A"/>
    <w:rsid w:val="000E65F7"/>
    <w:rsid w:val="000F1345"/>
    <w:rsid w:val="000F1701"/>
    <w:rsid w:val="000F19A0"/>
    <w:rsid w:val="000F23F2"/>
    <w:rsid w:val="000F2D08"/>
    <w:rsid w:val="000F4D9A"/>
    <w:rsid w:val="000F61F0"/>
    <w:rsid w:val="001001B9"/>
    <w:rsid w:val="00102254"/>
    <w:rsid w:val="00102E16"/>
    <w:rsid w:val="001037FE"/>
    <w:rsid w:val="00103D50"/>
    <w:rsid w:val="00106C9A"/>
    <w:rsid w:val="0010702C"/>
    <w:rsid w:val="001070AE"/>
    <w:rsid w:val="00110970"/>
    <w:rsid w:val="00111568"/>
    <w:rsid w:val="0011176C"/>
    <w:rsid w:val="001120C0"/>
    <w:rsid w:val="00113496"/>
    <w:rsid w:val="00114B61"/>
    <w:rsid w:val="001150BF"/>
    <w:rsid w:val="00115EB0"/>
    <w:rsid w:val="00115FF9"/>
    <w:rsid w:val="001168F2"/>
    <w:rsid w:val="00120207"/>
    <w:rsid w:val="001224C0"/>
    <w:rsid w:val="00122794"/>
    <w:rsid w:val="00122CD3"/>
    <w:rsid w:val="00123C1B"/>
    <w:rsid w:val="00125542"/>
    <w:rsid w:val="001256F2"/>
    <w:rsid w:val="00125E3C"/>
    <w:rsid w:val="00126583"/>
    <w:rsid w:val="00127573"/>
    <w:rsid w:val="00133AC6"/>
    <w:rsid w:val="00133E7E"/>
    <w:rsid w:val="0013456F"/>
    <w:rsid w:val="00134B9F"/>
    <w:rsid w:val="00135BBA"/>
    <w:rsid w:val="00137035"/>
    <w:rsid w:val="00140645"/>
    <w:rsid w:val="00142072"/>
    <w:rsid w:val="00142CB8"/>
    <w:rsid w:val="001434A5"/>
    <w:rsid w:val="00143FCB"/>
    <w:rsid w:val="00145627"/>
    <w:rsid w:val="00146A41"/>
    <w:rsid w:val="00151679"/>
    <w:rsid w:val="0015185F"/>
    <w:rsid w:val="00151E74"/>
    <w:rsid w:val="00151F7C"/>
    <w:rsid w:val="0015318E"/>
    <w:rsid w:val="00154309"/>
    <w:rsid w:val="00155A03"/>
    <w:rsid w:val="00162190"/>
    <w:rsid w:val="00162320"/>
    <w:rsid w:val="00163D92"/>
    <w:rsid w:val="00163F3C"/>
    <w:rsid w:val="00164144"/>
    <w:rsid w:val="00164333"/>
    <w:rsid w:val="00164E7D"/>
    <w:rsid w:val="001651CD"/>
    <w:rsid w:val="00166C59"/>
    <w:rsid w:val="001709E2"/>
    <w:rsid w:val="00172709"/>
    <w:rsid w:val="00172ADE"/>
    <w:rsid w:val="00173F73"/>
    <w:rsid w:val="00174E96"/>
    <w:rsid w:val="00175703"/>
    <w:rsid w:val="001758DE"/>
    <w:rsid w:val="00175F0D"/>
    <w:rsid w:val="00176018"/>
    <w:rsid w:val="00176D25"/>
    <w:rsid w:val="00182AA4"/>
    <w:rsid w:val="0018342E"/>
    <w:rsid w:val="001840C2"/>
    <w:rsid w:val="001845E2"/>
    <w:rsid w:val="00184B46"/>
    <w:rsid w:val="00185939"/>
    <w:rsid w:val="00186B28"/>
    <w:rsid w:val="00187546"/>
    <w:rsid w:val="001876F6"/>
    <w:rsid w:val="00191E23"/>
    <w:rsid w:val="00193105"/>
    <w:rsid w:val="00195160"/>
    <w:rsid w:val="001953B1"/>
    <w:rsid w:val="001957D9"/>
    <w:rsid w:val="00195DDF"/>
    <w:rsid w:val="001963C0"/>
    <w:rsid w:val="00197956"/>
    <w:rsid w:val="001A17CA"/>
    <w:rsid w:val="001A1C3F"/>
    <w:rsid w:val="001A2275"/>
    <w:rsid w:val="001A2486"/>
    <w:rsid w:val="001A25BE"/>
    <w:rsid w:val="001A2CB3"/>
    <w:rsid w:val="001A446E"/>
    <w:rsid w:val="001A642B"/>
    <w:rsid w:val="001A6B34"/>
    <w:rsid w:val="001A6B6C"/>
    <w:rsid w:val="001B17A8"/>
    <w:rsid w:val="001B1D8A"/>
    <w:rsid w:val="001B48D6"/>
    <w:rsid w:val="001B49CB"/>
    <w:rsid w:val="001B549D"/>
    <w:rsid w:val="001B63C6"/>
    <w:rsid w:val="001B78FE"/>
    <w:rsid w:val="001C1E53"/>
    <w:rsid w:val="001C41B0"/>
    <w:rsid w:val="001C48D4"/>
    <w:rsid w:val="001C6899"/>
    <w:rsid w:val="001C68B6"/>
    <w:rsid w:val="001C7655"/>
    <w:rsid w:val="001C7C93"/>
    <w:rsid w:val="001D155F"/>
    <w:rsid w:val="001D36CD"/>
    <w:rsid w:val="001D441C"/>
    <w:rsid w:val="001D4C1A"/>
    <w:rsid w:val="001D4F49"/>
    <w:rsid w:val="001D5DC0"/>
    <w:rsid w:val="001D6826"/>
    <w:rsid w:val="001D7982"/>
    <w:rsid w:val="001E0109"/>
    <w:rsid w:val="001E1D3D"/>
    <w:rsid w:val="001E2263"/>
    <w:rsid w:val="001E2974"/>
    <w:rsid w:val="001E47D1"/>
    <w:rsid w:val="001E6A64"/>
    <w:rsid w:val="001E75C5"/>
    <w:rsid w:val="001E7F6C"/>
    <w:rsid w:val="001F34B8"/>
    <w:rsid w:val="001F3F2A"/>
    <w:rsid w:val="001F4277"/>
    <w:rsid w:val="001F605F"/>
    <w:rsid w:val="001F69C2"/>
    <w:rsid w:val="002048D1"/>
    <w:rsid w:val="0020547A"/>
    <w:rsid w:val="00205541"/>
    <w:rsid w:val="00205FD8"/>
    <w:rsid w:val="00206125"/>
    <w:rsid w:val="00206DE0"/>
    <w:rsid w:val="002079CB"/>
    <w:rsid w:val="0021096E"/>
    <w:rsid w:val="002109FD"/>
    <w:rsid w:val="00210DE8"/>
    <w:rsid w:val="00211D73"/>
    <w:rsid w:val="00212A3E"/>
    <w:rsid w:val="002135AE"/>
    <w:rsid w:val="0021406B"/>
    <w:rsid w:val="0021416E"/>
    <w:rsid w:val="00214234"/>
    <w:rsid w:val="00214BF2"/>
    <w:rsid w:val="00214EA6"/>
    <w:rsid w:val="00215A7F"/>
    <w:rsid w:val="00216522"/>
    <w:rsid w:val="0021714C"/>
    <w:rsid w:val="0021722C"/>
    <w:rsid w:val="00217332"/>
    <w:rsid w:val="00217F4A"/>
    <w:rsid w:val="00220606"/>
    <w:rsid w:val="0022189F"/>
    <w:rsid w:val="00221D19"/>
    <w:rsid w:val="0022420D"/>
    <w:rsid w:val="0022567B"/>
    <w:rsid w:val="0022666B"/>
    <w:rsid w:val="0022734D"/>
    <w:rsid w:val="0023099B"/>
    <w:rsid w:val="0023348F"/>
    <w:rsid w:val="0023447F"/>
    <w:rsid w:val="002350B3"/>
    <w:rsid w:val="002363F4"/>
    <w:rsid w:val="00236A33"/>
    <w:rsid w:val="0023798E"/>
    <w:rsid w:val="0024163C"/>
    <w:rsid w:val="00242EE4"/>
    <w:rsid w:val="0024462E"/>
    <w:rsid w:val="00245072"/>
    <w:rsid w:val="00245EB7"/>
    <w:rsid w:val="00245FC2"/>
    <w:rsid w:val="002466F3"/>
    <w:rsid w:val="002474FA"/>
    <w:rsid w:val="0024787B"/>
    <w:rsid w:val="002509B9"/>
    <w:rsid w:val="002517A7"/>
    <w:rsid w:val="00251897"/>
    <w:rsid w:val="0025337C"/>
    <w:rsid w:val="00253493"/>
    <w:rsid w:val="00254CDB"/>
    <w:rsid w:val="002552CE"/>
    <w:rsid w:val="00256157"/>
    <w:rsid w:val="0025654B"/>
    <w:rsid w:val="00257AFB"/>
    <w:rsid w:val="002607A9"/>
    <w:rsid w:val="0026293D"/>
    <w:rsid w:val="00262D0B"/>
    <w:rsid w:val="00265982"/>
    <w:rsid w:val="00266656"/>
    <w:rsid w:val="00267237"/>
    <w:rsid w:val="0027012A"/>
    <w:rsid w:val="00270154"/>
    <w:rsid w:val="00271F70"/>
    <w:rsid w:val="0027205F"/>
    <w:rsid w:val="00273D10"/>
    <w:rsid w:val="0027408B"/>
    <w:rsid w:val="002750F2"/>
    <w:rsid w:val="00276B56"/>
    <w:rsid w:val="00277B4B"/>
    <w:rsid w:val="00280C84"/>
    <w:rsid w:val="00280F46"/>
    <w:rsid w:val="00281765"/>
    <w:rsid w:val="002819FD"/>
    <w:rsid w:val="00282BC1"/>
    <w:rsid w:val="00283AE9"/>
    <w:rsid w:val="002840C4"/>
    <w:rsid w:val="002840FD"/>
    <w:rsid w:val="00284C01"/>
    <w:rsid w:val="0028583A"/>
    <w:rsid w:val="00286ED8"/>
    <w:rsid w:val="002872DD"/>
    <w:rsid w:val="00287368"/>
    <w:rsid w:val="00287873"/>
    <w:rsid w:val="002906E4"/>
    <w:rsid w:val="002916CC"/>
    <w:rsid w:val="002925BA"/>
    <w:rsid w:val="0029278C"/>
    <w:rsid w:val="00292967"/>
    <w:rsid w:val="00292E65"/>
    <w:rsid w:val="0029697C"/>
    <w:rsid w:val="00296F7B"/>
    <w:rsid w:val="002979F1"/>
    <w:rsid w:val="002A0F56"/>
    <w:rsid w:val="002A13E1"/>
    <w:rsid w:val="002A202E"/>
    <w:rsid w:val="002A22DF"/>
    <w:rsid w:val="002A2859"/>
    <w:rsid w:val="002A3248"/>
    <w:rsid w:val="002A5C18"/>
    <w:rsid w:val="002A5E54"/>
    <w:rsid w:val="002A609A"/>
    <w:rsid w:val="002A6AC8"/>
    <w:rsid w:val="002A6B2C"/>
    <w:rsid w:val="002A7035"/>
    <w:rsid w:val="002B0846"/>
    <w:rsid w:val="002B105A"/>
    <w:rsid w:val="002B1304"/>
    <w:rsid w:val="002B1661"/>
    <w:rsid w:val="002B44F2"/>
    <w:rsid w:val="002B56D7"/>
    <w:rsid w:val="002B73C7"/>
    <w:rsid w:val="002B7414"/>
    <w:rsid w:val="002C0C42"/>
    <w:rsid w:val="002C1092"/>
    <w:rsid w:val="002C4495"/>
    <w:rsid w:val="002C5981"/>
    <w:rsid w:val="002C76E1"/>
    <w:rsid w:val="002D0410"/>
    <w:rsid w:val="002D0899"/>
    <w:rsid w:val="002D1707"/>
    <w:rsid w:val="002D17E2"/>
    <w:rsid w:val="002D1F73"/>
    <w:rsid w:val="002D2652"/>
    <w:rsid w:val="002D3ABE"/>
    <w:rsid w:val="002D3F5B"/>
    <w:rsid w:val="002D4553"/>
    <w:rsid w:val="002D5970"/>
    <w:rsid w:val="002D654A"/>
    <w:rsid w:val="002D732A"/>
    <w:rsid w:val="002E0205"/>
    <w:rsid w:val="002E0EC8"/>
    <w:rsid w:val="002E251B"/>
    <w:rsid w:val="002E278F"/>
    <w:rsid w:val="002E3B4D"/>
    <w:rsid w:val="002E5380"/>
    <w:rsid w:val="002E63CD"/>
    <w:rsid w:val="002E79F5"/>
    <w:rsid w:val="002F0522"/>
    <w:rsid w:val="002F05A1"/>
    <w:rsid w:val="002F0734"/>
    <w:rsid w:val="002F097D"/>
    <w:rsid w:val="002F0FED"/>
    <w:rsid w:val="002F1068"/>
    <w:rsid w:val="002F1DEC"/>
    <w:rsid w:val="002F24EF"/>
    <w:rsid w:val="002F2641"/>
    <w:rsid w:val="002F3356"/>
    <w:rsid w:val="002F48E2"/>
    <w:rsid w:val="002F4989"/>
    <w:rsid w:val="002F4F8C"/>
    <w:rsid w:val="002F648A"/>
    <w:rsid w:val="002F6BDC"/>
    <w:rsid w:val="002F79DD"/>
    <w:rsid w:val="00300827"/>
    <w:rsid w:val="00300A72"/>
    <w:rsid w:val="00301975"/>
    <w:rsid w:val="00302539"/>
    <w:rsid w:val="003026B8"/>
    <w:rsid w:val="0030542C"/>
    <w:rsid w:val="00305F46"/>
    <w:rsid w:val="00310418"/>
    <w:rsid w:val="00311BCE"/>
    <w:rsid w:val="00312FFC"/>
    <w:rsid w:val="00313CB5"/>
    <w:rsid w:val="003141B3"/>
    <w:rsid w:val="003150BF"/>
    <w:rsid w:val="003150CE"/>
    <w:rsid w:val="00315E92"/>
    <w:rsid w:val="003160B0"/>
    <w:rsid w:val="00316E21"/>
    <w:rsid w:val="0031734E"/>
    <w:rsid w:val="00322960"/>
    <w:rsid w:val="003239F5"/>
    <w:rsid w:val="00323B9E"/>
    <w:rsid w:val="0032426A"/>
    <w:rsid w:val="00324837"/>
    <w:rsid w:val="0032619D"/>
    <w:rsid w:val="0032730C"/>
    <w:rsid w:val="00327801"/>
    <w:rsid w:val="00330804"/>
    <w:rsid w:val="003321C3"/>
    <w:rsid w:val="0033320B"/>
    <w:rsid w:val="00333F5B"/>
    <w:rsid w:val="00334150"/>
    <w:rsid w:val="003343E2"/>
    <w:rsid w:val="0033475E"/>
    <w:rsid w:val="00334896"/>
    <w:rsid w:val="00334A6B"/>
    <w:rsid w:val="003366B2"/>
    <w:rsid w:val="00337F3F"/>
    <w:rsid w:val="00340066"/>
    <w:rsid w:val="00340561"/>
    <w:rsid w:val="00341874"/>
    <w:rsid w:val="0034288B"/>
    <w:rsid w:val="003428C9"/>
    <w:rsid w:val="00342B3C"/>
    <w:rsid w:val="00342C1A"/>
    <w:rsid w:val="0034332B"/>
    <w:rsid w:val="00344257"/>
    <w:rsid w:val="003456EC"/>
    <w:rsid w:val="003464FC"/>
    <w:rsid w:val="00346689"/>
    <w:rsid w:val="0034681C"/>
    <w:rsid w:val="0034781D"/>
    <w:rsid w:val="0034797F"/>
    <w:rsid w:val="003505F2"/>
    <w:rsid w:val="00351248"/>
    <w:rsid w:val="00351ED6"/>
    <w:rsid w:val="00352020"/>
    <w:rsid w:val="003537A8"/>
    <w:rsid w:val="0035390C"/>
    <w:rsid w:val="00353A6D"/>
    <w:rsid w:val="0035405A"/>
    <w:rsid w:val="0035622C"/>
    <w:rsid w:val="003600A8"/>
    <w:rsid w:val="00360ED7"/>
    <w:rsid w:val="00362EC3"/>
    <w:rsid w:val="00364F43"/>
    <w:rsid w:val="00365218"/>
    <w:rsid w:val="00366465"/>
    <w:rsid w:val="00366524"/>
    <w:rsid w:val="00366944"/>
    <w:rsid w:val="00367767"/>
    <w:rsid w:val="00370C0E"/>
    <w:rsid w:val="00371AA9"/>
    <w:rsid w:val="0037243B"/>
    <w:rsid w:val="00373E58"/>
    <w:rsid w:val="00376073"/>
    <w:rsid w:val="00376CCB"/>
    <w:rsid w:val="00377452"/>
    <w:rsid w:val="00380230"/>
    <w:rsid w:val="00381223"/>
    <w:rsid w:val="00381694"/>
    <w:rsid w:val="00381849"/>
    <w:rsid w:val="003823A0"/>
    <w:rsid w:val="00382668"/>
    <w:rsid w:val="00384F36"/>
    <w:rsid w:val="00385031"/>
    <w:rsid w:val="00385137"/>
    <w:rsid w:val="00385271"/>
    <w:rsid w:val="00385F52"/>
    <w:rsid w:val="00386822"/>
    <w:rsid w:val="00386969"/>
    <w:rsid w:val="00387D89"/>
    <w:rsid w:val="003910A0"/>
    <w:rsid w:val="00391977"/>
    <w:rsid w:val="0039226E"/>
    <w:rsid w:val="00392499"/>
    <w:rsid w:val="00392CC8"/>
    <w:rsid w:val="0039360B"/>
    <w:rsid w:val="00393B8C"/>
    <w:rsid w:val="0039577E"/>
    <w:rsid w:val="0039589D"/>
    <w:rsid w:val="00397181"/>
    <w:rsid w:val="003A0DDA"/>
    <w:rsid w:val="003A2017"/>
    <w:rsid w:val="003A2ED5"/>
    <w:rsid w:val="003A48CC"/>
    <w:rsid w:val="003A72EF"/>
    <w:rsid w:val="003B0142"/>
    <w:rsid w:val="003B0E99"/>
    <w:rsid w:val="003B11D3"/>
    <w:rsid w:val="003B1A7F"/>
    <w:rsid w:val="003B24E0"/>
    <w:rsid w:val="003B3481"/>
    <w:rsid w:val="003B3564"/>
    <w:rsid w:val="003B4EED"/>
    <w:rsid w:val="003B50FC"/>
    <w:rsid w:val="003B6412"/>
    <w:rsid w:val="003B6B2C"/>
    <w:rsid w:val="003B6B80"/>
    <w:rsid w:val="003C0238"/>
    <w:rsid w:val="003C0D3E"/>
    <w:rsid w:val="003C1B18"/>
    <w:rsid w:val="003C266A"/>
    <w:rsid w:val="003C48AF"/>
    <w:rsid w:val="003C49B4"/>
    <w:rsid w:val="003C5981"/>
    <w:rsid w:val="003C5983"/>
    <w:rsid w:val="003C59B2"/>
    <w:rsid w:val="003C602A"/>
    <w:rsid w:val="003C61C9"/>
    <w:rsid w:val="003C7176"/>
    <w:rsid w:val="003C722C"/>
    <w:rsid w:val="003D1731"/>
    <w:rsid w:val="003D1759"/>
    <w:rsid w:val="003D1896"/>
    <w:rsid w:val="003D240F"/>
    <w:rsid w:val="003D26B4"/>
    <w:rsid w:val="003D327A"/>
    <w:rsid w:val="003D3B14"/>
    <w:rsid w:val="003D62F7"/>
    <w:rsid w:val="003D63EE"/>
    <w:rsid w:val="003D658D"/>
    <w:rsid w:val="003D6F5C"/>
    <w:rsid w:val="003D748E"/>
    <w:rsid w:val="003E0118"/>
    <w:rsid w:val="003E0ABC"/>
    <w:rsid w:val="003E1035"/>
    <w:rsid w:val="003E11B2"/>
    <w:rsid w:val="003E1462"/>
    <w:rsid w:val="003E17F2"/>
    <w:rsid w:val="003E19F7"/>
    <w:rsid w:val="003E1EB2"/>
    <w:rsid w:val="003E20BF"/>
    <w:rsid w:val="003E42C8"/>
    <w:rsid w:val="003E492C"/>
    <w:rsid w:val="003E50CC"/>
    <w:rsid w:val="003E6142"/>
    <w:rsid w:val="003E710D"/>
    <w:rsid w:val="003E7A9C"/>
    <w:rsid w:val="003F0CAF"/>
    <w:rsid w:val="003F0CD2"/>
    <w:rsid w:val="003F328F"/>
    <w:rsid w:val="003F36FA"/>
    <w:rsid w:val="003F3B6E"/>
    <w:rsid w:val="003F45CB"/>
    <w:rsid w:val="003F531A"/>
    <w:rsid w:val="003F5492"/>
    <w:rsid w:val="003F5544"/>
    <w:rsid w:val="003F5A7E"/>
    <w:rsid w:val="003F5C51"/>
    <w:rsid w:val="003F6133"/>
    <w:rsid w:val="003F76AA"/>
    <w:rsid w:val="003F7779"/>
    <w:rsid w:val="003F7C9E"/>
    <w:rsid w:val="00401529"/>
    <w:rsid w:val="00401F86"/>
    <w:rsid w:val="004025E8"/>
    <w:rsid w:val="00402768"/>
    <w:rsid w:val="00402BF1"/>
    <w:rsid w:val="00402D03"/>
    <w:rsid w:val="004045B0"/>
    <w:rsid w:val="00404C36"/>
    <w:rsid w:val="00404CD8"/>
    <w:rsid w:val="00406F38"/>
    <w:rsid w:val="00407200"/>
    <w:rsid w:val="00407D2D"/>
    <w:rsid w:val="00410722"/>
    <w:rsid w:val="004107CA"/>
    <w:rsid w:val="004111BC"/>
    <w:rsid w:val="0041130B"/>
    <w:rsid w:val="004114CB"/>
    <w:rsid w:val="004125F4"/>
    <w:rsid w:val="004126D4"/>
    <w:rsid w:val="00413790"/>
    <w:rsid w:val="004137F7"/>
    <w:rsid w:val="00414703"/>
    <w:rsid w:val="00415D2B"/>
    <w:rsid w:val="00416A0E"/>
    <w:rsid w:val="00416C0A"/>
    <w:rsid w:val="00417447"/>
    <w:rsid w:val="00421941"/>
    <w:rsid w:val="00421DD2"/>
    <w:rsid w:val="0042216A"/>
    <w:rsid w:val="00422B76"/>
    <w:rsid w:val="00424DE2"/>
    <w:rsid w:val="004270B9"/>
    <w:rsid w:val="0043092B"/>
    <w:rsid w:val="00432486"/>
    <w:rsid w:val="00432528"/>
    <w:rsid w:val="00432836"/>
    <w:rsid w:val="004353AC"/>
    <w:rsid w:val="004357F8"/>
    <w:rsid w:val="004373D1"/>
    <w:rsid w:val="0043778D"/>
    <w:rsid w:val="0044088D"/>
    <w:rsid w:val="00444E73"/>
    <w:rsid w:val="004454C2"/>
    <w:rsid w:val="00447347"/>
    <w:rsid w:val="00447F33"/>
    <w:rsid w:val="00450A27"/>
    <w:rsid w:val="00450CBD"/>
    <w:rsid w:val="00451A7C"/>
    <w:rsid w:val="00451EC2"/>
    <w:rsid w:val="004522D5"/>
    <w:rsid w:val="00455244"/>
    <w:rsid w:val="00457C5D"/>
    <w:rsid w:val="00461062"/>
    <w:rsid w:val="004627E5"/>
    <w:rsid w:val="00463357"/>
    <w:rsid w:val="00463A04"/>
    <w:rsid w:val="00465255"/>
    <w:rsid w:val="00466327"/>
    <w:rsid w:val="00466CD5"/>
    <w:rsid w:val="00470106"/>
    <w:rsid w:val="00471297"/>
    <w:rsid w:val="0047182C"/>
    <w:rsid w:val="004736AA"/>
    <w:rsid w:val="00473718"/>
    <w:rsid w:val="00473869"/>
    <w:rsid w:val="0047410E"/>
    <w:rsid w:val="00475976"/>
    <w:rsid w:val="004763F5"/>
    <w:rsid w:val="00476612"/>
    <w:rsid w:val="00476CF0"/>
    <w:rsid w:val="0047789F"/>
    <w:rsid w:val="00477C92"/>
    <w:rsid w:val="0048054A"/>
    <w:rsid w:val="00480B64"/>
    <w:rsid w:val="004811A2"/>
    <w:rsid w:val="004818E8"/>
    <w:rsid w:val="00481999"/>
    <w:rsid w:val="00482F67"/>
    <w:rsid w:val="00483006"/>
    <w:rsid w:val="004848FC"/>
    <w:rsid w:val="00484915"/>
    <w:rsid w:val="00484C13"/>
    <w:rsid w:val="00485612"/>
    <w:rsid w:val="00485961"/>
    <w:rsid w:val="00487387"/>
    <w:rsid w:val="004878D1"/>
    <w:rsid w:val="004878F3"/>
    <w:rsid w:val="00490167"/>
    <w:rsid w:val="004919FD"/>
    <w:rsid w:val="0049291D"/>
    <w:rsid w:val="00492B1B"/>
    <w:rsid w:val="00493261"/>
    <w:rsid w:val="00493799"/>
    <w:rsid w:val="00496503"/>
    <w:rsid w:val="00496659"/>
    <w:rsid w:val="0049784B"/>
    <w:rsid w:val="004A0088"/>
    <w:rsid w:val="004A0AFE"/>
    <w:rsid w:val="004A132C"/>
    <w:rsid w:val="004A1563"/>
    <w:rsid w:val="004A1E88"/>
    <w:rsid w:val="004A1F34"/>
    <w:rsid w:val="004A4C0A"/>
    <w:rsid w:val="004A4F06"/>
    <w:rsid w:val="004A6276"/>
    <w:rsid w:val="004A64E3"/>
    <w:rsid w:val="004A6AB3"/>
    <w:rsid w:val="004A6C7D"/>
    <w:rsid w:val="004B0481"/>
    <w:rsid w:val="004B0736"/>
    <w:rsid w:val="004B1769"/>
    <w:rsid w:val="004B1C38"/>
    <w:rsid w:val="004B26D9"/>
    <w:rsid w:val="004B2C5E"/>
    <w:rsid w:val="004B4656"/>
    <w:rsid w:val="004B4870"/>
    <w:rsid w:val="004B5CD0"/>
    <w:rsid w:val="004B774B"/>
    <w:rsid w:val="004B7E97"/>
    <w:rsid w:val="004C2375"/>
    <w:rsid w:val="004C2832"/>
    <w:rsid w:val="004C28B5"/>
    <w:rsid w:val="004C4629"/>
    <w:rsid w:val="004C4B71"/>
    <w:rsid w:val="004C4C56"/>
    <w:rsid w:val="004C520A"/>
    <w:rsid w:val="004C5340"/>
    <w:rsid w:val="004C5846"/>
    <w:rsid w:val="004C7329"/>
    <w:rsid w:val="004D0711"/>
    <w:rsid w:val="004D087E"/>
    <w:rsid w:val="004D0E88"/>
    <w:rsid w:val="004D19DB"/>
    <w:rsid w:val="004D1E88"/>
    <w:rsid w:val="004D1F83"/>
    <w:rsid w:val="004D3CD7"/>
    <w:rsid w:val="004D58DE"/>
    <w:rsid w:val="004D63E2"/>
    <w:rsid w:val="004D69E0"/>
    <w:rsid w:val="004D7843"/>
    <w:rsid w:val="004E229C"/>
    <w:rsid w:val="004E3F30"/>
    <w:rsid w:val="004E46F8"/>
    <w:rsid w:val="004E50C8"/>
    <w:rsid w:val="004E653E"/>
    <w:rsid w:val="004E65F5"/>
    <w:rsid w:val="004F17FF"/>
    <w:rsid w:val="004F1838"/>
    <w:rsid w:val="004F24F8"/>
    <w:rsid w:val="004F2D77"/>
    <w:rsid w:val="004F3975"/>
    <w:rsid w:val="004F3CE8"/>
    <w:rsid w:val="004F3E28"/>
    <w:rsid w:val="004F440C"/>
    <w:rsid w:val="004F445F"/>
    <w:rsid w:val="004F45B4"/>
    <w:rsid w:val="004F56DB"/>
    <w:rsid w:val="004F59AE"/>
    <w:rsid w:val="004F5A71"/>
    <w:rsid w:val="004F621F"/>
    <w:rsid w:val="004F7FD1"/>
    <w:rsid w:val="0050189E"/>
    <w:rsid w:val="00502335"/>
    <w:rsid w:val="00502EAE"/>
    <w:rsid w:val="0050379C"/>
    <w:rsid w:val="005039C7"/>
    <w:rsid w:val="00503A1B"/>
    <w:rsid w:val="0050500F"/>
    <w:rsid w:val="00505279"/>
    <w:rsid w:val="005063E1"/>
    <w:rsid w:val="00507540"/>
    <w:rsid w:val="00507CC3"/>
    <w:rsid w:val="00507CC5"/>
    <w:rsid w:val="00510317"/>
    <w:rsid w:val="005148E4"/>
    <w:rsid w:val="005153EA"/>
    <w:rsid w:val="00515772"/>
    <w:rsid w:val="00515B63"/>
    <w:rsid w:val="005160B9"/>
    <w:rsid w:val="00516706"/>
    <w:rsid w:val="00516BBB"/>
    <w:rsid w:val="0051754D"/>
    <w:rsid w:val="00517585"/>
    <w:rsid w:val="00523591"/>
    <w:rsid w:val="00523E83"/>
    <w:rsid w:val="0052476B"/>
    <w:rsid w:val="005248BB"/>
    <w:rsid w:val="00524D75"/>
    <w:rsid w:val="00524E20"/>
    <w:rsid w:val="00525015"/>
    <w:rsid w:val="00527BF9"/>
    <w:rsid w:val="005301B4"/>
    <w:rsid w:val="00530208"/>
    <w:rsid w:val="005308A5"/>
    <w:rsid w:val="00530DF7"/>
    <w:rsid w:val="005311E9"/>
    <w:rsid w:val="005314E9"/>
    <w:rsid w:val="00531723"/>
    <w:rsid w:val="0053275E"/>
    <w:rsid w:val="00532CF7"/>
    <w:rsid w:val="0053324F"/>
    <w:rsid w:val="0053457B"/>
    <w:rsid w:val="005345F8"/>
    <w:rsid w:val="00534671"/>
    <w:rsid w:val="00535A44"/>
    <w:rsid w:val="00536A43"/>
    <w:rsid w:val="005400FE"/>
    <w:rsid w:val="00541EF9"/>
    <w:rsid w:val="005420D9"/>
    <w:rsid w:val="005431CF"/>
    <w:rsid w:val="00543610"/>
    <w:rsid w:val="005436AB"/>
    <w:rsid w:val="005437A3"/>
    <w:rsid w:val="00543D0A"/>
    <w:rsid w:val="005441FF"/>
    <w:rsid w:val="005454F3"/>
    <w:rsid w:val="005455E5"/>
    <w:rsid w:val="00546023"/>
    <w:rsid w:val="0054681B"/>
    <w:rsid w:val="00546F25"/>
    <w:rsid w:val="0054779A"/>
    <w:rsid w:val="00547BA1"/>
    <w:rsid w:val="00551550"/>
    <w:rsid w:val="005527EB"/>
    <w:rsid w:val="00552A91"/>
    <w:rsid w:val="005530B8"/>
    <w:rsid w:val="0055420B"/>
    <w:rsid w:val="0055598B"/>
    <w:rsid w:val="00556101"/>
    <w:rsid w:val="0055682F"/>
    <w:rsid w:val="005577DA"/>
    <w:rsid w:val="00557CB1"/>
    <w:rsid w:val="0056091E"/>
    <w:rsid w:val="00561371"/>
    <w:rsid w:val="0056172D"/>
    <w:rsid w:val="00561EAB"/>
    <w:rsid w:val="005635F3"/>
    <w:rsid w:val="005636AF"/>
    <w:rsid w:val="0056411C"/>
    <w:rsid w:val="00565B4C"/>
    <w:rsid w:val="005663FF"/>
    <w:rsid w:val="005677E5"/>
    <w:rsid w:val="00570CCC"/>
    <w:rsid w:val="00570D24"/>
    <w:rsid w:val="00572FC1"/>
    <w:rsid w:val="00574C1A"/>
    <w:rsid w:val="005757CF"/>
    <w:rsid w:val="0057673B"/>
    <w:rsid w:val="0058008D"/>
    <w:rsid w:val="00580EEB"/>
    <w:rsid w:val="00580FCF"/>
    <w:rsid w:val="00581287"/>
    <w:rsid w:val="00582457"/>
    <w:rsid w:val="00582697"/>
    <w:rsid w:val="00583673"/>
    <w:rsid w:val="00583BE9"/>
    <w:rsid w:val="00583D08"/>
    <w:rsid w:val="005847D5"/>
    <w:rsid w:val="00587048"/>
    <w:rsid w:val="00587BE7"/>
    <w:rsid w:val="00587CBC"/>
    <w:rsid w:val="005900C0"/>
    <w:rsid w:val="00590305"/>
    <w:rsid w:val="00590DE1"/>
    <w:rsid w:val="005924B0"/>
    <w:rsid w:val="00592732"/>
    <w:rsid w:val="00594F4D"/>
    <w:rsid w:val="00595DF1"/>
    <w:rsid w:val="00596524"/>
    <w:rsid w:val="00596763"/>
    <w:rsid w:val="00596A3C"/>
    <w:rsid w:val="005978A1"/>
    <w:rsid w:val="00597A46"/>
    <w:rsid w:val="00597D35"/>
    <w:rsid w:val="005A2F74"/>
    <w:rsid w:val="005A4A36"/>
    <w:rsid w:val="005A4C7A"/>
    <w:rsid w:val="005A63E8"/>
    <w:rsid w:val="005A667E"/>
    <w:rsid w:val="005A6D6D"/>
    <w:rsid w:val="005A7264"/>
    <w:rsid w:val="005A7764"/>
    <w:rsid w:val="005A785F"/>
    <w:rsid w:val="005B1601"/>
    <w:rsid w:val="005B1A5B"/>
    <w:rsid w:val="005B1A7C"/>
    <w:rsid w:val="005B2B64"/>
    <w:rsid w:val="005B31D0"/>
    <w:rsid w:val="005B4CFC"/>
    <w:rsid w:val="005B522A"/>
    <w:rsid w:val="005B5766"/>
    <w:rsid w:val="005B58B0"/>
    <w:rsid w:val="005B5C81"/>
    <w:rsid w:val="005B6BCD"/>
    <w:rsid w:val="005B70BC"/>
    <w:rsid w:val="005B7C05"/>
    <w:rsid w:val="005C0298"/>
    <w:rsid w:val="005C0769"/>
    <w:rsid w:val="005C0898"/>
    <w:rsid w:val="005C1192"/>
    <w:rsid w:val="005C184E"/>
    <w:rsid w:val="005C1FEF"/>
    <w:rsid w:val="005C2772"/>
    <w:rsid w:val="005C2D49"/>
    <w:rsid w:val="005C360A"/>
    <w:rsid w:val="005C4B49"/>
    <w:rsid w:val="005C53E5"/>
    <w:rsid w:val="005C5B2A"/>
    <w:rsid w:val="005C61ED"/>
    <w:rsid w:val="005C6AA2"/>
    <w:rsid w:val="005D221C"/>
    <w:rsid w:val="005D231B"/>
    <w:rsid w:val="005D2A43"/>
    <w:rsid w:val="005D442D"/>
    <w:rsid w:val="005D4C93"/>
    <w:rsid w:val="005D4EAB"/>
    <w:rsid w:val="005D5EF9"/>
    <w:rsid w:val="005D6236"/>
    <w:rsid w:val="005D6EA0"/>
    <w:rsid w:val="005D72F8"/>
    <w:rsid w:val="005E061D"/>
    <w:rsid w:val="005E0A13"/>
    <w:rsid w:val="005E10E1"/>
    <w:rsid w:val="005E12FF"/>
    <w:rsid w:val="005E6988"/>
    <w:rsid w:val="005E73E1"/>
    <w:rsid w:val="005E7B36"/>
    <w:rsid w:val="005F02E6"/>
    <w:rsid w:val="005F10F1"/>
    <w:rsid w:val="005F1911"/>
    <w:rsid w:val="005F2CBA"/>
    <w:rsid w:val="005F2FF3"/>
    <w:rsid w:val="005F3216"/>
    <w:rsid w:val="005F382F"/>
    <w:rsid w:val="005F399B"/>
    <w:rsid w:val="005F41C4"/>
    <w:rsid w:val="005F4DFE"/>
    <w:rsid w:val="005F4EF9"/>
    <w:rsid w:val="005F5F62"/>
    <w:rsid w:val="005F6BA3"/>
    <w:rsid w:val="006005E7"/>
    <w:rsid w:val="006015AE"/>
    <w:rsid w:val="00601660"/>
    <w:rsid w:val="006017B1"/>
    <w:rsid w:val="006019BD"/>
    <w:rsid w:val="00603C98"/>
    <w:rsid w:val="0060685F"/>
    <w:rsid w:val="00607066"/>
    <w:rsid w:val="00607197"/>
    <w:rsid w:val="00607A16"/>
    <w:rsid w:val="00607B56"/>
    <w:rsid w:val="006109F8"/>
    <w:rsid w:val="0061229D"/>
    <w:rsid w:val="00614472"/>
    <w:rsid w:val="006147EA"/>
    <w:rsid w:val="0061773A"/>
    <w:rsid w:val="00617F57"/>
    <w:rsid w:val="00620C96"/>
    <w:rsid w:val="006210C5"/>
    <w:rsid w:val="00621D9E"/>
    <w:rsid w:val="00623075"/>
    <w:rsid w:val="00623910"/>
    <w:rsid w:val="00624A27"/>
    <w:rsid w:val="00624D74"/>
    <w:rsid w:val="00625F09"/>
    <w:rsid w:val="00626034"/>
    <w:rsid w:val="0062716D"/>
    <w:rsid w:val="006272B5"/>
    <w:rsid w:val="00627AF2"/>
    <w:rsid w:val="00630C33"/>
    <w:rsid w:val="00631559"/>
    <w:rsid w:val="00631AE7"/>
    <w:rsid w:val="00632497"/>
    <w:rsid w:val="00632F94"/>
    <w:rsid w:val="006330F2"/>
    <w:rsid w:val="00634379"/>
    <w:rsid w:val="00634732"/>
    <w:rsid w:val="0063632F"/>
    <w:rsid w:val="00636AB2"/>
    <w:rsid w:val="00637179"/>
    <w:rsid w:val="00641B7C"/>
    <w:rsid w:val="006432B0"/>
    <w:rsid w:val="006453FE"/>
    <w:rsid w:val="006461C6"/>
    <w:rsid w:val="00646493"/>
    <w:rsid w:val="00650510"/>
    <w:rsid w:val="00650721"/>
    <w:rsid w:val="00650C56"/>
    <w:rsid w:val="00652281"/>
    <w:rsid w:val="00652858"/>
    <w:rsid w:val="0065578C"/>
    <w:rsid w:val="006558DC"/>
    <w:rsid w:val="00656B27"/>
    <w:rsid w:val="00657333"/>
    <w:rsid w:val="00657367"/>
    <w:rsid w:val="00657F8B"/>
    <w:rsid w:val="00660401"/>
    <w:rsid w:val="006618FC"/>
    <w:rsid w:val="00663D00"/>
    <w:rsid w:val="00663E86"/>
    <w:rsid w:val="0066421C"/>
    <w:rsid w:val="0066638C"/>
    <w:rsid w:val="0066689C"/>
    <w:rsid w:val="006674C8"/>
    <w:rsid w:val="00667AFD"/>
    <w:rsid w:val="0067149D"/>
    <w:rsid w:val="00671B7E"/>
    <w:rsid w:val="006722BB"/>
    <w:rsid w:val="00672A79"/>
    <w:rsid w:val="00672D5E"/>
    <w:rsid w:val="00673E90"/>
    <w:rsid w:val="0067444A"/>
    <w:rsid w:val="00675A3B"/>
    <w:rsid w:val="00675B4E"/>
    <w:rsid w:val="006761CA"/>
    <w:rsid w:val="00676755"/>
    <w:rsid w:val="006767BC"/>
    <w:rsid w:val="00677CDD"/>
    <w:rsid w:val="0068073A"/>
    <w:rsid w:val="00681D75"/>
    <w:rsid w:val="0068220C"/>
    <w:rsid w:val="0068242E"/>
    <w:rsid w:val="00684BAF"/>
    <w:rsid w:val="006851D9"/>
    <w:rsid w:val="006853DD"/>
    <w:rsid w:val="006867C2"/>
    <w:rsid w:val="006909A8"/>
    <w:rsid w:val="006918D0"/>
    <w:rsid w:val="00692342"/>
    <w:rsid w:val="00692DE4"/>
    <w:rsid w:val="00692FCD"/>
    <w:rsid w:val="00695285"/>
    <w:rsid w:val="00695F96"/>
    <w:rsid w:val="00696EBB"/>
    <w:rsid w:val="006A1F10"/>
    <w:rsid w:val="006A2AC8"/>
    <w:rsid w:val="006A4D4E"/>
    <w:rsid w:val="006A530B"/>
    <w:rsid w:val="006A7AD7"/>
    <w:rsid w:val="006A7B2C"/>
    <w:rsid w:val="006B11D1"/>
    <w:rsid w:val="006B192B"/>
    <w:rsid w:val="006B2A96"/>
    <w:rsid w:val="006B44A4"/>
    <w:rsid w:val="006B46B3"/>
    <w:rsid w:val="006B530E"/>
    <w:rsid w:val="006B5B2B"/>
    <w:rsid w:val="006B630A"/>
    <w:rsid w:val="006B754A"/>
    <w:rsid w:val="006C03AA"/>
    <w:rsid w:val="006C1577"/>
    <w:rsid w:val="006C2AFA"/>
    <w:rsid w:val="006C2EFF"/>
    <w:rsid w:val="006C32B1"/>
    <w:rsid w:val="006C5ACD"/>
    <w:rsid w:val="006C6300"/>
    <w:rsid w:val="006C706F"/>
    <w:rsid w:val="006C78AA"/>
    <w:rsid w:val="006D1544"/>
    <w:rsid w:val="006D19C6"/>
    <w:rsid w:val="006D36B7"/>
    <w:rsid w:val="006D3A49"/>
    <w:rsid w:val="006D589C"/>
    <w:rsid w:val="006D6195"/>
    <w:rsid w:val="006D6A13"/>
    <w:rsid w:val="006D72A6"/>
    <w:rsid w:val="006E0E6E"/>
    <w:rsid w:val="006E16F1"/>
    <w:rsid w:val="006E23F9"/>
    <w:rsid w:val="006E31C3"/>
    <w:rsid w:val="006E359B"/>
    <w:rsid w:val="006E4B32"/>
    <w:rsid w:val="006E5D05"/>
    <w:rsid w:val="006E736D"/>
    <w:rsid w:val="006E7416"/>
    <w:rsid w:val="006E75BF"/>
    <w:rsid w:val="006F09B5"/>
    <w:rsid w:val="006F1349"/>
    <w:rsid w:val="006F14D8"/>
    <w:rsid w:val="006F201F"/>
    <w:rsid w:val="006F2C03"/>
    <w:rsid w:val="006F48B3"/>
    <w:rsid w:val="006F48B8"/>
    <w:rsid w:val="006F553C"/>
    <w:rsid w:val="006F5924"/>
    <w:rsid w:val="006F6258"/>
    <w:rsid w:val="006F65E1"/>
    <w:rsid w:val="006F69D7"/>
    <w:rsid w:val="006F7B1C"/>
    <w:rsid w:val="006F7F8E"/>
    <w:rsid w:val="006F7F9D"/>
    <w:rsid w:val="007000AB"/>
    <w:rsid w:val="00700DF8"/>
    <w:rsid w:val="00701552"/>
    <w:rsid w:val="00702E73"/>
    <w:rsid w:val="00702FB0"/>
    <w:rsid w:val="0070320A"/>
    <w:rsid w:val="00704FDE"/>
    <w:rsid w:val="00705035"/>
    <w:rsid w:val="00705448"/>
    <w:rsid w:val="00706274"/>
    <w:rsid w:val="00711EC0"/>
    <w:rsid w:val="007122EC"/>
    <w:rsid w:val="007134E4"/>
    <w:rsid w:val="00713BAB"/>
    <w:rsid w:val="00713D3B"/>
    <w:rsid w:val="007143FC"/>
    <w:rsid w:val="00714504"/>
    <w:rsid w:val="0071465D"/>
    <w:rsid w:val="00714D2E"/>
    <w:rsid w:val="00716B34"/>
    <w:rsid w:val="0071742A"/>
    <w:rsid w:val="00717F30"/>
    <w:rsid w:val="00722478"/>
    <w:rsid w:val="007226BE"/>
    <w:rsid w:val="00723FE4"/>
    <w:rsid w:val="00724477"/>
    <w:rsid w:val="0072471C"/>
    <w:rsid w:val="00724E51"/>
    <w:rsid w:val="00725E3F"/>
    <w:rsid w:val="0072624D"/>
    <w:rsid w:val="00726B17"/>
    <w:rsid w:val="007303C6"/>
    <w:rsid w:val="00730E8F"/>
    <w:rsid w:val="00731D48"/>
    <w:rsid w:val="00732ECC"/>
    <w:rsid w:val="00734484"/>
    <w:rsid w:val="00736DD5"/>
    <w:rsid w:val="00737977"/>
    <w:rsid w:val="00737E3F"/>
    <w:rsid w:val="0074056D"/>
    <w:rsid w:val="00740E3D"/>
    <w:rsid w:val="00741907"/>
    <w:rsid w:val="00742076"/>
    <w:rsid w:val="00742386"/>
    <w:rsid w:val="00743CF7"/>
    <w:rsid w:val="00745136"/>
    <w:rsid w:val="00745A15"/>
    <w:rsid w:val="00745D89"/>
    <w:rsid w:val="00745DD2"/>
    <w:rsid w:val="00746A5F"/>
    <w:rsid w:val="007473F0"/>
    <w:rsid w:val="007479BD"/>
    <w:rsid w:val="00750958"/>
    <w:rsid w:val="00751354"/>
    <w:rsid w:val="007537DE"/>
    <w:rsid w:val="00755A2C"/>
    <w:rsid w:val="00756909"/>
    <w:rsid w:val="00756A7F"/>
    <w:rsid w:val="00760D10"/>
    <w:rsid w:val="00762108"/>
    <w:rsid w:val="00762587"/>
    <w:rsid w:val="00766794"/>
    <w:rsid w:val="0076733E"/>
    <w:rsid w:val="0076762F"/>
    <w:rsid w:val="00767B3A"/>
    <w:rsid w:val="007705B2"/>
    <w:rsid w:val="00770E38"/>
    <w:rsid w:val="007733AA"/>
    <w:rsid w:val="00774C49"/>
    <w:rsid w:val="00774D63"/>
    <w:rsid w:val="00774FD4"/>
    <w:rsid w:val="007751DE"/>
    <w:rsid w:val="007776F3"/>
    <w:rsid w:val="0078133D"/>
    <w:rsid w:val="00781601"/>
    <w:rsid w:val="00781E34"/>
    <w:rsid w:val="007824BF"/>
    <w:rsid w:val="00785785"/>
    <w:rsid w:val="00785ABE"/>
    <w:rsid w:val="00787E75"/>
    <w:rsid w:val="0079174F"/>
    <w:rsid w:val="00791DED"/>
    <w:rsid w:val="00791EC9"/>
    <w:rsid w:val="00792AA8"/>
    <w:rsid w:val="00792B4F"/>
    <w:rsid w:val="00793AAE"/>
    <w:rsid w:val="00794972"/>
    <w:rsid w:val="00794DF0"/>
    <w:rsid w:val="007954D2"/>
    <w:rsid w:val="00796EE7"/>
    <w:rsid w:val="00797022"/>
    <w:rsid w:val="00797DD5"/>
    <w:rsid w:val="007A24E7"/>
    <w:rsid w:val="007A3041"/>
    <w:rsid w:val="007A3ABE"/>
    <w:rsid w:val="007A4CB0"/>
    <w:rsid w:val="007A5B52"/>
    <w:rsid w:val="007A62C3"/>
    <w:rsid w:val="007A6DFB"/>
    <w:rsid w:val="007A7032"/>
    <w:rsid w:val="007B0141"/>
    <w:rsid w:val="007B3022"/>
    <w:rsid w:val="007B4102"/>
    <w:rsid w:val="007B49BF"/>
    <w:rsid w:val="007B651A"/>
    <w:rsid w:val="007B6605"/>
    <w:rsid w:val="007B6648"/>
    <w:rsid w:val="007B6669"/>
    <w:rsid w:val="007B7113"/>
    <w:rsid w:val="007B75C5"/>
    <w:rsid w:val="007B7871"/>
    <w:rsid w:val="007C04ED"/>
    <w:rsid w:val="007C09C0"/>
    <w:rsid w:val="007C12BB"/>
    <w:rsid w:val="007C28DA"/>
    <w:rsid w:val="007C2E4F"/>
    <w:rsid w:val="007C311B"/>
    <w:rsid w:val="007C4BC1"/>
    <w:rsid w:val="007C506B"/>
    <w:rsid w:val="007C5910"/>
    <w:rsid w:val="007C5FAC"/>
    <w:rsid w:val="007C6578"/>
    <w:rsid w:val="007C6A41"/>
    <w:rsid w:val="007C6D17"/>
    <w:rsid w:val="007D01AE"/>
    <w:rsid w:val="007D0986"/>
    <w:rsid w:val="007D117C"/>
    <w:rsid w:val="007D1318"/>
    <w:rsid w:val="007D3EFF"/>
    <w:rsid w:val="007D4AD8"/>
    <w:rsid w:val="007D571A"/>
    <w:rsid w:val="007D59A7"/>
    <w:rsid w:val="007D698B"/>
    <w:rsid w:val="007D7BB6"/>
    <w:rsid w:val="007E12B5"/>
    <w:rsid w:val="007E3F75"/>
    <w:rsid w:val="007E5D35"/>
    <w:rsid w:val="007E7975"/>
    <w:rsid w:val="007F004F"/>
    <w:rsid w:val="007F0304"/>
    <w:rsid w:val="007F0EB0"/>
    <w:rsid w:val="007F1EEF"/>
    <w:rsid w:val="007F2C56"/>
    <w:rsid w:val="007F3206"/>
    <w:rsid w:val="007F329B"/>
    <w:rsid w:val="007F3D74"/>
    <w:rsid w:val="007F51CC"/>
    <w:rsid w:val="007F52A6"/>
    <w:rsid w:val="007F52DE"/>
    <w:rsid w:val="007F54F8"/>
    <w:rsid w:val="007F5661"/>
    <w:rsid w:val="007F5789"/>
    <w:rsid w:val="007F6392"/>
    <w:rsid w:val="007F68DA"/>
    <w:rsid w:val="007F76F2"/>
    <w:rsid w:val="007F7C3A"/>
    <w:rsid w:val="007F7FDD"/>
    <w:rsid w:val="008004E7"/>
    <w:rsid w:val="00802151"/>
    <w:rsid w:val="0080276C"/>
    <w:rsid w:val="00803210"/>
    <w:rsid w:val="008060C8"/>
    <w:rsid w:val="0080782B"/>
    <w:rsid w:val="00807F78"/>
    <w:rsid w:val="00810AE3"/>
    <w:rsid w:val="00810F5C"/>
    <w:rsid w:val="00812723"/>
    <w:rsid w:val="00813C36"/>
    <w:rsid w:val="00814A6A"/>
    <w:rsid w:val="00814D97"/>
    <w:rsid w:val="00814ED4"/>
    <w:rsid w:val="008152E3"/>
    <w:rsid w:val="0081535F"/>
    <w:rsid w:val="0081557C"/>
    <w:rsid w:val="008159B1"/>
    <w:rsid w:val="008166B1"/>
    <w:rsid w:val="00816BB4"/>
    <w:rsid w:val="00816C13"/>
    <w:rsid w:val="008173AB"/>
    <w:rsid w:val="00820282"/>
    <w:rsid w:val="00820AC1"/>
    <w:rsid w:val="0082117F"/>
    <w:rsid w:val="00821939"/>
    <w:rsid w:val="0082244E"/>
    <w:rsid w:val="008234F9"/>
    <w:rsid w:val="00824901"/>
    <w:rsid w:val="008260C1"/>
    <w:rsid w:val="0082619C"/>
    <w:rsid w:val="00831432"/>
    <w:rsid w:val="00831A0D"/>
    <w:rsid w:val="0083448C"/>
    <w:rsid w:val="00834DBA"/>
    <w:rsid w:val="00836AD2"/>
    <w:rsid w:val="00836E7D"/>
    <w:rsid w:val="0083729C"/>
    <w:rsid w:val="008372D8"/>
    <w:rsid w:val="008375CC"/>
    <w:rsid w:val="008411BD"/>
    <w:rsid w:val="00841502"/>
    <w:rsid w:val="008415CC"/>
    <w:rsid w:val="0084260D"/>
    <w:rsid w:val="00842862"/>
    <w:rsid w:val="00842CA8"/>
    <w:rsid w:val="00842E38"/>
    <w:rsid w:val="00843E8C"/>
    <w:rsid w:val="00845199"/>
    <w:rsid w:val="008455CB"/>
    <w:rsid w:val="00845864"/>
    <w:rsid w:val="00847DFE"/>
    <w:rsid w:val="0085053B"/>
    <w:rsid w:val="00851111"/>
    <w:rsid w:val="00851890"/>
    <w:rsid w:val="00851A1B"/>
    <w:rsid w:val="008523C4"/>
    <w:rsid w:val="008525CF"/>
    <w:rsid w:val="00852618"/>
    <w:rsid w:val="00853DAE"/>
    <w:rsid w:val="008542CC"/>
    <w:rsid w:val="00854712"/>
    <w:rsid w:val="00855A77"/>
    <w:rsid w:val="00855B96"/>
    <w:rsid w:val="00856CC3"/>
    <w:rsid w:val="008604D2"/>
    <w:rsid w:val="00860973"/>
    <w:rsid w:val="00860B77"/>
    <w:rsid w:val="0086183E"/>
    <w:rsid w:val="008631B3"/>
    <w:rsid w:val="00863223"/>
    <w:rsid w:val="0086472F"/>
    <w:rsid w:val="008648B5"/>
    <w:rsid w:val="0086532E"/>
    <w:rsid w:val="00865DFC"/>
    <w:rsid w:val="0086641A"/>
    <w:rsid w:val="00867F68"/>
    <w:rsid w:val="008725D1"/>
    <w:rsid w:val="008737D3"/>
    <w:rsid w:val="00874133"/>
    <w:rsid w:val="008769CF"/>
    <w:rsid w:val="00877CBF"/>
    <w:rsid w:val="00882D53"/>
    <w:rsid w:val="00883437"/>
    <w:rsid w:val="008834C5"/>
    <w:rsid w:val="00883C24"/>
    <w:rsid w:val="008843B9"/>
    <w:rsid w:val="008853F8"/>
    <w:rsid w:val="00886CAA"/>
    <w:rsid w:val="008879ED"/>
    <w:rsid w:val="00890188"/>
    <w:rsid w:val="00892345"/>
    <w:rsid w:val="00893DE8"/>
    <w:rsid w:val="008953BD"/>
    <w:rsid w:val="008956FB"/>
    <w:rsid w:val="00896320"/>
    <w:rsid w:val="00897968"/>
    <w:rsid w:val="00897D87"/>
    <w:rsid w:val="008A1914"/>
    <w:rsid w:val="008A2FB6"/>
    <w:rsid w:val="008A443A"/>
    <w:rsid w:val="008A44EA"/>
    <w:rsid w:val="008A4628"/>
    <w:rsid w:val="008A4E5B"/>
    <w:rsid w:val="008A5D7E"/>
    <w:rsid w:val="008A694B"/>
    <w:rsid w:val="008B0195"/>
    <w:rsid w:val="008B27B6"/>
    <w:rsid w:val="008B29AC"/>
    <w:rsid w:val="008B3082"/>
    <w:rsid w:val="008B47CB"/>
    <w:rsid w:val="008B5652"/>
    <w:rsid w:val="008B63E9"/>
    <w:rsid w:val="008B6A6C"/>
    <w:rsid w:val="008B7193"/>
    <w:rsid w:val="008B7F2C"/>
    <w:rsid w:val="008C15BB"/>
    <w:rsid w:val="008C2329"/>
    <w:rsid w:val="008C28E5"/>
    <w:rsid w:val="008C2966"/>
    <w:rsid w:val="008C3CE8"/>
    <w:rsid w:val="008C4994"/>
    <w:rsid w:val="008C4E5F"/>
    <w:rsid w:val="008C644B"/>
    <w:rsid w:val="008C6C82"/>
    <w:rsid w:val="008C6DE2"/>
    <w:rsid w:val="008C7AAC"/>
    <w:rsid w:val="008D15F7"/>
    <w:rsid w:val="008D1FDE"/>
    <w:rsid w:val="008D318D"/>
    <w:rsid w:val="008D351D"/>
    <w:rsid w:val="008D5259"/>
    <w:rsid w:val="008D552E"/>
    <w:rsid w:val="008D598A"/>
    <w:rsid w:val="008D59FB"/>
    <w:rsid w:val="008D65CE"/>
    <w:rsid w:val="008D72DC"/>
    <w:rsid w:val="008D7D0F"/>
    <w:rsid w:val="008E1373"/>
    <w:rsid w:val="008E1C45"/>
    <w:rsid w:val="008E242E"/>
    <w:rsid w:val="008E28E2"/>
    <w:rsid w:val="008E2ADD"/>
    <w:rsid w:val="008E5404"/>
    <w:rsid w:val="008E647B"/>
    <w:rsid w:val="008E64FB"/>
    <w:rsid w:val="008E6C94"/>
    <w:rsid w:val="008E7B61"/>
    <w:rsid w:val="008E7DC8"/>
    <w:rsid w:val="008F039D"/>
    <w:rsid w:val="008F199A"/>
    <w:rsid w:val="008F253A"/>
    <w:rsid w:val="008F3960"/>
    <w:rsid w:val="008F3A2C"/>
    <w:rsid w:val="008F3AE2"/>
    <w:rsid w:val="008F504B"/>
    <w:rsid w:val="008F61CD"/>
    <w:rsid w:val="008F6221"/>
    <w:rsid w:val="008F722B"/>
    <w:rsid w:val="008F777B"/>
    <w:rsid w:val="008F7CCE"/>
    <w:rsid w:val="00900E6C"/>
    <w:rsid w:val="009013AE"/>
    <w:rsid w:val="009026A3"/>
    <w:rsid w:val="00905922"/>
    <w:rsid w:val="00906190"/>
    <w:rsid w:val="009064E2"/>
    <w:rsid w:val="0090676E"/>
    <w:rsid w:val="009077C7"/>
    <w:rsid w:val="00910B30"/>
    <w:rsid w:val="00911255"/>
    <w:rsid w:val="00911E4D"/>
    <w:rsid w:val="00912061"/>
    <w:rsid w:val="0091220E"/>
    <w:rsid w:val="00912AB0"/>
    <w:rsid w:val="0091451C"/>
    <w:rsid w:val="0091465A"/>
    <w:rsid w:val="00914C3C"/>
    <w:rsid w:val="00914ED5"/>
    <w:rsid w:val="00916641"/>
    <w:rsid w:val="00916F9C"/>
    <w:rsid w:val="00920216"/>
    <w:rsid w:val="00920463"/>
    <w:rsid w:val="009204C0"/>
    <w:rsid w:val="00920B5B"/>
    <w:rsid w:val="009231E5"/>
    <w:rsid w:val="009238C7"/>
    <w:rsid w:val="00923C41"/>
    <w:rsid w:val="00923D68"/>
    <w:rsid w:val="009245CA"/>
    <w:rsid w:val="00924F43"/>
    <w:rsid w:val="00925168"/>
    <w:rsid w:val="00926AA4"/>
    <w:rsid w:val="00926D24"/>
    <w:rsid w:val="00926E4D"/>
    <w:rsid w:val="0092712F"/>
    <w:rsid w:val="00930D81"/>
    <w:rsid w:val="00932616"/>
    <w:rsid w:val="00932BC1"/>
    <w:rsid w:val="0093352D"/>
    <w:rsid w:val="00934318"/>
    <w:rsid w:val="0093449D"/>
    <w:rsid w:val="009376FF"/>
    <w:rsid w:val="00940185"/>
    <w:rsid w:val="00940816"/>
    <w:rsid w:val="00940BCD"/>
    <w:rsid w:val="00941279"/>
    <w:rsid w:val="0094147C"/>
    <w:rsid w:val="00941F33"/>
    <w:rsid w:val="00942F73"/>
    <w:rsid w:val="00944DD1"/>
    <w:rsid w:val="00946168"/>
    <w:rsid w:val="009462D5"/>
    <w:rsid w:val="009469A9"/>
    <w:rsid w:val="0095456C"/>
    <w:rsid w:val="009547B3"/>
    <w:rsid w:val="009564D5"/>
    <w:rsid w:val="00956905"/>
    <w:rsid w:val="009613B3"/>
    <w:rsid w:val="009614C6"/>
    <w:rsid w:val="009614DA"/>
    <w:rsid w:val="00962B77"/>
    <w:rsid w:val="00962BFB"/>
    <w:rsid w:val="00962E1C"/>
    <w:rsid w:val="0096349D"/>
    <w:rsid w:val="00964954"/>
    <w:rsid w:val="00964E2D"/>
    <w:rsid w:val="00965B5F"/>
    <w:rsid w:val="00966094"/>
    <w:rsid w:val="00966DEC"/>
    <w:rsid w:val="00970B13"/>
    <w:rsid w:val="00974BDE"/>
    <w:rsid w:val="009753C3"/>
    <w:rsid w:val="0097673B"/>
    <w:rsid w:val="00976B06"/>
    <w:rsid w:val="009773C8"/>
    <w:rsid w:val="00980D58"/>
    <w:rsid w:val="00982868"/>
    <w:rsid w:val="0098421E"/>
    <w:rsid w:val="0098436C"/>
    <w:rsid w:val="0098459E"/>
    <w:rsid w:val="00986370"/>
    <w:rsid w:val="00986D2D"/>
    <w:rsid w:val="00987C7D"/>
    <w:rsid w:val="00990380"/>
    <w:rsid w:val="00991346"/>
    <w:rsid w:val="00991A4F"/>
    <w:rsid w:val="009921DB"/>
    <w:rsid w:val="00992E90"/>
    <w:rsid w:val="009937BB"/>
    <w:rsid w:val="00993B3C"/>
    <w:rsid w:val="009940EF"/>
    <w:rsid w:val="00994A8D"/>
    <w:rsid w:val="00994D06"/>
    <w:rsid w:val="0099622A"/>
    <w:rsid w:val="00996957"/>
    <w:rsid w:val="00996B8D"/>
    <w:rsid w:val="00997CF0"/>
    <w:rsid w:val="00997DFC"/>
    <w:rsid w:val="009A0BBC"/>
    <w:rsid w:val="009A50D8"/>
    <w:rsid w:val="009A5AFD"/>
    <w:rsid w:val="009A6EFD"/>
    <w:rsid w:val="009B0693"/>
    <w:rsid w:val="009B3734"/>
    <w:rsid w:val="009B3751"/>
    <w:rsid w:val="009B380E"/>
    <w:rsid w:val="009B39DC"/>
    <w:rsid w:val="009B5BC4"/>
    <w:rsid w:val="009B5D9A"/>
    <w:rsid w:val="009B5F9F"/>
    <w:rsid w:val="009B5FAB"/>
    <w:rsid w:val="009B61E7"/>
    <w:rsid w:val="009B6CE3"/>
    <w:rsid w:val="009C4600"/>
    <w:rsid w:val="009C4CA5"/>
    <w:rsid w:val="009C4FC8"/>
    <w:rsid w:val="009C6E72"/>
    <w:rsid w:val="009D18AA"/>
    <w:rsid w:val="009D1D9A"/>
    <w:rsid w:val="009D2C97"/>
    <w:rsid w:val="009D37B1"/>
    <w:rsid w:val="009D3C3F"/>
    <w:rsid w:val="009D4D67"/>
    <w:rsid w:val="009D4F2A"/>
    <w:rsid w:val="009D635B"/>
    <w:rsid w:val="009D66DC"/>
    <w:rsid w:val="009D6875"/>
    <w:rsid w:val="009D74DE"/>
    <w:rsid w:val="009D7F6F"/>
    <w:rsid w:val="009E0393"/>
    <w:rsid w:val="009E07D3"/>
    <w:rsid w:val="009E1E74"/>
    <w:rsid w:val="009E1FBA"/>
    <w:rsid w:val="009E26EC"/>
    <w:rsid w:val="009E50E7"/>
    <w:rsid w:val="009E69F6"/>
    <w:rsid w:val="009F03FB"/>
    <w:rsid w:val="009F06F2"/>
    <w:rsid w:val="009F1061"/>
    <w:rsid w:val="009F1C7E"/>
    <w:rsid w:val="009F2949"/>
    <w:rsid w:val="009F635E"/>
    <w:rsid w:val="00A00357"/>
    <w:rsid w:val="00A007E5"/>
    <w:rsid w:val="00A02C5D"/>
    <w:rsid w:val="00A02ED0"/>
    <w:rsid w:val="00A03096"/>
    <w:rsid w:val="00A04370"/>
    <w:rsid w:val="00A047F0"/>
    <w:rsid w:val="00A04AA7"/>
    <w:rsid w:val="00A064BB"/>
    <w:rsid w:val="00A06BE6"/>
    <w:rsid w:val="00A07602"/>
    <w:rsid w:val="00A11438"/>
    <w:rsid w:val="00A118A1"/>
    <w:rsid w:val="00A11E6B"/>
    <w:rsid w:val="00A13514"/>
    <w:rsid w:val="00A13BF5"/>
    <w:rsid w:val="00A140D3"/>
    <w:rsid w:val="00A1446B"/>
    <w:rsid w:val="00A1665A"/>
    <w:rsid w:val="00A167F2"/>
    <w:rsid w:val="00A1686D"/>
    <w:rsid w:val="00A17EFE"/>
    <w:rsid w:val="00A20C78"/>
    <w:rsid w:val="00A20D15"/>
    <w:rsid w:val="00A211AF"/>
    <w:rsid w:val="00A21952"/>
    <w:rsid w:val="00A21DD6"/>
    <w:rsid w:val="00A22252"/>
    <w:rsid w:val="00A2312E"/>
    <w:rsid w:val="00A24323"/>
    <w:rsid w:val="00A24982"/>
    <w:rsid w:val="00A24C25"/>
    <w:rsid w:val="00A2512C"/>
    <w:rsid w:val="00A2515B"/>
    <w:rsid w:val="00A2588E"/>
    <w:rsid w:val="00A26EDF"/>
    <w:rsid w:val="00A2785F"/>
    <w:rsid w:val="00A279DB"/>
    <w:rsid w:val="00A27D74"/>
    <w:rsid w:val="00A3004B"/>
    <w:rsid w:val="00A30D87"/>
    <w:rsid w:val="00A319C5"/>
    <w:rsid w:val="00A32947"/>
    <w:rsid w:val="00A34789"/>
    <w:rsid w:val="00A3630E"/>
    <w:rsid w:val="00A37BB8"/>
    <w:rsid w:val="00A40E00"/>
    <w:rsid w:val="00A41CD2"/>
    <w:rsid w:val="00A41FF8"/>
    <w:rsid w:val="00A42D87"/>
    <w:rsid w:val="00A430B8"/>
    <w:rsid w:val="00A43A20"/>
    <w:rsid w:val="00A43E13"/>
    <w:rsid w:val="00A44520"/>
    <w:rsid w:val="00A44786"/>
    <w:rsid w:val="00A44BD3"/>
    <w:rsid w:val="00A4521D"/>
    <w:rsid w:val="00A46D6F"/>
    <w:rsid w:val="00A47235"/>
    <w:rsid w:val="00A51D50"/>
    <w:rsid w:val="00A51F0A"/>
    <w:rsid w:val="00A533A5"/>
    <w:rsid w:val="00A5349F"/>
    <w:rsid w:val="00A5455A"/>
    <w:rsid w:val="00A54EF2"/>
    <w:rsid w:val="00A55D48"/>
    <w:rsid w:val="00A56044"/>
    <w:rsid w:val="00A5613E"/>
    <w:rsid w:val="00A56D8F"/>
    <w:rsid w:val="00A57161"/>
    <w:rsid w:val="00A57BEB"/>
    <w:rsid w:val="00A60266"/>
    <w:rsid w:val="00A61673"/>
    <w:rsid w:val="00A61BA1"/>
    <w:rsid w:val="00A62C2B"/>
    <w:rsid w:val="00A641AA"/>
    <w:rsid w:val="00A64926"/>
    <w:rsid w:val="00A659DE"/>
    <w:rsid w:val="00A65C36"/>
    <w:rsid w:val="00A665CF"/>
    <w:rsid w:val="00A67176"/>
    <w:rsid w:val="00A675F7"/>
    <w:rsid w:val="00A67CA7"/>
    <w:rsid w:val="00A7294A"/>
    <w:rsid w:val="00A733A6"/>
    <w:rsid w:val="00A7357D"/>
    <w:rsid w:val="00A73597"/>
    <w:rsid w:val="00A73989"/>
    <w:rsid w:val="00A74EA8"/>
    <w:rsid w:val="00A7589C"/>
    <w:rsid w:val="00A76BB3"/>
    <w:rsid w:val="00A76FC6"/>
    <w:rsid w:val="00A7752F"/>
    <w:rsid w:val="00A7789C"/>
    <w:rsid w:val="00A8512D"/>
    <w:rsid w:val="00A85C35"/>
    <w:rsid w:val="00A873C4"/>
    <w:rsid w:val="00A87CA0"/>
    <w:rsid w:val="00A90C3C"/>
    <w:rsid w:val="00A91890"/>
    <w:rsid w:val="00A92061"/>
    <w:rsid w:val="00A93624"/>
    <w:rsid w:val="00A94249"/>
    <w:rsid w:val="00A94BC9"/>
    <w:rsid w:val="00A95241"/>
    <w:rsid w:val="00A958C0"/>
    <w:rsid w:val="00A959BC"/>
    <w:rsid w:val="00AA37F4"/>
    <w:rsid w:val="00AA38D8"/>
    <w:rsid w:val="00AA3C60"/>
    <w:rsid w:val="00AA3FA1"/>
    <w:rsid w:val="00AA486A"/>
    <w:rsid w:val="00AA541B"/>
    <w:rsid w:val="00AA6D08"/>
    <w:rsid w:val="00AB1ABE"/>
    <w:rsid w:val="00AB1B66"/>
    <w:rsid w:val="00AB21B0"/>
    <w:rsid w:val="00AB2FF4"/>
    <w:rsid w:val="00AB30B9"/>
    <w:rsid w:val="00AB3294"/>
    <w:rsid w:val="00AB53EA"/>
    <w:rsid w:val="00AB5F9C"/>
    <w:rsid w:val="00AB6680"/>
    <w:rsid w:val="00AB673D"/>
    <w:rsid w:val="00AC0C14"/>
    <w:rsid w:val="00AC18DD"/>
    <w:rsid w:val="00AC1AD6"/>
    <w:rsid w:val="00AC4E26"/>
    <w:rsid w:val="00AC6289"/>
    <w:rsid w:val="00AC68B5"/>
    <w:rsid w:val="00AC6DEB"/>
    <w:rsid w:val="00AC72F0"/>
    <w:rsid w:val="00AD17D4"/>
    <w:rsid w:val="00AD482C"/>
    <w:rsid w:val="00AD64DF"/>
    <w:rsid w:val="00AD6533"/>
    <w:rsid w:val="00AD6741"/>
    <w:rsid w:val="00AD6B33"/>
    <w:rsid w:val="00AE1025"/>
    <w:rsid w:val="00AE2DA8"/>
    <w:rsid w:val="00AE3510"/>
    <w:rsid w:val="00AE3F03"/>
    <w:rsid w:val="00AE49CF"/>
    <w:rsid w:val="00AE64F0"/>
    <w:rsid w:val="00AE686D"/>
    <w:rsid w:val="00AE722F"/>
    <w:rsid w:val="00AE7253"/>
    <w:rsid w:val="00AE798D"/>
    <w:rsid w:val="00AE7ABB"/>
    <w:rsid w:val="00AF0BDE"/>
    <w:rsid w:val="00AF1143"/>
    <w:rsid w:val="00AF12B8"/>
    <w:rsid w:val="00AF23C8"/>
    <w:rsid w:val="00AF2AE2"/>
    <w:rsid w:val="00AF6262"/>
    <w:rsid w:val="00AF66D3"/>
    <w:rsid w:val="00B00025"/>
    <w:rsid w:val="00B007C3"/>
    <w:rsid w:val="00B0150B"/>
    <w:rsid w:val="00B01D3D"/>
    <w:rsid w:val="00B01F4B"/>
    <w:rsid w:val="00B0377E"/>
    <w:rsid w:val="00B04C5B"/>
    <w:rsid w:val="00B05432"/>
    <w:rsid w:val="00B06340"/>
    <w:rsid w:val="00B066A5"/>
    <w:rsid w:val="00B078CF"/>
    <w:rsid w:val="00B07BA9"/>
    <w:rsid w:val="00B10055"/>
    <w:rsid w:val="00B103C8"/>
    <w:rsid w:val="00B10462"/>
    <w:rsid w:val="00B1141E"/>
    <w:rsid w:val="00B1278B"/>
    <w:rsid w:val="00B12880"/>
    <w:rsid w:val="00B14155"/>
    <w:rsid w:val="00B1470B"/>
    <w:rsid w:val="00B14C2D"/>
    <w:rsid w:val="00B1521D"/>
    <w:rsid w:val="00B17295"/>
    <w:rsid w:val="00B21030"/>
    <w:rsid w:val="00B215F5"/>
    <w:rsid w:val="00B216BC"/>
    <w:rsid w:val="00B238B6"/>
    <w:rsid w:val="00B247FA"/>
    <w:rsid w:val="00B2659C"/>
    <w:rsid w:val="00B26C7B"/>
    <w:rsid w:val="00B27A54"/>
    <w:rsid w:val="00B3003C"/>
    <w:rsid w:val="00B30783"/>
    <w:rsid w:val="00B30AF2"/>
    <w:rsid w:val="00B317F0"/>
    <w:rsid w:val="00B31C97"/>
    <w:rsid w:val="00B331FF"/>
    <w:rsid w:val="00B33CA9"/>
    <w:rsid w:val="00B35065"/>
    <w:rsid w:val="00B3662B"/>
    <w:rsid w:val="00B36DB8"/>
    <w:rsid w:val="00B37DB3"/>
    <w:rsid w:val="00B41F0F"/>
    <w:rsid w:val="00B42560"/>
    <w:rsid w:val="00B4273E"/>
    <w:rsid w:val="00B455AA"/>
    <w:rsid w:val="00B45778"/>
    <w:rsid w:val="00B457A1"/>
    <w:rsid w:val="00B45CAD"/>
    <w:rsid w:val="00B4630F"/>
    <w:rsid w:val="00B464B1"/>
    <w:rsid w:val="00B47115"/>
    <w:rsid w:val="00B47A4A"/>
    <w:rsid w:val="00B47B99"/>
    <w:rsid w:val="00B506F2"/>
    <w:rsid w:val="00B510E3"/>
    <w:rsid w:val="00B51FCF"/>
    <w:rsid w:val="00B521AC"/>
    <w:rsid w:val="00B52702"/>
    <w:rsid w:val="00B53D26"/>
    <w:rsid w:val="00B53DCA"/>
    <w:rsid w:val="00B5498D"/>
    <w:rsid w:val="00B5501D"/>
    <w:rsid w:val="00B55F0F"/>
    <w:rsid w:val="00B57E43"/>
    <w:rsid w:val="00B60DAE"/>
    <w:rsid w:val="00B611E1"/>
    <w:rsid w:val="00B6151E"/>
    <w:rsid w:val="00B61BD7"/>
    <w:rsid w:val="00B62328"/>
    <w:rsid w:val="00B6332F"/>
    <w:rsid w:val="00B6445F"/>
    <w:rsid w:val="00B64962"/>
    <w:rsid w:val="00B675B9"/>
    <w:rsid w:val="00B676EC"/>
    <w:rsid w:val="00B7016C"/>
    <w:rsid w:val="00B7039B"/>
    <w:rsid w:val="00B7115D"/>
    <w:rsid w:val="00B718E8"/>
    <w:rsid w:val="00B733C0"/>
    <w:rsid w:val="00B740F5"/>
    <w:rsid w:val="00B74B24"/>
    <w:rsid w:val="00B74D1E"/>
    <w:rsid w:val="00B75CE0"/>
    <w:rsid w:val="00B76A18"/>
    <w:rsid w:val="00B770C0"/>
    <w:rsid w:val="00B771E4"/>
    <w:rsid w:val="00B80282"/>
    <w:rsid w:val="00B80861"/>
    <w:rsid w:val="00B809C7"/>
    <w:rsid w:val="00B82922"/>
    <w:rsid w:val="00B836FF"/>
    <w:rsid w:val="00B84C6C"/>
    <w:rsid w:val="00B8678B"/>
    <w:rsid w:val="00B9019A"/>
    <w:rsid w:val="00B9138F"/>
    <w:rsid w:val="00B92687"/>
    <w:rsid w:val="00B94248"/>
    <w:rsid w:val="00B942A1"/>
    <w:rsid w:val="00B94B4F"/>
    <w:rsid w:val="00B95A1A"/>
    <w:rsid w:val="00B962CA"/>
    <w:rsid w:val="00B96779"/>
    <w:rsid w:val="00B976F6"/>
    <w:rsid w:val="00BA0A4F"/>
    <w:rsid w:val="00BA13E4"/>
    <w:rsid w:val="00BA18B5"/>
    <w:rsid w:val="00BA2A30"/>
    <w:rsid w:val="00BA2B2E"/>
    <w:rsid w:val="00BA2B77"/>
    <w:rsid w:val="00BA4995"/>
    <w:rsid w:val="00BA5F41"/>
    <w:rsid w:val="00BA7385"/>
    <w:rsid w:val="00BA7A18"/>
    <w:rsid w:val="00BB0DEF"/>
    <w:rsid w:val="00BB187C"/>
    <w:rsid w:val="00BB1B47"/>
    <w:rsid w:val="00BB1CAA"/>
    <w:rsid w:val="00BB25BA"/>
    <w:rsid w:val="00BB2755"/>
    <w:rsid w:val="00BB296B"/>
    <w:rsid w:val="00BB3622"/>
    <w:rsid w:val="00BB3A54"/>
    <w:rsid w:val="00BB5355"/>
    <w:rsid w:val="00BB53E8"/>
    <w:rsid w:val="00BB682C"/>
    <w:rsid w:val="00BB7CA9"/>
    <w:rsid w:val="00BB7DAC"/>
    <w:rsid w:val="00BC0306"/>
    <w:rsid w:val="00BC0DC2"/>
    <w:rsid w:val="00BC236B"/>
    <w:rsid w:val="00BC2BB4"/>
    <w:rsid w:val="00BC5865"/>
    <w:rsid w:val="00BC5B60"/>
    <w:rsid w:val="00BC65D9"/>
    <w:rsid w:val="00BC7C52"/>
    <w:rsid w:val="00BC7E5E"/>
    <w:rsid w:val="00BD0CF6"/>
    <w:rsid w:val="00BD12C0"/>
    <w:rsid w:val="00BD1471"/>
    <w:rsid w:val="00BD14C5"/>
    <w:rsid w:val="00BD196A"/>
    <w:rsid w:val="00BD2081"/>
    <w:rsid w:val="00BD2311"/>
    <w:rsid w:val="00BD276E"/>
    <w:rsid w:val="00BD30D7"/>
    <w:rsid w:val="00BD3694"/>
    <w:rsid w:val="00BD3DF9"/>
    <w:rsid w:val="00BD6262"/>
    <w:rsid w:val="00BD6CF0"/>
    <w:rsid w:val="00BD6F21"/>
    <w:rsid w:val="00BE47DC"/>
    <w:rsid w:val="00BE497D"/>
    <w:rsid w:val="00BE4C48"/>
    <w:rsid w:val="00BE5555"/>
    <w:rsid w:val="00BE61C1"/>
    <w:rsid w:val="00BE64AF"/>
    <w:rsid w:val="00BE6717"/>
    <w:rsid w:val="00BE7C1D"/>
    <w:rsid w:val="00BF0262"/>
    <w:rsid w:val="00BF0381"/>
    <w:rsid w:val="00BF1D94"/>
    <w:rsid w:val="00BF244E"/>
    <w:rsid w:val="00BF2883"/>
    <w:rsid w:val="00BF4944"/>
    <w:rsid w:val="00BF4BA1"/>
    <w:rsid w:val="00BF6832"/>
    <w:rsid w:val="00BF6B52"/>
    <w:rsid w:val="00BF6E7B"/>
    <w:rsid w:val="00BF76FF"/>
    <w:rsid w:val="00BF7D91"/>
    <w:rsid w:val="00C01021"/>
    <w:rsid w:val="00C0141F"/>
    <w:rsid w:val="00C014BA"/>
    <w:rsid w:val="00C02C9B"/>
    <w:rsid w:val="00C04106"/>
    <w:rsid w:val="00C048AF"/>
    <w:rsid w:val="00C05013"/>
    <w:rsid w:val="00C053D9"/>
    <w:rsid w:val="00C077E0"/>
    <w:rsid w:val="00C07DE6"/>
    <w:rsid w:val="00C10711"/>
    <w:rsid w:val="00C10A3D"/>
    <w:rsid w:val="00C12B73"/>
    <w:rsid w:val="00C12F24"/>
    <w:rsid w:val="00C133EE"/>
    <w:rsid w:val="00C154B5"/>
    <w:rsid w:val="00C170ED"/>
    <w:rsid w:val="00C17872"/>
    <w:rsid w:val="00C2012D"/>
    <w:rsid w:val="00C205E9"/>
    <w:rsid w:val="00C20B2D"/>
    <w:rsid w:val="00C212FC"/>
    <w:rsid w:val="00C21329"/>
    <w:rsid w:val="00C22440"/>
    <w:rsid w:val="00C23F48"/>
    <w:rsid w:val="00C262BD"/>
    <w:rsid w:val="00C3000C"/>
    <w:rsid w:val="00C306A0"/>
    <w:rsid w:val="00C30767"/>
    <w:rsid w:val="00C310C2"/>
    <w:rsid w:val="00C31EC6"/>
    <w:rsid w:val="00C321F7"/>
    <w:rsid w:val="00C32624"/>
    <w:rsid w:val="00C33D1C"/>
    <w:rsid w:val="00C343A4"/>
    <w:rsid w:val="00C34A4E"/>
    <w:rsid w:val="00C34DAB"/>
    <w:rsid w:val="00C36525"/>
    <w:rsid w:val="00C367D0"/>
    <w:rsid w:val="00C36D4A"/>
    <w:rsid w:val="00C40BDF"/>
    <w:rsid w:val="00C40EB3"/>
    <w:rsid w:val="00C41BD9"/>
    <w:rsid w:val="00C42C78"/>
    <w:rsid w:val="00C4302E"/>
    <w:rsid w:val="00C434FD"/>
    <w:rsid w:val="00C43FEC"/>
    <w:rsid w:val="00C4403F"/>
    <w:rsid w:val="00C46939"/>
    <w:rsid w:val="00C47AC7"/>
    <w:rsid w:val="00C5047A"/>
    <w:rsid w:val="00C505BA"/>
    <w:rsid w:val="00C50C06"/>
    <w:rsid w:val="00C5150B"/>
    <w:rsid w:val="00C51541"/>
    <w:rsid w:val="00C5192E"/>
    <w:rsid w:val="00C51F16"/>
    <w:rsid w:val="00C52DE6"/>
    <w:rsid w:val="00C52EC9"/>
    <w:rsid w:val="00C54111"/>
    <w:rsid w:val="00C55778"/>
    <w:rsid w:val="00C56664"/>
    <w:rsid w:val="00C5769E"/>
    <w:rsid w:val="00C5779F"/>
    <w:rsid w:val="00C6016B"/>
    <w:rsid w:val="00C60BD2"/>
    <w:rsid w:val="00C61525"/>
    <w:rsid w:val="00C62049"/>
    <w:rsid w:val="00C634A7"/>
    <w:rsid w:val="00C6353C"/>
    <w:rsid w:val="00C638D7"/>
    <w:rsid w:val="00C638DF"/>
    <w:rsid w:val="00C641C8"/>
    <w:rsid w:val="00C6434B"/>
    <w:rsid w:val="00C64720"/>
    <w:rsid w:val="00C65175"/>
    <w:rsid w:val="00C6517F"/>
    <w:rsid w:val="00C66F48"/>
    <w:rsid w:val="00C67BA6"/>
    <w:rsid w:val="00C67C0F"/>
    <w:rsid w:val="00C70BC4"/>
    <w:rsid w:val="00C70DA3"/>
    <w:rsid w:val="00C71920"/>
    <w:rsid w:val="00C72A54"/>
    <w:rsid w:val="00C72A63"/>
    <w:rsid w:val="00C72B38"/>
    <w:rsid w:val="00C733B2"/>
    <w:rsid w:val="00C76622"/>
    <w:rsid w:val="00C7736A"/>
    <w:rsid w:val="00C8030A"/>
    <w:rsid w:val="00C80929"/>
    <w:rsid w:val="00C80AE4"/>
    <w:rsid w:val="00C83139"/>
    <w:rsid w:val="00C84272"/>
    <w:rsid w:val="00C857F1"/>
    <w:rsid w:val="00C86F7D"/>
    <w:rsid w:val="00C871C4"/>
    <w:rsid w:val="00C8741E"/>
    <w:rsid w:val="00C90D56"/>
    <w:rsid w:val="00C910B9"/>
    <w:rsid w:val="00C91926"/>
    <w:rsid w:val="00C92A45"/>
    <w:rsid w:val="00C960D6"/>
    <w:rsid w:val="00C966B5"/>
    <w:rsid w:val="00CA0206"/>
    <w:rsid w:val="00CA0D71"/>
    <w:rsid w:val="00CA1130"/>
    <w:rsid w:val="00CA415F"/>
    <w:rsid w:val="00CA5EA7"/>
    <w:rsid w:val="00CA6BB6"/>
    <w:rsid w:val="00CA7D6A"/>
    <w:rsid w:val="00CB026C"/>
    <w:rsid w:val="00CB2C14"/>
    <w:rsid w:val="00CB49C2"/>
    <w:rsid w:val="00CB4E60"/>
    <w:rsid w:val="00CB5A49"/>
    <w:rsid w:val="00CB5C15"/>
    <w:rsid w:val="00CB5FE3"/>
    <w:rsid w:val="00CB678B"/>
    <w:rsid w:val="00CB6E47"/>
    <w:rsid w:val="00CC0557"/>
    <w:rsid w:val="00CC0D06"/>
    <w:rsid w:val="00CC1228"/>
    <w:rsid w:val="00CC1A21"/>
    <w:rsid w:val="00CC30F5"/>
    <w:rsid w:val="00CC3D04"/>
    <w:rsid w:val="00CC3EB4"/>
    <w:rsid w:val="00CC4863"/>
    <w:rsid w:val="00CC4CA3"/>
    <w:rsid w:val="00CC601D"/>
    <w:rsid w:val="00CC66DE"/>
    <w:rsid w:val="00CC76A6"/>
    <w:rsid w:val="00CC7C0C"/>
    <w:rsid w:val="00CD3109"/>
    <w:rsid w:val="00CD38B7"/>
    <w:rsid w:val="00CD3E91"/>
    <w:rsid w:val="00CD40F4"/>
    <w:rsid w:val="00CD44F5"/>
    <w:rsid w:val="00CD4FAB"/>
    <w:rsid w:val="00CD6A1E"/>
    <w:rsid w:val="00CD75E3"/>
    <w:rsid w:val="00CE2627"/>
    <w:rsid w:val="00CE2EB2"/>
    <w:rsid w:val="00CE3CAA"/>
    <w:rsid w:val="00CE4E43"/>
    <w:rsid w:val="00CE525D"/>
    <w:rsid w:val="00CE56B8"/>
    <w:rsid w:val="00CE5C99"/>
    <w:rsid w:val="00CE6E0E"/>
    <w:rsid w:val="00CE71A8"/>
    <w:rsid w:val="00CF13F3"/>
    <w:rsid w:val="00CF1AEE"/>
    <w:rsid w:val="00CF1BCB"/>
    <w:rsid w:val="00CF23EE"/>
    <w:rsid w:val="00CF26F1"/>
    <w:rsid w:val="00CF3786"/>
    <w:rsid w:val="00CF77F1"/>
    <w:rsid w:val="00D02BCF"/>
    <w:rsid w:val="00D03D3E"/>
    <w:rsid w:val="00D04253"/>
    <w:rsid w:val="00D0493C"/>
    <w:rsid w:val="00D05000"/>
    <w:rsid w:val="00D061CD"/>
    <w:rsid w:val="00D07918"/>
    <w:rsid w:val="00D1028E"/>
    <w:rsid w:val="00D104EC"/>
    <w:rsid w:val="00D11357"/>
    <w:rsid w:val="00D126F7"/>
    <w:rsid w:val="00D12956"/>
    <w:rsid w:val="00D129F5"/>
    <w:rsid w:val="00D12C06"/>
    <w:rsid w:val="00D12ED9"/>
    <w:rsid w:val="00D136F9"/>
    <w:rsid w:val="00D13951"/>
    <w:rsid w:val="00D141DD"/>
    <w:rsid w:val="00D1494A"/>
    <w:rsid w:val="00D14B54"/>
    <w:rsid w:val="00D161E3"/>
    <w:rsid w:val="00D20EDE"/>
    <w:rsid w:val="00D21887"/>
    <w:rsid w:val="00D21BDB"/>
    <w:rsid w:val="00D23840"/>
    <w:rsid w:val="00D251E0"/>
    <w:rsid w:val="00D25DA3"/>
    <w:rsid w:val="00D25F54"/>
    <w:rsid w:val="00D2612E"/>
    <w:rsid w:val="00D266DE"/>
    <w:rsid w:val="00D27310"/>
    <w:rsid w:val="00D27B21"/>
    <w:rsid w:val="00D300FC"/>
    <w:rsid w:val="00D31689"/>
    <w:rsid w:val="00D3181D"/>
    <w:rsid w:val="00D32768"/>
    <w:rsid w:val="00D33D13"/>
    <w:rsid w:val="00D34065"/>
    <w:rsid w:val="00D355E8"/>
    <w:rsid w:val="00D35F3C"/>
    <w:rsid w:val="00D3604F"/>
    <w:rsid w:val="00D37375"/>
    <w:rsid w:val="00D43DD6"/>
    <w:rsid w:val="00D45F10"/>
    <w:rsid w:val="00D46375"/>
    <w:rsid w:val="00D51C2C"/>
    <w:rsid w:val="00D525D0"/>
    <w:rsid w:val="00D55A36"/>
    <w:rsid w:val="00D55E79"/>
    <w:rsid w:val="00D564C6"/>
    <w:rsid w:val="00D5689A"/>
    <w:rsid w:val="00D56D63"/>
    <w:rsid w:val="00D57072"/>
    <w:rsid w:val="00D61249"/>
    <w:rsid w:val="00D61AE5"/>
    <w:rsid w:val="00D62921"/>
    <w:rsid w:val="00D63AF1"/>
    <w:rsid w:val="00D64636"/>
    <w:rsid w:val="00D661EB"/>
    <w:rsid w:val="00D668E4"/>
    <w:rsid w:val="00D673E9"/>
    <w:rsid w:val="00D67466"/>
    <w:rsid w:val="00D7047B"/>
    <w:rsid w:val="00D7093E"/>
    <w:rsid w:val="00D716A8"/>
    <w:rsid w:val="00D72066"/>
    <w:rsid w:val="00D729A9"/>
    <w:rsid w:val="00D72A8B"/>
    <w:rsid w:val="00D735FC"/>
    <w:rsid w:val="00D737FE"/>
    <w:rsid w:val="00D741F4"/>
    <w:rsid w:val="00D747F4"/>
    <w:rsid w:val="00D74FEC"/>
    <w:rsid w:val="00D75358"/>
    <w:rsid w:val="00D75505"/>
    <w:rsid w:val="00D76695"/>
    <w:rsid w:val="00D7783C"/>
    <w:rsid w:val="00D77DAB"/>
    <w:rsid w:val="00D81FFB"/>
    <w:rsid w:val="00D8228F"/>
    <w:rsid w:val="00D83CB1"/>
    <w:rsid w:val="00D84A4A"/>
    <w:rsid w:val="00D862DA"/>
    <w:rsid w:val="00D8640C"/>
    <w:rsid w:val="00D86456"/>
    <w:rsid w:val="00D86D87"/>
    <w:rsid w:val="00D870BD"/>
    <w:rsid w:val="00D904E6"/>
    <w:rsid w:val="00D90ED8"/>
    <w:rsid w:val="00D90EEE"/>
    <w:rsid w:val="00D9324B"/>
    <w:rsid w:val="00D93275"/>
    <w:rsid w:val="00D9344E"/>
    <w:rsid w:val="00D93962"/>
    <w:rsid w:val="00D94724"/>
    <w:rsid w:val="00D95D5C"/>
    <w:rsid w:val="00D95FA4"/>
    <w:rsid w:val="00D96B29"/>
    <w:rsid w:val="00D96B48"/>
    <w:rsid w:val="00D96F5F"/>
    <w:rsid w:val="00D97A97"/>
    <w:rsid w:val="00D97B68"/>
    <w:rsid w:val="00DA0778"/>
    <w:rsid w:val="00DA0EFB"/>
    <w:rsid w:val="00DA34A5"/>
    <w:rsid w:val="00DA35F2"/>
    <w:rsid w:val="00DA3D7B"/>
    <w:rsid w:val="00DA6721"/>
    <w:rsid w:val="00DA6C32"/>
    <w:rsid w:val="00DA7189"/>
    <w:rsid w:val="00DA7370"/>
    <w:rsid w:val="00DB0102"/>
    <w:rsid w:val="00DB0FEE"/>
    <w:rsid w:val="00DB1190"/>
    <w:rsid w:val="00DB2DB5"/>
    <w:rsid w:val="00DB3550"/>
    <w:rsid w:val="00DB3CBF"/>
    <w:rsid w:val="00DB4594"/>
    <w:rsid w:val="00DB488D"/>
    <w:rsid w:val="00DB4AA3"/>
    <w:rsid w:val="00DB4B8E"/>
    <w:rsid w:val="00DB68FF"/>
    <w:rsid w:val="00DB6B6B"/>
    <w:rsid w:val="00DB6D03"/>
    <w:rsid w:val="00DB7230"/>
    <w:rsid w:val="00DC04FA"/>
    <w:rsid w:val="00DC259E"/>
    <w:rsid w:val="00DC32BA"/>
    <w:rsid w:val="00DC359E"/>
    <w:rsid w:val="00DC3DA8"/>
    <w:rsid w:val="00DC5FD8"/>
    <w:rsid w:val="00DC676B"/>
    <w:rsid w:val="00DC69B9"/>
    <w:rsid w:val="00DC6D08"/>
    <w:rsid w:val="00DD368F"/>
    <w:rsid w:val="00DD4FD6"/>
    <w:rsid w:val="00DD5057"/>
    <w:rsid w:val="00DD55A1"/>
    <w:rsid w:val="00DD634F"/>
    <w:rsid w:val="00DD6537"/>
    <w:rsid w:val="00DD6667"/>
    <w:rsid w:val="00DD6D58"/>
    <w:rsid w:val="00DD74A2"/>
    <w:rsid w:val="00DE017A"/>
    <w:rsid w:val="00DE1888"/>
    <w:rsid w:val="00DE383B"/>
    <w:rsid w:val="00DE4002"/>
    <w:rsid w:val="00DE49BE"/>
    <w:rsid w:val="00DE6576"/>
    <w:rsid w:val="00DF2A93"/>
    <w:rsid w:val="00DF4614"/>
    <w:rsid w:val="00DF4E7A"/>
    <w:rsid w:val="00DF53BA"/>
    <w:rsid w:val="00DF5AAA"/>
    <w:rsid w:val="00DF6D10"/>
    <w:rsid w:val="00DF7B25"/>
    <w:rsid w:val="00E008F3"/>
    <w:rsid w:val="00E00B67"/>
    <w:rsid w:val="00E0213A"/>
    <w:rsid w:val="00E041C7"/>
    <w:rsid w:val="00E045A9"/>
    <w:rsid w:val="00E05661"/>
    <w:rsid w:val="00E063C3"/>
    <w:rsid w:val="00E06BE3"/>
    <w:rsid w:val="00E073D7"/>
    <w:rsid w:val="00E07B0B"/>
    <w:rsid w:val="00E135A1"/>
    <w:rsid w:val="00E1496E"/>
    <w:rsid w:val="00E16523"/>
    <w:rsid w:val="00E16DE1"/>
    <w:rsid w:val="00E16EF1"/>
    <w:rsid w:val="00E177A0"/>
    <w:rsid w:val="00E17F63"/>
    <w:rsid w:val="00E21018"/>
    <w:rsid w:val="00E21EDF"/>
    <w:rsid w:val="00E21EF5"/>
    <w:rsid w:val="00E22919"/>
    <w:rsid w:val="00E2351C"/>
    <w:rsid w:val="00E23912"/>
    <w:rsid w:val="00E24C77"/>
    <w:rsid w:val="00E25D40"/>
    <w:rsid w:val="00E307D1"/>
    <w:rsid w:val="00E315EB"/>
    <w:rsid w:val="00E33957"/>
    <w:rsid w:val="00E37BAD"/>
    <w:rsid w:val="00E37FA8"/>
    <w:rsid w:val="00E4265D"/>
    <w:rsid w:val="00E43C06"/>
    <w:rsid w:val="00E449B1"/>
    <w:rsid w:val="00E4504D"/>
    <w:rsid w:val="00E45B18"/>
    <w:rsid w:val="00E45E32"/>
    <w:rsid w:val="00E474E9"/>
    <w:rsid w:val="00E47B31"/>
    <w:rsid w:val="00E501F7"/>
    <w:rsid w:val="00E5082D"/>
    <w:rsid w:val="00E50CD4"/>
    <w:rsid w:val="00E530CC"/>
    <w:rsid w:val="00E538D6"/>
    <w:rsid w:val="00E53B35"/>
    <w:rsid w:val="00E56F71"/>
    <w:rsid w:val="00E571E3"/>
    <w:rsid w:val="00E574A9"/>
    <w:rsid w:val="00E606CC"/>
    <w:rsid w:val="00E61219"/>
    <w:rsid w:val="00E61355"/>
    <w:rsid w:val="00E613BC"/>
    <w:rsid w:val="00E61F1E"/>
    <w:rsid w:val="00E622B7"/>
    <w:rsid w:val="00E63F53"/>
    <w:rsid w:val="00E64402"/>
    <w:rsid w:val="00E6449F"/>
    <w:rsid w:val="00E65C04"/>
    <w:rsid w:val="00E66124"/>
    <w:rsid w:val="00E6618A"/>
    <w:rsid w:val="00E66861"/>
    <w:rsid w:val="00E66E21"/>
    <w:rsid w:val="00E67063"/>
    <w:rsid w:val="00E67F83"/>
    <w:rsid w:val="00E7018B"/>
    <w:rsid w:val="00E70342"/>
    <w:rsid w:val="00E70F38"/>
    <w:rsid w:val="00E710FC"/>
    <w:rsid w:val="00E71915"/>
    <w:rsid w:val="00E72B52"/>
    <w:rsid w:val="00E734EC"/>
    <w:rsid w:val="00E74B22"/>
    <w:rsid w:val="00E7533B"/>
    <w:rsid w:val="00E76954"/>
    <w:rsid w:val="00E80916"/>
    <w:rsid w:val="00E8105A"/>
    <w:rsid w:val="00E8211E"/>
    <w:rsid w:val="00E8288F"/>
    <w:rsid w:val="00E8327B"/>
    <w:rsid w:val="00E840DF"/>
    <w:rsid w:val="00E8560F"/>
    <w:rsid w:val="00E86314"/>
    <w:rsid w:val="00E8780A"/>
    <w:rsid w:val="00E90DA3"/>
    <w:rsid w:val="00E92694"/>
    <w:rsid w:val="00E957FC"/>
    <w:rsid w:val="00E96656"/>
    <w:rsid w:val="00EA0289"/>
    <w:rsid w:val="00EA4511"/>
    <w:rsid w:val="00EA4E24"/>
    <w:rsid w:val="00EA5018"/>
    <w:rsid w:val="00EA50CC"/>
    <w:rsid w:val="00EB11D1"/>
    <w:rsid w:val="00EB181B"/>
    <w:rsid w:val="00EB1CA4"/>
    <w:rsid w:val="00EB2DEA"/>
    <w:rsid w:val="00EB3DCD"/>
    <w:rsid w:val="00EB486C"/>
    <w:rsid w:val="00EC1D54"/>
    <w:rsid w:val="00EC3291"/>
    <w:rsid w:val="00EC341C"/>
    <w:rsid w:val="00EC34EF"/>
    <w:rsid w:val="00EC36BE"/>
    <w:rsid w:val="00EC4562"/>
    <w:rsid w:val="00EC4D01"/>
    <w:rsid w:val="00EC57FA"/>
    <w:rsid w:val="00ED1657"/>
    <w:rsid w:val="00ED1B05"/>
    <w:rsid w:val="00ED3820"/>
    <w:rsid w:val="00ED3A04"/>
    <w:rsid w:val="00ED4ABE"/>
    <w:rsid w:val="00ED5637"/>
    <w:rsid w:val="00ED6618"/>
    <w:rsid w:val="00EE00C8"/>
    <w:rsid w:val="00EE0F4E"/>
    <w:rsid w:val="00EE14C8"/>
    <w:rsid w:val="00EE1C36"/>
    <w:rsid w:val="00EE67BB"/>
    <w:rsid w:val="00EE71C9"/>
    <w:rsid w:val="00EE79F0"/>
    <w:rsid w:val="00EF041A"/>
    <w:rsid w:val="00EF352D"/>
    <w:rsid w:val="00EF3B22"/>
    <w:rsid w:val="00EF4AEE"/>
    <w:rsid w:val="00EF5957"/>
    <w:rsid w:val="00EF5CA8"/>
    <w:rsid w:val="00EF634C"/>
    <w:rsid w:val="00EF6E41"/>
    <w:rsid w:val="00F00208"/>
    <w:rsid w:val="00F005DE"/>
    <w:rsid w:val="00F017F1"/>
    <w:rsid w:val="00F02F15"/>
    <w:rsid w:val="00F03415"/>
    <w:rsid w:val="00F03F3B"/>
    <w:rsid w:val="00F041D8"/>
    <w:rsid w:val="00F04277"/>
    <w:rsid w:val="00F04C3A"/>
    <w:rsid w:val="00F06BA5"/>
    <w:rsid w:val="00F07468"/>
    <w:rsid w:val="00F104BB"/>
    <w:rsid w:val="00F10E12"/>
    <w:rsid w:val="00F1109B"/>
    <w:rsid w:val="00F11714"/>
    <w:rsid w:val="00F11DDC"/>
    <w:rsid w:val="00F12C30"/>
    <w:rsid w:val="00F1302B"/>
    <w:rsid w:val="00F13F76"/>
    <w:rsid w:val="00F14B66"/>
    <w:rsid w:val="00F150FA"/>
    <w:rsid w:val="00F201CF"/>
    <w:rsid w:val="00F2073B"/>
    <w:rsid w:val="00F20ACA"/>
    <w:rsid w:val="00F20EDA"/>
    <w:rsid w:val="00F2176B"/>
    <w:rsid w:val="00F21A01"/>
    <w:rsid w:val="00F22D82"/>
    <w:rsid w:val="00F23235"/>
    <w:rsid w:val="00F23A8E"/>
    <w:rsid w:val="00F242CF"/>
    <w:rsid w:val="00F243AD"/>
    <w:rsid w:val="00F245EE"/>
    <w:rsid w:val="00F24AE9"/>
    <w:rsid w:val="00F25252"/>
    <w:rsid w:val="00F25513"/>
    <w:rsid w:val="00F26D40"/>
    <w:rsid w:val="00F31262"/>
    <w:rsid w:val="00F320E0"/>
    <w:rsid w:val="00F32F07"/>
    <w:rsid w:val="00F340B6"/>
    <w:rsid w:val="00F34A5D"/>
    <w:rsid w:val="00F36117"/>
    <w:rsid w:val="00F361B7"/>
    <w:rsid w:val="00F362B0"/>
    <w:rsid w:val="00F3672C"/>
    <w:rsid w:val="00F37F35"/>
    <w:rsid w:val="00F40B20"/>
    <w:rsid w:val="00F40BAE"/>
    <w:rsid w:val="00F43216"/>
    <w:rsid w:val="00F45221"/>
    <w:rsid w:val="00F46E3C"/>
    <w:rsid w:val="00F473DA"/>
    <w:rsid w:val="00F51D81"/>
    <w:rsid w:val="00F52F93"/>
    <w:rsid w:val="00F531ED"/>
    <w:rsid w:val="00F53938"/>
    <w:rsid w:val="00F54608"/>
    <w:rsid w:val="00F54700"/>
    <w:rsid w:val="00F552F2"/>
    <w:rsid w:val="00F55E52"/>
    <w:rsid w:val="00F56291"/>
    <w:rsid w:val="00F57656"/>
    <w:rsid w:val="00F5793E"/>
    <w:rsid w:val="00F57EF0"/>
    <w:rsid w:val="00F62263"/>
    <w:rsid w:val="00F627E2"/>
    <w:rsid w:val="00F6330D"/>
    <w:rsid w:val="00F65ECF"/>
    <w:rsid w:val="00F66DFC"/>
    <w:rsid w:val="00F676D3"/>
    <w:rsid w:val="00F711A7"/>
    <w:rsid w:val="00F71520"/>
    <w:rsid w:val="00F72000"/>
    <w:rsid w:val="00F720AA"/>
    <w:rsid w:val="00F724B0"/>
    <w:rsid w:val="00F74AF9"/>
    <w:rsid w:val="00F7590F"/>
    <w:rsid w:val="00F75BA0"/>
    <w:rsid w:val="00F75FE2"/>
    <w:rsid w:val="00F772CC"/>
    <w:rsid w:val="00F775EF"/>
    <w:rsid w:val="00F80D95"/>
    <w:rsid w:val="00F84A1D"/>
    <w:rsid w:val="00F84D12"/>
    <w:rsid w:val="00F8569E"/>
    <w:rsid w:val="00F85A14"/>
    <w:rsid w:val="00F8668E"/>
    <w:rsid w:val="00F90EB0"/>
    <w:rsid w:val="00F90EE0"/>
    <w:rsid w:val="00F913C6"/>
    <w:rsid w:val="00F9188A"/>
    <w:rsid w:val="00F92FBE"/>
    <w:rsid w:val="00F94864"/>
    <w:rsid w:val="00F953F1"/>
    <w:rsid w:val="00F95BDD"/>
    <w:rsid w:val="00F96DAD"/>
    <w:rsid w:val="00F972D3"/>
    <w:rsid w:val="00F97535"/>
    <w:rsid w:val="00F97CB0"/>
    <w:rsid w:val="00FA02EE"/>
    <w:rsid w:val="00FA0873"/>
    <w:rsid w:val="00FA2B5D"/>
    <w:rsid w:val="00FA33A6"/>
    <w:rsid w:val="00FA4699"/>
    <w:rsid w:val="00FA659D"/>
    <w:rsid w:val="00FA6B7A"/>
    <w:rsid w:val="00FA7B80"/>
    <w:rsid w:val="00FB0B18"/>
    <w:rsid w:val="00FB13A2"/>
    <w:rsid w:val="00FB1457"/>
    <w:rsid w:val="00FB1C2B"/>
    <w:rsid w:val="00FB2ACA"/>
    <w:rsid w:val="00FB45F5"/>
    <w:rsid w:val="00FB54E2"/>
    <w:rsid w:val="00FB5F87"/>
    <w:rsid w:val="00FB673E"/>
    <w:rsid w:val="00FB679C"/>
    <w:rsid w:val="00FB74DD"/>
    <w:rsid w:val="00FB753B"/>
    <w:rsid w:val="00FB7A2C"/>
    <w:rsid w:val="00FC127F"/>
    <w:rsid w:val="00FC16DB"/>
    <w:rsid w:val="00FC19C7"/>
    <w:rsid w:val="00FC2F3A"/>
    <w:rsid w:val="00FC30E5"/>
    <w:rsid w:val="00FC3D57"/>
    <w:rsid w:val="00FC3EB4"/>
    <w:rsid w:val="00FC51B8"/>
    <w:rsid w:val="00FC5FD1"/>
    <w:rsid w:val="00FC6C2D"/>
    <w:rsid w:val="00FC6E20"/>
    <w:rsid w:val="00FC7C2C"/>
    <w:rsid w:val="00FD06D1"/>
    <w:rsid w:val="00FD16AB"/>
    <w:rsid w:val="00FD2D05"/>
    <w:rsid w:val="00FD2E3A"/>
    <w:rsid w:val="00FD2FD4"/>
    <w:rsid w:val="00FD308B"/>
    <w:rsid w:val="00FD3794"/>
    <w:rsid w:val="00FD38DC"/>
    <w:rsid w:val="00FD50CE"/>
    <w:rsid w:val="00FD62AE"/>
    <w:rsid w:val="00FD6457"/>
    <w:rsid w:val="00FD6954"/>
    <w:rsid w:val="00FD755E"/>
    <w:rsid w:val="00FD7CD3"/>
    <w:rsid w:val="00FE1555"/>
    <w:rsid w:val="00FE15E4"/>
    <w:rsid w:val="00FE183B"/>
    <w:rsid w:val="00FE1AB5"/>
    <w:rsid w:val="00FE44C5"/>
    <w:rsid w:val="00FE572F"/>
    <w:rsid w:val="00FE5D99"/>
    <w:rsid w:val="00FE7B23"/>
    <w:rsid w:val="00FF1021"/>
    <w:rsid w:val="00FF141F"/>
    <w:rsid w:val="00FF216E"/>
    <w:rsid w:val="00FF2A34"/>
    <w:rsid w:val="00FF38DA"/>
    <w:rsid w:val="00FF406D"/>
    <w:rsid w:val="00FF4F1C"/>
    <w:rsid w:val="00FF5217"/>
    <w:rsid w:val="00FF5447"/>
    <w:rsid w:val="00FF5C40"/>
    <w:rsid w:val="00FF5C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3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customStyle="1" w:styleId="Body">
    <w:name w:val="Body"/>
    <w:basedOn w:val="Normal"/>
    <w:qFormat/>
    <w:rsid w:val="0061447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61447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614472"/>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614472"/>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614472"/>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614472"/>
    <w:pPr>
      <w:jc w:val="center"/>
    </w:pPr>
    <w:rPr>
      <w:rFonts w:ascii="Times New Roman" w:hAnsi="Times New Roman"/>
      <w:bCs/>
      <w:szCs w:val="20"/>
      <w:lang w:val="en-GB"/>
    </w:rPr>
  </w:style>
  <w:style w:type="paragraph" w:customStyle="1" w:styleId="Default">
    <w:name w:val="Default"/>
    <w:rsid w:val="00614472"/>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ustlii.edu.au/cgi-bin/LawCite?cit=%281987%29%2011%20NSWLR%20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BAF59-1D62-47C7-9921-17827900B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05B548-A398-4267-949D-DF1C0D0A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31</Pages>
  <Words>9130</Words>
  <Characters>52043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2021-11-01T00:52:00Z</dcterms:created>
  <dcterms:modified xsi:type="dcterms:W3CDTF">2021-11-01T04:04:00Z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