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0BED" w14:textId="77777777" w:rsidR="00597444" w:rsidRPr="00704FF8" w:rsidRDefault="00597444" w:rsidP="00704FF8">
      <w:pPr>
        <w:pStyle w:val="OrdersTopLine"/>
      </w:pPr>
      <w:r w:rsidRPr="00704FF8">
        <w:t>HIGH COURT OF AUSTRALIA</w:t>
      </w:r>
    </w:p>
    <w:p w14:paraId="20A731DB" w14:textId="77777777" w:rsidR="00597444" w:rsidRPr="00704FF8" w:rsidRDefault="00597444" w:rsidP="00704FF8">
      <w:pPr>
        <w:pStyle w:val="OrderCentre"/>
      </w:pPr>
    </w:p>
    <w:p w14:paraId="49305F39" w14:textId="77777777" w:rsidR="00597444" w:rsidRPr="00704FF8" w:rsidRDefault="00597444" w:rsidP="00704FF8">
      <w:pPr>
        <w:pStyle w:val="OrderCentre"/>
      </w:pPr>
      <w:r w:rsidRPr="00704FF8">
        <w:t>KIEFEL CJ</w:t>
      </w:r>
      <w:r>
        <w:t>,</w:t>
      </w:r>
    </w:p>
    <w:p w14:paraId="5FC1DE2E" w14:textId="77777777" w:rsidR="00597444" w:rsidRPr="00704FF8" w:rsidRDefault="00597444" w:rsidP="00704FF8">
      <w:pPr>
        <w:pStyle w:val="OrderCentre"/>
      </w:pPr>
      <w:r w:rsidRPr="00704FF8">
        <w:t>GAGELER, KEANE, GORDON</w:t>
      </w:r>
      <w:r>
        <w:t xml:space="preserve"> </w:t>
      </w:r>
      <w:r w:rsidRPr="00704FF8">
        <w:t xml:space="preserve">AND </w:t>
      </w:r>
      <w:r>
        <w:t xml:space="preserve">GLEESON </w:t>
      </w:r>
      <w:r w:rsidRPr="00704FF8">
        <w:t>JJ</w:t>
      </w:r>
    </w:p>
    <w:p w14:paraId="2B7567B3" w14:textId="77777777" w:rsidR="00597444" w:rsidRPr="00427F3A" w:rsidRDefault="00597444" w:rsidP="00EE5374">
      <w:pPr>
        <w:pStyle w:val="Centre"/>
        <w:rPr>
          <w:lang w:val="en-AU"/>
        </w:rPr>
      </w:pPr>
    </w:p>
    <w:p w14:paraId="52180176" w14:textId="77777777" w:rsidR="00597444" w:rsidRPr="00704FF8" w:rsidRDefault="00597444" w:rsidP="00704FF8">
      <w:pPr>
        <w:pStyle w:val="OrdersCenteredBorder"/>
      </w:pPr>
    </w:p>
    <w:p w14:paraId="7DFCF7FC" w14:textId="77777777" w:rsidR="00597444" w:rsidRPr="00704FF8" w:rsidRDefault="00597444" w:rsidP="0032341F">
      <w:pPr>
        <w:pStyle w:val="OrdersBodyHeading"/>
      </w:pPr>
    </w:p>
    <w:p w14:paraId="6CC282DE" w14:textId="77777777" w:rsidR="00597444" w:rsidRPr="0032341F" w:rsidRDefault="00597444" w:rsidP="009362E8">
      <w:pPr>
        <w:pStyle w:val="OrdersPartyName"/>
        <w:ind w:right="-1"/>
      </w:pPr>
      <w:r w:rsidRPr="00E836AC">
        <w:t>THOMAS</w:t>
      </w:r>
      <w:r>
        <w:t xml:space="preserve"> </w:t>
      </w:r>
      <w:r w:rsidRPr="00E836AC">
        <w:t>HOFER</w:t>
      </w:r>
      <w:r w:rsidRPr="0032341F">
        <w:tab/>
        <w:t>APPELLANT</w:t>
      </w:r>
    </w:p>
    <w:p w14:paraId="7D237675" w14:textId="77777777" w:rsidR="00597444" w:rsidRPr="0032341F" w:rsidRDefault="00597444" w:rsidP="009362E8">
      <w:pPr>
        <w:pStyle w:val="OrdersPartyName"/>
        <w:ind w:right="-1"/>
      </w:pPr>
    </w:p>
    <w:p w14:paraId="5484516D" w14:textId="77777777" w:rsidR="00597444" w:rsidRPr="0032341F" w:rsidRDefault="00597444" w:rsidP="009362E8">
      <w:pPr>
        <w:pStyle w:val="OrdersPartyName"/>
        <w:ind w:right="-1"/>
      </w:pPr>
      <w:r w:rsidRPr="0032341F">
        <w:t>AND</w:t>
      </w:r>
    </w:p>
    <w:p w14:paraId="7334A43A" w14:textId="77777777" w:rsidR="00597444" w:rsidRPr="0032341F" w:rsidRDefault="00597444" w:rsidP="009362E8">
      <w:pPr>
        <w:pStyle w:val="OrdersPartyName"/>
        <w:ind w:right="-1"/>
      </w:pPr>
    </w:p>
    <w:p w14:paraId="458D38E9" w14:textId="77777777" w:rsidR="00597444" w:rsidRPr="0032341F" w:rsidRDefault="00597444" w:rsidP="009362E8">
      <w:pPr>
        <w:pStyle w:val="OrdersPartyName"/>
        <w:ind w:right="-1"/>
      </w:pPr>
      <w:r w:rsidRPr="0033298F">
        <w:t>THE QUEEN</w:t>
      </w:r>
      <w:r w:rsidRPr="0032341F">
        <w:tab/>
        <w:t>RESPONDENT</w:t>
      </w:r>
    </w:p>
    <w:p w14:paraId="55CD1597" w14:textId="77777777" w:rsidR="00597444" w:rsidRPr="00427F3A" w:rsidRDefault="00597444" w:rsidP="00AF0A5E">
      <w:pPr>
        <w:pStyle w:val="BodyHeading"/>
      </w:pPr>
    </w:p>
    <w:p w14:paraId="37C21E9E" w14:textId="77777777" w:rsidR="00597444" w:rsidRPr="00427F3A" w:rsidRDefault="00597444" w:rsidP="00BE0A6C">
      <w:pPr>
        <w:pStyle w:val="BodyHeading"/>
      </w:pPr>
    </w:p>
    <w:p w14:paraId="2D1D684B" w14:textId="77777777" w:rsidR="00597444" w:rsidRPr="00427F3A" w:rsidRDefault="00597444" w:rsidP="00EE5374">
      <w:pPr>
        <w:pStyle w:val="CentreItalics"/>
      </w:pPr>
      <w:r w:rsidRPr="0033298F">
        <w:t>Hofer v The Queen</w:t>
      </w:r>
    </w:p>
    <w:p w14:paraId="5C36D75E" w14:textId="77777777" w:rsidR="00597444" w:rsidRPr="00427F3A" w:rsidRDefault="00597444" w:rsidP="00E90E4F">
      <w:pPr>
        <w:pStyle w:val="OrdersCentre"/>
      </w:pPr>
      <w:r>
        <w:t>[2021</w:t>
      </w:r>
      <w:r w:rsidRPr="00427F3A">
        <w:t xml:space="preserve">] HCA </w:t>
      </w:r>
      <w:r>
        <w:t>36</w:t>
      </w:r>
    </w:p>
    <w:p w14:paraId="3EF10DFC" w14:textId="77777777" w:rsidR="00597444" w:rsidRDefault="00597444" w:rsidP="00E90E4F">
      <w:pPr>
        <w:pStyle w:val="OrdersCentreItalics"/>
      </w:pPr>
      <w:r>
        <w:t xml:space="preserve">Date of Hearing: </w:t>
      </w:r>
      <w:r w:rsidRPr="0033298F">
        <w:t>12 August 2021</w:t>
      </w:r>
    </w:p>
    <w:p w14:paraId="40B25869" w14:textId="77777777" w:rsidR="00597444" w:rsidRPr="00427F3A" w:rsidRDefault="00597444" w:rsidP="00E90E4F">
      <w:pPr>
        <w:pStyle w:val="OrdersCentreItalics"/>
      </w:pPr>
      <w:r>
        <w:t>Date of Judgment: 10 November 2021</w:t>
      </w:r>
    </w:p>
    <w:p w14:paraId="14F68226" w14:textId="77777777" w:rsidR="00597444" w:rsidRDefault="00597444" w:rsidP="00E90E4F">
      <w:pPr>
        <w:pStyle w:val="OrdersCentre"/>
      </w:pPr>
      <w:r w:rsidRPr="0033298F">
        <w:t>S37/2021</w:t>
      </w:r>
    </w:p>
    <w:p w14:paraId="4FEBA2A7" w14:textId="77777777" w:rsidR="00597444" w:rsidRPr="00427F3A" w:rsidRDefault="00597444" w:rsidP="00E90E4F">
      <w:pPr>
        <w:pStyle w:val="OrdersCentre"/>
      </w:pPr>
    </w:p>
    <w:p w14:paraId="1DCBB903" w14:textId="77777777" w:rsidR="00597444" w:rsidRPr="00BE0A6C" w:rsidRDefault="00597444" w:rsidP="00E90E4F">
      <w:pPr>
        <w:pStyle w:val="OrderCentreBold"/>
      </w:pPr>
      <w:r w:rsidRPr="00BE0A6C">
        <w:t>ORDER</w:t>
      </w:r>
    </w:p>
    <w:p w14:paraId="2B85617D" w14:textId="77777777" w:rsidR="00597444" w:rsidRPr="00427F3A" w:rsidRDefault="00597444" w:rsidP="00736C52">
      <w:pPr>
        <w:pStyle w:val="Centre"/>
        <w:rPr>
          <w:lang w:val="en-AU"/>
        </w:rPr>
      </w:pPr>
    </w:p>
    <w:p w14:paraId="36F9B122" w14:textId="77777777" w:rsidR="00597444" w:rsidRDefault="00597444" w:rsidP="00C02E76">
      <w:pPr>
        <w:pStyle w:val="OrdersText"/>
      </w:pPr>
      <w:r>
        <w:t xml:space="preserve">Appeal dismissed.  </w:t>
      </w:r>
    </w:p>
    <w:p w14:paraId="240D2C16" w14:textId="77777777" w:rsidR="00597444" w:rsidRDefault="00597444" w:rsidP="00EE5374">
      <w:pPr>
        <w:pStyle w:val="Body"/>
      </w:pPr>
    </w:p>
    <w:p w14:paraId="28610D74" w14:textId="77777777" w:rsidR="00597444" w:rsidRPr="00427F3A" w:rsidRDefault="00597444" w:rsidP="00EE5374">
      <w:pPr>
        <w:pStyle w:val="Body"/>
      </w:pPr>
    </w:p>
    <w:p w14:paraId="2E4DDD3B" w14:textId="77777777" w:rsidR="00597444" w:rsidRPr="00427F3A" w:rsidRDefault="00597444" w:rsidP="0032341F">
      <w:pPr>
        <w:pStyle w:val="OrdersBody"/>
      </w:pPr>
      <w:r w:rsidRPr="00427F3A">
        <w:t xml:space="preserve">On appeal from the </w:t>
      </w:r>
      <w:r w:rsidRPr="0033298F">
        <w:t>Supreme Court of New South Wales</w:t>
      </w:r>
    </w:p>
    <w:p w14:paraId="7C2CDBD9" w14:textId="77777777" w:rsidR="00597444" w:rsidRDefault="00597444" w:rsidP="00EE5374">
      <w:pPr>
        <w:pStyle w:val="Body"/>
      </w:pPr>
    </w:p>
    <w:p w14:paraId="5FFB159B" w14:textId="77777777" w:rsidR="00597444" w:rsidRPr="00427F3A" w:rsidRDefault="00597444" w:rsidP="00EE5374">
      <w:pPr>
        <w:pStyle w:val="Body"/>
      </w:pPr>
    </w:p>
    <w:p w14:paraId="3E78CC3A" w14:textId="77777777" w:rsidR="00597444" w:rsidRPr="00427F3A" w:rsidRDefault="00597444" w:rsidP="00E90E4F">
      <w:pPr>
        <w:pStyle w:val="OrdersBodyHeading"/>
      </w:pPr>
      <w:r w:rsidRPr="00427F3A">
        <w:t>Representation</w:t>
      </w:r>
    </w:p>
    <w:p w14:paraId="3B3F9CA5" w14:textId="77777777" w:rsidR="00597444" w:rsidRDefault="00597444" w:rsidP="00EE5374">
      <w:pPr>
        <w:pStyle w:val="Body"/>
      </w:pPr>
    </w:p>
    <w:p w14:paraId="12693C0A" w14:textId="77777777" w:rsidR="00597444" w:rsidRPr="0033298F" w:rsidRDefault="00597444" w:rsidP="00E90E4F">
      <w:pPr>
        <w:pStyle w:val="OrdersBody"/>
      </w:pPr>
      <w:r w:rsidRPr="0033298F">
        <w:t>T A Game SC with D P Barrow for the appellant (instructed by Blair Criminal Lawyers)</w:t>
      </w:r>
    </w:p>
    <w:p w14:paraId="6A30F3CB" w14:textId="77777777" w:rsidR="00597444" w:rsidRPr="0033298F" w:rsidRDefault="00597444" w:rsidP="001B3C97">
      <w:pPr>
        <w:pStyle w:val="Body"/>
      </w:pPr>
    </w:p>
    <w:p w14:paraId="73059A5E" w14:textId="77777777" w:rsidR="00597444" w:rsidRPr="0033298F" w:rsidRDefault="00597444" w:rsidP="00E90E4F">
      <w:pPr>
        <w:pStyle w:val="OrdersBody"/>
      </w:pPr>
      <w:r w:rsidRPr="0033298F">
        <w:t>D T Kell SC with K M Jeffreys for the respondent (instructed by Solicitor for Public Prosecutions (NSW))</w:t>
      </w:r>
    </w:p>
    <w:p w14:paraId="3900105E" w14:textId="77777777" w:rsidR="00597444" w:rsidRDefault="00597444" w:rsidP="00A01277">
      <w:pPr>
        <w:pStyle w:val="Body"/>
      </w:pPr>
    </w:p>
    <w:p w14:paraId="5280C8AE" w14:textId="77777777" w:rsidR="00597444" w:rsidRDefault="00597444" w:rsidP="00EE5374">
      <w:pPr>
        <w:pStyle w:val="Body"/>
      </w:pPr>
    </w:p>
    <w:p w14:paraId="319F8F95" w14:textId="77777777" w:rsidR="00597444" w:rsidRDefault="00597444" w:rsidP="00EE5374">
      <w:pPr>
        <w:pStyle w:val="Body"/>
      </w:pPr>
    </w:p>
    <w:p w14:paraId="51540ED6" w14:textId="77777777" w:rsidR="00597444" w:rsidRPr="00427F3A" w:rsidRDefault="00597444" w:rsidP="00EE5374">
      <w:pPr>
        <w:pStyle w:val="Body"/>
      </w:pPr>
    </w:p>
    <w:p w14:paraId="20C9FB11" w14:textId="77777777" w:rsidR="00597444" w:rsidRPr="00427F3A" w:rsidRDefault="00597444" w:rsidP="00F9713B">
      <w:pPr>
        <w:pStyle w:val="Notice"/>
        <w:rPr>
          <w:lang w:val="en-AU"/>
        </w:rPr>
      </w:pPr>
      <w:r w:rsidRPr="00427F3A">
        <w:rPr>
          <w:lang w:val="en-AU"/>
        </w:rPr>
        <w:t>Notice:  This copy of the Court's Reasons for Judgment is subject to formal revision prior to publication in the Commonwealth Law Reports.</w:t>
      </w:r>
    </w:p>
    <w:p w14:paraId="34D35530" w14:textId="7FB16E0C" w:rsidR="00597444" w:rsidRDefault="005974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1D05281" w14:textId="77777777" w:rsidR="00597444" w:rsidRDefault="005974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97444" w:rsidSect="0059744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79742EBE" w14:textId="77777777" w:rsidR="00597444" w:rsidRDefault="00597444" w:rsidP="00597444">
      <w:pPr>
        <w:spacing w:line="280" w:lineRule="exact"/>
        <w:ind w:firstLine="0"/>
        <w:jc w:val="right"/>
        <w:rPr>
          <w:rFonts w:ascii="Times New Roman" w:hAnsi="Times New Roman"/>
        </w:rPr>
      </w:pPr>
    </w:p>
    <w:p w14:paraId="79323105" w14:textId="77777777" w:rsidR="00597444" w:rsidRDefault="00597444" w:rsidP="00597444">
      <w:pPr>
        <w:pStyle w:val="CatchwordsBold"/>
      </w:pPr>
      <w:r>
        <w:t>CATCHWORDS</w:t>
      </w:r>
    </w:p>
    <w:p w14:paraId="158F92B7" w14:textId="77777777" w:rsidR="00597444" w:rsidRDefault="00597444" w:rsidP="00597444">
      <w:pPr>
        <w:pStyle w:val="CatchwordsBold"/>
      </w:pPr>
    </w:p>
    <w:p w14:paraId="3FFC40BC" w14:textId="77777777" w:rsidR="00597444" w:rsidRDefault="00597444" w:rsidP="00597444">
      <w:pPr>
        <w:pStyle w:val="CatchwordsBold"/>
      </w:pPr>
      <w:bookmarkStart w:id="0" w:name="CaseName"/>
      <w:r>
        <w:t>Hofer v The Queen</w:t>
      </w:r>
    </w:p>
    <w:bookmarkEnd w:id="0"/>
    <w:p w14:paraId="4B4C465C" w14:textId="77777777" w:rsidR="00597444" w:rsidRDefault="00597444" w:rsidP="00597444">
      <w:pPr>
        <w:spacing w:line="280" w:lineRule="exact"/>
        <w:ind w:firstLine="0"/>
        <w:jc w:val="both"/>
        <w:rPr>
          <w:rFonts w:ascii="Times New Roman" w:hAnsi="Times New Roman"/>
        </w:rPr>
      </w:pPr>
    </w:p>
    <w:p w14:paraId="48341E00" w14:textId="77777777" w:rsidR="00597444" w:rsidRPr="00BA62EC" w:rsidRDefault="00597444" w:rsidP="00597444">
      <w:pPr>
        <w:pStyle w:val="CatchwordsText"/>
      </w:pPr>
      <w:r>
        <w:t xml:space="preserve">Criminal practice </w:t>
      </w:r>
      <w:r w:rsidRPr="00122F39">
        <w:t>–</w:t>
      </w:r>
      <w:r>
        <w:rPr>
          <w:iCs/>
        </w:rPr>
        <w:t xml:space="preserve"> Appeal </w:t>
      </w:r>
      <w:r w:rsidRPr="00122F39">
        <w:t>–</w:t>
      </w:r>
      <w:r>
        <w:t xml:space="preserve"> Miscarriage of justice </w:t>
      </w:r>
      <w:r w:rsidRPr="00122F39">
        <w:t>–</w:t>
      </w:r>
      <w:r>
        <w:t xml:space="preserve"> Application of proviso that no substantial miscarriage of justice actually occurred </w:t>
      </w:r>
      <w:r w:rsidRPr="00122F39">
        <w:t>–</w:t>
      </w:r>
      <w:r>
        <w:t xml:space="preserve"> Where appellant convicted of sexual offences against two complainants </w:t>
      </w:r>
      <w:r w:rsidRPr="00122F39">
        <w:t>–</w:t>
      </w:r>
      <w:r>
        <w:t xml:space="preserve"> Where appellant's evidence contradicted complainants' testimonies </w:t>
      </w:r>
      <w:r w:rsidRPr="00122F39">
        <w:t>–</w:t>
      </w:r>
      <w:r>
        <w:t xml:space="preserve"> Where rule in </w:t>
      </w:r>
      <w:r>
        <w:rPr>
          <w:i/>
        </w:rPr>
        <w:t xml:space="preserve">Browne v Dunn </w:t>
      </w:r>
      <w:r>
        <w:t xml:space="preserve">not observed by defence counsel </w:t>
      </w:r>
      <w:r w:rsidRPr="00122F39">
        <w:t>–</w:t>
      </w:r>
      <w:r>
        <w:t xml:space="preserve"> Where prosecutor cross-examined appellant about defence counsel's non-observance of rule </w:t>
      </w:r>
      <w:r w:rsidRPr="00122F39">
        <w:t>–</w:t>
      </w:r>
      <w:r>
        <w:t xml:space="preserve"> Where prosecutor's cross</w:t>
      </w:r>
      <w:r>
        <w:noBreakHyphen/>
        <w:t xml:space="preserve">examination suggested parts of appellant's evidence a recent invention </w:t>
      </w:r>
      <w:r w:rsidRPr="00122F39">
        <w:t>–</w:t>
      </w:r>
      <w:r>
        <w:t xml:space="preserve"> Whether prosecutor's questioning impermissible and prejudicial such that it resulted in miscarriage of justice </w:t>
      </w:r>
      <w:r w:rsidRPr="00122F39">
        <w:t>–</w:t>
      </w:r>
      <w:r>
        <w:t xml:space="preserve"> Whether proviso applied because no substantial miscarriage of justice actually occurred. </w:t>
      </w:r>
    </w:p>
    <w:p w14:paraId="126FB308" w14:textId="77777777" w:rsidR="00597444" w:rsidRDefault="00597444" w:rsidP="00597444">
      <w:pPr>
        <w:pStyle w:val="CatchwordsText"/>
      </w:pPr>
    </w:p>
    <w:p w14:paraId="6233E2E4" w14:textId="77777777" w:rsidR="00597444" w:rsidRDefault="00597444" w:rsidP="00597444">
      <w:pPr>
        <w:pStyle w:val="CatchwordsText"/>
      </w:pPr>
      <w:r>
        <w:t xml:space="preserve">Words </w:t>
      </w:r>
      <w:r w:rsidRPr="00122F39">
        <w:t>and phrases –</w:t>
      </w:r>
      <w:r>
        <w:t xml:space="preserve"> "any departure from a trial according to law to the prejudice of the accused", "appellate court's assessment of the appellant's guilt", "credibility", "cross-examination", "glaringly improbable", "miscarriage of justice", "nature and effect of the error", "proviso", "real chance", "recent invention", "root of the trial", "rule in </w:t>
      </w:r>
      <w:r>
        <w:rPr>
          <w:i/>
        </w:rPr>
        <w:t>Browne v Dunn</w:t>
      </w:r>
      <w:r>
        <w:t>", "serious breach of the presuppositions of the trial", "substantial miscarriage of justice".</w:t>
      </w:r>
      <w:bookmarkStart w:id="1" w:name="_GoBack"/>
      <w:bookmarkEnd w:id="1"/>
    </w:p>
    <w:p w14:paraId="7B942C60" w14:textId="77777777" w:rsidR="00597444" w:rsidRDefault="00597444" w:rsidP="00597444">
      <w:pPr>
        <w:pStyle w:val="CatchwordsText"/>
      </w:pPr>
    </w:p>
    <w:p w14:paraId="7E77601F" w14:textId="77777777" w:rsidR="00597444" w:rsidRPr="00AB7CA4" w:rsidRDefault="00597444" w:rsidP="00597444">
      <w:pPr>
        <w:pStyle w:val="CatchwordsText"/>
      </w:pPr>
      <w:r>
        <w:rPr>
          <w:i/>
        </w:rPr>
        <w:t xml:space="preserve">Criminal Appeal Act 1912 </w:t>
      </w:r>
      <w:r>
        <w:t>(NSW), s 6(1).</w:t>
      </w:r>
    </w:p>
    <w:p w14:paraId="44AF9234" w14:textId="77777777" w:rsidR="00597444" w:rsidRPr="0097128D" w:rsidRDefault="00597444" w:rsidP="00597444">
      <w:pPr>
        <w:ind w:firstLine="0"/>
        <w:rPr>
          <w:rFonts w:ascii="Times New Roman" w:hAnsi="Times New Roman"/>
        </w:rPr>
      </w:pPr>
    </w:p>
    <w:p w14:paraId="1E88A1FF" w14:textId="77777777" w:rsidR="00597444" w:rsidRPr="0097128D" w:rsidRDefault="00597444" w:rsidP="00597444">
      <w:pPr>
        <w:ind w:firstLine="0"/>
        <w:rPr>
          <w:rFonts w:ascii="Times New Roman" w:hAnsi="Times New Roman"/>
        </w:rPr>
      </w:pPr>
    </w:p>
    <w:p w14:paraId="7ABB6396" w14:textId="77777777" w:rsidR="00597444" w:rsidRDefault="00597444" w:rsidP="00597444">
      <w:pPr>
        <w:ind w:firstLine="0"/>
        <w:rPr>
          <w:rFonts w:ascii="Times New Roman" w:hAnsi="Times New Roman"/>
        </w:rPr>
      </w:pPr>
    </w:p>
    <w:p w14:paraId="01E87B4A" w14:textId="77777777" w:rsidR="00597444" w:rsidRPr="0097128D" w:rsidRDefault="00597444" w:rsidP="00597444">
      <w:pPr>
        <w:tabs>
          <w:tab w:val="clear" w:pos="720"/>
          <w:tab w:val="clear" w:pos="1440"/>
          <w:tab w:val="clear" w:pos="2160"/>
          <w:tab w:val="clear" w:pos="2880"/>
          <w:tab w:val="clear" w:pos="3600"/>
          <w:tab w:val="clear" w:pos="6480"/>
          <w:tab w:val="left" w:pos="5488"/>
        </w:tabs>
        <w:ind w:firstLine="0"/>
        <w:rPr>
          <w:rFonts w:ascii="Times New Roman" w:hAnsi="Times New Roman"/>
        </w:rPr>
      </w:pPr>
      <w:r>
        <w:rPr>
          <w:rFonts w:ascii="Times New Roman" w:hAnsi="Times New Roman"/>
        </w:rPr>
        <w:tab/>
      </w:r>
    </w:p>
    <w:p w14:paraId="54D7CF60" w14:textId="3B9AEF04" w:rsidR="00597444" w:rsidRDefault="00597444" w:rsidP="005974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05F1AFB" w14:textId="4ECE7ADB" w:rsidR="00597444" w:rsidRDefault="005974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24C0D82" w14:textId="1AAF1EED" w:rsidR="00597444" w:rsidRDefault="005974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B4236C0" w14:textId="77777777" w:rsidR="00597444" w:rsidRDefault="00597444" w:rsidP="008C2D33">
      <w:pPr>
        <w:pStyle w:val="FixListStyle"/>
        <w:tabs>
          <w:tab w:val="clear" w:pos="720"/>
          <w:tab w:val="left" w:pos="0"/>
        </w:tabs>
        <w:spacing w:after="260" w:line="280" w:lineRule="exact"/>
        <w:ind w:right="0"/>
        <w:jc w:val="both"/>
        <w:rPr>
          <w:rFonts w:ascii="Times New Roman" w:hAnsi="Times New Roman"/>
        </w:rPr>
        <w:sectPr w:rsidR="00597444" w:rsidSect="00597444">
          <w:pgSz w:w="11907" w:h="16839" w:code="9"/>
          <w:pgMar w:top="1440" w:right="1701" w:bottom="1984" w:left="1701" w:header="720" w:footer="720" w:gutter="0"/>
          <w:pgNumType w:start="1"/>
          <w:cols w:space="720"/>
          <w:titlePg/>
          <w:docGrid w:linePitch="354"/>
        </w:sectPr>
      </w:pPr>
    </w:p>
    <w:p w14:paraId="43261F6A" w14:textId="26876FA8" w:rsidR="00A73989" w:rsidRPr="008C2D33" w:rsidRDefault="008C2D33" w:rsidP="008C2D33">
      <w:pPr>
        <w:pStyle w:val="FixListStyle"/>
        <w:tabs>
          <w:tab w:val="clear" w:pos="720"/>
          <w:tab w:val="left" w:pos="0"/>
        </w:tabs>
        <w:spacing w:after="260" w:line="280" w:lineRule="exact"/>
        <w:ind w:right="0"/>
        <w:jc w:val="both"/>
        <w:rPr>
          <w:rFonts w:ascii="Times New Roman" w:hAnsi="Times New Roman"/>
        </w:rPr>
      </w:pPr>
      <w:r w:rsidRPr="008C2D33">
        <w:rPr>
          <w:rFonts w:ascii="Times New Roman" w:hAnsi="Times New Roman"/>
        </w:rPr>
        <w:lastRenderedPageBreak/>
        <w:t xml:space="preserve">KIEFEL CJ, KEANE AND GLEESON JJ.   </w:t>
      </w:r>
      <w:r w:rsidR="008A4D5E" w:rsidRPr="008C2D33">
        <w:rPr>
          <w:rFonts w:ascii="Times New Roman" w:hAnsi="Times New Roman"/>
        </w:rPr>
        <w:t>After a trial in the District Court of New South Wales, th</w:t>
      </w:r>
      <w:r w:rsidR="00393905" w:rsidRPr="008C2D33">
        <w:rPr>
          <w:rFonts w:ascii="Times New Roman" w:hAnsi="Times New Roman"/>
        </w:rPr>
        <w:t xml:space="preserve">e appellant </w:t>
      </w:r>
      <w:r w:rsidR="00553EC0" w:rsidRPr="008C2D33">
        <w:rPr>
          <w:rFonts w:ascii="Times New Roman" w:hAnsi="Times New Roman"/>
        </w:rPr>
        <w:t>was convicted of eight counts of having sexual intercourse with another person knowing that the other person does not consent, contrary to s 61</w:t>
      </w:r>
      <w:r w:rsidR="00C65968" w:rsidRPr="008C2D33">
        <w:rPr>
          <w:rFonts w:ascii="Times New Roman" w:hAnsi="Times New Roman"/>
        </w:rPr>
        <w:t>I</w:t>
      </w:r>
      <w:r w:rsidR="00553EC0" w:rsidRPr="008C2D33">
        <w:rPr>
          <w:rFonts w:ascii="Times New Roman" w:hAnsi="Times New Roman"/>
        </w:rPr>
        <w:t xml:space="preserve"> of the </w:t>
      </w:r>
      <w:r w:rsidR="00553EC0" w:rsidRPr="008C2D33">
        <w:rPr>
          <w:rFonts w:ascii="Times New Roman" w:hAnsi="Times New Roman"/>
          <w:i/>
        </w:rPr>
        <w:t>Crimes Act 1900</w:t>
      </w:r>
      <w:r w:rsidR="00553EC0" w:rsidRPr="008C2D33">
        <w:rPr>
          <w:rFonts w:ascii="Times New Roman" w:hAnsi="Times New Roman"/>
        </w:rPr>
        <w:t xml:space="preserve"> (NSW)</w:t>
      </w:r>
      <w:r w:rsidR="008A4D5E" w:rsidRPr="008C2D33">
        <w:rPr>
          <w:rFonts w:ascii="Times New Roman" w:hAnsi="Times New Roman"/>
        </w:rPr>
        <w:t>.</w:t>
      </w:r>
    </w:p>
    <w:p w14:paraId="4D431C99" w14:textId="34D571DB" w:rsidR="007928BD" w:rsidRPr="008C2D33" w:rsidRDefault="000B6376"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5A4D72" w:rsidRPr="008C2D33">
        <w:rPr>
          <w:rFonts w:ascii="Times New Roman" w:hAnsi="Times New Roman"/>
        </w:rPr>
        <w:t>The offences charged arose from two sets of allegations made by two young women</w:t>
      </w:r>
      <w:r w:rsidR="00742016" w:rsidRPr="008C2D33">
        <w:rPr>
          <w:rFonts w:ascii="Times New Roman" w:hAnsi="Times New Roman"/>
        </w:rPr>
        <w:t xml:space="preserve">. They </w:t>
      </w:r>
      <w:r w:rsidR="005A4D72" w:rsidRPr="008C2D33">
        <w:rPr>
          <w:rFonts w:ascii="Times New Roman" w:hAnsi="Times New Roman"/>
        </w:rPr>
        <w:t>concern</w:t>
      </w:r>
      <w:r w:rsidR="00742016" w:rsidRPr="008C2D33">
        <w:rPr>
          <w:rFonts w:ascii="Times New Roman" w:hAnsi="Times New Roman"/>
        </w:rPr>
        <w:t>ed</w:t>
      </w:r>
      <w:r w:rsidR="005A4D72" w:rsidRPr="008C2D33">
        <w:rPr>
          <w:rFonts w:ascii="Times New Roman" w:hAnsi="Times New Roman"/>
        </w:rPr>
        <w:t xml:space="preserve"> events which took place on consecutive days. The</w:t>
      </w:r>
      <w:r w:rsidR="00742016" w:rsidRPr="008C2D33">
        <w:rPr>
          <w:rFonts w:ascii="Times New Roman" w:hAnsi="Times New Roman"/>
        </w:rPr>
        <w:t xml:space="preserve"> charges</w:t>
      </w:r>
      <w:r w:rsidR="005A4D72" w:rsidRPr="008C2D33">
        <w:rPr>
          <w:rFonts w:ascii="Times New Roman" w:hAnsi="Times New Roman"/>
        </w:rPr>
        <w:t xml:space="preserve"> were heard together and the Crown case in each had certain common features, although the prosecution did not rely upon them a</w:t>
      </w:r>
      <w:r w:rsidR="00742016" w:rsidRPr="008C2D33">
        <w:rPr>
          <w:rFonts w:ascii="Times New Roman" w:hAnsi="Times New Roman"/>
        </w:rPr>
        <w:t>s</w:t>
      </w:r>
      <w:r w:rsidR="005A4D72" w:rsidRPr="008C2D33">
        <w:rPr>
          <w:rFonts w:ascii="Times New Roman" w:hAnsi="Times New Roman"/>
        </w:rPr>
        <w:t xml:space="preserve"> tendency or coincidence evidence. The </w:t>
      </w:r>
      <w:r w:rsidR="00027C99" w:rsidRPr="008C2D33">
        <w:rPr>
          <w:rFonts w:ascii="Times New Roman" w:hAnsi="Times New Roman"/>
        </w:rPr>
        <w:t xml:space="preserve">two </w:t>
      </w:r>
      <w:r w:rsidR="005A4D72" w:rsidRPr="008C2D33">
        <w:rPr>
          <w:rFonts w:ascii="Times New Roman" w:hAnsi="Times New Roman"/>
        </w:rPr>
        <w:t>complainants</w:t>
      </w:r>
      <w:r w:rsidR="00DE0C35" w:rsidRPr="008C2D33">
        <w:rPr>
          <w:rFonts w:ascii="Times New Roman" w:hAnsi="Times New Roman"/>
        </w:rPr>
        <w:t xml:space="preserve"> (C1</w:t>
      </w:r>
      <w:r w:rsidR="00DE0C35" w:rsidRPr="008C2D33">
        <w:rPr>
          <w:rFonts w:ascii="Times New Roman" w:hAnsi="Times New Roman"/>
          <w:b/>
        </w:rPr>
        <w:t xml:space="preserve"> </w:t>
      </w:r>
      <w:r w:rsidR="00DE0C35" w:rsidRPr="008C2D33">
        <w:rPr>
          <w:rFonts w:ascii="Times New Roman" w:hAnsi="Times New Roman"/>
        </w:rPr>
        <w:t>and C2)</w:t>
      </w:r>
      <w:r w:rsidR="005A4D72" w:rsidRPr="008C2D33">
        <w:rPr>
          <w:rFonts w:ascii="Times New Roman" w:hAnsi="Times New Roman"/>
        </w:rPr>
        <w:t xml:space="preserve"> each </w:t>
      </w:r>
      <w:r w:rsidR="00734789" w:rsidRPr="008C2D33">
        <w:rPr>
          <w:rFonts w:ascii="Times New Roman" w:hAnsi="Times New Roman"/>
        </w:rPr>
        <w:t xml:space="preserve">responded to an online </w:t>
      </w:r>
      <w:r w:rsidR="003A5F54" w:rsidRPr="008C2D33">
        <w:rPr>
          <w:rFonts w:ascii="Times New Roman" w:hAnsi="Times New Roman"/>
        </w:rPr>
        <w:t xml:space="preserve">advertisement placed by the </w:t>
      </w:r>
      <w:r w:rsidR="00B330E8" w:rsidRPr="008C2D33">
        <w:rPr>
          <w:rFonts w:ascii="Times New Roman" w:hAnsi="Times New Roman"/>
        </w:rPr>
        <w:t>a</w:t>
      </w:r>
      <w:r w:rsidR="003A5F54" w:rsidRPr="008C2D33">
        <w:rPr>
          <w:rFonts w:ascii="Times New Roman" w:hAnsi="Times New Roman"/>
        </w:rPr>
        <w:t xml:space="preserve">ppellant </w:t>
      </w:r>
      <w:r w:rsidR="000A782D" w:rsidRPr="008C2D33">
        <w:rPr>
          <w:rFonts w:ascii="Times New Roman" w:hAnsi="Times New Roman"/>
        </w:rPr>
        <w:t xml:space="preserve">offering to rent </w:t>
      </w:r>
      <w:r w:rsidR="008D2227" w:rsidRPr="008C2D33">
        <w:rPr>
          <w:rFonts w:ascii="Times New Roman" w:hAnsi="Times New Roman"/>
        </w:rPr>
        <w:t xml:space="preserve">a </w:t>
      </w:r>
      <w:r w:rsidR="000A782D" w:rsidRPr="008C2D33">
        <w:rPr>
          <w:rFonts w:ascii="Times New Roman" w:hAnsi="Times New Roman"/>
        </w:rPr>
        <w:t xml:space="preserve">bedroom in a </w:t>
      </w:r>
      <w:r w:rsidR="009379CB" w:rsidRPr="008C2D33">
        <w:rPr>
          <w:rFonts w:ascii="Times New Roman" w:hAnsi="Times New Roman"/>
        </w:rPr>
        <w:t>"</w:t>
      </w:r>
      <w:r w:rsidR="000A782D" w:rsidRPr="008C2D33">
        <w:rPr>
          <w:rFonts w:ascii="Times New Roman" w:hAnsi="Times New Roman"/>
        </w:rPr>
        <w:t>one bedroom house</w:t>
      </w:r>
      <w:r w:rsidR="009379CB" w:rsidRPr="008C2D33">
        <w:rPr>
          <w:rFonts w:ascii="Times New Roman" w:hAnsi="Times New Roman"/>
        </w:rPr>
        <w:t>"</w:t>
      </w:r>
      <w:r w:rsidR="00561425" w:rsidRPr="008C2D33">
        <w:rPr>
          <w:rFonts w:ascii="Times New Roman" w:hAnsi="Times New Roman"/>
        </w:rPr>
        <w:t>,</w:t>
      </w:r>
      <w:r w:rsidR="00714DFB" w:rsidRPr="008C2D33">
        <w:rPr>
          <w:rFonts w:ascii="Times New Roman" w:hAnsi="Times New Roman"/>
        </w:rPr>
        <w:t xml:space="preserve"> </w:t>
      </w:r>
      <w:r w:rsidR="000A782D" w:rsidRPr="008C2D33">
        <w:rPr>
          <w:rFonts w:ascii="Times New Roman" w:hAnsi="Times New Roman"/>
        </w:rPr>
        <w:t xml:space="preserve">preferably to a female aged between 21 </w:t>
      </w:r>
      <w:r w:rsidR="009D261B" w:rsidRPr="008C2D33">
        <w:rPr>
          <w:rFonts w:ascii="Times New Roman" w:hAnsi="Times New Roman"/>
        </w:rPr>
        <w:t xml:space="preserve">and </w:t>
      </w:r>
      <w:r w:rsidR="000A782D" w:rsidRPr="008C2D33">
        <w:rPr>
          <w:rFonts w:ascii="Times New Roman" w:hAnsi="Times New Roman"/>
        </w:rPr>
        <w:t>35.</w:t>
      </w:r>
      <w:r w:rsidR="00735879" w:rsidRPr="008C2D33">
        <w:rPr>
          <w:rFonts w:ascii="Times New Roman" w:hAnsi="Times New Roman"/>
        </w:rPr>
        <w:t xml:space="preserve"> </w:t>
      </w:r>
      <w:r w:rsidR="000A782D" w:rsidRPr="008C2D33">
        <w:rPr>
          <w:rFonts w:ascii="Times New Roman" w:hAnsi="Times New Roman"/>
        </w:rPr>
        <w:t xml:space="preserve">Arrangements were made for </w:t>
      </w:r>
      <w:r w:rsidR="00FA68ED" w:rsidRPr="008C2D33">
        <w:rPr>
          <w:rFonts w:ascii="Times New Roman" w:hAnsi="Times New Roman"/>
        </w:rPr>
        <w:t xml:space="preserve">each </w:t>
      </w:r>
      <w:r w:rsidR="000A782D" w:rsidRPr="008C2D33">
        <w:rPr>
          <w:rFonts w:ascii="Times New Roman" w:hAnsi="Times New Roman"/>
        </w:rPr>
        <w:t xml:space="preserve">complainant to meet with the appellant. By the time the appellant took </w:t>
      </w:r>
      <w:r w:rsidR="00BA0EFB" w:rsidRPr="008C2D33">
        <w:rPr>
          <w:rFonts w:ascii="Times New Roman" w:hAnsi="Times New Roman"/>
        </w:rPr>
        <w:t xml:space="preserve">each of </w:t>
      </w:r>
      <w:r w:rsidR="000A782D" w:rsidRPr="008C2D33">
        <w:rPr>
          <w:rFonts w:ascii="Times New Roman" w:hAnsi="Times New Roman"/>
        </w:rPr>
        <w:t>them to view the room</w:t>
      </w:r>
      <w:r w:rsidR="00F734EE" w:rsidRPr="008C2D33">
        <w:rPr>
          <w:rFonts w:ascii="Times New Roman" w:hAnsi="Times New Roman"/>
        </w:rPr>
        <w:t>,</w:t>
      </w:r>
      <w:r w:rsidR="000A782D" w:rsidRPr="008C2D33">
        <w:rPr>
          <w:rFonts w:ascii="Times New Roman" w:hAnsi="Times New Roman"/>
        </w:rPr>
        <w:t xml:space="preserve"> C1 and C2 were intoxicated, having drunk</w:t>
      </w:r>
      <w:r w:rsidR="008B4E0E" w:rsidRPr="008C2D33">
        <w:rPr>
          <w:rFonts w:ascii="Times New Roman" w:hAnsi="Times New Roman"/>
        </w:rPr>
        <w:t xml:space="preserve"> alcohol to excess </w:t>
      </w:r>
      <w:r w:rsidR="00A217C8" w:rsidRPr="008C2D33">
        <w:rPr>
          <w:rFonts w:ascii="Times New Roman" w:hAnsi="Times New Roman"/>
        </w:rPr>
        <w:t xml:space="preserve">at the </w:t>
      </w:r>
      <w:r w:rsidR="0023132E" w:rsidRPr="008C2D33">
        <w:rPr>
          <w:rFonts w:ascii="Times New Roman" w:hAnsi="Times New Roman"/>
        </w:rPr>
        <w:t xml:space="preserve">insistence </w:t>
      </w:r>
      <w:r w:rsidR="00A217C8" w:rsidRPr="008C2D33">
        <w:rPr>
          <w:rFonts w:ascii="Times New Roman" w:hAnsi="Times New Roman"/>
        </w:rPr>
        <w:t xml:space="preserve">of </w:t>
      </w:r>
      <w:r w:rsidR="008B4E0E" w:rsidRPr="008C2D33">
        <w:rPr>
          <w:rFonts w:ascii="Times New Roman" w:hAnsi="Times New Roman"/>
        </w:rPr>
        <w:t xml:space="preserve">the appellant. There </w:t>
      </w:r>
      <w:r w:rsidR="00742016" w:rsidRPr="008C2D33">
        <w:rPr>
          <w:rFonts w:ascii="Times New Roman" w:hAnsi="Times New Roman"/>
        </w:rPr>
        <w:t xml:space="preserve">was </w:t>
      </w:r>
      <w:r w:rsidR="008B4E0E" w:rsidRPr="008C2D33">
        <w:rPr>
          <w:rFonts w:ascii="Times New Roman" w:hAnsi="Times New Roman"/>
        </w:rPr>
        <w:t xml:space="preserve">no dispute that sexual intercourse of some kind took place. The issue at trial was </w:t>
      </w:r>
      <w:r w:rsidR="005A13BD" w:rsidRPr="008C2D33">
        <w:rPr>
          <w:rFonts w:ascii="Times New Roman" w:hAnsi="Times New Roman"/>
        </w:rPr>
        <w:t xml:space="preserve">whether the appellant believed that each complainant consented to having sex with him or whether he was reckless as to whether she was consenting. The </w:t>
      </w:r>
      <w:r w:rsidR="00566F71" w:rsidRPr="008C2D33">
        <w:rPr>
          <w:rFonts w:ascii="Times New Roman" w:hAnsi="Times New Roman"/>
        </w:rPr>
        <w:t>a</w:t>
      </w:r>
      <w:r w:rsidR="005A13BD" w:rsidRPr="008C2D33">
        <w:rPr>
          <w:rFonts w:ascii="Times New Roman" w:hAnsi="Times New Roman"/>
        </w:rPr>
        <w:t>ppellant gave evidence that he believed that each complainant consented. Accordingly,</w:t>
      </w:r>
      <w:r w:rsidR="00742016" w:rsidRPr="008C2D33">
        <w:rPr>
          <w:rFonts w:ascii="Times New Roman" w:hAnsi="Times New Roman"/>
        </w:rPr>
        <w:t xml:space="preserve"> the credibility of the appellant was important.</w:t>
      </w:r>
    </w:p>
    <w:p w14:paraId="1569A5EA" w14:textId="38F9932D" w:rsidR="00A217C8" w:rsidRPr="008C2D33" w:rsidRDefault="008B4E0E"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742016" w:rsidRPr="008C2D33">
        <w:rPr>
          <w:rFonts w:ascii="Times New Roman" w:hAnsi="Times New Roman"/>
        </w:rPr>
        <w:t>During the course of the appellant's evidence</w:t>
      </w:r>
      <w:r w:rsidR="00A947E3" w:rsidRPr="008C2D33">
        <w:rPr>
          <w:rFonts w:ascii="Times New Roman" w:hAnsi="Times New Roman"/>
        </w:rPr>
        <w:t>,</w:t>
      </w:r>
      <w:r w:rsidR="00742016" w:rsidRPr="008C2D33">
        <w:rPr>
          <w:rFonts w:ascii="Times New Roman" w:hAnsi="Times New Roman"/>
        </w:rPr>
        <w:t xml:space="preserve"> more particularly his cross</w:t>
      </w:r>
      <w:r w:rsidR="00742016" w:rsidRPr="008C2D33">
        <w:rPr>
          <w:rFonts w:ascii="Times New Roman" w:hAnsi="Times New Roman"/>
        </w:rPr>
        <w:noBreakHyphen/>
        <w:t>examination</w:t>
      </w:r>
      <w:r w:rsidR="00A947E3" w:rsidRPr="008C2D33">
        <w:rPr>
          <w:rFonts w:ascii="Times New Roman" w:hAnsi="Times New Roman"/>
        </w:rPr>
        <w:t>,</w:t>
      </w:r>
      <w:r w:rsidR="00742016" w:rsidRPr="008C2D33">
        <w:rPr>
          <w:rFonts w:ascii="Times New Roman" w:hAnsi="Times New Roman"/>
        </w:rPr>
        <w:t xml:space="preserve"> it became apparent that certain of his evidence which was</w:t>
      </w:r>
      <w:r w:rsidR="00E64FB1" w:rsidRPr="008C2D33">
        <w:rPr>
          <w:rFonts w:ascii="Times New Roman" w:hAnsi="Times New Roman"/>
        </w:rPr>
        <w:t xml:space="preserve"> </w:t>
      </w:r>
      <w:r w:rsidR="00742016" w:rsidRPr="008C2D33">
        <w:rPr>
          <w:rFonts w:ascii="Times New Roman" w:hAnsi="Times New Roman"/>
        </w:rPr>
        <w:t>inconsistent with or contradicted that of C1 and C2 had not been put to them by defence counsel for comment. On each occasion when this arose the Crown prosecutor required the appellant to acknowledge the omission</w:t>
      </w:r>
      <w:r w:rsidR="00364679" w:rsidRPr="008C2D33">
        <w:rPr>
          <w:rFonts w:ascii="Times New Roman" w:hAnsi="Times New Roman"/>
        </w:rPr>
        <w:t>,</w:t>
      </w:r>
      <w:r w:rsidR="00742016" w:rsidRPr="008C2D33">
        <w:rPr>
          <w:rFonts w:ascii="Times New Roman" w:hAnsi="Times New Roman"/>
        </w:rPr>
        <w:t xml:space="preserve"> which, for the most part, he did. He unsuccessfully attempted on some occasions to say that his counsel should have done so and on one tried to identify notes that he had </w:t>
      </w:r>
      <w:r w:rsidR="00CB4B3E" w:rsidRPr="008C2D33">
        <w:rPr>
          <w:rFonts w:ascii="Times New Roman" w:hAnsi="Times New Roman"/>
        </w:rPr>
        <w:t>provided</w:t>
      </w:r>
      <w:r w:rsidR="00EA7A30" w:rsidRPr="008C2D33">
        <w:rPr>
          <w:rFonts w:ascii="Times New Roman" w:hAnsi="Times New Roman"/>
        </w:rPr>
        <w:t xml:space="preserve"> to </w:t>
      </w:r>
      <w:r w:rsidR="00B54747" w:rsidRPr="008C2D33">
        <w:rPr>
          <w:rFonts w:ascii="Times New Roman" w:hAnsi="Times New Roman"/>
        </w:rPr>
        <w:t>counsel</w:t>
      </w:r>
      <w:r w:rsidR="00742016" w:rsidRPr="008C2D33">
        <w:rPr>
          <w:rFonts w:ascii="Times New Roman" w:hAnsi="Times New Roman"/>
        </w:rPr>
        <w:t xml:space="preserve">. </w:t>
      </w:r>
      <w:r w:rsidR="00CB4B3E" w:rsidRPr="008C2D33">
        <w:rPr>
          <w:rFonts w:ascii="Times New Roman" w:hAnsi="Times New Roman"/>
        </w:rPr>
        <w:t xml:space="preserve">Towards the end of these areas of </w:t>
      </w:r>
      <w:r w:rsidR="00742016" w:rsidRPr="008C2D33">
        <w:rPr>
          <w:rFonts w:ascii="Times New Roman" w:hAnsi="Times New Roman"/>
        </w:rPr>
        <w:t>cross</w:t>
      </w:r>
      <w:r w:rsidR="00742016" w:rsidRPr="008C2D33">
        <w:rPr>
          <w:rFonts w:ascii="Times New Roman" w:hAnsi="Times New Roman"/>
        </w:rPr>
        <w:noBreakHyphen/>
        <w:t xml:space="preserve">examination the prosecutor put to </w:t>
      </w:r>
      <w:r w:rsidR="00CB4B3E" w:rsidRPr="008C2D33">
        <w:rPr>
          <w:rFonts w:ascii="Times New Roman" w:hAnsi="Times New Roman"/>
        </w:rPr>
        <w:t xml:space="preserve">the appellant </w:t>
      </w:r>
      <w:r w:rsidR="00742016" w:rsidRPr="008C2D33">
        <w:rPr>
          <w:rFonts w:ascii="Times New Roman" w:hAnsi="Times New Roman"/>
        </w:rPr>
        <w:t>that two aspects of his evidence which had not been put to C1 or C2 were, in effect, of recent invention. D</w:t>
      </w:r>
      <w:r w:rsidR="002F0264" w:rsidRPr="008C2D33">
        <w:rPr>
          <w:rFonts w:ascii="Times New Roman" w:hAnsi="Times New Roman"/>
        </w:rPr>
        <w:t xml:space="preserve">efence counsel did not pursue objections to these </w:t>
      </w:r>
      <w:r w:rsidR="00AC7BA2">
        <w:rPr>
          <w:rFonts w:ascii="Times New Roman" w:hAnsi="Times New Roman"/>
        </w:rPr>
        <w:t>suggestions of recent invention</w:t>
      </w:r>
      <w:r w:rsidR="002F0264" w:rsidRPr="008C2D33">
        <w:rPr>
          <w:rFonts w:ascii="Times New Roman" w:hAnsi="Times New Roman"/>
        </w:rPr>
        <w:t xml:space="preserve"> and the trial judge did not give the jury directions as to the use which could be made of this evidence.</w:t>
      </w:r>
    </w:p>
    <w:p w14:paraId="19CC1AF4" w14:textId="4A37B88F" w:rsidR="00181A59" w:rsidRPr="008C2D33" w:rsidRDefault="00EB74CD"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191CDC" w:rsidRPr="008C2D33">
        <w:rPr>
          <w:rFonts w:ascii="Times New Roman" w:hAnsi="Times New Roman"/>
        </w:rPr>
        <w:t>The first question raised on this appeal is whether the questions asked by the Crown prosecutor in cross</w:t>
      </w:r>
      <w:r w:rsidR="00191CDC" w:rsidRPr="008C2D33">
        <w:rPr>
          <w:rFonts w:ascii="Times New Roman" w:hAnsi="Times New Roman"/>
        </w:rPr>
        <w:noBreakHyphen/>
        <w:t>examination</w:t>
      </w:r>
      <w:r w:rsidR="006C671F" w:rsidRPr="008C2D33">
        <w:rPr>
          <w:rFonts w:ascii="Times New Roman" w:hAnsi="Times New Roman"/>
        </w:rPr>
        <w:t xml:space="preserve"> of the appellant</w:t>
      </w:r>
      <w:r w:rsidR="00742016" w:rsidRPr="008C2D33">
        <w:rPr>
          <w:rFonts w:ascii="Times New Roman" w:hAnsi="Times New Roman"/>
        </w:rPr>
        <w:t xml:space="preserve"> </w:t>
      </w:r>
      <w:r w:rsidR="006C671F" w:rsidRPr="008C2D33">
        <w:rPr>
          <w:rFonts w:ascii="Times New Roman" w:hAnsi="Times New Roman"/>
        </w:rPr>
        <w:t xml:space="preserve">were impermissible </w:t>
      </w:r>
      <w:r w:rsidR="00742016" w:rsidRPr="008C2D33">
        <w:rPr>
          <w:rFonts w:ascii="Times New Roman" w:hAnsi="Times New Roman"/>
        </w:rPr>
        <w:t xml:space="preserve">and prejudicial such that they </w:t>
      </w:r>
      <w:r w:rsidR="006C671F" w:rsidRPr="008C2D33">
        <w:rPr>
          <w:rFonts w:ascii="Times New Roman" w:hAnsi="Times New Roman"/>
        </w:rPr>
        <w:t>result</w:t>
      </w:r>
      <w:r w:rsidR="00742016" w:rsidRPr="008C2D33">
        <w:rPr>
          <w:rFonts w:ascii="Times New Roman" w:hAnsi="Times New Roman"/>
        </w:rPr>
        <w:t>ed</w:t>
      </w:r>
      <w:r w:rsidR="006C671F" w:rsidRPr="008C2D33">
        <w:rPr>
          <w:rFonts w:ascii="Times New Roman" w:hAnsi="Times New Roman"/>
        </w:rPr>
        <w:t xml:space="preserve"> in a miscarriage of justice</w:t>
      </w:r>
      <w:r w:rsidR="00E03388" w:rsidRPr="008C2D33">
        <w:rPr>
          <w:rFonts w:ascii="Times New Roman" w:hAnsi="Times New Roman"/>
        </w:rPr>
        <w:t xml:space="preserve"> within the common form appeal provision in New South Wales, s 6(1) of the </w:t>
      </w:r>
      <w:r w:rsidR="00E03388" w:rsidRPr="008C2D33">
        <w:rPr>
          <w:rFonts w:ascii="Times New Roman" w:hAnsi="Times New Roman"/>
          <w:i/>
        </w:rPr>
        <w:t>Criminal Appeal Act 1912</w:t>
      </w:r>
      <w:r w:rsidR="00E03388" w:rsidRPr="008C2D33">
        <w:rPr>
          <w:rFonts w:ascii="Times New Roman" w:hAnsi="Times New Roman"/>
        </w:rPr>
        <w:t xml:space="preserve"> (NSW).</w:t>
      </w:r>
      <w:r w:rsidR="005D315A" w:rsidRPr="008C2D33">
        <w:rPr>
          <w:rFonts w:ascii="Times New Roman" w:hAnsi="Times New Roman"/>
        </w:rPr>
        <w:t xml:space="preserve"> The second is whether the trial miscarried on account of the incompetence of the appellant's counsel. If the answer to either </w:t>
      </w:r>
      <w:r w:rsidR="00742016" w:rsidRPr="008C2D33">
        <w:rPr>
          <w:rFonts w:ascii="Times New Roman" w:hAnsi="Times New Roman"/>
        </w:rPr>
        <w:t xml:space="preserve">question </w:t>
      </w:r>
      <w:r w:rsidR="005D315A" w:rsidRPr="008C2D33">
        <w:rPr>
          <w:rFonts w:ascii="Times New Roman" w:hAnsi="Times New Roman"/>
        </w:rPr>
        <w:t>is in the affirmative, consideration must be given to the proviso to s 6(1)</w:t>
      </w:r>
      <w:r w:rsidR="00742016" w:rsidRPr="008C2D33">
        <w:rPr>
          <w:rFonts w:ascii="Times New Roman" w:hAnsi="Times New Roman"/>
        </w:rPr>
        <w:t xml:space="preserve"> and </w:t>
      </w:r>
      <w:r w:rsidR="005D315A" w:rsidRPr="008C2D33">
        <w:rPr>
          <w:rFonts w:ascii="Times New Roman" w:hAnsi="Times New Roman"/>
        </w:rPr>
        <w:t>whether</w:t>
      </w:r>
      <w:r w:rsidR="00CB4B3E" w:rsidRPr="008C2D33">
        <w:rPr>
          <w:rFonts w:ascii="Times New Roman" w:hAnsi="Times New Roman"/>
        </w:rPr>
        <w:t>,</w:t>
      </w:r>
      <w:r w:rsidR="005D315A" w:rsidRPr="008C2D33">
        <w:rPr>
          <w:rFonts w:ascii="Times New Roman" w:hAnsi="Times New Roman"/>
        </w:rPr>
        <w:t xml:space="preserve"> despite those errors</w:t>
      </w:r>
      <w:r w:rsidR="00CB4B3E" w:rsidRPr="008C2D33">
        <w:rPr>
          <w:rFonts w:ascii="Times New Roman" w:hAnsi="Times New Roman"/>
        </w:rPr>
        <w:t>,</w:t>
      </w:r>
      <w:r w:rsidR="005D315A" w:rsidRPr="008C2D33">
        <w:rPr>
          <w:rFonts w:ascii="Times New Roman" w:hAnsi="Times New Roman"/>
        </w:rPr>
        <w:t xml:space="preserve"> </w:t>
      </w:r>
      <w:r w:rsidR="004F2C82" w:rsidRPr="008C2D33">
        <w:rPr>
          <w:rFonts w:ascii="Times New Roman" w:hAnsi="Times New Roman"/>
        </w:rPr>
        <w:t xml:space="preserve">no substantial miscarriage of justice has </w:t>
      </w:r>
      <w:r w:rsidR="00400856" w:rsidRPr="008C2D33">
        <w:rPr>
          <w:rFonts w:ascii="Times New Roman" w:hAnsi="Times New Roman"/>
        </w:rPr>
        <w:t xml:space="preserve">actually </w:t>
      </w:r>
      <w:r w:rsidR="004F2C82" w:rsidRPr="008C2D33">
        <w:rPr>
          <w:rFonts w:ascii="Times New Roman" w:hAnsi="Times New Roman"/>
        </w:rPr>
        <w:t>occurred</w:t>
      </w:r>
      <w:r w:rsidR="00CB4B3E" w:rsidRPr="008C2D33">
        <w:rPr>
          <w:rFonts w:ascii="Times New Roman" w:hAnsi="Times New Roman"/>
        </w:rPr>
        <w:t xml:space="preserve">. It is only if that conclusion is reached that </w:t>
      </w:r>
      <w:r w:rsidR="004F2C82" w:rsidRPr="008C2D33">
        <w:rPr>
          <w:rFonts w:ascii="Times New Roman" w:hAnsi="Times New Roman"/>
        </w:rPr>
        <w:t>the appeal may be dismissed.</w:t>
      </w:r>
    </w:p>
    <w:p w14:paraId="05BDEF9C" w14:textId="67C00795" w:rsidR="007B3A9E" w:rsidRPr="008C2D33" w:rsidRDefault="007B3A9E" w:rsidP="008C2D33">
      <w:pPr>
        <w:pStyle w:val="HeadingL1"/>
        <w:spacing w:after="260" w:line="280" w:lineRule="exact"/>
        <w:ind w:right="0"/>
        <w:jc w:val="both"/>
        <w:rPr>
          <w:rFonts w:ascii="Times New Roman" w:hAnsi="Times New Roman"/>
        </w:rPr>
      </w:pPr>
      <w:r w:rsidRPr="008C2D33">
        <w:rPr>
          <w:rFonts w:ascii="Times New Roman" w:hAnsi="Times New Roman"/>
        </w:rPr>
        <w:t xml:space="preserve">The evidence </w:t>
      </w:r>
      <w:r w:rsidR="009C2611" w:rsidRPr="008C2D33">
        <w:rPr>
          <w:rFonts w:ascii="Times New Roman" w:hAnsi="Times New Roman"/>
        </w:rPr>
        <w:t xml:space="preserve">of </w:t>
      </w:r>
      <w:r w:rsidRPr="008C2D33">
        <w:rPr>
          <w:rFonts w:ascii="Times New Roman" w:hAnsi="Times New Roman"/>
        </w:rPr>
        <w:t>C1</w:t>
      </w:r>
    </w:p>
    <w:p w14:paraId="7BCA4D79" w14:textId="0BB95AE7" w:rsidR="007B3A9E" w:rsidRPr="008C2D33" w:rsidRDefault="007B3A9E"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At the time of the alleged offences C1 was 23 years of age and had recently arrived in Australia from </w:t>
      </w:r>
      <w:r w:rsidR="00EB3F17" w:rsidRPr="008C2D33">
        <w:rPr>
          <w:rFonts w:ascii="Times New Roman" w:hAnsi="Times New Roman"/>
        </w:rPr>
        <w:t xml:space="preserve">the United States of </w:t>
      </w:r>
      <w:r w:rsidRPr="008C2D33">
        <w:rPr>
          <w:rFonts w:ascii="Times New Roman" w:hAnsi="Times New Roman"/>
        </w:rPr>
        <w:t xml:space="preserve">America for a working holiday. She was staying in a hostel but was looking for </w:t>
      </w:r>
      <w:r w:rsidR="00DE6244" w:rsidRPr="008C2D33">
        <w:rPr>
          <w:rFonts w:ascii="Times New Roman" w:hAnsi="Times New Roman"/>
        </w:rPr>
        <w:t>cheaper</w:t>
      </w:r>
      <w:r w:rsidR="009162E9" w:rsidRPr="008C2D33">
        <w:rPr>
          <w:rFonts w:ascii="Times New Roman" w:hAnsi="Times New Roman"/>
        </w:rPr>
        <w:t xml:space="preserve"> </w:t>
      </w:r>
      <w:r w:rsidRPr="008C2D33">
        <w:rPr>
          <w:rFonts w:ascii="Times New Roman" w:hAnsi="Times New Roman"/>
        </w:rPr>
        <w:t xml:space="preserve">accommodation. </w:t>
      </w:r>
      <w:r w:rsidR="00730A44" w:rsidRPr="008C2D33">
        <w:rPr>
          <w:rFonts w:ascii="Times New Roman" w:hAnsi="Times New Roman"/>
        </w:rPr>
        <w:t xml:space="preserve">She read the advertisement posted by the appellant and contacted him. </w:t>
      </w:r>
      <w:r w:rsidRPr="008C2D33">
        <w:rPr>
          <w:rFonts w:ascii="Times New Roman" w:hAnsi="Times New Roman"/>
        </w:rPr>
        <w:t xml:space="preserve">After an exchange of messages between </w:t>
      </w:r>
      <w:r w:rsidR="00730A44" w:rsidRPr="008C2D33">
        <w:rPr>
          <w:rFonts w:ascii="Times New Roman" w:hAnsi="Times New Roman"/>
        </w:rPr>
        <w:t>them</w:t>
      </w:r>
      <w:r w:rsidRPr="008C2D33">
        <w:rPr>
          <w:rFonts w:ascii="Times New Roman" w:hAnsi="Times New Roman"/>
        </w:rPr>
        <w:t xml:space="preserve">, the </w:t>
      </w:r>
      <w:r w:rsidR="00D95485" w:rsidRPr="008C2D33">
        <w:rPr>
          <w:rFonts w:ascii="Times New Roman" w:hAnsi="Times New Roman"/>
        </w:rPr>
        <w:t>a</w:t>
      </w:r>
      <w:r w:rsidRPr="008C2D33">
        <w:rPr>
          <w:rFonts w:ascii="Times New Roman" w:hAnsi="Times New Roman"/>
        </w:rPr>
        <w:t>ppellant picked C1 up</w:t>
      </w:r>
      <w:r w:rsidR="000863A1" w:rsidRPr="008C2D33">
        <w:rPr>
          <w:rFonts w:ascii="Times New Roman" w:hAnsi="Times New Roman"/>
        </w:rPr>
        <w:t xml:space="preserve"> from the hostel in a taxi</w:t>
      </w:r>
      <w:r w:rsidR="009162E9" w:rsidRPr="008C2D33">
        <w:rPr>
          <w:rFonts w:ascii="Times New Roman" w:hAnsi="Times New Roman"/>
        </w:rPr>
        <w:t xml:space="preserve"> and took her to a bar</w:t>
      </w:r>
      <w:r w:rsidR="00742016" w:rsidRPr="008C2D33">
        <w:rPr>
          <w:rFonts w:ascii="Times New Roman" w:hAnsi="Times New Roman"/>
        </w:rPr>
        <w:t xml:space="preserve">. They later went </w:t>
      </w:r>
      <w:r w:rsidR="0028683E" w:rsidRPr="008C2D33">
        <w:rPr>
          <w:rFonts w:ascii="Times New Roman" w:hAnsi="Times New Roman"/>
        </w:rPr>
        <w:t>to another bar</w:t>
      </w:r>
      <w:r w:rsidR="000863A1" w:rsidRPr="008C2D33">
        <w:rPr>
          <w:rFonts w:ascii="Times New Roman" w:hAnsi="Times New Roman"/>
        </w:rPr>
        <w:t>.</w:t>
      </w:r>
    </w:p>
    <w:p w14:paraId="295D1E70" w14:textId="1D38365A" w:rsidR="000863A1" w:rsidRPr="008C2D33" w:rsidRDefault="000863A1"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28683E" w:rsidRPr="008C2D33">
        <w:rPr>
          <w:rFonts w:ascii="Times New Roman" w:hAnsi="Times New Roman"/>
        </w:rPr>
        <w:t xml:space="preserve">The tenor of C1's evidence was that the appellant plied her with alcoholic drinks to the point where she became very intoxicated. </w:t>
      </w:r>
      <w:r w:rsidR="00FC4CE9" w:rsidRPr="008C2D33">
        <w:rPr>
          <w:rFonts w:ascii="Times New Roman" w:hAnsi="Times New Roman"/>
        </w:rPr>
        <w:t>In the course of the evening C1 learned for the first time that the bedroom was not available for her exclusive use</w:t>
      </w:r>
      <w:r w:rsidR="00742016" w:rsidRPr="008C2D33">
        <w:rPr>
          <w:rFonts w:ascii="Times New Roman" w:hAnsi="Times New Roman"/>
        </w:rPr>
        <w:t xml:space="preserve"> and that </w:t>
      </w:r>
      <w:r w:rsidR="00FC4CE9" w:rsidRPr="008C2D33">
        <w:rPr>
          <w:rFonts w:ascii="Times New Roman" w:hAnsi="Times New Roman"/>
        </w:rPr>
        <w:t xml:space="preserve">the appellant was offering to share it. </w:t>
      </w:r>
      <w:r w:rsidR="00740AE5" w:rsidRPr="008C2D33">
        <w:rPr>
          <w:rFonts w:ascii="Times New Roman" w:hAnsi="Times New Roman"/>
        </w:rPr>
        <w:t xml:space="preserve">C1 also </w:t>
      </w:r>
      <w:r w:rsidR="00767A92" w:rsidRPr="008C2D33">
        <w:rPr>
          <w:rFonts w:ascii="Times New Roman" w:hAnsi="Times New Roman"/>
        </w:rPr>
        <w:t xml:space="preserve">became </w:t>
      </w:r>
      <w:r w:rsidR="00E7361E" w:rsidRPr="008C2D33">
        <w:rPr>
          <w:rFonts w:ascii="Times New Roman" w:hAnsi="Times New Roman"/>
        </w:rPr>
        <w:t xml:space="preserve">uncomfortable about the </w:t>
      </w:r>
      <w:r w:rsidR="00D95485" w:rsidRPr="008C2D33">
        <w:rPr>
          <w:rFonts w:ascii="Times New Roman" w:hAnsi="Times New Roman"/>
        </w:rPr>
        <w:t>a</w:t>
      </w:r>
      <w:r w:rsidR="00E7361E" w:rsidRPr="008C2D33">
        <w:rPr>
          <w:rFonts w:ascii="Times New Roman" w:hAnsi="Times New Roman"/>
        </w:rPr>
        <w:t xml:space="preserve">ppellant </w:t>
      </w:r>
      <w:r w:rsidR="002A796C" w:rsidRPr="008C2D33">
        <w:rPr>
          <w:rFonts w:ascii="Times New Roman" w:hAnsi="Times New Roman"/>
        </w:rPr>
        <w:t>touching her limbs</w:t>
      </w:r>
      <w:r w:rsidR="00767A92" w:rsidRPr="008C2D33">
        <w:rPr>
          <w:rFonts w:ascii="Times New Roman" w:hAnsi="Times New Roman"/>
        </w:rPr>
        <w:t xml:space="preserve"> and </w:t>
      </w:r>
      <w:r w:rsidR="002A796C" w:rsidRPr="008C2D33">
        <w:rPr>
          <w:rFonts w:ascii="Times New Roman" w:hAnsi="Times New Roman"/>
        </w:rPr>
        <w:t>sent a text message to a friend at the hostel saying that she wished to return to the hostel because she felt "weird with this guy"</w:t>
      </w:r>
      <w:r w:rsidR="00D234B8" w:rsidRPr="008C2D33">
        <w:rPr>
          <w:rFonts w:ascii="Times New Roman" w:hAnsi="Times New Roman"/>
        </w:rPr>
        <w:t>.</w:t>
      </w:r>
    </w:p>
    <w:p w14:paraId="4569D6EE" w14:textId="198D71A1" w:rsidR="00B17BF8" w:rsidRPr="008C2D33" w:rsidRDefault="00B17BF8"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FC4CE9" w:rsidRPr="008C2D33">
        <w:rPr>
          <w:rFonts w:ascii="Times New Roman" w:hAnsi="Times New Roman"/>
        </w:rPr>
        <w:t>N</w:t>
      </w:r>
      <w:r w:rsidRPr="008C2D33">
        <w:rPr>
          <w:rFonts w:ascii="Times New Roman" w:hAnsi="Times New Roman"/>
        </w:rPr>
        <w:t>evertheless</w:t>
      </w:r>
      <w:r w:rsidR="003A33C1" w:rsidRPr="008C2D33">
        <w:rPr>
          <w:rFonts w:ascii="Times New Roman" w:hAnsi="Times New Roman"/>
        </w:rPr>
        <w:t>,</w:t>
      </w:r>
      <w:r w:rsidRPr="008C2D33">
        <w:rPr>
          <w:rFonts w:ascii="Times New Roman" w:hAnsi="Times New Roman"/>
        </w:rPr>
        <w:t xml:space="preserve"> </w:t>
      </w:r>
      <w:r w:rsidR="00FC4CE9" w:rsidRPr="008C2D33">
        <w:rPr>
          <w:rFonts w:ascii="Times New Roman" w:hAnsi="Times New Roman"/>
        </w:rPr>
        <w:t xml:space="preserve">C1 </w:t>
      </w:r>
      <w:r w:rsidRPr="008C2D33">
        <w:rPr>
          <w:rFonts w:ascii="Times New Roman" w:hAnsi="Times New Roman"/>
        </w:rPr>
        <w:t xml:space="preserve">went with the appellant to see the room. </w:t>
      </w:r>
      <w:r w:rsidR="006E0024" w:rsidRPr="008C2D33">
        <w:rPr>
          <w:rFonts w:ascii="Times New Roman" w:hAnsi="Times New Roman"/>
        </w:rPr>
        <w:t xml:space="preserve">When it became obvious that the appellant wished to have sexual intercourse C1 </w:t>
      </w:r>
      <w:r w:rsidR="00767A92" w:rsidRPr="008C2D33">
        <w:rPr>
          <w:rFonts w:ascii="Times New Roman" w:hAnsi="Times New Roman"/>
        </w:rPr>
        <w:t xml:space="preserve">said that </w:t>
      </w:r>
      <w:r w:rsidR="006E0024" w:rsidRPr="008C2D33">
        <w:rPr>
          <w:rFonts w:ascii="Times New Roman" w:hAnsi="Times New Roman"/>
        </w:rPr>
        <w:t>she did not wish to, but the appellant proceeded to perform acts upon her without her consent, including an act of penile</w:t>
      </w:r>
      <w:r w:rsidR="006E0024" w:rsidRPr="008C2D33">
        <w:rPr>
          <w:rFonts w:ascii="Times New Roman" w:hAnsi="Times New Roman"/>
        </w:rPr>
        <w:noBreakHyphen/>
        <w:t>vaginal</w:t>
      </w:r>
      <w:r w:rsidR="00923F38" w:rsidRPr="008C2D33">
        <w:rPr>
          <w:rFonts w:ascii="Times New Roman" w:hAnsi="Times New Roman"/>
        </w:rPr>
        <w:t xml:space="preserve"> intercourse. C1 said that she was </w:t>
      </w:r>
      <w:r w:rsidR="002D4C7F" w:rsidRPr="008C2D33">
        <w:rPr>
          <w:rFonts w:ascii="Times New Roman" w:hAnsi="Times New Roman"/>
        </w:rPr>
        <w:t xml:space="preserve">"quite </w:t>
      </w:r>
      <w:r w:rsidR="00923F38" w:rsidRPr="008C2D33">
        <w:rPr>
          <w:rFonts w:ascii="Times New Roman" w:hAnsi="Times New Roman"/>
        </w:rPr>
        <w:t>intoxicated</w:t>
      </w:r>
      <w:r w:rsidR="002D4C7F" w:rsidRPr="008C2D33">
        <w:rPr>
          <w:rFonts w:ascii="Times New Roman" w:hAnsi="Times New Roman"/>
        </w:rPr>
        <w:t>"</w:t>
      </w:r>
      <w:r w:rsidR="00923F38" w:rsidRPr="008C2D33">
        <w:rPr>
          <w:rFonts w:ascii="Times New Roman" w:hAnsi="Times New Roman"/>
        </w:rPr>
        <w:t xml:space="preserve"> when that act occurred </w:t>
      </w:r>
      <w:r w:rsidR="00E81D9D" w:rsidRPr="008C2D33">
        <w:rPr>
          <w:rFonts w:ascii="Times New Roman" w:hAnsi="Times New Roman"/>
        </w:rPr>
        <w:t xml:space="preserve">and </w:t>
      </w:r>
      <w:r w:rsidR="00DB1622" w:rsidRPr="008C2D33">
        <w:rPr>
          <w:rFonts w:ascii="Times New Roman" w:hAnsi="Times New Roman"/>
        </w:rPr>
        <w:t xml:space="preserve">that </w:t>
      </w:r>
      <w:r w:rsidR="00923F38" w:rsidRPr="008C2D33">
        <w:rPr>
          <w:rFonts w:ascii="Times New Roman" w:hAnsi="Times New Roman"/>
        </w:rPr>
        <w:t xml:space="preserve">she was drifting </w:t>
      </w:r>
      <w:r w:rsidR="008F46CF" w:rsidRPr="008C2D33">
        <w:rPr>
          <w:rFonts w:ascii="Times New Roman" w:hAnsi="Times New Roman"/>
        </w:rPr>
        <w:t>"</w:t>
      </w:r>
      <w:r w:rsidR="00923F38" w:rsidRPr="008C2D33">
        <w:rPr>
          <w:rFonts w:ascii="Times New Roman" w:hAnsi="Times New Roman"/>
        </w:rPr>
        <w:t>in and out of consciousness</w:t>
      </w:r>
      <w:r w:rsidR="008F46CF" w:rsidRPr="008C2D33">
        <w:rPr>
          <w:rFonts w:ascii="Times New Roman" w:hAnsi="Times New Roman"/>
        </w:rPr>
        <w:t>"</w:t>
      </w:r>
      <w:r w:rsidR="00923F38" w:rsidRPr="008C2D33">
        <w:rPr>
          <w:rFonts w:ascii="Times New Roman" w:hAnsi="Times New Roman"/>
        </w:rPr>
        <w:t xml:space="preserve">. During the acts she repeatedly called out that she didn't want to have sex and for him to stop. Following the sexual </w:t>
      </w:r>
      <w:r w:rsidR="00A36250" w:rsidRPr="008C2D33">
        <w:rPr>
          <w:rFonts w:ascii="Times New Roman" w:hAnsi="Times New Roman"/>
        </w:rPr>
        <w:t xml:space="preserve">assaults, whilst in the bathroom of the house, she sent a text message </w:t>
      </w:r>
      <w:r w:rsidR="00DB1622" w:rsidRPr="008C2D33">
        <w:rPr>
          <w:rFonts w:ascii="Times New Roman" w:hAnsi="Times New Roman"/>
        </w:rPr>
        <w:t xml:space="preserve">of </w:t>
      </w:r>
      <w:r w:rsidR="00A36250" w:rsidRPr="008C2D33">
        <w:rPr>
          <w:rFonts w:ascii="Times New Roman" w:hAnsi="Times New Roman"/>
        </w:rPr>
        <w:t xml:space="preserve">"Help" to a friend at the hostel. </w:t>
      </w:r>
      <w:r w:rsidR="00DA57A2" w:rsidRPr="008C2D33">
        <w:rPr>
          <w:rFonts w:ascii="Times New Roman" w:hAnsi="Times New Roman"/>
        </w:rPr>
        <w:t>Screenshots of</w:t>
      </w:r>
      <w:r w:rsidR="002C369C" w:rsidRPr="008C2D33">
        <w:rPr>
          <w:rFonts w:ascii="Times New Roman" w:hAnsi="Times New Roman"/>
        </w:rPr>
        <w:t xml:space="preserve"> th</w:t>
      </w:r>
      <w:r w:rsidR="00E00BB6" w:rsidRPr="008C2D33">
        <w:rPr>
          <w:rFonts w:ascii="Times New Roman" w:hAnsi="Times New Roman"/>
        </w:rPr>
        <w:t>at text message</w:t>
      </w:r>
      <w:r w:rsidR="002C369C" w:rsidRPr="008C2D33">
        <w:rPr>
          <w:rFonts w:ascii="Times New Roman" w:hAnsi="Times New Roman"/>
        </w:rPr>
        <w:t xml:space="preserve"> </w:t>
      </w:r>
      <w:r w:rsidR="00A36250" w:rsidRPr="008C2D33">
        <w:rPr>
          <w:rFonts w:ascii="Times New Roman" w:hAnsi="Times New Roman"/>
        </w:rPr>
        <w:t>corroborated her evidence</w:t>
      </w:r>
      <w:r w:rsidR="00D46077" w:rsidRPr="008C2D33">
        <w:rPr>
          <w:rFonts w:ascii="Times New Roman" w:hAnsi="Times New Roman"/>
        </w:rPr>
        <w:t>.</w:t>
      </w:r>
    </w:p>
    <w:p w14:paraId="7C10E54F" w14:textId="5CA5E14F" w:rsidR="00A36250" w:rsidRPr="008C2D33" w:rsidRDefault="00A36250"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There </w:t>
      </w:r>
      <w:r w:rsidR="00DB1622" w:rsidRPr="008C2D33">
        <w:rPr>
          <w:rFonts w:ascii="Times New Roman" w:hAnsi="Times New Roman"/>
        </w:rPr>
        <w:t>w</w:t>
      </w:r>
      <w:r w:rsidRPr="008C2D33">
        <w:rPr>
          <w:rFonts w:ascii="Times New Roman" w:hAnsi="Times New Roman"/>
        </w:rPr>
        <w:t xml:space="preserve">as other evidence which supported </w:t>
      </w:r>
      <w:r w:rsidR="00612982" w:rsidRPr="008C2D33">
        <w:rPr>
          <w:rFonts w:ascii="Times New Roman" w:hAnsi="Times New Roman"/>
        </w:rPr>
        <w:t xml:space="preserve">C1's evidence. The taxi driver who took her </w:t>
      </w:r>
      <w:r w:rsidR="00DB1622" w:rsidRPr="008C2D33">
        <w:rPr>
          <w:rFonts w:ascii="Times New Roman" w:hAnsi="Times New Roman"/>
        </w:rPr>
        <w:t xml:space="preserve">back </w:t>
      </w:r>
      <w:r w:rsidR="00612982" w:rsidRPr="008C2D33">
        <w:rPr>
          <w:rFonts w:ascii="Times New Roman" w:hAnsi="Times New Roman"/>
        </w:rPr>
        <w:t xml:space="preserve">from the </w:t>
      </w:r>
      <w:r w:rsidR="00AA47D5" w:rsidRPr="008C2D33">
        <w:rPr>
          <w:rFonts w:ascii="Times New Roman" w:hAnsi="Times New Roman"/>
        </w:rPr>
        <w:t xml:space="preserve">appellant's </w:t>
      </w:r>
      <w:r w:rsidR="00612982" w:rsidRPr="008C2D33">
        <w:rPr>
          <w:rFonts w:ascii="Times New Roman" w:hAnsi="Times New Roman"/>
        </w:rPr>
        <w:t xml:space="preserve">house to the hostel gave evidence of her considerable distress. </w:t>
      </w:r>
      <w:r w:rsidR="00DB1622" w:rsidRPr="008C2D33">
        <w:rPr>
          <w:rFonts w:ascii="Times New Roman" w:hAnsi="Times New Roman"/>
        </w:rPr>
        <w:t xml:space="preserve">That distress </w:t>
      </w:r>
      <w:r w:rsidR="00612982" w:rsidRPr="008C2D33">
        <w:rPr>
          <w:rFonts w:ascii="Times New Roman" w:hAnsi="Times New Roman"/>
        </w:rPr>
        <w:t>was also eviden</w:t>
      </w:r>
      <w:r w:rsidR="00DB1622" w:rsidRPr="008C2D33">
        <w:rPr>
          <w:rFonts w:ascii="Times New Roman" w:hAnsi="Times New Roman"/>
        </w:rPr>
        <w:t>t</w:t>
      </w:r>
      <w:r w:rsidR="00612982" w:rsidRPr="008C2D33">
        <w:rPr>
          <w:rFonts w:ascii="Times New Roman" w:hAnsi="Times New Roman"/>
        </w:rPr>
        <w:t xml:space="preserve"> to </w:t>
      </w:r>
      <w:r w:rsidR="005B24B1" w:rsidRPr="008C2D33">
        <w:rPr>
          <w:rFonts w:ascii="Times New Roman" w:hAnsi="Times New Roman"/>
        </w:rPr>
        <w:t>a manager</w:t>
      </w:r>
      <w:r w:rsidR="00612982" w:rsidRPr="008C2D33">
        <w:rPr>
          <w:rFonts w:ascii="Times New Roman" w:hAnsi="Times New Roman"/>
        </w:rPr>
        <w:t xml:space="preserve"> at the hostel</w:t>
      </w:r>
      <w:r w:rsidR="006C1357" w:rsidRPr="008C2D33">
        <w:rPr>
          <w:rFonts w:ascii="Times New Roman" w:hAnsi="Times New Roman"/>
        </w:rPr>
        <w:t xml:space="preserve"> to whom she said she thought she had been raped. T</w:t>
      </w:r>
      <w:r w:rsidR="00150AE2" w:rsidRPr="008C2D33">
        <w:rPr>
          <w:rFonts w:ascii="Times New Roman" w:hAnsi="Times New Roman"/>
        </w:rPr>
        <w:t>h</w:t>
      </w:r>
      <w:r w:rsidR="006C1357" w:rsidRPr="008C2D33">
        <w:rPr>
          <w:rFonts w:ascii="Times New Roman" w:hAnsi="Times New Roman"/>
        </w:rPr>
        <w:t>e next mornin</w:t>
      </w:r>
      <w:r w:rsidR="00150AE2" w:rsidRPr="008C2D33">
        <w:rPr>
          <w:rFonts w:ascii="Times New Roman" w:hAnsi="Times New Roman"/>
        </w:rPr>
        <w:t>g</w:t>
      </w:r>
      <w:r w:rsidR="006C1357" w:rsidRPr="008C2D33">
        <w:rPr>
          <w:rFonts w:ascii="Times New Roman" w:hAnsi="Times New Roman"/>
        </w:rPr>
        <w:t xml:space="preserve"> she made a complaint of rape to the police</w:t>
      </w:r>
      <w:r w:rsidR="00150AE2" w:rsidRPr="008C2D33">
        <w:rPr>
          <w:rFonts w:ascii="Times New Roman" w:hAnsi="Times New Roman"/>
        </w:rPr>
        <w:t>.</w:t>
      </w:r>
    </w:p>
    <w:p w14:paraId="6EAB4BDE" w14:textId="11706B8C" w:rsidR="00226678" w:rsidRPr="008C2D33" w:rsidRDefault="00226678" w:rsidP="008C2D33">
      <w:pPr>
        <w:pStyle w:val="FixListStyle"/>
        <w:spacing w:after="260" w:line="280" w:lineRule="exact"/>
        <w:ind w:right="0"/>
        <w:jc w:val="both"/>
        <w:rPr>
          <w:rFonts w:ascii="Times New Roman" w:hAnsi="Times New Roman"/>
        </w:rPr>
      </w:pPr>
      <w:r w:rsidRPr="008C2D33">
        <w:rPr>
          <w:rFonts w:ascii="Times New Roman" w:hAnsi="Times New Roman"/>
        </w:rPr>
        <w:tab/>
        <w:t>While C1 was on her way back to the hostel she received text messages from the appellant saying "Good</w:t>
      </w:r>
      <w:r w:rsidR="0032635B" w:rsidRPr="008C2D33">
        <w:rPr>
          <w:rFonts w:ascii="Times New Roman" w:hAnsi="Times New Roman"/>
        </w:rPr>
        <w:t xml:space="preserve"> </w:t>
      </w:r>
      <w:r w:rsidRPr="008C2D33">
        <w:rPr>
          <w:rFonts w:ascii="Times New Roman" w:hAnsi="Times New Roman"/>
        </w:rPr>
        <w:t>night</w:t>
      </w:r>
      <w:r w:rsidR="0032635B" w:rsidRPr="008C2D33">
        <w:rPr>
          <w:rFonts w:ascii="Times New Roman" w:hAnsi="Times New Roman"/>
        </w:rPr>
        <w:t>...</w:t>
      </w:r>
      <w:r w:rsidRPr="008C2D33">
        <w:rPr>
          <w:rFonts w:ascii="Times New Roman" w:hAnsi="Times New Roman"/>
        </w:rPr>
        <w:t xml:space="preserve"> sweet dreams</w:t>
      </w:r>
      <w:r w:rsidR="007F3ED0" w:rsidRPr="008C2D33">
        <w:rPr>
          <w:rFonts w:ascii="Times New Roman" w:hAnsi="Times New Roman"/>
        </w:rPr>
        <w:t>,</w:t>
      </w:r>
      <w:r w:rsidRPr="008C2D33">
        <w:rPr>
          <w:rFonts w:ascii="Times New Roman" w:hAnsi="Times New Roman"/>
        </w:rPr>
        <w:t xml:space="preserve"> dear" and "</w:t>
      </w:r>
      <w:r w:rsidR="007F3ED0" w:rsidRPr="008C2D33">
        <w:rPr>
          <w:rFonts w:ascii="Times New Roman" w:hAnsi="Times New Roman"/>
        </w:rPr>
        <w:t>e</w:t>
      </w:r>
      <w:r w:rsidRPr="008C2D33">
        <w:rPr>
          <w:rFonts w:ascii="Times New Roman" w:hAnsi="Times New Roman"/>
        </w:rPr>
        <w:t>njoyed your company and hope to see you soon".</w:t>
      </w:r>
    </w:p>
    <w:p w14:paraId="46572BE1" w14:textId="546B65D9" w:rsidR="00150AE2" w:rsidRPr="008C2D33" w:rsidRDefault="00150AE2" w:rsidP="008C2D33">
      <w:pPr>
        <w:pStyle w:val="HeadingL1"/>
        <w:spacing w:after="260" w:line="280" w:lineRule="exact"/>
        <w:ind w:right="0"/>
        <w:jc w:val="both"/>
        <w:rPr>
          <w:rFonts w:ascii="Times New Roman" w:hAnsi="Times New Roman"/>
        </w:rPr>
      </w:pPr>
      <w:r w:rsidRPr="008C2D33">
        <w:rPr>
          <w:rFonts w:ascii="Times New Roman" w:hAnsi="Times New Roman"/>
        </w:rPr>
        <w:t>The evidence of C2</w:t>
      </w:r>
    </w:p>
    <w:p w14:paraId="2F28195C" w14:textId="6FBC0C8A" w:rsidR="002C2F88" w:rsidRPr="008C2D33" w:rsidRDefault="00006732" w:rsidP="008C2D33">
      <w:pPr>
        <w:pStyle w:val="FixListStyle"/>
        <w:spacing w:after="260" w:line="280" w:lineRule="exact"/>
        <w:ind w:right="0"/>
        <w:jc w:val="both"/>
        <w:rPr>
          <w:rFonts w:ascii="Times New Roman" w:hAnsi="Times New Roman"/>
        </w:rPr>
      </w:pPr>
      <w:r w:rsidRPr="008C2D33">
        <w:rPr>
          <w:rFonts w:ascii="Times New Roman" w:hAnsi="Times New Roman"/>
        </w:rPr>
        <w:tab/>
        <w:t>C2 was 17 years of age at the time of the offences and had recently moved to Sydney from interstate.</w:t>
      </w:r>
      <w:r w:rsidR="00480576" w:rsidRPr="008C2D33">
        <w:rPr>
          <w:rFonts w:ascii="Times New Roman" w:hAnsi="Times New Roman"/>
        </w:rPr>
        <w:t xml:space="preserve"> She was also looking for accommodation. When </w:t>
      </w:r>
      <w:r w:rsidR="007D3042" w:rsidRPr="008C2D33">
        <w:rPr>
          <w:rFonts w:ascii="Times New Roman" w:hAnsi="Times New Roman"/>
        </w:rPr>
        <w:t xml:space="preserve">she </w:t>
      </w:r>
      <w:r w:rsidR="00480576" w:rsidRPr="008C2D33">
        <w:rPr>
          <w:rFonts w:ascii="Times New Roman" w:hAnsi="Times New Roman"/>
        </w:rPr>
        <w:t>respond</w:t>
      </w:r>
      <w:r w:rsidR="007D3042" w:rsidRPr="008C2D33">
        <w:rPr>
          <w:rFonts w:ascii="Times New Roman" w:hAnsi="Times New Roman"/>
        </w:rPr>
        <w:t>ed</w:t>
      </w:r>
      <w:r w:rsidR="00480576" w:rsidRPr="008C2D33">
        <w:rPr>
          <w:rFonts w:ascii="Times New Roman" w:hAnsi="Times New Roman"/>
        </w:rPr>
        <w:t xml:space="preserve"> to the </w:t>
      </w:r>
      <w:r w:rsidR="007D3042" w:rsidRPr="008C2D33">
        <w:rPr>
          <w:rFonts w:ascii="Times New Roman" w:hAnsi="Times New Roman"/>
        </w:rPr>
        <w:t>a</w:t>
      </w:r>
      <w:r w:rsidR="00480576" w:rsidRPr="008C2D33">
        <w:rPr>
          <w:rFonts w:ascii="Times New Roman" w:hAnsi="Times New Roman"/>
        </w:rPr>
        <w:t xml:space="preserve">ppellant's advertisement he offered to take her to dinner before </w:t>
      </w:r>
      <w:r w:rsidR="008F592A" w:rsidRPr="008C2D33">
        <w:rPr>
          <w:rFonts w:ascii="Times New Roman" w:hAnsi="Times New Roman"/>
        </w:rPr>
        <w:t xml:space="preserve">showing her the </w:t>
      </w:r>
      <w:r w:rsidR="007D3042" w:rsidRPr="008C2D33">
        <w:rPr>
          <w:rFonts w:ascii="Times New Roman" w:hAnsi="Times New Roman"/>
        </w:rPr>
        <w:t>room</w:t>
      </w:r>
      <w:r w:rsidR="008F592A" w:rsidRPr="008C2D33">
        <w:rPr>
          <w:rFonts w:ascii="Times New Roman" w:hAnsi="Times New Roman"/>
        </w:rPr>
        <w:t xml:space="preserve">. After dinner they went to a </w:t>
      </w:r>
      <w:r w:rsidR="00D56C37" w:rsidRPr="008C2D33">
        <w:rPr>
          <w:rFonts w:ascii="Times New Roman" w:hAnsi="Times New Roman"/>
        </w:rPr>
        <w:t xml:space="preserve">bar </w:t>
      </w:r>
      <w:r w:rsidR="008F592A" w:rsidRPr="008C2D33">
        <w:rPr>
          <w:rFonts w:ascii="Times New Roman" w:hAnsi="Times New Roman"/>
        </w:rPr>
        <w:t>and started drinking</w:t>
      </w:r>
      <w:r w:rsidR="00A822CD" w:rsidRPr="008C2D33">
        <w:rPr>
          <w:rFonts w:ascii="Times New Roman" w:hAnsi="Times New Roman"/>
        </w:rPr>
        <w:t xml:space="preserve"> </w:t>
      </w:r>
      <w:r w:rsidR="00FC4CE9" w:rsidRPr="008C2D33">
        <w:rPr>
          <w:rFonts w:ascii="Times New Roman" w:hAnsi="Times New Roman"/>
        </w:rPr>
        <w:t xml:space="preserve">alcohol </w:t>
      </w:r>
      <w:r w:rsidR="00A822CD" w:rsidRPr="008C2D33">
        <w:rPr>
          <w:rFonts w:ascii="Times New Roman" w:hAnsi="Times New Roman"/>
        </w:rPr>
        <w:t>and talking</w:t>
      </w:r>
      <w:r w:rsidR="008F592A" w:rsidRPr="008C2D33">
        <w:rPr>
          <w:rFonts w:ascii="Times New Roman" w:hAnsi="Times New Roman"/>
        </w:rPr>
        <w:t xml:space="preserve">. </w:t>
      </w:r>
      <w:r w:rsidR="00C2179C" w:rsidRPr="008C2D33">
        <w:rPr>
          <w:rFonts w:ascii="Times New Roman" w:hAnsi="Times New Roman"/>
        </w:rPr>
        <w:t xml:space="preserve">They then went to the </w:t>
      </w:r>
      <w:r w:rsidR="00EF637A" w:rsidRPr="008C2D33">
        <w:rPr>
          <w:rFonts w:ascii="Times New Roman" w:hAnsi="Times New Roman"/>
        </w:rPr>
        <w:t xml:space="preserve">same bar </w:t>
      </w:r>
      <w:r w:rsidR="00490FA7" w:rsidRPr="008C2D33">
        <w:rPr>
          <w:rFonts w:ascii="Times New Roman" w:hAnsi="Times New Roman"/>
        </w:rPr>
        <w:t xml:space="preserve">to which </w:t>
      </w:r>
      <w:r w:rsidR="00EF637A" w:rsidRPr="008C2D33">
        <w:rPr>
          <w:rFonts w:ascii="Times New Roman" w:hAnsi="Times New Roman"/>
        </w:rPr>
        <w:t xml:space="preserve">the appellant had taken C1 </w:t>
      </w:r>
      <w:r w:rsidR="00EF637A" w:rsidRPr="008C2D33">
        <w:rPr>
          <w:rFonts w:ascii="Times New Roman" w:hAnsi="Times New Roman"/>
        </w:rPr>
        <w:lastRenderedPageBreak/>
        <w:t xml:space="preserve">the previous night. </w:t>
      </w:r>
      <w:r w:rsidR="00A822CD" w:rsidRPr="008C2D33">
        <w:rPr>
          <w:rFonts w:ascii="Times New Roman" w:hAnsi="Times New Roman"/>
        </w:rPr>
        <w:t>C2</w:t>
      </w:r>
      <w:r w:rsidR="00FC4CE9" w:rsidRPr="008C2D33">
        <w:rPr>
          <w:rFonts w:ascii="Times New Roman" w:hAnsi="Times New Roman"/>
        </w:rPr>
        <w:t>'s evidence was to the effe</w:t>
      </w:r>
      <w:r w:rsidR="00D51DCE" w:rsidRPr="008C2D33">
        <w:rPr>
          <w:rFonts w:ascii="Times New Roman" w:hAnsi="Times New Roman"/>
        </w:rPr>
        <w:t xml:space="preserve">ct that </w:t>
      </w:r>
      <w:r w:rsidR="00A822CD" w:rsidRPr="008C2D33">
        <w:rPr>
          <w:rFonts w:ascii="Times New Roman" w:hAnsi="Times New Roman"/>
        </w:rPr>
        <w:t xml:space="preserve">the appellant </w:t>
      </w:r>
      <w:r w:rsidR="00D51DCE" w:rsidRPr="008C2D33">
        <w:rPr>
          <w:rFonts w:ascii="Times New Roman" w:hAnsi="Times New Roman"/>
        </w:rPr>
        <w:t xml:space="preserve">pressured </w:t>
      </w:r>
      <w:r w:rsidR="00A822CD" w:rsidRPr="008C2D33">
        <w:rPr>
          <w:rFonts w:ascii="Times New Roman" w:hAnsi="Times New Roman"/>
        </w:rPr>
        <w:t>her to drink</w:t>
      </w:r>
      <w:r w:rsidR="00D51DCE" w:rsidRPr="008C2D33">
        <w:rPr>
          <w:rFonts w:ascii="Times New Roman" w:hAnsi="Times New Roman"/>
        </w:rPr>
        <w:t xml:space="preserve"> more</w:t>
      </w:r>
      <w:r w:rsidR="00A822CD" w:rsidRPr="008C2D33">
        <w:rPr>
          <w:rFonts w:ascii="Times New Roman" w:hAnsi="Times New Roman"/>
        </w:rPr>
        <w:t>.</w:t>
      </w:r>
    </w:p>
    <w:p w14:paraId="42467E99" w14:textId="688277B2" w:rsidR="002C23A2" w:rsidRPr="008C2D33" w:rsidRDefault="002C2F88"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At some point in the conversation the </w:t>
      </w:r>
      <w:r w:rsidR="00D56C37" w:rsidRPr="008C2D33">
        <w:rPr>
          <w:rFonts w:ascii="Times New Roman" w:hAnsi="Times New Roman"/>
        </w:rPr>
        <w:t>a</w:t>
      </w:r>
      <w:r w:rsidR="008F592A" w:rsidRPr="008C2D33">
        <w:rPr>
          <w:rFonts w:ascii="Times New Roman" w:hAnsi="Times New Roman"/>
        </w:rPr>
        <w:t xml:space="preserve">ppellant </w:t>
      </w:r>
      <w:r w:rsidR="00290972" w:rsidRPr="008C2D33">
        <w:rPr>
          <w:rFonts w:ascii="Times New Roman" w:hAnsi="Times New Roman"/>
        </w:rPr>
        <w:t xml:space="preserve">enquired as to C2's relationships. </w:t>
      </w:r>
      <w:r w:rsidR="007C0CD6" w:rsidRPr="008C2D33">
        <w:rPr>
          <w:rFonts w:ascii="Times New Roman" w:hAnsi="Times New Roman"/>
        </w:rPr>
        <w:t xml:space="preserve">C2 told him that she was a lesbian, </w:t>
      </w:r>
      <w:r w:rsidR="00D56C37" w:rsidRPr="008C2D33">
        <w:rPr>
          <w:rFonts w:ascii="Times New Roman" w:hAnsi="Times New Roman"/>
        </w:rPr>
        <w:t xml:space="preserve">in order </w:t>
      </w:r>
      <w:r w:rsidR="007C0CD6" w:rsidRPr="008C2D33">
        <w:rPr>
          <w:rFonts w:ascii="Times New Roman" w:hAnsi="Times New Roman"/>
        </w:rPr>
        <w:t xml:space="preserve">to indicate her lack of sexual interest in him. </w:t>
      </w:r>
      <w:r w:rsidRPr="008C2D33">
        <w:rPr>
          <w:rFonts w:ascii="Times New Roman" w:hAnsi="Times New Roman"/>
        </w:rPr>
        <w:t xml:space="preserve">She was later to say that she was physically repulsed by the appellant. </w:t>
      </w:r>
      <w:r w:rsidR="00D56C37" w:rsidRPr="008C2D33">
        <w:rPr>
          <w:rFonts w:ascii="Times New Roman" w:hAnsi="Times New Roman"/>
        </w:rPr>
        <w:t xml:space="preserve">A witness heard her exclaiming </w:t>
      </w:r>
      <w:r w:rsidR="002C23A2" w:rsidRPr="008C2D33">
        <w:rPr>
          <w:rFonts w:ascii="Times New Roman" w:hAnsi="Times New Roman"/>
        </w:rPr>
        <w:t xml:space="preserve">that she was a lesbian </w:t>
      </w:r>
      <w:r w:rsidR="00D56C37" w:rsidRPr="008C2D33">
        <w:rPr>
          <w:rFonts w:ascii="Times New Roman" w:hAnsi="Times New Roman"/>
        </w:rPr>
        <w:t>to other people in the bar. C2 was not challenged as to this evidence in cross</w:t>
      </w:r>
      <w:r w:rsidR="00D56C37" w:rsidRPr="008C2D33">
        <w:rPr>
          <w:rFonts w:ascii="Times New Roman" w:hAnsi="Times New Roman"/>
        </w:rPr>
        <w:noBreakHyphen/>
        <w:t>examination by defence counsel</w:t>
      </w:r>
      <w:r w:rsidR="008C21A8" w:rsidRPr="008C2D33">
        <w:rPr>
          <w:rFonts w:ascii="Times New Roman" w:hAnsi="Times New Roman"/>
        </w:rPr>
        <w:t>.</w:t>
      </w:r>
    </w:p>
    <w:p w14:paraId="0BB90588" w14:textId="2C8B2707" w:rsidR="00B43D81" w:rsidRPr="008C2D33" w:rsidRDefault="002C23A2"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Under </w:t>
      </w:r>
      <w:r w:rsidR="00151A0A" w:rsidRPr="008C2D33">
        <w:rPr>
          <w:rFonts w:ascii="Times New Roman" w:hAnsi="Times New Roman"/>
        </w:rPr>
        <w:t>cross</w:t>
      </w:r>
      <w:r w:rsidR="00151A0A" w:rsidRPr="008C2D33">
        <w:rPr>
          <w:rFonts w:ascii="Times New Roman" w:hAnsi="Times New Roman"/>
        </w:rPr>
        <w:noBreakHyphen/>
        <w:t>examination</w:t>
      </w:r>
      <w:r w:rsidR="00FF2ABF" w:rsidRPr="008C2D33">
        <w:rPr>
          <w:rFonts w:ascii="Times New Roman" w:hAnsi="Times New Roman"/>
        </w:rPr>
        <w:t>,</w:t>
      </w:r>
      <w:r w:rsidR="00151A0A" w:rsidRPr="008C2D33">
        <w:rPr>
          <w:rFonts w:ascii="Times New Roman" w:hAnsi="Times New Roman"/>
        </w:rPr>
        <w:t xml:space="preserve"> </w:t>
      </w:r>
      <w:r w:rsidRPr="008C2D33">
        <w:rPr>
          <w:rFonts w:ascii="Times New Roman" w:hAnsi="Times New Roman"/>
        </w:rPr>
        <w:t xml:space="preserve">C2 </w:t>
      </w:r>
      <w:r w:rsidR="00151A0A" w:rsidRPr="008C2D33">
        <w:rPr>
          <w:rFonts w:ascii="Times New Roman" w:hAnsi="Times New Roman"/>
        </w:rPr>
        <w:t xml:space="preserve">said that she got up to dance with some girls </w:t>
      </w:r>
      <w:r w:rsidRPr="008C2D33">
        <w:rPr>
          <w:rFonts w:ascii="Times New Roman" w:hAnsi="Times New Roman"/>
        </w:rPr>
        <w:t xml:space="preserve">in the bar </w:t>
      </w:r>
      <w:r w:rsidR="00151A0A" w:rsidRPr="008C2D33">
        <w:rPr>
          <w:rFonts w:ascii="Times New Roman" w:hAnsi="Times New Roman"/>
        </w:rPr>
        <w:t xml:space="preserve">because she was uncomfortable about </w:t>
      </w:r>
      <w:r w:rsidR="00C46904" w:rsidRPr="008C2D33">
        <w:rPr>
          <w:rFonts w:ascii="Times New Roman" w:hAnsi="Times New Roman"/>
        </w:rPr>
        <w:t xml:space="preserve">the appellant touching her on her </w:t>
      </w:r>
      <w:r w:rsidRPr="008C2D33">
        <w:rPr>
          <w:rFonts w:ascii="Times New Roman" w:hAnsi="Times New Roman"/>
        </w:rPr>
        <w:t>buttocks</w:t>
      </w:r>
      <w:r w:rsidR="00C46904" w:rsidRPr="008C2D33">
        <w:rPr>
          <w:rFonts w:ascii="Times New Roman" w:hAnsi="Times New Roman"/>
        </w:rPr>
        <w:t xml:space="preserve">. </w:t>
      </w:r>
      <w:r w:rsidR="00742016" w:rsidRPr="008C2D33">
        <w:rPr>
          <w:rFonts w:ascii="Times New Roman" w:hAnsi="Times New Roman"/>
        </w:rPr>
        <w:t>One of those persons</w:t>
      </w:r>
      <w:r w:rsidR="00C46904" w:rsidRPr="008C2D33">
        <w:rPr>
          <w:rFonts w:ascii="Times New Roman" w:hAnsi="Times New Roman"/>
        </w:rPr>
        <w:t>, a young woman from Ireland, gave evidence that C2 was clearly intoxicated</w:t>
      </w:r>
      <w:r w:rsidR="00CB18D8" w:rsidRPr="008C2D33">
        <w:rPr>
          <w:rFonts w:ascii="Times New Roman" w:hAnsi="Times New Roman"/>
        </w:rPr>
        <w:t xml:space="preserve"> by this time</w:t>
      </w:r>
      <w:r w:rsidR="00C46904" w:rsidRPr="008C2D33">
        <w:rPr>
          <w:rFonts w:ascii="Times New Roman" w:hAnsi="Times New Roman"/>
        </w:rPr>
        <w:t xml:space="preserve">. </w:t>
      </w:r>
      <w:r w:rsidR="00791ACF" w:rsidRPr="008C2D33">
        <w:rPr>
          <w:rFonts w:ascii="Times New Roman" w:hAnsi="Times New Roman"/>
        </w:rPr>
        <w:t xml:space="preserve">C2 </w:t>
      </w:r>
      <w:r w:rsidR="00CB18D8" w:rsidRPr="008C2D33">
        <w:rPr>
          <w:rFonts w:ascii="Times New Roman" w:hAnsi="Times New Roman"/>
        </w:rPr>
        <w:t xml:space="preserve">also said that the </w:t>
      </w:r>
      <w:r w:rsidR="00C46904" w:rsidRPr="008C2D33">
        <w:rPr>
          <w:rFonts w:ascii="Times New Roman" w:hAnsi="Times New Roman"/>
        </w:rPr>
        <w:t xml:space="preserve">appellant was </w:t>
      </w:r>
      <w:r w:rsidR="00791ACF" w:rsidRPr="008C2D33">
        <w:rPr>
          <w:rFonts w:ascii="Times New Roman" w:hAnsi="Times New Roman"/>
        </w:rPr>
        <w:t>forceful towards her</w:t>
      </w:r>
      <w:r w:rsidR="00B43D81" w:rsidRPr="008C2D33">
        <w:rPr>
          <w:rFonts w:ascii="Times New Roman" w:hAnsi="Times New Roman"/>
        </w:rPr>
        <w:t xml:space="preserve"> on the dance floor</w:t>
      </w:r>
      <w:r w:rsidR="00C46904" w:rsidRPr="008C2D33">
        <w:rPr>
          <w:rFonts w:ascii="Times New Roman" w:hAnsi="Times New Roman"/>
        </w:rPr>
        <w:t>.</w:t>
      </w:r>
    </w:p>
    <w:p w14:paraId="6DC2E351" w14:textId="0A937E56" w:rsidR="008C21A8" w:rsidRPr="008C2D33" w:rsidRDefault="00B43D81"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C46904" w:rsidRPr="008C2D33">
        <w:rPr>
          <w:rFonts w:ascii="Times New Roman" w:hAnsi="Times New Roman"/>
        </w:rPr>
        <w:t>C2 said that when she left the bar</w:t>
      </w:r>
      <w:r w:rsidR="00791ACF" w:rsidRPr="008C2D33">
        <w:rPr>
          <w:rFonts w:ascii="Times New Roman" w:hAnsi="Times New Roman"/>
        </w:rPr>
        <w:t>,</w:t>
      </w:r>
      <w:r w:rsidR="00C46904" w:rsidRPr="008C2D33">
        <w:rPr>
          <w:rFonts w:ascii="Times New Roman" w:hAnsi="Times New Roman"/>
        </w:rPr>
        <w:t xml:space="preserve"> </w:t>
      </w:r>
      <w:r w:rsidR="009B3D86" w:rsidRPr="008C2D33">
        <w:rPr>
          <w:rFonts w:ascii="Times New Roman" w:hAnsi="Times New Roman"/>
        </w:rPr>
        <w:t xml:space="preserve">she was so intoxicated that she could not walk properly. CCTV footage showed her holding onto the hand of the Irish girl </w:t>
      </w:r>
      <w:r w:rsidR="00D51DCE" w:rsidRPr="008C2D33">
        <w:rPr>
          <w:rFonts w:ascii="Times New Roman" w:hAnsi="Times New Roman"/>
        </w:rPr>
        <w:t xml:space="preserve">before </w:t>
      </w:r>
      <w:r w:rsidR="009B3D86" w:rsidRPr="008C2D33">
        <w:rPr>
          <w:rFonts w:ascii="Times New Roman" w:hAnsi="Times New Roman"/>
        </w:rPr>
        <w:t xml:space="preserve">the appellant prised her fingers apart and pulled her towards him and </w:t>
      </w:r>
      <w:r w:rsidR="00315D48" w:rsidRPr="008C2D33">
        <w:rPr>
          <w:rFonts w:ascii="Times New Roman" w:hAnsi="Times New Roman"/>
        </w:rPr>
        <w:t>away fr</w:t>
      </w:r>
      <w:r w:rsidRPr="008C2D33">
        <w:rPr>
          <w:rFonts w:ascii="Times New Roman" w:hAnsi="Times New Roman"/>
        </w:rPr>
        <w:t>o</w:t>
      </w:r>
      <w:r w:rsidR="00315D48" w:rsidRPr="008C2D33">
        <w:rPr>
          <w:rFonts w:ascii="Times New Roman" w:hAnsi="Times New Roman"/>
        </w:rPr>
        <w:t>m the premises.</w:t>
      </w:r>
    </w:p>
    <w:p w14:paraId="61902421" w14:textId="7CF7EAF7" w:rsidR="004F1F94" w:rsidRPr="008C2D33" w:rsidRDefault="00315D48" w:rsidP="008C2D33">
      <w:pPr>
        <w:pStyle w:val="FixListStyle"/>
        <w:spacing w:after="260" w:line="280" w:lineRule="exact"/>
        <w:ind w:right="0"/>
        <w:jc w:val="both"/>
        <w:rPr>
          <w:rFonts w:ascii="Times New Roman" w:hAnsi="Times New Roman"/>
        </w:rPr>
      </w:pPr>
      <w:r w:rsidRPr="008C2D33">
        <w:rPr>
          <w:rFonts w:ascii="Times New Roman" w:hAnsi="Times New Roman"/>
        </w:rPr>
        <w:tab/>
        <w:t>C2 said that once inside the appellant's bedroom she was forcibly pushed onto the bed and the appellant proceeded to have sexual intercourse with her despite her saying that she did not want to do so.</w:t>
      </w:r>
      <w:r w:rsidR="00C235C9" w:rsidRPr="008C2D33">
        <w:rPr>
          <w:rFonts w:ascii="Times New Roman" w:hAnsi="Times New Roman"/>
        </w:rPr>
        <w:t xml:space="preserve"> She then froze. At some point whilst this was happening</w:t>
      </w:r>
      <w:r w:rsidR="00783742" w:rsidRPr="008C2D33">
        <w:rPr>
          <w:rFonts w:ascii="Times New Roman" w:hAnsi="Times New Roman"/>
        </w:rPr>
        <w:t>,</w:t>
      </w:r>
      <w:r w:rsidR="00C235C9" w:rsidRPr="008C2D33">
        <w:rPr>
          <w:rFonts w:ascii="Times New Roman" w:hAnsi="Times New Roman"/>
        </w:rPr>
        <w:t xml:space="preserve"> she attempted to speak on her mobile phone to a friend </w:t>
      </w:r>
      <w:r w:rsidR="00534834" w:rsidRPr="008C2D33">
        <w:rPr>
          <w:rFonts w:ascii="Times New Roman" w:hAnsi="Times New Roman"/>
        </w:rPr>
        <w:t>to whom she had</w:t>
      </w:r>
      <w:r w:rsidR="00CB6B19" w:rsidRPr="008C2D33">
        <w:rPr>
          <w:rFonts w:ascii="Times New Roman" w:hAnsi="Times New Roman"/>
        </w:rPr>
        <w:t xml:space="preserve"> also</w:t>
      </w:r>
      <w:r w:rsidR="00534834" w:rsidRPr="008C2D33">
        <w:rPr>
          <w:rFonts w:ascii="Times New Roman" w:hAnsi="Times New Roman"/>
        </w:rPr>
        <w:t xml:space="preserve"> sent a text message saying</w:t>
      </w:r>
      <w:r w:rsidR="00550DB0" w:rsidRPr="008C2D33">
        <w:rPr>
          <w:rFonts w:ascii="Times New Roman" w:hAnsi="Times New Roman"/>
        </w:rPr>
        <w:t>,</w:t>
      </w:r>
      <w:r w:rsidR="00534834" w:rsidRPr="008C2D33">
        <w:rPr>
          <w:rFonts w:ascii="Times New Roman" w:hAnsi="Times New Roman"/>
        </w:rPr>
        <w:t xml:space="preserve"> "help me".</w:t>
      </w:r>
    </w:p>
    <w:p w14:paraId="239596BF" w14:textId="1C03403A" w:rsidR="00975575" w:rsidRPr="008C2D33" w:rsidRDefault="004F1F94"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534834" w:rsidRPr="008C2D33">
        <w:rPr>
          <w:rFonts w:ascii="Times New Roman" w:hAnsi="Times New Roman"/>
        </w:rPr>
        <w:t>Photographs (</w:t>
      </w:r>
      <w:r w:rsidR="00146041" w:rsidRPr="008C2D33">
        <w:rPr>
          <w:rFonts w:ascii="Times New Roman" w:hAnsi="Times New Roman"/>
        </w:rPr>
        <w:t xml:space="preserve">stills </w:t>
      </w:r>
      <w:r w:rsidR="00F24D1F" w:rsidRPr="008C2D33">
        <w:rPr>
          <w:rFonts w:ascii="Times New Roman" w:hAnsi="Times New Roman"/>
        </w:rPr>
        <w:t>of the</w:t>
      </w:r>
      <w:r w:rsidR="00534834" w:rsidRPr="008C2D33">
        <w:rPr>
          <w:rFonts w:ascii="Times New Roman" w:hAnsi="Times New Roman"/>
        </w:rPr>
        <w:t xml:space="preserve"> CCTV footage) </w:t>
      </w:r>
      <w:r w:rsidRPr="008C2D33">
        <w:rPr>
          <w:rFonts w:ascii="Times New Roman" w:hAnsi="Times New Roman"/>
        </w:rPr>
        <w:t xml:space="preserve">of C2 later leaving the house </w:t>
      </w:r>
      <w:r w:rsidR="00534834" w:rsidRPr="008C2D33">
        <w:rPr>
          <w:rFonts w:ascii="Times New Roman" w:hAnsi="Times New Roman"/>
        </w:rPr>
        <w:t xml:space="preserve">showed that </w:t>
      </w:r>
      <w:r w:rsidRPr="008C2D33">
        <w:rPr>
          <w:rFonts w:ascii="Times New Roman" w:hAnsi="Times New Roman"/>
        </w:rPr>
        <w:t xml:space="preserve">she </w:t>
      </w:r>
      <w:r w:rsidR="00CC39FF" w:rsidRPr="008C2D33">
        <w:rPr>
          <w:rFonts w:ascii="Times New Roman" w:hAnsi="Times New Roman"/>
        </w:rPr>
        <w:t>had her arm around the appellant's waist as she boarded a bus</w:t>
      </w:r>
      <w:r w:rsidR="009610F1" w:rsidRPr="008C2D33">
        <w:rPr>
          <w:rFonts w:ascii="Times New Roman" w:hAnsi="Times New Roman"/>
        </w:rPr>
        <w:t xml:space="preserve"> and</w:t>
      </w:r>
      <w:r w:rsidR="00CC39FF" w:rsidRPr="008C2D33">
        <w:rPr>
          <w:rFonts w:ascii="Times New Roman" w:hAnsi="Times New Roman"/>
        </w:rPr>
        <w:t xml:space="preserve"> that she kissed him and smiled. </w:t>
      </w:r>
      <w:r w:rsidR="00975575" w:rsidRPr="008C2D33">
        <w:rPr>
          <w:rFonts w:ascii="Times New Roman" w:hAnsi="Times New Roman"/>
        </w:rPr>
        <w:t>Under cross</w:t>
      </w:r>
      <w:r w:rsidR="00975575" w:rsidRPr="008C2D33">
        <w:rPr>
          <w:rFonts w:ascii="Times New Roman" w:hAnsi="Times New Roman"/>
        </w:rPr>
        <w:noBreakHyphen/>
        <w:t xml:space="preserve">examination she said that the smile was a pretence, she was in shock and </w:t>
      </w:r>
      <w:r w:rsidR="00F93A47" w:rsidRPr="008C2D33">
        <w:rPr>
          <w:rFonts w:ascii="Times New Roman" w:hAnsi="Times New Roman"/>
        </w:rPr>
        <w:t xml:space="preserve">she </w:t>
      </w:r>
      <w:r w:rsidR="00975575" w:rsidRPr="008C2D33">
        <w:rPr>
          <w:rFonts w:ascii="Times New Roman" w:hAnsi="Times New Roman"/>
        </w:rPr>
        <w:t xml:space="preserve">was afraid after what had happened. CCTV footage showed that C2 began to </w:t>
      </w:r>
      <w:r w:rsidR="00E26555" w:rsidRPr="008C2D33">
        <w:rPr>
          <w:rFonts w:ascii="Times New Roman" w:hAnsi="Times New Roman"/>
        </w:rPr>
        <w:t xml:space="preserve">cry </w:t>
      </w:r>
      <w:r w:rsidR="00975575" w:rsidRPr="008C2D33">
        <w:rPr>
          <w:rFonts w:ascii="Times New Roman" w:hAnsi="Times New Roman"/>
        </w:rPr>
        <w:t>incon</w:t>
      </w:r>
      <w:r w:rsidR="00E26555" w:rsidRPr="008C2D33">
        <w:rPr>
          <w:rFonts w:ascii="Times New Roman" w:hAnsi="Times New Roman"/>
        </w:rPr>
        <w:t xml:space="preserve">solably as the bus left and to tug at her clothing. She was hysterical as she spoke to a friend on her mobile phone. </w:t>
      </w:r>
      <w:r w:rsidR="00B7544A" w:rsidRPr="008C2D33">
        <w:rPr>
          <w:rFonts w:ascii="Times New Roman" w:hAnsi="Times New Roman"/>
        </w:rPr>
        <w:t>When she alighted from the bus she fell to the ground and was screaming and uncontrollably distressed when her friend came upon her</w:t>
      </w:r>
      <w:r w:rsidR="00176542" w:rsidRPr="008C2D33">
        <w:rPr>
          <w:rFonts w:ascii="Times New Roman" w:hAnsi="Times New Roman"/>
        </w:rPr>
        <w:t xml:space="preserve">. The friend ran to a police station and returned with a female police officer </w:t>
      </w:r>
      <w:r w:rsidR="00E72596" w:rsidRPr="008C2D33">
        <w:rPr>
          <w:rFonts w:ascii="Times New Roman" w:hAnsi="Times New Roman"/>
        </w:rPr>
        <w:t xml:space="preserve">to </w:t>
      </w:r>
      <w:r w:rsidR="00176542" w:rsidRPr="008C2D33">
        <w:rPr>
          <w:rFonts w:ascii="Times New Roman" w:hAnsi="Times New Roman"/>
        </w:rPr>
        <w:t xml:space="preserve">whom C2 </w:t>
      </w:r>
      <w:r w:rsidR="00E72596" w:rsidRPr="008C2D33">
        <w:rPr>
          <w:rFonts w:ascii="Times New Roman" w:hAnsi="Times New Roman"/>
        </w:rPr>
        <w:t xml:space="preserve">said </w:t>
      </w:r>
      <w:r w:rsidR="00176542" w:rsidRPr="008C2D33">
        <w:rPr>
          <w:rFonts w:ascii="Times New Roman" w:hAnsi="Times New Roman"/>
        </w:rPr>
        <w:t>that the appellant had raped her.</w:t>
      </w:r>
    </w:p>
    <w:p w14:paraId="617945E2" w14:textId="3DCBA1D2" w:rsidR="00706DC0" w:rsidRPr="008C2D33" w:rsidRDefault="00706DC0"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742016" w:rsidRPr="008C2D33">
        <w:rPr>
          <w:rFonts w:ascii="Times New Roman" w:hAnsi="Times New Roman"/>
        </w:rPr>
        <w:t>Later that evening</w:t>
      </w:r>
      <w:r w:rsidRPr="008C2D33">
        <w:rPr>
          <w:rFonts w:ascii="Times New Roman" w:hAnsi="Times New Roman"/>
        </w:rPr>
        <w:t>, C2 received a text message from the appellant</w:t>
      </w:r>
      <w:r w:rsidR="00182712" w:rsidRPr="008C2D33">
        <w:rPr>
          <w:rFonts w:ascii="Times New Roman" w:hAnsi="Times New Roman"/>
        </w:rPr>
        <w:t>: "Hi goodnight d</w:t>
      </w:r>
      <w:r w:rsidR="001F340A" w:rsidRPr="008C2D33">
        <w:rPr>
          <w:rFonts w:ascii="Times New Roman" w:hAnsi="Times New Roman"/>
        </w:rPr>
        <w:t>e</w:t>
      </w:r>
      <w:r w:rsidR="00182712" w:rsidRPr="008C2D33">
        <w:rPr>
          <w:rFonts w:ascii="Times New Roman" w:hAnsi="Times New Roman"/>
        </w:rPr>
        <w:t>ar. Call me if you have any problems getting home". A short time later she received another saying</w:t>
      </w:r>
      <w:r w:rsidR="00550DB0" w:rsidRPr="008C2D33">
        <w:rPr>
          <w:rFonts w:ascii="Times New Roman" w:hAnsi="Times New Roman"/>
        </w:rPr>
        <w:t>,</w:t>
      </w:r>
      <w:r w:rsidR="00182712" w:rsidRPr="008C2D33">
        <w:rPr>
          <w:rFonts w:ascii="Times New Roman" w:hAnsi="Times New Roman"/>
        </w:rPr>
        <w:t xml:space="preserve"> "Text me let me know you're okay".</w:t>
      </w:r>
    </w:p>
    <w:p w14:paraId="370768A5" w14:textId="79D6DDFF" w:rsidR="006637E5" w:rsidRPr="008C2D33" w:rsidRDefault="00606425" w:rsidP="008C2D33">
      <w:pPr>
        <w:pStyle w:val="HeadingL1"/>
        <w:spacing w:after="260" w:line="280" w:lineRule="exact"/>
        <w:ind w:right="0"/>
        <w:jc w:val="both"/>
        <w:rPr>
          <w:rFonts w:ascii="Times New Roman" w:hAnsi="Times New Roman"/>
        </w:rPr>
      </w:pPr>
      <w:r w:rsidRPr="008C2D33">
        <w:rPr>
          <w:rFonts w:ascii="Times New Roman" w:hAnsi="Times New Roman"/>
        </w:rPr>
        <w:lastRenderedPageBreak/>
        <w:t>The appellant's evidence in chief</w:t>
      </w:r>
    </w:p>
    <w:p w14:paraId="430F67F0" w14:textId="53292E17" w:rsidR="005A378E" w:rsidRPr="008C2D33" w:rsidRDefault="005A378E" w:rsidP="008C2D33">
      <w:pPr>
        <w:pStyle w:val="HeadingL2"/>
        <w:spacing w:after="260" w:line="280" w:lineRule="exact"/>
        <w:ind w:right="0"/>
        <w:jc w:val="both"/>
        <w:rPr>
          <w:rFonts w:ascii="Times New Roman" w:hAnsi="Times New Roman"/>
        </w:rPr>
      </w:pPr>
      <w:r w:rsidRPr="008C2D33">
        <w:rPr>
          <w:rFonts w:ascii="Times New Roman" w:hAnsi="Times New Roman"/>
        </w:rPr>
        <w:t>Regarding C1</w:t>
      </w:r>
    </w:p>
    <w:p w14:paraId="37F43764" w14:textId="6CB0E6B2" w:rsidR="00606425" w:rsidRPr="008C2D33" w:rsidRDefault="00606425"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appellant gave evidence that C1 was merely tipsy when they </w:t>
      </w:r>
      <w:r w:rsidR="005A378E" w:rsidRPr="008C2D33">
        <w:rPr>
          <w:rFonts w:ascii="Times New Roman" w:hAnsi="Times New Roman"/>
        </w:rPr>
        <w:t xml:space="preserve">entered the bedroom </w:t>
      </w:r>
      <w:r w:rsidR="00F47C39" w:rsidRPr="008C2D33">
        <w:rPr>
          <w:rFonts w:ascii="Times New Roman" w:hAnsi="Times New Roman"/>
        </w:rPr>
        <w:t>and was able to maintain a normal conversation. She accepted his invitation for a massage and participated voluntarily in acts of oral sex which followed. He denied that penile</w:t>
      </w:r>
      <w:r w:rsidR="00F47C39" w:rsidRPr="008C2D33">
        <w:rPr>
          <w:rFonts w:ascii="Times New Roman" w:hAnsi="Times New Roman"/>
        </w:rPr>
        <w:noBreakHyphen/>
        <w:t xml:space="preserve">vaginal intercourse took place. </w:t>
      </w:r>
      <w:r w:rsidR="002E11A8" w:rsidRPr="008C2D33">
        <w:rPr>
          <w:rFonts w:ascii="Times New Roman" w:hAnsi="Times New Roman"/>
        </w:rPr>
        <w:t>He said that a</w:t>
      </w:r>
      <w:r w:rsidR="00F47C39" w:rsidRPr="008C2D33">
        <w:rPr>
          <w:rFonts w:ascii="Times New Roman" w:hAnsi="Times New Roman"/>
        </w:rPr>
        <w:t xml:space="preserve">t no point </w:t>
      </w:r>
      <w:r w:rsidR="00680B71" w:rsidRPr="008C2D33">
        <w:rPr>
          <w:rFonts w:ascii="Times New Roman" w:hAnsi="Times New Roman"/>
        </w:rPr>
        <w:t xml:space="preserve">did she say the words "stop" or "no" and </w:t>
      </w:r>
      <w:r w:rsidR="00BE623D" w:rsidRPr="008C2D33">
        <w:rPr>
          <w:rFonts w:ascii="Times New Roman" w:hAnsi="Times New Roman"/>
        </w:rPr>
        <w:t xml:space="preserve">that she </w:t>
      </w:r>
      <w:r w:rsidR="00680B71" w:rsidRPr="008C2D33">
        <w:rPr>
          <w:rFonts w:ascii="Times New Roman" w:hAnsi="Times New Roman"/>
        </w:rPr>
        <w:t xml:space="preserve">gave no indication that she did not want </w:t>
      </w:r>
      <w:r w:rsidR="002E11A8" w:rsidRPr="008C2D33">
        <w:rPr>
          <w:rFonts w:ascii="Times New Roman" w:hAnsi="Times New Roman"/>
        </w:rPr>
        <w:t xml:space="preserve">the acts </w:t>
      </w:r>
      <w:r w:rsidR="00680B71" w:rsidRPr="008C2D33">
        <w:rPr>
          <w:rFonts w:ascii="Times New Roman" w:hAnsi="Times New Roman"/>
        </w:rPr>
        <w:t xml:space="preserve">to </w:t>
      </w:r>
      <w:r w:rsidR="002E11A8" w:rsidRPr="008C2D33">
        <w:rPr>
          <w:rFonts w:ascii="Times New Roman" w:hAnsi="Times New Roman"/>
        </w:rPr>
        <w:t>occur</w:t>
      </w:r>
      <w:r w:rsidR="00680B71" w:rsidRPr="008C2D33">
        <w:rPr>
          <w:rFonts w:ascii="Times New Roman" w:hAnsi="Times New Roman"/>
        </w:rPr>
        <w:t>.</w:t>
      </w:r>
      <w:r w:rsidR="003B6475" w:rsidRPr="008C2D33">
        <w:rPr>
          <w:rFonts w:ascii="Times New Roman" w:hAnsi="Times New Roman"/>
        </w:rPr>
        <w:t xml:space="preserve"> He gave evidence that C1 had an orgasm, a fact which had not been put by defence counsel to C1.</w:t>
      </w:r>
    </w:p>
    <w:p w14:paraId="03AF9CF6" w14:textId="3A828C05" w:rsidR="00680B71" w:rsidRPr="008C2D33" w:rsidRDefault="003B6475" w:rsidP="008C2D33">
      <w:pPr>
        <w:pStyle w:val="FixListStyle"/>
        <w:spacing w:after="260" w:line="280" w:lineRule="exact"/>
        <w:ind w:right="0"/>
        <w:jc w:val="both"/>
        <w:rPr>
          <w:rFonts w:ascii="Times New Roman" w:hAnsi="Times New Roman"/>
        </w:rPr>
      </w:pPr>
      <w:r w:rsidRPr="008C2D33">
        <w:rPr>
          <w:rFonts w:ascii="Times New Roman" w:hAnsi="Times New Roman"/>
        </w:rPr>
        <w:tab/>
        <w:t>The appellant said that</w:t>
      </w:r>
      <w:r w:rsidR="005C2D56" w:rsidRPr="008C2D33">
        <w:rPr>
          <w:rFonts w:ascii="Times New Roman" w:hAnsi="Times New Roman"/>
        </w:rPr>
        <w:t>,</w:t>
      </w:r>
      <w:r w:rsidRPr="008C2D33">
        <w:rPr>
          <w:rFonts w:ascii="Times New Roman" w:hAnsi="Times New Roman"/>
        </w:rPr>
        <w:t xml:space="preserve"> in conversation following the sexual acts</w:t>
      </w:r>
      <w:r w:rsidR="005C2D56" w:rsidRPr="008C2D33">
        <w:rPr>
          <w:rFonts w:ascii="Times New Roman" w:hAnsi="Times New Roman"/>
        </w:rPr>
        <w:t>,</w:t>
      </w:r>
      <w:r w:rsidRPr="008C2D33">
        <w:rPr>
          <w:rFonts w:ascii="Times New Roman" w:hAnsi="Times New Roman"/>
        </w:rPr>
        <w:t xml:space="preserve"> he told C1 he had had chl</w:t>
      </w:r>
      <w:r w:rsidR="00FC78E3" w:rsidRPr="008C2D33">
        <w:rPr>
          <w:rFonts w:ascii="Times New Roman" w:hAnsi="Times New Roman"/>
        </w:rPr>
        <w:t>a</w:t>
      </w:r>
      <w:r w:rsidRPr="008C2D33">
        <w:rPr>
          <w:rFonts w:ascii="Times New Roman" w:hAnsi="Times New Roman"/>
        </w:rPr>
        <w:t>mydia</w:t>
      </w:r>
      <w:r w:rsidR="005C2D56" w:rsidRPr="008C2D33">
        <w:rPr>
          <w:rFonts w:ascii="Times New Roman" w:hAnsi="Times New Roman"/>
        </w:rPr>
        <w:t>,</w:t>
      </w:r>
      <w:r w:rsidR="00FC78E3" w:rsidRPr="008C2D33">
        <w:rPr>
          <w:rFonts w:ascii="Times New Roman" w:hAnsi="Times New Roman"/>
        </w:rPr>
        <w:t xml:space="preserve"> and this made her angry and resulted in her dressing and leaving. He was cross</w:t>
      </w:r>
      <w:r w:rsidR="00FC78E3" w:rsidRPr="008C2D33">
        <w:rPr>
          <w:rFonts w:ascii="Times New Roman" w:hAnsi="Times New Roman"/>
        </w:rPr>
        <w:noBreakHyphen/>
        <w:t xml:space="preserve">examined </w:t>
      </w:r>
      <w:r w:rsidR="00D17D89" w:rsidRPr="008C2D33">
        <w:rPr>
          <w:rFonts w:ascii="Times New Roman" w:hAnsi="Times New Roman"/>
        </w:rPr>
        <w:t>as to the relevance of this to C1</w:t>
      </w:r>
      <w:r w:rsidR="00BB38D2" w:rsidRPr="008C2D33">
        <w:rPr>
          <w:rFonts w:ascii="Times New Roman" w:hAnsi="Times New Roman"/>
        </w:rPr>
        <w:t>,</w:t>
      </w:r>
      <w:r w:rsidR="00D17D89" w:rsidRPr="008C2D33">
        <w:rPr>
          <w:rFonts w:ascii="Times New Roman" w:hAnsi="Times New Roman"/>
        </w:rPr>
        <w:t xml:space="preserve"> given his claim that they had not engaged in penile</w:t>
      </w:r>
      <w:r w:rsidR="00D17D89" w:rsidRPr="008C2D33">
        <w:rPr>
          <w:rFonts w:ascii="Times New Roman" w:hAnsi="Times New Roman"/>
        </w:rPr>
        <w:noBreakHyphen/>
        <w:t>vaginal intercourse.</w:t>
      </w:r>
    </w:p>
    <w:p w14:paraId="3E0597C1" w14:textId="2A217C06" w:rsidR="002E11A8" w:rsidRPr="008C2D33" w:rsidRDefault="00D429B6" w:rsidP="008C2D33">
      <w:pPr>
        <w:pStyle w:val="HeadingL2"/>
        <w:spacing w:after="260" w:line="280" w:lineRule="exact"/>
        <w:ind w:right="0"/>
        <w:jc w:val="both"/>
        <w:rPr>
          <w:rFonts w:ascii="Times New Roman" w:hAnsi="Times New Roman"/>
        </w:rPr>
      </w:pPr>
      <w:r w:rsidRPr="008C2D33">
        <w:rPr>
          <w:rFonts w:ascii="Times New Roman" w:hAnsi="Times New Roman"/>
        </w:rPr>
        <w:t>Regarding C2</w:t>
      </w:r>
    </w:p>
    <w:p w14:paraId="7FA95DA7" w14:textId="53A2FF43" w:rsidR="00D17D89" w:rsidRPr="008C2D33" w:rsidRDefault="00D17D89"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appellant gave evidence that he and C2 discussed aspects of their personal </w:t>
      </w:r>
      <w:r w:rsidR="00234255" w:rsidRPr="008C2D33">
        <w:rPr>
          <w:rFonts w:ascii="Times New Roman" w:hAnsi="Times New Roman"/>
        </w:rPr>
        <w:t>li</w:t>
      </w:r>
      <w:r w:rsidR="00D429B6" w:rsidRPr="008C2D33">
        <w:rPr>
          <w:rFonts w:ascii="Times New Roman" w:hAnsi="Times New Roman"/>
        </w:rPr>
        <w:t>v</w:t>
      </w:r>
      <w:r w:rsidR="00234255" w:rsidRPr="008C2D33">
        <w:rPr>
          <w:rFonts w:ascii="Times New Roman" w:hAnsi="Times New Roman"/>
        </w:rPr>
        <w:t xml:space="preserve">es over dinner. He </w:t>
      </w:r>
      <w:r w:rsidR="00BB38D2" w:rsidRPr="008C2D33">
        <w:rPr>
          <w:rFonts w:ascii="Times New Roman" w:hAnsi="Times New Roman"/>
        </w:rPr>
        <w:t xml:space="preserve">made no response to her evidence that </w:t>
      </w:r>
      <w:r w:rsidR="00234255" w:rsidRPr="008C2D33">
        <w:rPr>
          <w:rFonts w:ascii="Times New Roman" w:hAnsi="Times New Roman"/>
        </w:rPr>
        <w:t>she had told him that she was a lesbian</w:t>
      </w:r>
      <w:r w:rsidR="00D429B6" w:rsidRPr="008C2D33">
        <w:rPr>
          <w:rFonts w:ascii="Times New Roman" w:hAnsi="Times New Roman"/>
        </w:rPr>
        <w:t xml:space="preserve"> but he </w:t>
      </w:r>
      <w:r w:rsidR="00BB38D2" w:rsidRPr="008C2D33">
        <w:rPr>
          <w:rFonts w:ascii="Times New Roman" w:hAnsi="Times New Roman"/>
        </w:rPr>
        <w:t xml:space="preserve">claimed </w:t>
      </w:r>
      <w:r w:rsidR="00234255" w:rsidRPr="008C2D33">
        <w:rPr>
          <w:rFonts w:ascii="Times New Roman" w:hAnsi="Times New Roman"/>
        </w:rPr>
        <w:t xml:space="preserve">that </w:t>
      </w:r>
      <w:r w:rsidR="008567D6" w:rsidRPr="008C2D33">
        <w:rPr>
          <w:rFonts w:ascii="Times New Roman" w:hAnsi="Times New Roman"/>
        </w:rPr>
        <w:t xml:space="preserve">C2 </w:t>
      </w:r>
      <w:r w:rsidR="00234255" w:rsidRPr="008C2D33">
        <w:rPr>
          <w:rFonts w:ascii="Times New Roman" w:hAnsi="Times New Roman"/>
        </w:rPr>
        <w:t>had flirted with a young man at the bar they later attended.</w:t>
      </w:r>
    </w:p>
    <w:p w14:paraId="7F70DEE6" w14:textId="45D6F2D8" w:rsidR="00234255" w:rsidRPr="008C2D33" w:rsidRDefault="00234255"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appellant said that when they arrived at </w:t>
      </w:r>
      <w:r w:rsidR="00AF6F72" w:rsidRPr="008C2D33">
        <w:rPr>
          <w:rFonts w:ascii="Times New Roman" w:hAnsi="Times New Roman"/>
        </w:rPr>
        <w:t>his</w:t>
      </w:r>
      <w:r w:rsidR="00893CB7" w:rsidRPr="008C2D33">
        <w:rPr>
          <w:rFonts w:ascii="Times New Roman" w:hAnsi="Times New Roman"/>
        </w:rPr>
        <w:t xml:space="preserve"> </w:t>
      </w:r>
      <w:r w:rsidRPr="008C2D33">
        <w:rPr>
          <w:rFonts w:ascii="Times New Roman" w:hAnsi="Times New Roman"/>
        </w:rPr>
        <w:t>house</w:t>
      </w:r>
      <w:r w:rsidR="00893CB7" w:rsidRPr="008C2D33">
        <w:rPr>
          <w:rFonts w:ascii="Times New Roman" w:hAnsi="Times New Roman"/>
        </w:rPr>
        <w:t>,</w:t>
      </w:r>
      <w:r w:rsidRPr="008C2D33">
        <w:rPr>
          <w:rFonts w:ascii="Times New Roman" w:hAnsi="Times New Roman"/>
        </w:rPr>
        <w:t xml:space="preserve"> C2 was "slightly intoxicated" and in a ha</w:t>
      </w:r>
      <w:r w:rsidR="0066686A" w:rsidRPr="008C2D33">
        <w:rPr>
          <w:rFonts w:ascii="Times New Roman" w:hAnsi="Times New Roman"/>
        </w:rPr>
        <w:t>p</w:t>
      </w:r>
      <w:r w:rsidRPr="008C2D33">
        <w:rPr>
          <w:rFonts w:ascii="Times New Roman" w:hAnsi="Times New Roman"/>
        </w:rPr>
        <w:t>py mood. S</w:t>
      </w:r>
      <w:r w:rsidR="0066686A" w:rsidRPr="008C2D33">
        <w:rPr>
          <w:rFonts w:ascii="Times New Roman" w:hAnsi="Times New Roman"/>
        </w:rPr>
        <w:t>h</w:t>
      </w:r>
      <w:r w:rsidRPr="008C2D33">
        <w:rPr>
          <w:rFonts w:ascii="Times New Roman" w:hAnsi="Times New Roman"/>
        </w:rPr>
        <w:t xml:space="preserve">e was </w:t>
      </w:r>
      <w:r w:rsidR="0066686A" w:rsidRPr="008C2D33">
        <w:rPr>
          <w:rFonts w:ascii="Times New Roman" w:hAnsi="Times New Roman"/>
        </w:rPr>
        <w:t>walking normally</w:t>
      </w:r>
      <w:r w:rsidR="00263870" w:rsidRPr="008C2D33">
        <w:rPr>
          <w:rFonts w:ascii="Times New Roman" w:hAnsi="Times New Roman"/>
        </w:rPr>
        <w:t xml:space="preserve">. He poured a drink, </w:t>
      </w:r>
      <w:r w:rsidR="00FF52D9" w:rsidRPr="008C2D33">
        <w:rPr>
          <w:rFonts w:ascii="Times New Roman" w:hAnsi="Times New Roman"/>
        </w:rPr>
        <w:t>asked her to play</w:t>
      </w:r>
      <w:r w:rsidR="00263870" w:rsidRPr="008C2D33">
        <w:rPr>
          <w:rFonts w:ascii="Times New Roman" w:hAnsi="Times New Roman"/>
        </w:rPr>
        <w:t xml:space="preserve"> music on her mobile phone, they undressed and she accepted a massage from him and </w:t>
      </w:r>
      <w:r w:rsidR="007C735B" w:rsidRPr="008C2D33">
        <w:rPr>
          <w:rFonts w:ascii="Times New Roman" w:hAnsi="Times New Roman"/>
        </w:rPr>
        <w:t xml:space="preserve">participated in the acts of </w:t>
      </w:r>
      <w:r w:rsidR="00263870" w:rsidRPr="008C2D33">
        <w:rPr>
          <w:rFonts w:ascii="Times New Roman" w:hAnsi="Times New Roman"/>
        </w:rPr>
        <w:t>oral sex which followed. She in</w:t>
      </w:r>
      <w:r w:rsidR="00547A40" w:rsidRPr="008C2D33">
        <w:rPr>
          <w:rFonts w:ascii="Times New Roman" w:hAnsi="Times New Roman"/>
        </w:rPr>
        <w:t>itiated penile</w:t>
      </w:r>
      <w:r w:rsidR="00547A40" w:rsidRPr="008C2D33">
        <w:rPr>
          <w:rFonts w:ascii="Times New Roman" w:hAnsi="Times New Roman"/>
        </w:rPr>
        <w:noBreakHyphen/>
        <w:t xml:space="preserve">vaginal intercourse which was interrupted by a call </w:t>
      </w:r>
      <w:r w:rsidR="007C735B" w:rsidRPr="008C2D33">
        <w:rPr>
          <w:rFonts w:ascii="Times New Roman" w:hAnsi="Times New Roman"/>
        </w:rPr>
        <w:t xml:space="preserve">on her mobile phone </w:t>
      </w:r>
      <w:r w:rsidR="00547A40" w:rsidRPr="008C2D33">
        <w:rPr>
          <w:rFonts w:ascii="Times New Roman" w:hAnsi="Times New Roman"/>
        </w:rPr>
        <w:t>which she too</w:t>
      </w:r>
      <w:r w:rsidR="00C703E9" w:rsidRPr="008C2D33">
        <w:rPr>
          <w:rFonts w:ascii="Times New Roman" w:hAnsi="Times New Roman"/>
        </w:rPr>
        <w:t>k</w:t>
      </w:r>
      <w:r w:rsidR="00547A40" w:rsidRPr="008C2D33">
        <w:rPr>
          <w:rFonts w:ascii="Times New Roman" w:hAnsi="Times New Roman"/>
        </w:rPr>
        <w:t xml:space="preserve">. She </w:t>
      </w:r>
      <w:r w:rsidR="007C735B" w:rsidRPr="008C2D33">
        <w:rPr>
          <w:rFonts w:ascii="Times New Roman" w:hAnsi="Times New Roman"/>
        </w:rPr>
        <w:t xml:space="preserve">then </w:t>
      </w:r>
      <w:r w:rsidR="00547A40" w:rsidRPr="008C2D33">
        <w:rPr>
          <w:rFonts w:ascii="Times New Roman" w:hAnsi="Times New Roman"/>
        </w:rPr>
        <w:t xml:space="preserve">performed </w:t>
      </w:r>
      <w:r w:rsidR="00C703E9" w:rsidRPr="008C2D33">
        <w:rPr>
          <w:rFonts w:ascii="Times New Roman" w:hAnsi="Times New Roman"/>
        </w:rPr>
        <w:t>fellatio upon him and further penile</w:t>
      </w:r>
      <w:r w:rsidR="00C703E9" w:rsidRPr="008C2D33">
        <w:rPr>
          <w:rFonts w:ascii="Times New Roman" w:hAnsi="Times New Roman"/>
        </w:rPr>
        <w:noBreakHyphen/>
        <w:t xml:space="preserve">vaginal intercourse followed. He asked C2 if he could ejaculate inside her; she agreed and they both had an orgasm. </w:t>
      </w:r>
      <w:r w:rsidR="00791F56" w:rsidRPr="008C2D33">
        <w:rPr>
          <w:rFonts w:ascii="Times New Roman" w:hAnsi="Times New Roman"/>
        </w:rPr>
        <w:t>Neither</w:t>
      </w:r>
      <w:r w:rsidR="0069661F" w:rsidRPr="008C2D33">
        <w:rPr>
          <w:rFonts w:ascii="Times New Roman" w:hAnsi="Times New Roman"/>
        </w:rPr>
        <w:t xml:space="preserve"> </w:t>
      </w:r>
      <w:r w:rsidR="006D3646" w:rsidRPr="008C2D33">
        <w:rPr>
          <w:rFonts w:ascii="Times New Roman" w:hAnsi="Times New Roman"/>
        </w:rPr>
        <w:t xml:space="preserve">of </w:t>
      </w:r>
      <w:r w:rsidR="00791F56" w:rsidRPr="008C2D33">
        <w:rPr>
          <w:rFonts w:ascii="Times New Roman" w:hAnsi="Times New Roman"/>
        </w:rPr>
        <w:t>the</w:t>
      </w:r>
      <w:r w:rsidR="006D3646" w:rsidRPr="008C2D33">
        <w:rPr>
          <w:rFonts w:ascii="Times New Roman" w:hAnsi="Times New Roman"/>
        </w:rPr>
        <w:t>se</w:t>
      </w:r>
      <w:r w:rsidR="00791F56" w:rsidRPr="008C2D33">
        <w:rPr>
          <w:rFonts w:ascii="Times New Roman" w:hAnsi="Times New Roman"/>
        </w:rPr>
        <w:t xml:space="preserve"> </w:t>
      </w:r>
      <w:r w:rsidR="00744CB5" w:rsidRPr="008C2D33">
        <w:rPr>
          <w:rFonts w:ascii="Times New Roman" w:hAnsi="Times New Roman"/>
        </w:rPr>
        <w:t>la</w:t>
      </w:r>
      <w:r w:rsidR="008D4A67" w:rsidRPr="008C2D33">
        <w:rPr>
          <w:rFonts w:ascii="Times New Roman" w:hAnsi="Times New Roman"/>
        </w:rPr>
        <w:t>tter</w:t>
      </w:r>
      <w:r w:rsidR="00744CB5" w:rsidRPr="008C2D33">
        <w:rPr>
          <w:rFonts w:ascii="Times New Roman" w:hAnsi="Times New Roman"/>
        </w:rPr>
        <w:t xml:space="preserve"> two </w:t>
      </w:r>
      <w:r w:rsidR="006D3646" w:rsidRPr="008C2D33">
        <w:rPr>
          <w:rFonts w:ascii="Times New Roman" w:hAnsi="Times New Roman"/>
        </w:rPr>
        <w:t xml:space="preserve">aspects of the </w:t>
      </w:r>
      <w:r w:rsidR="0069661F" w:rsidRPr="008C2D33">
        <w:rPr>
          <w:rFonts w:ascii="Times New Roman" w:hAnsi="Times New Roman"/>
        </w:rPr>
        <w:t>evidence</w:t>
      </w:r>
      <w:r w:rsidR="00C703E9" w:rsidRPr="008C2D33" w:rsidDel="006D3646">
        <w:rPr>
          <w:rFonts w:ascii="Times New Roman" w:hAnsi="Times New Roman"/>
        </w:rPr>
        <w:t xml:space="preserve"> </w:t>
      </w:r>
      <w:r w:rsidR="00C703E9" w:rsidRPr="008C2D33">
        <w:rPr>
          <w:rFonts w:ascii="Times New Roman" w:hAnsi="Times New Roman"/>
        </w:rPr>
        <w:t>had been put to C2 in cross</w:t>
      </w:r>
      <w:r w:rsidR="00C703E9" w:rsidRPr="008C2D33">
        <w:rPr>
          <w:rFonts w:ascii="Times New Roman" w:hAnsi="Times New Roman"/>
        </w:rPr>
        <w:noBreakHyphen/>
        <w:t>examination</w:t>
      </w:r>
      <w:r w:rsidR="008C7E22" w:rsidRPr="008C2D33">
        <w:rPr>
          <w:rFonts w:ascii="Times New Roman" w:hAnsi="Times New Roman"/>
        </w:rPr>
        <w:t xml:space="preserve">. </w:t>
      </w:r>
      <w:r w:rsidR="007C735B" w:rsidRPr="008C2D33">
        <w:rPr>
          <w:rFonts w:ascii="Times New Roman" w:hAnsi="Times New Roman"/>
        </w:rPr>
        <w:t xml:space="preserve">The appellant said </w:t>
      </w:r>
      <w:r w:rsidR="008C7E22" w:rsidRPr="008C2D33">
        <w:rPr>
          <w:rFonts w:ascii="Times New Roman" w:hAnsi="Times New Roman"/>
        </w:rPr>
        <w:t>C2 then said she had to meet friends, they both dressed and he waited with her for a bus. They were standing arm-in-arm at this point, kissed goodnight and waved goodby</w:t>
      </w:r>
      <w:r w:rsidR="00E45FF4" w:rsidRPr="008C2D33">
        <w:rPr>
          <w:rFonts w:ascii="Times New Roman" w:hAnsi="Times New Roman"/>
        </w:rPr>
        <w:t>e</w:t>
      </w:r>
      <w:r w:rsidR="008C7E22" w:rsidRPr="008C2D33">
        <w:rPr>
          <w:rFonts w:ascii="Times New Roman" w:hAnsi="Times New Roman"/>
        </w:rPr>
        <w:t xml:space="preserve"> to each other</w:t>
      </w:r>
      <w:r w:rsidR="00E45FF4" w:rsidRPr="008C2D33">
        <w:rPr>
          <w:rFonts w:ascii="Times New Roman" w:hAnsi="Times New Roman"/>
        </w:rPr>
        <w:t>.</w:t>
      </w:r>
    </w:p>
    <w:p w14:paraId="5E93CB85" w14:textId="0AA99930" w:rsidR="00E45FF4" w:rsidRPr="008C2D33" w:rsidRDefault="00E45FF4" w:rsidP="008C2D33">
      <w:pPr>
        <w:pStyle w:val="HeadingL1"/>
        <w:spacing w:after="260" w:line="280" w:lineRule="exact"/>
        <w:ind w:right="0"/>
        <w:jc w:val="both"/>
        <w:rPr>
          <w:rFonts w:ascii="Times New Roman" w:hAnsi="Times New Roman"/>
        </w:rPr>
      </w:pPr>
      <w:r w:rsidRPr="008C2D33">
        <w:rPr>
          <w:rFonts w:ascii="Times New Roman" w:hAnsi="Times New Roman"/>
        </w:rPr>
        <w:t>The cross</w:t>
      </w:r>
      <w:r w:rsidRPr="008C2D33">
        <w:rPr>
          <w:rFonts w:ascii="Times New Roman" w:hAnsi="Times New Roman"/>
        </w:rPr>
        <w:noBreakHyphen/>
        <w:t>examination of the appellant</w:t>
      </w:r>
    </w:p>
    <w:p w14:paraId="2351214F" w14:textId="572B2FEE" w:rsidR="009E12BD" w:rsidRPr="008C2D33" w:rsidRDefault="00E45FF4" w:rsidP="008C2D33">
      <w:pPr>
        <w:pStyle w:val="FixListStyle"/>
        <w:spacing w:after="260" w:line="280" w:lineRule="exact"/>
        <w:ind w:right="0"/>
        <w:jc w:val="both"/>
        <w:rPr>
          <w:rFonts w:ascii="Times New Roman" w:hAnsi="Times New Roman"/>
        </w:rPr>
      </w:pPr>
      <w:r w:rsidRPr="008C2D33">
        <w:rPr>
          <w:rFonts w:ascii="Times New Roman" w:hAnsi="Times New Roman"/>
        </w:rPr>
        <w:tab/>
        <w:t>At an early point in the cross</w:t>
      </w:r>
      <w:r w:rsidRPr="008C2D33">
        <w:rPr>
          <w:rFonts w:ascii="Times New Roman" w:hAnsi="Times New Roman"/>
        </w:rPr>
        <w:noBreakHyphen/>
        <w:t xml:space="preserve">examination of the appellant the Crown prosecutor </w:t>
      </w:r>
      <w:r w:rsidR="00507566" w:rsidRPr="008C2D33">
        <w:rPr>
          <w:rFonts w:ascii="Times New Roman" w:hAnsi="Times New Roman"/>
        </w:rPr>
        <w:t>elicited that the appellant was aged 47 at the time of the events in question, weighed 130 kg</w:t>
      </w:r>
      <w:r w:rsidR="00A0789A" w:rsidRPr="008C2D33">
        <w:rPr>
          <w:rFonts w:ascii="Times New Roman" w:hAnsi="Times New Roman"/>
        </w:rPr>
        <w:t xml:space="preserve"> and is 188 cm, or 6 foot 3 inches tall</w:t>
      </w:r>
      <w:r w:rsidR="00B773FB" w:rsidRPr="008C2D33">
        <w:rPr>
          <w:rFonts w:ascii="Times New Roman" w:hAnsi="Times New Roman"/>
        </w:rPr>
        <w:t xml:space="preserve">. </w:t>
      </w:r>
      <w:r w:rsidR="00677AC8" w:rsidRPr="008C2D33">
        <w:rPr>
          <w:rFonts w:ascii="Times New Roman" w:hAnsi="Times New Roman"/>
        </w:rPr>
        <w:t>The cross</w:t>
      </w:r>
      <w:r w:rsidR="00677AC8" w:rsidRPr="008C2D33">
        <w:rPr>
          <w:rFonts w:ascii="Times New Roman" w:hAnsi="Times New Roman"/>
        </w:rPr>
        <w:noBreakHyphen/>
        <w:t xml:space="preserve">examination generally followed the events of the evening, the appellant's </w:t>
      </w:r>
      <w:r w:rsidR="0058403A" w:rsidRPr="008C2D33">
        <w:rPr>
          <w:rFonts w:ascii="Times New Roman" w:hAnsi="Times New Roman"/>
        </w:rPr>
        <w:t>pressuring each of C1 and C2 to drink to excess, their state</w:t>
      </w:r>
      <w:r w:rsidR="009823D5" w:rsidRPr="008C2D33">
        <w:rPr>
          <w:rFonts w:ascii="Times New Roman" w:hAnsi="Times New Roman"/>
        </w:rPr>
        <w:t>s</w:t>
      </w:r>
      <w:r w:rsidR="0058403A" w:rsidRPr="008C2D33">
        <w:rPr>
          <w:rFonts w:ascii="Times New Roman" w:hAnsi="Times New Roman"/>
        </w:rPr>
        <w:t xml:space="preserve"> of intoxication</w:t>
      </w:r>
      <w:r w:rsidR="00F25FF2" w:rsidRPr="008C2D33">
        <w:rPr>
          <w:rFonts w:ascii="Times New Roman" w:hAnsi="Times New Roman"/>
        </w:rPr>
        <w:t xml:space="preserve">, </w:t>
      </w:r>
      <w:r w:rsidR="0058403A" w:rsidRPr="008C2D33">
        <w:rPr>
          <w:rFonts w:ascii="Times New Roman" w:hAnsi="Times New Roman"/>
        </w:rPr>
        <w:t>what took place and what was said in the bedroom.</w:t>
      </w:r>
    </w:p>
    <w:p w14:paraId="0473A141" w14:textId="289A83F1" w:rsidR="004430C4" w:rsidRPr="008C2D33" w:rsidRDefault="0058403A" w:rsidP="008C2D33">
      <w:pPr>
        <w:pStyle w:val="FixListStyle"/>
        <w:spacing w:after="260" w:line="280" w:lineRule="exact"/>
        <w:ind w:right="0"/>
        <w:jc w:val="both"/>
        <w:rPr>
          <w:rFonts w:ascii="Times New Roman" w:hAnsi="Times New Roman"/>
        </w:rPr>
      </w:pPr>
      <w:r w:rsidRPr="008C2D33">
        <w:rPr>
          <w:rFonts w:ascii="Times New Roman" w:hAnsi="Times New Roman"/>
        </w:rPr>
        <w:lastRenderedPageBreak/>
        <w:tab/>
      </w:r>
      <w:r w:rsidR="00BB38D2" w:rsidRPr="008C2D33">
        <w:rPr>
          <w:rFonts w:ascii="Times New Roman" w:hAnsi="Times New Roman"/>
        </w:rPr>
        <w:t>At some point</w:t>
      </w:r>
      <w:r w:rsidR="00F6742B" w:rsidRPr="008C2D33">
        <w:rPr>
          <w:rFonts w:ascii="Times New Roman" w:hAnsi="Times New Roman"/>
        </w:rPr>
        <w:t>s</w:t>
      </w:r>
      <w:r w:rsidR="00BB38D2" w:rsidRPr="008C2D33">
        <w:rPr>
          <w:rFonts w:ascii="Times New Roman" w:hAnsi="Times New Roman"/>
        </w:rPr>
        <w:t xml:space="preserve"> </w:t>
      </w:r>
      <w:r w:rsidR="00F6742B" w:rsidRPr="008C2D33">
        <w:rPr>
          <w:rFonts w:ascii="Times New Roman" w:hAnsi="Times New Roman"/>
        </w:rPr>
        <w:t>in</w:t>
      </w:r>
      <w:r w:rsidR="00BB38D2" w:rsidRPr="008C2D33">
        <w:rPr>
          <w:rFonts w:ascii="Times New Roman" w:hAnsi="Times New Roman"/>
        </w:rPr>
        <w:t xml:space="preserve"> </w:t>
      </w:r>
      <w:r w:rsidR="00D83591" w:rsidRPr="008C2D33">
        <w:rPr>
          <w:rFonts w:ascii="Times New Roman" w:hAnsi="Times New Roman"/>
        </w:rPr>
        <w:t>the course of his cross</w:t>
      </w:r>
      <w:r w:rsidR="00D83591" w:rsidRPr="008C2D33">
        <w:rPr>
          <w:rFonts w:ascii="Times New Roman" w:hAnsi="Times New Roman"/>
        </w:rPr>
        <w:noBreakHyphen/>
        <w:t>examination</w:t>
      </w:r>
      <w:r w:rsidR="000542B9" w:rsidRPr="008C2D33">
        <w:rPr>
          <w:rFonts w:ascii="Times New Roman" w:hAnsi="Times New Roman"/>
        </w:rPr>
        <w:t>,</w:t>
      </w:r>
      <w:r w:rsidR="00D83591" w:rsidRPr="008C2D33">
        <w:rPr>
          <w:rFonts w:ascii="Times New Roman" w:hAnsi="Times New Roman"/>
        </w:rPr>
        <w:t xml:space="preserve"> the appellant was required by the Crown prosecutor to acknowledge that </w:t>
      </w:r>
      <w:r w:rsidR="00BB38D2" w:rsidRPr="008C2D33">
        <w:rPr>
          <w:rFonts w:ascii="Times New Roman" w:hAnsi="Times New Roman"/>
        </w:rPr>
        <w:t xml:space="preserve">certain matters, of which he had given evidence in chief or which he </w:t>
      </w:r>
      <w:r w:rsidR="004C1DBA" w:rsidRPr="008C2D33">
        <w:rPr>
          <w:rFonts w:ascii="Times New Roman" w:hAnsi="Times New Roman"/>
        </w:rPr>
        <w:t xml:space="preserve">had </w:t>
      </w:r>
      <w:r w:rsidR="00BB38D2" w:rsidRPr="008C2D33">
        <w:rPr>
          <w:rFonts w:ascii="Times New Roman" w:hAnsi="Times New Roman"/>
        </w:rPr>
        <w:t>raised in answer to questions under cross</w:t>
      </w:r>
      <w:r w:rsidR="00BB38D2" w:rsidRPr="008C2D33">
        <w:rPr>
          <w:rFonts w:ascii="Times New Roman" w:hAnsi="Times New Roman"/>
        </w:rPr>
        <w:noBreakHyphen/>
        <w:t>examination, had not been put to C1 or C2</w:t>
      </w:r>
      <w:r w:rsidR="00CB7893" w:rsidRPr="008C2D33">
        <w:rPr>
          <w:rFonts w:ascii="Times New Roman" w:hAnsi="Times New Roman"/>
        </w:rPr>
        <w:t xml:space="preserve"> during their cross-examination by defence counsel</w:t>
      </w:r>
      <w:r w:rsidR="00BB38D2" w:rsidRPr="008C2D33">
        <w:rPr>
          <w:rFonts w:ascii="Times New Roman" w:hAnsi="Times New Roman"/>
        </w:rPr>
        <w:t xml:space="preserve">. </w:t>
      </w:r>
      <w:r w:rsidR="00CA4F9E" w:rsidRPr="008C2D33">
        <w:rPr>
          <w:rFonts w:ascii="Times New Roman" w:hAnsi="Times New Roman"/>
        </w:rPr>
        <w:t xml:space="preserve">In the Court of Criminal Appeal eight </w:t>
      </w:r>
      <w:r w:rsidR="00BB38D2" w:rsidRPr="008C2D33">
        <w:rPr>
          <w:rFonts w:ascii="Times New Roman" w:hAnsi="Times New Roman"/>
        </w:rPr>
        <w:t xml:space="preserve">such </w:t>
      </w:r>
      <w:r w:rsidR="00CA4F9E" w:rsidRPr="008C2D33">
        <w:rPr>
          <w:rFonts w:ascii="Times New Roman" w:hAnsi="Times New Roman"/>
        </w:rPr>
        <w:t xml:space="preserve">occasions were identified. </w:t>
      </w:r>
      <w:r w:rsidR="00BB38D2" w:rsidRPr="008C2D33">
        <w:rPr>
          <w:rFonts w:ascii="Times New Roman" w:hAnsi="Times New Roman"/>
        </w:rPr>
        <w:t>On two of the latter occasions it was put to the appellant that he was making up his evidence in the course of cross</w:t>
      </w:r>
      <w:r w:rsidR="00BB38D2" w:rsidRPr="008C2D33">
        <w:rPr>
          <w:rFonts w:ascii="Times New Roman" w:hAnsi="Times New Roman"/>
        </w:rPr>
        <w:noBreakHyphen/>
        <w:t>examination.</w:t>
      </w:r>
    </w:p>
    <w:p w14:paraId="6DA668CD" w14:textId="70323566" w:rsidR="00A73068" w:rsidRPr="008C2D33" w:rsidRDefault="00EE70A9"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A73068" w:rsidRPr="008C2D33">
        <w:rPr>
          <w:rFonts w:ascii="Times New Roman" w:hAnsi="Times New Roman"/>
        </w:rPr>
        <w:t>The relevant exchanges may be summarised as follows:</w:t>
      </w:r>
    </w:p>
    <w:p w14:paraId="487B2B00" w14:textId="0221668F" w:rsidR="00647F39" w:rsidRPr="008C2D33" w:rsidRDefault="00647F39"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(1)</w:t>
      </w:r>
      <w:r w:rsidR="008267A6" w:rsidRPr="008C2D33">
        <w:rPr>
          <w:rFonts w:ascii="Times New Roman" w:hAnsi="Times New Roman"/>
        </w:rPr>
        <w:tab/>
      </w:r>
      <w:r w:rsidRPr="008C2D33">
        <w:rPr>
          <w:rFonts w:ascii="Times New Roman" w:hAnsi="Times New Roman"/>
        </w:rPr>
        <w:t>The first ma</w:t>
      </w:r>
      <w:r w:rsidR="008267A6" w:rsidRPr="008C2D33">
        <w:rPr>
          <w:rFonts w:ascii="Times New Roman" w:hAnsi="Times New Roman"/>
        </w:rPr>
        <w:t>tt</w:t>
      </w:r>
      <w:r w:rsidRPr="008C2D33">
        <w:rPr>
          <w:rFonts w:ascii="Times New Roman" w:hAnsi="Times New Roman"/>
        </w:rPr>
        <w:t>er concerned his evidence</w:t>
      </w:r>
      <w:r w:rsidR="00644BA4" w:rsidRPr="008C2D33">
        <w:rPr>
          <w:rFonts w:ascii="Times New Roman" w:hAnsi="Times New Roman"/>
        </w:rPr>
        <w:t>,</w:t>
      </w:r>
      <w:r w:rsidRPr="008C2D33">
        <w:rPr>
          <w:rFonts w:ascii="Times New Roman" w:hAnsi="Times New Roman"/>
        </w:rPr>
        <w:t xml:space="preserve"> </w:t>
      </w:r>
      <w:r w:rsidR="00FD691E" w:rsidRPr="008C2D33">
        <w:rPr>
          <w:rFonts w:ascii="Times New Roman" w:hAnsi="Times New Roman"/>
        </w:rPr>
        <w:t>given in chief</w:t>
      </w:r>
      <w:r w:rsidR="00644BA4" w:rsidRPr="008C2D33">
        <w:rPr>
          <w:rFonts w:ascii="Times New Roman" w:hAnsi="Times New Roman"/>
        </w:rPr>
        <w:t>,</w:t>
      </w:r>
      <w:r w:rsidR="00FD691E" w:rsidRPr="008C2D33">
        <w:rPr>
          <w:rFonts w:ascii="Times New Roman" w:hAnsi="Times New Roman"/>
        </w:rPr>
        <w:t xml:space="preserve"> that C1 had an orgasm during oral sex which he performed on her. The appellant </w:t>
      </w:r>
      <w:r w:rsidR="009D3853" w:rsidRPr="008C2D33">
        <w:rPr>
          <w:rFonts w:ascii="Times New Roman" w:hAnsi="Times New Roman"/>
        </w:rPr>
        <w:t xml:space="preserve">was asked </w:t>
      </w:r>
      <w:r w:rsidR="00263C9A" w:rsidRPr="008C2D33">
        <w:rPr>
          <w:rFonts w:ascii="Times New Roman" w:hAnsi="Times New Roman"/>
        </w:rPr>
        <w:t xml:space="preserve">by the </w:t>
      </w:r>
      <w:r w:rsidR="00D118CC" w:rsidRPr="008C2D33">
        <w:rPr>
          <w:rFonts w:ascii="Times New Roman" w:hAnsi="Times New Roman"/>
        </w:rPr>
        <w:t>Crown prosecutor</w:t>
      </w:r>
      <w:r w:rsidR="00263C9A" w:rsidRPr="008C2D33">
        <w:rPr>
          <w:rFonts w:ascii="Times New Roman" w:hAnsi="Times New Roman"/>
        </w:rPr>
        <w:t xml:space="preserve"> </w:t>
      </w:r>
      <w:r w:rsidR="009D3853" w:rsidRPr="008C2D33">
        <w:rPr>
          <w:rFonts w:ascii="Times New Roman" w:hAnsi="Times New Roman"/>
        </w:rPr>
        <w:t>if he had heard that fact being put by his counsel to C1 in cross</w:t>
      </w:r>
      <w:r w:rsidR="009D3853" w:rsidRPr="008C2D33">
        <w:rPr>
          <w:rFonts w:ascii="Times New Roman" w:hAnsi="Times New Roman"/>
        </w:rPr>
        <w:noBreakHyphen/>
        <w:t>examination. He said that he could not recall. Defence counsel objected at this point</w:t>
      </w:r>
      <w:r w:rsidR="00D118CC" w:rsidRPr="008C2D33">
        <w:rPr>
          <w:rFonts w:ascii="Times New Roman" w:hAnsi="Times New Roman"/>
        </w:rPr>
        <w:t>,</w:t>
      </w:r>
      <w:r w:rsidR="009D3853" w:rsidRPr="008C2D33">
        <w:rPr>
          <w:rFonts w:ascii="Times New Roman" w:hAnsi="Times New Roman"/>
        </w:rPr>
        <w:t xml:space="preserve"> but the trial judge dismissed it, observing that an answer had already been given.</w:t>
      </w:r>
    </w:p>
    <w:p w14:paraId="34F80135" w14:textId="2872E1D0" w:rsidR="009D3853" w:rsidRPr="008C2D33" w:rsidRDefault="00DF5F45"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(2)</w:t>
      </w:r>
      <w:r w:rsidR="008267A6" w:rsidRPr="008C2D33">
        <w:rPr>
          <w:rFonts w:ascii="Times New Roman" w:hAnsi="Times New Roman"/>
        </w:rPr>
        <w:tab/>
      </w:r>
      <w:r w:rsidR="00644BA4" w:rsidRPr="008C2D33">
        <w:rPr>
          <w:rFonts w:ascii="Times New Roman" w:hAnsi="Times New Roman"/>
        </w:rPr>
        <w:t xml:space="preserve">It </w:t>
      </w:r>
      <w:r w:rsidRPr="008C2D33">
        <w:rPr>
          <w:rFonts w:ascii="Times New Roman" w:hAnsi="Times New Roman"/>
        </w:rPr>
        <w:t>was put to the appellant that C2 had told him that she was a lesbian</w:t>
      </w:r>
      <w:r w:rsidR="00644BA4" w:rsidRPr="008C2D33">
        <w:rPr>
          <w:rFonts w:ascii="Times New Roman" w:hAnsi="Times New Roman"/>
        </w:rPr>
        <w:t>. H</w:t>
      </w:r>
      <w:r w:rsidRPr="008C2D33">
        <w:rPr>
          <w:rFonts w:ascii="Times New Roman" w:hAnsi="Times New Roman"/>
        </w:rPr>
        <w:t xml:space="preserve">e denied that </w:t>
      </w:r>
      <w:r w:rsidR="00644BA4" w:rsidRPr="008C2D33">
        <w:rPr>
          <w:rFonts w:ascii="Times New Roman" w:hAnsi="Times New Roman"/>
        </w:rPr>
        <w:t xml:space="preserve">was said </w:t>
      </w:r>
      <w:r w:rsidRPr="008C2D33">
        <w:rPr>
          <w:rFonts w:ascii="Times New Roman" w:hAnsi="Times New Roman"/>
        </w:rPr>
        <w:t>and added that she had said she was bisexual. He was then asked whether he</w:t>
      </w:r>
      <w:r w:rsidR="00F64A8B" w:rsidRPr="008C2D33">
        <w:rPr>
          <w:rFonts w:ascii="Times New Roman" w:hAnsi="Times New Roman"/>
        </w:rPr>
        <w:t xml:space="preserve"> had</w:t>
      </w:r>
      <w:r w:rsidRPr="008C2D33">
        <w:rPr>
          <w:rFonts w:ascii="Times New Roman" w:hAnsi="Times New Roman"/>
        </w:rPr>
        <w:t xml:space="preserve"> heard that mat</w:t>
      </w:r>
      <w:r w:rsidR="000D3EE9" w:rsidRPr="008C2D33">
        <w:rPr>
          <w:rFonts w:ascii="Times New Roman" w:hAnsi="Times New Roman"/>
        </w:rPr>
        <w:t>t</w:t>
      </w:r>
      <w:r w:rsidRPr="008C2D33">
        <w:rPr>
          <w:rFonts w:ascii="Times New Roman" w:hAnsi="Times New Roman"/>
        </w:rPr>
        <w:t xml:space="preserve">er put to C2 at any stage. He agreed that it </w:t>
      </w:r>
      <w:r w:rsidR="000D3EE9" w:rsidRPr="008C2D33">
        <w:rPr>
          <w:rFonts w:ascii="Times New Roman" w:hAnsi="Times New Roman"/>
        </w:rPr>
        <w:t xml:space="preserve">had </w:t>
      </w:r>
      <w:r w:rsidRPr="008C2D33">
        <w:rPr>
          <w:rFonts w:ascii="Times New Roman" w:hAnsi="Times New Roman"/>
        </w:rPr>
        <w:t xml:space="preserve">not </w:t>
      </w:r>
      <w:r w:rsidR="00291036" w:rsidRPr="008C2D33">
        <w:rPr>
          <w:rFonts w:ascii="Times New Roman" w:hAnsi="Times New Roman"/>
        </w:rPr>
        <w:t xml:space="preserve">been put </w:t>
      </w:r>
      <w:r w:rsidR="00376385" w:rsidRPr="008C2D33">
        <w:rPr>
          <w:rFonts w:ascii="Times New Roman" w:hAnsi="Times New Roman"/>
        </w:rPr>
        <w:t xml:space="preserve">to her </w:t>
      </w:r>
      <w:r w:rsidRPr="008C2D33">
        <w:rPr>
          <w:rFonts w:ascii="Times New Roman" w:hAnsi="Times New Roman"/>
        </w:rPr>
        <w:t xml:space="preserve">but pointed out that not only had she </w:t>
      </w:r>
      <w:r w:rsidR="00BB38D2" w:rsidRPr="008C2D33">
        <w:rPr>
          <w:rFonts w:ascii="Times New Roman" w:hAnsi="Times New Roman"/>
        </w:rPr>
        <w:t xml:space="preserve">not </w:t>
      </w:r>
      <w:r w:rsidRPr="008C2D33">
        <w:rPr>
          <w:rFonts w:ascii="Times New Roman" w:hAnsi="Times New Roman"/>
        </w:rPr>
        <w:t xml:space="preserve">said </w:t>
      </w:r>
      <w:r w:rsidR="00BB38D2" w:rsidRPr="008C2D33">
        <w:rPr>
          <w:rFonts w:ascii="Times New Roman" w:hAnsi="Times New Roman"/>
        </w:rPr>
        <w:t xml:space="preserve">that </w:t>
      </w:r>
      <w:r w:rsidRPr="008C2D33">
        <w:rPr>
          <w:rFonts w:ascii="Times New Roman" w:hAnsi="Times New Roman"/>
        </w:rPr>
        <w:t xml:space="preserve">she was a lesbian, she had </w:t>
      </w:r>
      <w:r w:rsidR="007A431C" w:rsidRPr="008C2D33">
        <w:rPr>
          <w:rFonts w:ascii="Times New Roman" w:hAnsi="Times New Roman"/>
        </w:rPr>
        <w:t xml:space="preserve">also </w:t>
      </w:r>
      <w:r w:rsidRPr="008C2D33">
        <w:rPr>
          <w:rFonts w:ascii="Times New Roman" w:hAnsi="Times New Roman"/>
        </w:rPr>
        <w:t xml:space="preserve">implied </w:t>
      </w:r>
      <w:r w:rsidR="000D3EE9" w:rsidRPr="008C2D33">
        <w:rPr>
          <w:rFonts w:ascii="Times New Roman" w:hAnsi="Times New Roman"/>
        </w:rPr>
        <w:t xml:space="preserve">that </w:t>
      </w:r>
      <w:r w:rsidRPr="008C2D33">
        <w:rPr>
          <w:rFonts w:ascii="Times New Roman" w:hAnsi="Times New Roman"/>
        </w:rPr>
        <w:t xml:space="preserve">she had been together sexually with an African man. </w:t>
      </w:r>
      <w:r w:rsidR="00D0339E" w:rsidRPr="008C2D33">
        <w:rPr>
          <w:rFonts w:ascii="Times New Roman" w:hAnsi="Times New Roman"/>
        </w:rPr>
        <w:t>Pressed further, the appellant agreed that C2 had not been asked in cross</w:t>
      </w:r>
      <w:r w:rsidR="00D0339E" w:rsidRPr="008C2D33">
        <w:rPr>
          <w:rFonts w:ascii="Times New Roman" w:hAnsi="Times New Roman"/>
        </w:rPr>
        <w:noBreakHyphen/>
        <w:t>examination whether she was bisexual and agreed that she had not been challenged as to her statement to him that she was a lesbian.</w:t>
      </w:r>
      <w:r w:rsidR="00366E24" w:rsidRPr="008C2D33">
        <w:rPr>
          <w:rFonts w:ascii="Times New Roman" w:hAnsi="Times New Roman"/>
        </w:rPr>
        <w:t xml:space="preserve"> He added that "</w:t>
      </w:r>
      <w:r w:rsidR="00111B13" w:rsidRPr="008C2D33">
        <w:rPr>
          <w:rFonts w:ascii="Times New Roman" w:hAnsi="Times New Roman"/>
        </w:rPr>
        <w:t>m</w:t>
      </w:r>
      <w:r w:rsidR="00366E24" w:rsidRPr="008C2D33">
        <w:rPr>
          <w:rFonts w:ascii="Times New Roman" w:hAnsi="Times New Roman"/>
        </w:rPr>
        <w:t>ay</w:t>
      </w:r>
      <w:r w:rsidR="001D21D3" w:rsidRPr="008C2D33">
        <w:rPr>
          <w:rFonts w:ascii="Times New Roman" w:hAnsi="Times New Roman"/>
        </w:rPr>
        <w:t xml:space="preserve"> </w:t>
      </w:r>
      <w:r w:rsidR="006648E0" w:rsidRPr="008C2D33">
        <w:rPr>
          <w:rFonts w:ascii="Times New Roman" w:hAnsi="Times New Roman"/>
        </w:rPr>
        <w:t>be</w:t>
      </w:r>
      <w:r w:rsidR="00111B13" w:rsidRPr="008C2D33">
        <w:rPr>
          <w:rFonts w:ascii="Times New Roman" w:hAnsi="Times New Roman"/>
        </w:rPr>
        <w:t xml:space="preserve"> [sic]</w:t>
      </w:r>
      <w:r w:rsidR="006648E0" w:rsidRPr="008C2D33">
        <w:rPr>
          <w:rFonts w:ascii="Times New Roman" w:hAnsi="Times New Roman"/>
        </w:rPr>
        <w:t xml:space="preserve"> my barrister should have cross</w:t>
      </w:r>
      <w:r w:rsidR="006648E0" w:rsidRPr="008C2D33">
        <w:rPr>
          <w:rFonts w:ascii="Times New Roman" w:hAnsi="Times New Roman"/>
        </w:rPr>
        <w:noBreakHyphen/>
        <w:t>examined her better"</w:t>
      </w:r>
      <w:r w:rsidR="005176B8" w:rsidRPr="008C2D33">
        <w:rPr>
          <w:rFonts w:ascii="Times New Roman" w:hAnsi="Times New Roman"/>
        </w:rPr>
        <w:t>.</w:t>
      </w:r>
    </w:p>
    <w:p w14:paraId="2B94B6C3" w14:textId="62C91852" w:rsidR="006648E0" w:rsidRPr="008C2D33" w:rsidRDefault="006648E0"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(3)</w:t>
      </w:r>
      <w:r w:rsidR="00BD36FB" w:rsidRPr="008C2D33">
        <w:rPr>
          <w:rFonts w:ascii="Times New Roman" w:hAnsi="Times New Roman"/>
        </w:rPr>
        <w:tab/>
        <w:t xml:space="preserve">The Crown prosecutor </w:t>
      </w:r>
      <w:r w:rsidRPr="008C2D33">
        <w:rPr>
          <w:rFonts w:ascii="Times New Roman" w:hAnsi="Times New Roman"/>
        </w:rPr>
        <w:t>put to the appellant that C2 showed no sexual inter</w:t>
      </w:r>
      <w:r w:rsidR="008959B4" w:rsidRPr="008C2D33">
        <w:rPr>
          <w:rFonts w:ascii="Times New Roman" w:hAnsi="Times New Roman"/>
        </w:rPr>
        <w:t>e</w:t>
      </w:r>
      <w:r w:rsidRPr="008C2D33">
        <w:rPr>
          <w:rFonts w:ascii="Times New Roman" w:hAnsi="Times New Roman"/>
        </w:rPr>
        <w:t>st</w:t>
      </w:r>
      <w:r w:rsidR="008E15AD" w:rsidRPr="008C2D33">
        <w:rPr>
          <w:rFonts w:ascii="Times New Roman" w:hAnsi="Times New Roman"/>
        </w:rPr>
        <w:t xml:space="preserve"> in him</w:t>
      </w:r>
      <w:r w:rsidR="00581765" w:rsidRPr="008C2D33">
        <w:rPr>
          <w:rFonts w:ascii="Times New Roman" w:hAnsi="Times New Roman"/>
        </w:rPr>
        <w:t>. He</w:t>
      </w:r>
      <w:r w:rsidR="008959B4" w:rsidRPr="008C2D33">
        <w:rPr>
          <w:rFonts w:ascii="Times New Roman" w:hAnsi="Times New Roman"/>
        </w:rPr>
        <w:t xml:space="preserve"> responded </w:t>
      </w:r>
      <w:r w:rsidR="00581765" w:rsidRPr="008C2D33">
        <w:rPr>
          <w:rFonts w:ascii="Times New Roman" w:hAnsi="Times New Roman"/>
        </w:rPr>
        <w:t xml:space="preserve">by saying </w:t>
      </w:r>
      <w:r w:rsidR="008959B4" w:rsidRPr="008C2D33">
        <w:rPr>
          <w:rFonts w:ascii="Times New Roman" w:hAnsi="Times New Roman"/>
        </w:rPr>
        <w:t xml:space="preserve">that he considered </w:t>
      </w:r>
      <w:r w:rsidR="002F4833" w:rsidRPr="008C2D33">
        <w:rPr>
          <w:rFonts w:ascii="Times New Roman" w:hAnsi="Times New Roman"/>
        </w:rPr>
        <w:t xml:space="preserve">her </w:t>
      </w:r>
      <w:r w:rsidR="008959B4" w:rsidRPr="008C2D33">
        <w:rPr>
          <w:rFonts w:ascii="Times New Roman" w:hAnsi="Times New Roman"/>
        </w:rPr>
        <w:t xml:space="preserve">kissing </w:t>
      </w:r>
      <w:r w:rsidR="00581765" w:rsidRPr="008C2D33">
        <w:rPr>
          <w:rFonts w:ascii="Times New Roman" w:hAnsi="Times New Roman"/>
        </w:rPr>
        <w:t xml:space="preserve">him </w:t>
      </w:r>
      <w:r w:rsidR="008959B4" w:rsidRPr="008C2D33">
        <w:rPr>
          <w:rFonts w:ascii="Times New Roman" w:hAnsi="Times New Roman"/>
        </w:rPr>
        <w:t>and putting her tongue in his mouth to be quite sexual. He agreed that this matter had not been put to C2.</w:t>
      </w:r>
    </w:p>
    <w:p w14:paraId="3025FF82" w14:textId="71B07B3D" w:rsidR="008959B4" w:rsidRPr="008C2D33" w:rsidRDefault="003415DE"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(4)</w:t>
      </w:r>
      <w:r w:rsidR="00581765" w:rsidRPr="008C2D33">
        <w:rPr>
          <w:rFonts w:ascii="Times New Roman" w:hAnsi="Times New Roman"/>
        </w:rPr>
        <w:tab/>
      </w:r>
      <w:r w:rsidRPr="008C2D33">
        <w:rPr>
          <w:rFonts w:ascii="Times New Roman" w:hAnsi="Times New Roman"/>
        </w:rPr>
        <w:t>The Crown prosecutor put to the appellant that C2 had not been cross</w:t>
      </w:r>
      <w:r w:rsidRPr="008C2D33">
        <w:rPr>
          <w:rFonts w:ascii="Times New Roman" w:hAnsi="Times New Roman"/>
        </w:rPr>
        <w:noBreakHyphen/>
        <w:t xml:space="preserve">examined as to her having performed oral sex upon the appellant. </w:t>
      </w:r>
      <w:r w:rsidR="00581765" w:rsidRPr="008C2D33">
        <w:rPr>
          <w:rFonts w:ascii="Times New Roman" w:hAnsi="Times New Roman"/>
        </w:rPr>
        <w:t xml:space="preserve">In this respect </w:t>
      </w:r>
      <w:r w:rsidRPr="008C2D33">
        <w:rPr>
          <w:rFonts w:ascii="Times New Roman" w:hAnsi="Times New Roman"/>
        </w:rPr>
        <w:t>the prosecutor was mistaken</w:t>
      </w:r>
      <w:r w:rsidR="00BB38D2" w:rsidRPr="008C2D33">
        <w:rPr>
          <w:rFonts w:ascii="Times New Roman" w:hAnsi="Times New Roman"/>
        </w:rPr>
        <w:t>,</w:t>
      </w:r>
      <w:r w:rsidRPr="008C2D33">
        <w:rPr>
          <w:rFonts w:ascii="Times New Roman" w:hAnsi="Times New Roman"/>
        </w:rPr>
        <w:t xml:space="preserve"> as he subsequently realised</w:t>
      </w:r>
      <w:r w:rsidR="00E72CDA" w:rsidRPr="008C2D33">
        <w:rPr>
          <w:rFonts w:ascii="Times New Roman" w:hAnsi="Times New Roman"/>
        </w:rPr>
        <w:t xml:space="preserve">. He </w:t>
      </w:r>
      <w:r w:rsidRPr="008C2D33">
        <w:rPr>
          <w:rFonts w:ascii="Times New Roman" w:hAnsi="Times New Roman"/>
        </w:rPr>
        <w:t xml:space="preserve">apologised to the jury for having suggested this. </w:t>
      </w:r>
      <w:r w:rsidR="00E72CDA" w:rsidRPr="008C2D33">
        <w:rPr>
          <w:rFonts w:ascii="Times New Roman" w:hAnsi="Times New Roman"/>
        </w:rPr>
        <w:t>But by this time</w:t>
      </w:r>
      <w:r w:rsidR="00BB3A0D" w:rsidRPr="008C2D33">
        <w:rPr>
          <w:rFonts w:ascii="Times New Roman" w:hAnsi="Times New Roman"/>
        </w:rPr>
        <w:t>,</w:t>
      </w:r>
      <w:r w:rsidR="00E72CDA" w:rsidRPr="008C2D33">
        <w:rPr>
          <w:rFonts w:ascii="Times New Roman" w:hAnsi="Times New Roman"/>
        </w:rPr>
        <w:t xml:space="preserve"> </w:t>
      </w:r>
      <w:r w:rsidRPr="008C2D33">
        <w:rPr>
          <w:rFonts w:ascii="Times New Roman" w:hAnsi="Times New Roman"/>
        </w:rPr>
        <w:t xml:space="preserve">the prosecutor had put </w:t>
      </w:r>
      <w:r w:rsidR="00E72CDA" w:rsidRPr="008C2D33">
        <w:rPr>
          <w:rFonts w:ascii="Times New Roman" w:hAnsi="Times New Roman"/>
        </w:rPr>
        <w:t xml:space="preserve">the question </w:t>
      </w:r>
      <w:r w:rsidRPr="008C2D33">
        <w:rPr>
          <w:rFonts w:ascii="Times New Roman" w:hAnsi="Times New Roman"/>
        </w:rPr>
        <w:t xml:space="preserve">to the appellant </w:t>
      </w:r>
      <w:r w:rsidR="006603FA" w:rsidRPr="008C2D33">
        <w:rPr>
          <w:rFonts w:ascii="Times New Roman" w:hAnsi="Times New Roman"/>
        </w:rPr>
        <w:t xml:space="preserve">four </w:t>
      </w:r>
      <w:r w:rsidRPr="008C2D33">
        <w:rPr>
          <w:rFonts w:ascii="Times New Roman" w:hAnsi="Times New Roman"/>
        </w:rPr>
        <w:t xml:space="preserve">times </w:t>
      </w:r>
      <w:r w:rsidR="00B1310D" w:rsidRPr="008C2D33">
        <w:rPr>
          <w:rFonts w:ascii="Times New Roman" w:hAnsi="Times New Roman"/>
        </w:rPr>
        <w:t xml:space="preserve">and made the point that C2 had not had the opportunity to comment. </w:t>
      </w:r>
      <w:r w:rsidR="00E72CDA" w:rsidRPr="008C2D33">
        <w:rPr>
          <w:rFonts w:ascii="Times New Roman" w:hAnsi="Times New Roman"/>
        </w:rPr>
        <w:t xml:space="preserve">The </w:t>
      </w:r>
      <w:r w:rsidR="00B1310D" w:rsidRPr="008C2D33">
        <w:rPr>
          <w:rFonts w:ascii="Times New Roman" w:hAnsi="Times New Roman"/>
        </w:rPr>
        <w:t xml:space="preserve">appellant </w:t>
      </w:r>
      <w:r w:rsidR="00BB38D2" w:rsidRPr="008C2D33">
        <w:rPr>
          <w:rFonts w:ascii="Times New Roman" w:hAnsi="Times New Roman"/>
        </w:rPr>
        <w:t xml:space="preserve">incorrectly </w:t>
      </w:r>
      <w:r w:rsidR="008E15AD" w:rsidRPr="008C2D33">
        <w:rPr>
          <w:rFonts w:ascii="Times New Roman" w:hAnsi="Times New Roman"/>
        </w:rPr>
        <w:t>accepted that this was the case</w:t>
      </w:r>
      <w:r w:rsidR="00BB38D2" w:rsidRPr="008C2D33">
        <w:rPr>
          <w:rFonts w:ascii="Times New Roman" w:hAnsi="Times New Roman"/>
        </w:rPr>
        <w:t xml:space="preserve"> and further </w:t>
      </w:r>
      <w:r w:rsidR="00B1310D" w:rsidRPr="008C2D33">
        <w:rPr>
          <w:rFonts w:ascii="Times New Roman" w:hAnsi="Times New Roman"/>
        </w:rPr>
        <w:t xml:space="preserve">responded by implying that his barrister may have been </w:t>
      </w:r>
      <w:r w:rsidR="00E72CDA" w:rsidRPr="008C2D33">
        <w:rPr>
          <w:rFonts w:ascii="Times New Roman" w:hAnsi="Times New Roman"/>
        </w:rPr>
        <w:t xml:space="preserve">negligent </w:t>
      </w:r>
      <w:r w:rsidR="00BB38D2" w:rsidRPr="008C2D33">
        <w:rPr>
          <w:rFonts w:ascii="Times New Roman" w:hAnsi="Times New Roman"/>
        </w:rPr>
        <w:t xml:space="preserve">or </w:t>
      </w:r>
      <w:r w:rsidR="00B1310D" w:rsidRPr="008C2D33">
        <w:rPr>
          <w:rFonts w:ascii="Times New Roman" w:hAnsi="Times New Roman"/>
        </w:rPr>
        <w:t xml:space="preserve">that </w:t>
      </w:r>
      <w:r w:rsidR="00BB38D2" w:rsidRPr="008C2D33">
        <w:rPr>
          <w:rFonts w:ascii="Times New Roman" w:hAnsi="Times New Roman"/>
        </w:rPr>
        <w:t xml:space="preserve">the appellant </w:t>
      </w:r>
      <w:r w:rsidR="00B1310D" w:rsidRPr="008C2D33">
        <w:rPr>
          <w:rFonts w:ascii="Times New Roman" w:hAnsi="Times New Roman"/>
        </w:rPr>
        <w:t>had had a limited opportunity to speak with him before the trial.</w:t>
      </w:r>
    </w:p>
    <w:p w14:paraId="59F0B866" w14:textId="6BB348B2" w:rsidR="00B1310D" w:rsidRPr="008C2D33" w:rsidRDefault="00E63789"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lastRenderedPageBreak/>
        <w:t>(5)</w:t>
      </w:r>
      <w:r w:rsidR="00F722E9" w:rsidRPr="008C2D33">
        <w:rPr>
          <w:rFonts w:ascii="Times New Roman" w:hAnsi="Times New Roman"/>
        </w:rPr>
        <w:tab/>
      </w:r>
      <w:r w:rsidRPr="008C2D33">
        <w:rPr>
          <w:rFonts w:ascii="Times New Roman" w:hAnsi="Times New Roman"/>
        </w:rPr>
        <w:t>The appellant made similar comments when it was pointed out to him, and he agreed, that it had not been put to C2 that he had asked if he could ejaculate inside her and she had agreed. He said that "again" it shou</w:t>
      </w:r>
      <w:r w:rsidR="00FB31E0" w:rsidRPr="008C2D33">
        <w:rPr>
          <w:rFonts w:ascii="Times New Roman" w:hAnsi="Times New Roman"/>
        </w:rPr>
        <w:t>l</w:t>
      </w:r>
      <w:r w:rsidRPr="008C2D33">
        <w:rPr>
          <w:rFonts w:ascii="Times New Roman" w:hAnsi="Times New Roman"/>
        </w:rPr>
        <w:t xml:space="preserve">d have been put by his barrister. </w:t>
      </w:r>
      <w:r w:rsidR="00E72CDA" w:rsidRPr="008C2D33">
        <w:rPr>
          <w:rFonts w:ascii="Times New Roman" w:hAnsi="Times New Roman"/>
        </w:rPr>
        <w:t>H</w:t>
      </w:r>
      <w:r w:rsidRPr="008C2D33">
        <w:rPr>
          <w:rFonts w:ascii="Times New Roman" w:hAnsi="Times New Roman"/>
        </w:rPr>
        <w:t>e attempted to refer to notes that he had given to his barrister on the topic,</w:t>
      </w:r>
      <w:r w:rsidR="00740D4D" w:rsidRPr="008C2D33">
        <w:rPr>
          <w:rFonts w:ascii="Times New Roman" w:hAnsi="Times New Roman"/>
        </w:rPr>
        <w:t xml:space="preserve"> </w:t>
      </w:r>
      <w:r w:rsidRPr="008C2D33">
        <w:rPr>
          <w:rFonts w:ascii="Times New Roman" w:hAnsi="Times New Roman"/>
        </w:rPr>
        <w:t>but was conf</w:t>
      </w:r>
      <w:r w:rsidR="00FB31E0" w:rsidRPr="008C2D33">
        <w:rPr>
          <w:rFonts w:ascii="Times New Roman" w:hAnsi="Times New Roman"/>
        </w:rPr>
        <w:t>ined by the trial judge to a "yes" or "no" answer to the question.</w:t>
      </w:r>
    </w:p>
    <w:p w14:paraId="64CEC681" w14:textId="1934F747" w:rsidR="005D785A" w:rsidRPr="008C2D33" w:rsidRDefault="00FB31E0"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(6)</w:t>
      </w:r>
      <w:r w:rsidR="00E72CDA" w:rsidRPr="008C2D33">
        <w:rPr>
          <w:rFonts w:ascii="Times New Roman" w:hAnsi="Times New Roman"/>
        </w:rPr>
        <w:tab/>
      </w:r>
      <w:r w:rsidRPr="008C2D33">
        <w:rPr>
          <w:rFonts w:ascii="Times New Roman" w:hAnsi="Times New Roman"/>
        </w:rPr>
        <w:t>I</w:t>
      </w:r>
      <w:r w:rsidR="00E72CDA" w:rsidRPr="008C2D33">
        <w:rPr>
          <w:rFonts w:ascii="Times New Roman" w:hAnsi="Times New Roman"/>
        </w:rPr>
        <w:t>n</w:t>
      </w:r>
      <w:r w:rsidRPr="008C2D33">
        <w:rPr>
          <w:rFonts w:ascii="Times New Roman" w:hAnsi="Times New Roman"/>
        </w:rPr>
        <w:t xml:space="preserve"> the course of questioning as to the matter in (</w:t>
      </w:r>
      <w:r w:rsidR="00E72CDA" w:rsidRPr="008C2D33">
        <w:rPr>
          <w:rFonts w:ascii="Times New Roman" w:hAnsi="Times New Roman"/>
        </w:rPr>
        <w:t>5</w:t>
      </w:r>
      <w:r w:rsidRPr="008C2D33">
        <w:rPr>
          <w:rFonts w:ascii="Times New Roman" w:hAnsi="Times New Roman"/>
        </w:rPr>
        <w:t xml:space="preserve">) the appellant </w:t>
      </w:r>
      <w:r w:rsidR="00E72CDA" w:rsidRPr="008C2D33">
        <w:rPr>
          <w:rFonts w:ascii="Times New Roman" w:hAnsi="Times New Roman"/>
        </w:rPr>
        <w:t xml:space="preserve">said </w:t>
      </w:r>
      <w:r w:rsidRPr="008C2D33">
        <w:rPr>
          <w:rFonts w:ascii="Times New Roman" w:hAnsi="Times New Roman"/>
        </w:rPr>
        <w:t xml:space="preserve">that </w:t>
      </w:r>
      <w:r w:rsidR="00D53699" w:rsidRPr="008C2D33">
        <w:rPr>
          <w:rFonts w:ascii="Times New Roman" w:hAnsi="Times New Roman"/>
        </w:rPr>
        <w:t>he believed that both he and C2 had an orgasm. He agreed that it had never been suggested to C2 that she had had an orgasm</w:t>
      </w:r>
      <w:r w:rsidR="005D785A" w:rsidRPr="008C2D33">
        <w:rPr>
          <w:rFonts w:ascii="Times New Roman" w:hAnsi="Times New Roman"/>
        </w:rPr>
        <w:t>:</w:t>
      </w:r>
    </w:p>
    <w:p w14:paraId="26328CC1" w14:textId="625340AA" w:rsidR="005D785A" w:rsidRPr="008C2D33" w:rsidRDefault="005D785A"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"Q. And you never heard any suggestion put to her that she had an orgasm, correct?</w:t>
      </w:r>
    </w:p>
    <w:p w14:paraId="7C8643DF" w14:textId="364C2F1F" w:rsidR="005D785A" w:rsidRPr="008C2D33" w:rsidRDefault="005D785A"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A. Correct</w:t>
      </w:r>
    </w:p>
    <w:p w14:paraId="0FE39BE7" w14:textId="77777777" w:rsidR="008C2D33" w:rsidRDefault="005D785A"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r>
      <w:r w:rsidR="007B0B90" w:rsidRPr="008C2D33">
        <w:rPr>
          <w:rFonts w:ascii="Times New Roman" w:hAnsi="Times New Roman"/>
        </w:rPr>
        <w:t>Q. Were you essentially making your evidence up as you went along, Mr Hofer?"</w:t>
      </w:r>
    </w:p>
    <w:p w14:paraId="1440208C" w14:textId="477C8ABF" w:rsidR="005D33C8" w:rsidRPr="008C2D33" w:rsidRDefault="00E25798"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(7)</w:t>
      </w:r>
      <w:r w:rsidR="006D039A" w:rsidRPr="008C2D33">
        <w:rPr>
          <w:rFonts w:ascii="Times New Roman" w:hAnsi="Times New Roman"/>
        </w:rPr>
        <w:tab/>
      </w:r>
      <w:r w:rsidRPr="008C2D33">
        <w:rPr>
          <w:rFonts w:ascii="Times New Roman" w:hAnsi="Times New Roman"/>
        </w:rPr>
        <w:t xml:space="preserve">This point was made again by the prosecutor in connection with the appellant's response to questions about the CCTV </w:t>
      </w:r>
      <w:r w:rsidR="008C2632" w:rsidRPr="008C2D33">
        <w:rPr>
          <w:rFonts w:ascii="Times New Roman" w:hAnsi="Times New Roman"/>
        </w:rPr>
        <w:t>footage which showed C2 clearly in distress after the bus pulled away from the bus stop</w:t>
      </w:r>
      <w:r w:rsidR="005D33C8" w:rsidRPr="008C2D33">
        <w:rPr>
          <w:rFonts w:ascii="Times New Roman" w:hAnsi="Times New Roman"/>
        </w:rPr>
        <w:t>:</w:t>
      </w:r>
    </w:p>
    <w:p w14:paraId="1C3A0145" w14:textId="305FC84D" w:rsidR="005D33C8" w:rsidRPr="008C2D33" w:rsidRDefault="005D33C8"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"Q. … you saw, didn't you and we all saw</w:t>
      </w:r>
      <w:r w:rsidR="00B96345" w:rsidRPr="008C2D33">
        <w:rPr>
          <w:rFonts w:ascii="Times New Roman" w:hAnsi="Times New Roman"/>
        </w:rPr>
        <w:t>,</w:t>
      </w:r>
      <w:r w:rsidRPr="008C2D33">
        <w:rPr>
          <w:rFonts w:ascii="Times New Roman" w:hAnsi="Times New Roman"/>
        </w:rPr>
        <w:t xml:space="preserve"> [C2's] demeanour, a very</w:t>
      </w:r>
      <w:r w:rsidR="00914BDA" w:rsidRPr="008C2D33">
        <w:rPr>
          <w:rFonts w:ascii="Times New Roman" w:hAnsi="Times New Roman"/>
        </w:rPr>
        <w:t>, very</w:t>
      </w:r>
      <w:r w:rsidRPr="008C2D33">
        <w:rPr>
          <w:rFonts w:ascii="Times New Roman" w:hAnsi="Times New Roman"/>
        </w:rPr>
        <w:t xml:space="preserve"> short time after the bus pulled away didn't you?"</w:t>
      </w:r>
    </w:p>
    <w:p w14:paraId="529BCEF9" w14:textId="5D67D389" w:rsidR="005D33C8" w:rsidRPr="008C2D33" w:rsidRDefault="005D33C8"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ab/>
      </w:r>
      <w:r w:rsidR="00AF4A00" w:rsidRPr="008C2D33">
        <w:rPr>
          <w:rFonts w:ascii="Times New Roman" w:hAnsi="Times New Roman"/>
        </w:rPr>
        <w:t>The appellant then suggested that C2's distress was connected with her "non</w:t>
      </w:r>
      <w:r w:rsidR="00AF4A00" w:rsidRPr="008C2D33">
        <w:rPr>
          <w:rFonts w:ascii="Times New Roman" w:hAnsi="Times New Roman"/>
        </w:rPr>
        <w:noBreakHyphen/>
        <w:t>official" boyfriend having heard her breathing</w:t>
      </w:r>
      <w:r w:rsidR="00E43358" w:rsidRPr="008C2D33">
        <w:rPr>
          <w:rFonts w:ascii="Times New Roman" w:hAnsi="Times New Roman"/>
        </w:rPr>
        <w:t xml:space="preserve"> heavily whilst the appellant and C2 were having consensual sex, the boyfriend having phoned her at that time. The prosecutor then asked:</w:t>
      </w:r>
    </w:p>
    <w:p w14:paraId="732B1977" w14:textId="25A6C165" w:rsidR="00E43358" w:rsidRPr="008C2D33" w:rsidRDefault="00E43358"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"Q. I see. Mr Hofer, did you hear that put to [C2] at any stage?</w:t>
      </w:r>
    </w:p>
    <w:p w14:paraId="095601A2" w14:textId="2D2E67F3" w:rsidR="00E43358" w:rsidRPr="008C2D33" w:rsidRDefault="00E43358"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A. No. It was not.</w:t>
      </w:r>
    </w:p>
    <w:p w14:paraId="6856AB4B" w14:textId="2874E85B" w:rsidR="00E43358" w:rsidRPr="008C2D33" w:rsidRDefault="00E43358"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Q. No it wasn't</w:t>
      </w:r>
      <w:r w:rsidR="00C9077E" w:rsidRPr="008C2D33">
        <w:rPr>
          <w:rFonts w:ascii="Times New Roman" w:hAnsi="Times New Roman"/>
        </w:rPr>
        <w:t>,</w:t>
      </w:r>
      <w:r w:rsidRPr="008C2D33">
        <w:rPr>
          <w:rFonts w:ascii="Times New Roman" w:hAnsi="Times New Roman"/>
        </w:rPr>
        <w:t xml:space="preserve"> was it. Are you just making things up as you go along Mr Hofer?</w:t>
      </w:r>
    </w:p>
    <w:p w14:paraId="32841E1B" w14:textId="23F8F373" w:rsidR="00E43358" w:rsidRPr="008C2D33" w:rsidRDefault="00E43358"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r>
      <w:r w:rsidR="001A098D" w:rsidRPr="008C2D33">
        <w:rPr>
          <w:rFonts w:ascii="Times New Roman" w:hAnsi="Times New Roman"/>
        </w:rPr>
        <w:t>A. No I am not.</w:t>
      </w:r>
    </w:p>
    <w:p w14:paraId="4FE61DE2" w14:textId="76ECE525" w:rsidR="001A098D" w:rsidRPr="008C2D33" w:rsidRDefault="001A098D" w:rsidP="008C2D33">
      <w:pPr>
        <w:pStyle w:val="NormalBody"/>
        <w:spacing w:after="260" w:line="280" w:lineRule="exact"/>
        <w:ind w:left="1440" w:right="0" w:hanging="720"/>
        <w:jc w:val="both"/>
        <w:rPr>
          <w:rFonts w:ascii="Times New Roman" w:hAnsi="Times New Roman"/>
        </w:rPr>
      </w:pPr>
      <w:r w:rsidRPr="008C2D33">
        <w:rPr>
          <w:rFonts w:ascii="Times New Roman" w:hAnsi="Times New Roman"/>
        </w:rPr>
        <w:tab/>
        <w:t xml:space="preserve">Q. Are you simply giving evidence and doing the best you can to meet what can </w:t>
      </w:r>
      <w:r w:rsidR="001029F2" w:rsidRPr="008C2D33">
        <w:rPr>
          <w:rFonts w:ascii="Times New Roman" w:hAnsi="Times New Roman"/>
        </w:rPr>
        <w:t xml:space="preserve">be </w:t>
      </w:r>
      <w:r w:rsidRPr="008C2D33">
        <w:rPr>
          <w:rFonts w:ascii="Times New Roman" w:hAnsi="Times New Roman"/>
        </w:rPr>
        <w:t>objectively proven by the Crown case?"</w:t>
      </w:r>
    </w:p>
    <w:p w14:paraId="18E776F2" w14:textId="2F5067C0" w:rsidR="0070449B" w:rsidRPr="008C2D33" w:rsidRDefault="0070449B" w:rsidP="008C2D33">
      <w:pPr>
        <w:pStyle w:val="NormalBody"/>
        <w:spacing w:after="260" w:line="280" w:lineRule="exact"/>
        <w:ind w:left="720" w:right="0" w:hanging="720"/>
        <w:jc w:val="both"/>
        <w:rPr>
          <w:rFonts w:ascii="Times New Roman" w:hAnsi="Times New Roman"/>
        </w:rPr>
      </w:pPr>
      <w:r w:rsidRPr="008C2D33">
        <w:rPr>
          <w:rFonts w:ascii="Times New Roman" w:hAnsi="Times New Roman"/>
        </w:rPr>
        <w:t>(8)</w:t>
      </w:r>
      <w:r w:rsidR="002950A0" w:rsidRPr="008C2D33">
        <w:rPr>
          <w:rFonts w:ascii="Times New Roman" w:hAnsi="Times New Roman"/>
        </w:rPr>
        <w:tab/>
      </w:r>
      <w:r w:rsidRPr="008C2D33">
        <w:rPr>
          <w:rFonts w:ascii="Times New Roman" w:hAnsi="Times New Roman"/>
        </w:rPr>
        <w:t xml:space="preserve">The appellant denied that he had said to C2, when they first entered the bedroom, "Let's do it". </w:t>
      </w:r>
      <w:r w:rsidR="002950A0" w:rsidRPr="008C2D33">
        <w:rPr>
          <w:rFonts w:ascii="Times New Roman" w:hAnsi="Times New Roman"/>
        </w:rPr>
        <w:t>In cross</w:t>
      </w:r>
      <w:r w:rsidR="002950A0" w:rsidRPr="008C2D33">
        <w:rPr>
          <w:rFonts w:ascii="Times New Roman" w:hAnsi="Times New Roman"/>
        </w:rPr>
        <w:noBreakHyphen/>
        <w:t xml:space="preserve">examination </w:t>
      </w:r>
      <w:r w:rsidR="00E40416" w:rsidRPr="008C2D33">
        <w:rPr>
          <w:rFonts w:ascii="Times New Roman" w:hAnsi="Times New Roman"/>
        </w:rPr>
        <w:t xml:space="preserve">he sought </w:t>
      </w:r>
      <w:r w:rsidRPr="008C2D33">
        <w:rPr>
          <w:rFonts w:ascii="Times New Roman" w:hAnsi="Times New Roman"/>
        </w:rPr>
        <w:t xml:space="preserve">to make </w:t>
      </w:r>
      <w:r w:rsidR="00E40416" w:rsidRPr="008C2D33">
        <w:rPr>
          <w:rFonts w:ascii="Times New Roman" w:hAnsi="Times New Roman"/>
        </w:rPr>
        <w:t xml:space="preserve">the point </w:t>
      </w:r>
      <w:r w:rsidR="00E40416" w:rsidRPr="008C2D33">
        <w:rPr>
          <w:rFonts w:ascii="Times New Roman" w:hAnsi="Times New Roman"/>
        </w:rPr>
        <w:lastRenderedPageBreak/>
        <w:t xml:space="preserve">that </w:t>
      </w:r>
      <w:r w:rsidRPr="008C2D33">
        <w:rPr>
          <w:rFonts w:ascii="Times New Roman" w:hAnsi="Times New Roman"/>
        </w:rPr>
        <w:t xml:space="preserve">this was not the kind of language he would normally use. He </w:t>
      </w:r>
      <w:r w:rsidR="00E40416" w:rsidRPr="008C2D33">
        <w:rPr>
          <w:rFonts w:ascii="Times New Roman" w:hAnsi="Times New Roman"/>
        </w:rPr>
        <w:t xml:space="preserve">said that he </w:t>
      </w:r>
      <w:r w:rsidRPr="008C2D33">
        <w:rPr>
          <w:rFonts w:ascii="Times New Roman" w:hAnsi="Times New Roman"/>
        </w:rPr>
        <w:t xml:space="preserve">believed the police must have coached C2 and also C1 to say these words. It was some time </w:t>
      </w:r>
      <w:r w:rsidR="00321FA7" w:rsidRPr="008C2D33">
        <w:rPr>
          <w:rFonts w:ascii="Times New Roman" w:hAnsi="Times New Roman"/>
        </w:rPr>
        <w:t xml:space="preserve">before the appellant finally agreed that this allegation had not been put to C1 or C2 or any witness </w:t>
      </w:r>
      <w:r w:rsidR="00BB38D2" w:rsidRPr="008C2D33">
        <w:rPr>
          <w:rFonts w:ascii="Times New Roman" w:hAnsi="Times New Roman"/>
        </w:rPr>
        <w:t>for the Crown</w:t>
      </w:r>
      <w:r w:rsidR="0043384C" w:rsidRPr="008C2D33">
        <w:rPr>
          <w:rFonts w:ascii="Times New Roman" w:hAnsi="Times New Roman"/>
        </w:rPr>
        <w:t>.</w:t>
      </w:r>
    </w:p>
    <w:p w14:paraId="1F3C9680" w14:textId="639C0E12" w:rsidR="00CD62CB" w:rsidRPr="008C2D33" w:rsidRDefault="00CD62CB" w:rsidP="008C2D33">
      <w:pPr>
        <w:pStyle w:val="HeadingL1"/>
        <w:spacing w:after="260" w:line="280" w:lineRule="exact"/>
        <w:ind w:right="0"/>
        <w:jc w:val="both"/>
        <w:rPr>
          <w:rFonts w:ascii="Times New Roman" w:hAnsi="Times New Roman"/>
        </w:rPr>
      </w:pPr>
      <w:r w:rsidRPr="008C2D33">
        <w:rPr>
          <w:rFonts w:ascii="Times New Roman" w:hAnsi="Times New Roman"/>
        </w:rPr>
        <w:t>The Crown's closing address</w:t>
      </w:r>
    </w:p>
    <w:p w14:paraId="74D4A2E6" w14:textId="671CE2ED" w:rsidR="00CD62CB" w:rsidRPr="008C2D33" w:rsidRDefault="00CD62CB"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8F7E72" w:rsidRPr="008C2D33">
        <w:rPr>
          <w:rFonts w:ascii="Times New Roman" w:hAnsi="Times New Roman"/>
        </w:rPr>
        <w:t>The closing address of the Crown followed the cross</w:t>
      </w:r>
      <w:r w:rsidR="008F7E72" w:rsidRPr="008C2D33">
        <w:rPr>
          <w:rFonts w:ascii="Times New Roman" w:hAnsi="Times New Roman"/>
        </w:rPr>
        <w:noBreakHyphen/>
        <w:t>examination of the appellant. I</w:t>
      </w:r>
      <w:r w:rsidR="00BB38D2" w:rsidRPr="008C2D33">
        <w:rPr>
          <w:rFonts w:ascii="Times New Roman" w:hAnsi="Times New Roman"/>
        </w:rPr>
        <w:t>n</w:t>
      </w:r>
      <w:r w:rsidR="008F7E72" w:rsidRPr="008C2D33">
        <w:rPr>
          <w:rFonts w:ascii="Times New Roman" w:hAnsi="Times New Roman"/>
        </w:rPr>
        <w:t xml:space="preserve"> discussing the appellant's evidence</w:t>
      </w:r>
      <w:r w:rsidR="003A3FD9" w:rsidRPr="008C2D33">
        <w:rPr>
          <w:rFonts w:ascii="Times New Roman" w:hAnsi="Times New Roman"/>
        </w:rPr>
        <w:t>,</w:t>
      </w:r>
      <w:r w:rsidR="008F7E72" w:rsidRPr="008C2D33">
        <w:rPr>
          <w:rFonts w:ascii="Times New Roman" w:hAnsi="Times New Roman"/>
        </w:rPr>
        <w:t xml:space="preserve"> the prosecutor drew to the attention of the jury</w:t>
      </w:r>
      <w:r w:rsidR="00A37881" w:rsidRPr="008C2D33">
        <w:rPr>
          <w:rFonts w:ascii="Times New Roman" w:hAnsi="Times New Roman"/>
        </w:rPr>
        <w:t xml:space="preserve"> two of the matters referred to above: the appellant's evidence that C1 may have had an orgasm and his evidence that C2</w:t>
      </w:r>
      <w:r w:rsidR="00332AEA" w:rsidRPr="008C2D33">
        <w:rPr>
          <w:rFonts w:ascii="Times New Roman" w:hAnsi="Times New Roman"/>
        </w:rPr>
        <w:t xml:space="preserve"> told him that she was bisexual. He pointed out to the jury that these matters had not </w:t>
      </w:r>
      <w:r w:rsidR="00F151AF" w:rsidRPr="008C2D33">
        <w:rPr>
          <w:rFonts w:ascii="Times New Roman" w:hAnsi="Times New Roman"/>
        </w:rPr>
        <w:t>been put to C1 or C2 for their comment. In the case of the latter evidence</w:t>
      </w:r>
      <w:r w:rsidR="00F33E0C" w:rsidRPr="008C2D33">
        <w:rPr>
          <w:rFonts w:ascii="Times New Roman" w:hAnsi="Times New Roman"/>
        </w:rPr>
        <w:t>,</w:t>
      </w:r>
      <w:r w:rsidR="00F151AF" w:rsidRPr="008C2D33">
        <w:rPr>
          <w:rFonts w:ascii="Times New Roman" w:hAnsi="Times New Roman"/>
        </w:rPr>
        <w:t xml:space="preserve"> he suggested that the jury would accept C2's evidence that she told him that she was a lesbian</w:t>
      </w:r>
      <w:r w:rsidR="0052321D" w:rsidRPr="008C2D33">
        <w:rPr>
          <w:rFonts w:ascii="Times New Roman" w:hAnsi="Times New Roman"/>
        </w:rPr>
        <w:t>.</w:t>
      </w:r>
    </w:p>
    <w:p w14:paraId="6A1CE6AD" w14:textId="3951E72A" w:rsidR="00775312" w:rsidRPr="008C2D33" w:rsidRDefault="00775312"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8543AC" w:rsidRPr="008C2D33">
        <w:rPr>
          <w:rFonts w:ascii="Times New Roman" w:hAnsi="Times New Roman"/>
        </w:rPr>
        <w:t>The trial judge made no mention of those parts of the appellant's cross</w:t>
      </w:r>
      <w:r w:rsidR="008543AC" w:rsidRPr="008C2D33">
        <w:rPr>
          <w:rFonts w:ascii="Times New Roman" w:hAnsi="Times New Roman"/>
        </w:rPr>
        <w:noBreakHyphen/>
        <w:t>examination referred to above. No directions were given as to what the jury was to make of the evidence or what, if any, inferences were to be drawn. No directions of this kind were sought by the Crown or defence counsel.</w:t>
      </w:r>
    </w:p>
    <w:p w14:paraId="1B2B5772" w14:textId="77777777" w:rsidR="002E1E2F" w:rsidRPr="008C2D33" w:rsidRDefault="002E1E2F" w:rsidP="008C2D33">
      <w:pPr>
        <w:pStyle w:val="HeadingL1"/>
        <w:spacing w:after="260" w:line="280" w:lineRule="exact"/>
        <w:ind w:right="0"/>
        <w:jc w:val="both"/>
        <w:rPr>
          <w:rFonts w:ascii="Times New Roman" w:hAnsi="Times New Roman"/>
        </w:rPr>
      </w:pPr>
      <w:r w:rsidRPr="008C2D33">
        <w:rPr>
          <w:rFonts w:ascii="Times New Roman" w:hAnsi="Times New Roman"/>
        </w:rPr>
        <w:t>The rule of practice</w:t>
      </w:r>
    </w:p>
    <w:p w14:paraId="68C66DA1" w14:textId="0B5C0821"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The questions asked by the Crown prosecutor as to matters which had not been put to C1 or C2 for comment are to be understood by reference to the general rule of practice regarding the cross</w:t>
      </w:r>
      <w:r w:rsidRPr="008C2D33">
        <w:rPr>
          <w:rFonts w:ascii="Times New Roman" w:hAnsi="Times New Roman"/>
        </w:rPr>
        <w:noBreakHyphen/>
        <w:t>examination of witnesses of an opposing party. The rule</w:t>
      </w:r>
      <w:r w:rsidRPr="008C2D33">
        <w:rPr>
          <w:rStyle w:val="FootnoteReference"/>
          <w:rFonts w:ascii="Times New Roman" w:hAnsi="Times New Roman"/>
          <w:sz w:val="24"/>
        </w:rPr>
        <w:footnoteReference w:id="2"/>
      </w:r>
      <w:r w:rsidRPr="008C2D33">
        <w:rPr>
          <w:rFonts w:ascii="Times New Roman" w:hAnsi="Times New Roman"/>
        </w:rPr>
        <w:t xml:space="preserve"> requires that where it is intended that the evidence of the witness on a particular matter should not be accepted, that which is to be relied upon to impugn the witness's testimony should be put to the witness by the cross</w:t>
      </w:r>
      <w:r w:rsidRPr="008C2D33">
        <w:rPr>
          <w:rFonts w:ascii="Times New Roman" w:hAnsi="Times New Roman"/>
        </w:rPr>
        <w:noBreakHyphen/>
        <w:t xml:space="preserve">examiner for </w:t>
      </w:r>
      <w:r w:rsidR="00320721" w:rsidRPr="008C2D33">
        <w:rPr>
          <w:rFonts w:ascii="Times New Roman" w:hAnsi="Times New Roman"/>
        </w:rPr>
        <w:t xml:space="preserve">his or her </w:t>
      </w:r>
      <w:r w:rsidRPr="008C2D33">
        <w:rPr>
          <w:rFonts w:ascii="Times New Roman" w:hAnsi="Times New Roman"/>
        </w:rPr>
        <w:t>comment or explanation.</w:t>
      </w:r>
    </w:p>
    <w:p w14:paraId="1F68A2B1" w14:textId="79DA295B"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rule was stated in </w:t>
      </w:r>
      <w:r w:rsidRPr="008C2D33">
        <w:rPr>
          <w:rFonts w:ascii="Times New Roman" w:hAnsi="Times New Roman"/>
          <w:i/>
        </w:rPr>
        <w:t>Browne v Dunn</w:t>
      </w:r>
      <w:r w:rsidRPr="008C2D33">
        <w:rPr>
          <w:rStyle w:val="FootnoteReference"/>
          <w:rFonts w:ascii="Times New Roman" w:hAnsi="Times New Roman"/>
          <w:sz w:val="24"/>
        </w:rPr>
        <w:footnoteReference w:id="3"/>
      </w:r>
      <w:r w:rsidR="001D6A1F" w:rsidRPr="008C2D33">
        <w:rPr>
          <w:rFonts w:ascii="Times New Roman" w:hAnsi="Times New Roman"/>
        </w:rPr>
        <w:t>,</w:t>
      </w:r>
      <w:r w:rsidRPr="008C2D33">
        <w:rPr>
          <w:rFonts w:ascii="Times New Roman" w:hAnsi="Times New Roman"/>
        </w:rPr>
        <w:t xml:space="preserve"> where the issue was whether a document was genuine or a sham. A number of persons who had signed the document were called to give evidence at trial, but it was not suggested to them in cross</w:t>
      </w:r>
      <w:r w:rsidRPr="008C2D33">
        <w:rPr>
          <w:rFonts w:ascii="Times New Roman" w:hAnsi="Times New Roman"/>
        </w:rPr>
        <w:noBreakHyphen/>
        <w:t xml:space="preserve">examination that the document was other than genuine. The House of Lords held that those witnesses should have been given the opportunity to respond to any basis for suggesting to the contrary. The rule was described not only as one of </w:t>
      </w:r>
      <w:r w:rsidRPr="008C2D33">
        <w:rPr>
          <w:rFonts w:ascii="Times New Roman" w:hAnsi="Times New Roman"/>
        </w:rPr>
        <w:lastRenderedPageBreak/>
        <w:t>professional practice but as essential to fairness</w:t>
      </w:r>
      <w:r w:rsidRPr="008C2D33">
        <w:rPr>
          <w:rStyle w:val="FootnoteReference"/>
          <w:rFonts w:ascii="Times New Roman" w:hAnsi="Times New Roman"/>
          <w:sz w:val="24"/>
        </w:rPr>
        <w:footnoteReference w:id="4"/>
      </w:r>
      <w:r w:rsidRPr="008C2D33">
        <w:rPr>
          <w:rFonts w:ascii="Times New Roman" w:hAnsi="Times New Roman"/>
        </w:rPr>
        <w:t xml:space="preserve">. It may be added that adherence to the rule may also be necessary to permit an assessment on the part of the </w:t>
      </w:r>
      <w:r w:rsidR="0014763B" w:rsidRPr="008C2D33">
        <w:rPr>
          <w:rFonts w:ascii="Times New Roman" w:hAnsi="Times New Roman"/>
        </w:rPr>
        <w:t xml:space="preserve">tribunal </w:t>
      </w:r>
      <w:r w:rsidRPr="008C2D33">
        <w:rPr>
          <w:rFonts w:ascii="Times New Roman" w:hAnsi="Times New Roman"/>
        </w:rPr>
        <w:t>of fact of differences or inconsistencies in the accounts given and of the credit of witnesses where that is an issue.</w:t>
      </w:r>
    </w:p>
    <w:p w14:paraId="0C3614AE" w14:textId="0F5B78C2"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Pr="008C2D33">
        <w:rPr>
          <w:rFonts w:ascii="Times New Roman" w:hAnsi="Times New Roman"/>
          <w:i/>
          <w:iCs/>
        </w:rPr>
        <w:t>Browne v Dunn</w:t>
      </w:r>
      <w:r w:rsidRPr="008C2D33">
        <w:rPr>
          <w:rFonts w:ascii="Times New Roman" w:hAnsi="Times New Roman"/>
        </w:rPr>
        <w:t xml:space="preserve"> was a civil proceeding</w:t>
      </w:r>
      <w:r w:rsidR="009C2BD8" w:rsidRPr="008C2D33">
        <w:rPr>
          <w:rFonts w:ascii="Times New Roman" w:hAnsi="Times New Roman"/>
        </w:rPr>
        <w:t>,</w:t>
      </w:r>
      <w:r w:rsidRPr="008C2D33">
        <w:rPr>
          <w:rFonts w:ascii="Times New Roman" w:hAnsi="Times New Roman"/>
        </w:rPr>
        <w:t xml:space="preserve"> which is adversarial in nature. So too is a criminal proceeding. The rule may be regarded as both appropriate to and an important aspect of the adversarial system of justice</w:t>
      </w:r>
      <w:r w:rsidRPr="008C2D33">
        <w:rPr>
          <w:rStyle w:val="FootnoteReference"/>
          <w:rFonts w:ascii="Times New Roman" w:hAnsi="Times New Roman"/>
          <w:sz w:val="24"/>
        </w:rPr>
        <w:footnoteReference w:id="5"/>
      </w:r>
      <w:r w:rsidRPr="008C2D33">
        <w:rPr>
          <w:rFonts w:ascii="Times New Roman" w:hAnsi="Times New Roman"/>
        </w:rPr>
        <w:t xml:space="preserve">. There would seem to be no reason in principle why the requirements of the rule should not be followed in criminal trials. As a general rule, defence counsel should put to witnesses for the Crown for comment any matter of significance which is inconsistent with or contradicts the witness's account and which will be relied upon by the defence. In </w:t>
      </w:r>
      <w:r w:rsidRPr="008C2D33">
        <w:rPr>
          <w:rFonts w:ascii="Times New Roman" w:hAnsi="Times New Roman"/>
          <w:i/>
        </w:rPr>
        <w:t>MWJ v The Queen</w:t>
      </w:r>
      <w:r w:rsidRPr="008C2D33">
        <w:rPr>
          <w:rStyle w:val="FootnoteReference"/>
          <w:rFonts w:ascii="Times New Roman" w:hAnsi="Times New Roman"/>
          <w:sz w:val="24"/>
        </w:rPr>
        <w:footnoteReference w:id="6"/>
      </w:r>
      <w:r w:rsidRPr="008C2D33">
        <w:rPr>
          <w:rFonts w:ascii="Times New Roman" w:hAnsi="Times New Roman"/>
        </w:rPr>
        <w:t>, it was noted that in many</w:t>
      </w:r>
      <w:r w:rsidR="007C3AB3" w:rsidRPr="008C2D33">
        <w:rPr>
          <w:rFonts w:ascii="Times New Roman" w:hAnsi="Times New Roman"/>
        </w:rPr>
        <w:t xml:space="preserve"> </w:t>
      </w:r>
      <w:r w:rsidRPr="008C2D33">
        <w:rPr>
          <w:rFonts w:ascii="Times New Roman" w:hAnsi="Times New Roman"/>
        </w:rPr>
        <w:t>jurisdictions the rule has been held to apply in the administration of criminal justice.</w:t>
      </w:r>
    </w:p>
    <w:p w14:paraId="11C4096B" w14:textId="77777777" w:rsidR="002E1E2F" w:rsidRPr="008C2D33" w:rsidRDefault="002E1E2F" w:rsidP="008C2D33">
      <w:pPr>
        <w:pStyle w:val="HeadingL1"/>
        <w:spacing w:after="260" w:line="280" w:lineRule="exact"/>
        <w:ind w:right="0"/>
        <w:jc w:val="both"/>
        <w:rPr>
          <w:rFonts w:ascii="Times New Roman" w:hAnsi="Times New Roman"/>
        </w:rPr>
      </w:pPr>
      <w:r w:rsidRPr="008C2D33">
        <w:rPr>
          <w:rFonts w:ascii="Times New Roman" w:hAnsi="Times New Roman"/>
        </w:rPr>
        <w:t>Non-observance of the rule and cross</w:t>
      </w:r>
      <w:r w:rsidRPr="008C2D33">
        <w:rPr>
          <w:rFonts w:ascii="Times New Roman" w:hAnsi="Times New Roman"/>
        </w:rPr>
        <w:noBreakHyphen/>
        <w:t>examination</w:t>
      </w:r>
    </w:p>
    <w:p w14:paraId="28A9F5CF" w14:textId="50CA8398"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The difficulty respecting the rule in criminal proceedings arises not so much from adherence to it as from the proper course to be followed when it is not observed. Criminal proceedings are not only adversarial. In our system of criminal justice</w:t>
      </w:r>
      <w:r w:rsidR="008F623A" w:rsidRPr="008C2D33">
        <w:rPr>
          <w:rFonts w:ascii="Times New Roman" w:hAnsi="Times New Roman"/>
        </w:rPr>
        <w:t>,</w:t>
      </w:r>
      <w:r w:rsidRPr="008C2D33">
        <w:rPr>
          <w:rFonts w:ascii="Times New Roman" w:hAnsi="Times New Roman"/>
        </w:rPr>
        <w:t xml:space="preserve"> they are also accusatorial in nature, which requires that the Crown prove its case and cannot require an accused to assist in doing so</w:t>
      </w:r>
      <w:r w:rsidRPr="008C2D33">
        <w:rPr>
          <w:rStyle w:val="FootnoteReference"/>
          <w:rFonts w:ascii="Times New Roman" w:hAnsi="Times New Roman"/>
          <w:sz w:val="24"/>
        </w:rPr>
        <w:footnoteReference w:id="7"/>
      </w:r>
      <w:r w:rsidRPr="008C2D33">
        <w:rPr>
          <w:rFonts w:ascii="Times New Roman" w:hAnsi="Times New Roman"/>
        </w:rPr>
        <w:t>. The position of an accused person</w:t>
      </w:r>
      <w:r w:rsidR="009564E1" w:rsidRPr="008C2D33">
        <w:rPr>
          <w:rFonts w:ascii="Times New Roman" w:hAnsi="Times New Roman"/>
        </w:rPr>
        <w:t>,</w:t>
      </w:r>
      <w:r w:rsidRPr="008C2D33">
        <w:rPr>
          <w:rFonts w:ascii="Times New Roman" w:hAnsi="Times New Roman"/>
        </w:rPr>
        <w:t xml:space="preserve"> who bears no onus of proof</w:t>
      </w:r>
      <w:r w:rsidR="009564E1" w:rsidRPr="008C2D33">
        <w:rPr>
          <w:rFonts w:ascii="Times New Roman" w:hAnsi="Times New Roman"/>
        </w:rPr>
        <w:t>,</w:t>
      </w:r>
      <w:r w:rsidRPr="008C2D33">
        <w:rPr>
          <w:rFonts w:ascii="Times New Roman" w:hAnsi="Times New Roman"/>
        </w:rPr>
        <w:t xml:space="preserve"> cannot be equated with that of a defendant in civil proceedings</w:t>
      </w:r>
      <w:r w:rsidRPr="008C2D33">
        <w:rPr>
          <w:rStyle w:val="FootnoteReference"/>
          <w:rFonts w:ascii="Times New Roman" w:hAnsi="Times New Roman"/>
          <w:sz w:val="24"/>
        </w:rPr>
        <w:footnoteReference w:id="8"/>
      </w:r>
      <w:r w:rsidRPr="008C2D33">
        <w:rPr>
          <w:rFonts w:ascii="Times New Roman" w:hAnsi="Times New Roman"/>
        </w:rPr>
        <w:t>. Moreover</w:t>
      </w:r>
      <w:r w:rsidR="00A667F3" w:rsidRPr="008C2D33">
        <w:rPr>
          <w:rFonts w:ascii="Times New Roman" w:hAnsi="Times New Roman"/>
        </w:rPr>
        <w:t>,</w:t>
      </w:r>
      <w:r w:rsidRPr="008C2D33">
        <w:rPr>
          <w:rFonts w:ascii="Times New Roman" w:hAnsi="Times New Roman"/>
        </w:rPr>
        <w:t xml:space="preserve"> fairness in the conduct of a criminal trial may have a different practical content</w:t>
      </w:r>
      <w:r w:rsidRPr="008C2D33">
        <w:rPr>
          <w:rStyle w:val="FootnoteReference"/>
          <w:rFonts w:ascii="Times New Roman" w:hAnsi="Times New Roman"/>
          <w:sz w:val="24"/>
        </w:rPr>
        <w:footnoteReference w:id="9"/>
      </w:r>
      <w:r w:rsidRPr="008C2D33">
        <w:rPr>
          <w:rFonts w:ascii="Times New Roman" w:hAnsi="Times New Roman"/>
        </w:rPr>
        <w:t xml:space="preserve"> and require more restraint on the part of a prosecutor.</w:t>
      </w:r>
    </w:p>
    <w:p w14:paraId="1B47D8EC" w14:textId="2E860319"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lastRenderedPageBreak/>
        <w:tab/>
        <w:t xml:space="preserve">The need for consideration to be given to the course to be taken </w:t>
      </w:r>
      <w:r w:rsidR="00594B0B" w:rsidRPr="008C2D33">
        <w:rPr>
          <w:rFonts w:ascii="Times New Roman" w:hAnsi="Times New Roman"/>
        </w:rPr>
        <w:t xml:space="preserve">when the rule is not observed </w:t>
      </w:r>
      <w:r w:rsidRPr="008C2D33">
        <w:rPr>
          <w:rFonts w:ascii="Times New Roman" w:hAnsi="Times New Roman"/>
        </w:rPr>
        <w:t>is likely to arise more often in criminal proceedings. In modern civil proceedings witness statements for each party are exchanged before trial. As a consequence</w:t>
      </w:r>
      <w:r w:rsidR="002F1769" w:rsidRPr="008C2D33">
        <w:rPr>
          <w:rFonts w:ascii="Times New Roman" w:hAnsi="Times New Roman"/>
        </w:rPr>
        <w:t>,</w:t>
      </w:r>
      <w:r w:rsidRPr="008C2D33">
        <w:rPr>
          <w:rFonts w:ascii="Times New Roman" w:hAnsi="Times New Roman"/>
        </w:rPr>
        <w:t xml:space="preserve"> there is less likelihood that matters which are to be relied upon will not be addressed in some way. Contrast criminal proceedings</w:t>
      </w:r>
      <w:r w:rsidR="002700E0" w:rsidRPr="008C2D33">
        <w:rPr>
          <w:rFonts w:ascii="Times New Roman" w:hAnsi="Times New Roman"/>
        </w:rPr>
        <w:t>,</w:t>
      </w:r>
      <w:r w:rsidRPr="008C2D33">
        <w:rPr>
          <w:rFonts w:ascii="Times New Roman" w:hAnsi="Times New Roman"/>
        </w:rPr>
        <w:t xml:space="preserve"> where it is not uncommon for matters which have not been put to the appropriate Crown witness to emerge from the evidence of an accused person</w:t>
      </w:r>
      <w:r w:rsidRPr="008C2D33">
        <w:rPr>
          <w:rStyle w:val="FootnoteReference"/>
          <w:rFonts w:ascii="Times New Roman" w:hAnsi="Times New Roman"/>
          <w:sz w:val="24"/>
        </w:rPr>
        <w:footnoteReference w:id="10"/>
      </w:r>
      <w:r w:rsidRPr="008C2D33">
        <w:rPr>
          <w:rFonts w:ascii="Times New Roman" w:hAnsi="Times New Roman"/>
        </w:rPr>
        <w:t>, including during the course of cross</w:t>
      </w:r>
      <w:r w:rsidRPr="008C2D33">
        <w:rPr>
          <w:rFonts w:ascii="Times New Roman" w:hAnsi="Times New Roman"/>
        </w:rPr>
        <w:noBreakHyphen/>
        <w:t>examination.</w:t>
      </w:r>
    </w:p>
    <w:p w14:paraId="2E599D98" w14:textId="7B4D2823"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An obvious course which may be taken is to recall the witness so that the omission can be corrected. This may be preferable and may be undertaken without injustice, depending on the course the trial has taken</w:t>
      </w:r>
      <w:r w:rsidRPr="008C2D33">
        <w:rPr>
          <w:rStyle w:val="FootnoteReference"/>
          <w:rFonts w:ascii="Times New Roman" w:hAnsi="Times New Roman"/>
          <w:sz w:val="24"/>
        </w:rPr>
        <w:footnoteReference w:id="11"/>
      </w:r>
      <w:r w:rsidRPr="008C2D33">
        <w:rPr>
          <w:rFonts w:ascii="Times New Roman" w:hAnsi="Times New Roman"/>
        </w:rPr>
        <w:t>. But a review of cases decided by the courts in New South Wales</w:t>
      </w:r>
      <w:r w:rsidRPr="008C2D33">
        <w:rPr>
          <w:rStyle w:val="FootnoteReference"/>
          <w:rFonts w:ascii="Times New Roman" w:hAnsi="Times New Roman"/>
          <w:sz w:val="24"/>
        </w:rPr>
        <w:footnoteReference w:id="12"/>
      </w:r>
      <w:r w:rsidRPr="008C2D33">
        <w:rPr>
          <w:rFonts w:ascii="Times New Roman" w:hAnsi="Times New Roman"/>
        </w:rPr>
        <w:t xml:space="preserve"> shows that the course sometimes </w:t>
      </w:r>
      <w:r w:rsidR="00643BEF" w:rsidRPr="008C2D33">
        <w:rPr>
          <w:rFonts w:ascii="Times New Roman" w:hAnsi="Times New Roman"/>
        </w:rPr>
        <w:t xml:space="preserve">taken </w:t>
      </w:r>
      <w:r w:rsidRPr="008C2D33">
        <w:rPr>
          <w:rFonts w:ascii="Times New Roman" w:hAnsi="Times New Roman"/>
        </w:rPr>
        <w:t>by the prosecution is to cross</w:t>
      </w:r>
      <w:r w:rsidRPr="008C2D33">
        <w:rPr>
          <w:rFonts w:ascii="Times New Roman" w:hAnsi="Times New Roman"/>
        </w:rPr>
        <w:noBreakHyphen/>
        <w:t>examine the accused as to the omission. The cross</w:t>
      </w:r>
      <w:r w:rsidRPr="008C2D33">
        <w:rPr>
          <w:rFonts w:ascii="Times New Roman" w:hAnsi="Times New Roman"/>
        </w:rPr>
        <w:noBreakHyphen/>
        <w:t>examination undertaken is not limited to drawing the attention of the accused to the fact of the omission, so as to highlight the matter for the jury. It extends to the reason for the omission. The evident purpose of the cross</w:t>
      </w:r>
      <w:r w:rsidRPr="008C2D33">
        <w:rPr>
          <w:rFonts w:ascii="Times New Roman" w:hAnsi="Times New Roman"/>
        </w:rPr>
        <w:noBreakHyphen/>
        <w:t xml:space="preserve">examination is to impugn the credit of the accused by suggesting that the matter is of recent invention. As Gleeson CJ observed in </w:t>
      </w:r>
      <w:r w:rsidRPr="008C2D33">
        <w:rPr>
          <w:rFonts w:ascii="Times New Roman" w:hAnsi="Times New Roman"/>
          <w:i/>
        </w:rPr>
        <w:t>R v Birks</w:t>
      </w:r>
      <w:r w:rsidRPr="008C2D33">
        <w:rPr>
          <w:rStyle w:val="FootnoteReference"/>
          <w:rFonts w:ascii="Times New Roman" w:hAnsi="Times New Roman"/>
          <w:sz w:val="24"/>
        </w:rPr>
        <w:footnoteReference w:id="13"/>
      </w:r>
      <w:r w:rsidRPr="008C2D33">
        <w:rPr>
          <w:rFonts w:ascii="Times New Roman" w:hAnsi="Times New Roman"/>
        </w:rPr>
        <w:t xml:space="preserve">, it is one thing </w:t>
      </w:r>
      <w:r w:rsidR="00FE4C9B" w:rsidRPr="008C2D33">
        <w:rPr>
          <w:rFonts w:ascii="Times New Roman" w:hAnsi="Times New Roman"/>
        </w:rPr>
        <w:t>for the cross</w:t>
      </w:r>
      <w:r w:rsidR="00F31399" w:rsidRPr="008C2D33">
        <w:rPr>
          <w:rFonts w:ascii="Times New Roman" w:hAnsi="Times New Roman"/>
        </w:rPr>
        <w:noBreakHyphen/>
      </w:r>
      <w:r w:rsidR="00FE4C9B" w:rsidRPr="008C2D33">
        <w:rPr>
          <w:rFonts w:ascii="Times New Roman" w:hAnsi="Times New Roman"/>
        </w:rPr>
        <w:t xml:space="preserve">examiner </w:t>
      </w:r>
      <w:r w:rsidRPr="008C2D33">
        <w:rPr>
          <w:rFonts w:ascii="Times New Roman" w:hAnsi="Times New Roman"/>
        </w:rPr>
        <w:t>to point to the unfairness to a witness who has not had the opportunity to comment, it is quite another to suggest that the result of a failure to observe the rule of practice is that a person should not be believed.</w:t>
      </w:r>
    </w:p>
    <w:p w14:paraId="3EFF8B1D" w14:textId="6332EB48"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The reasoning behind a decision to cross</w:t>
      </w:r>
      <w:r w:rsidRPr="008C2D33">
        <w:rPr>
          <w:rFonts w:ascii="Times New Roman" w:hAnsi="Times New Roman"/>
        </w:rPr>
        <w:noBreakHyphen/>
        <w:t xml:space="preserve">examine the accused in pursuit of this purpose may readily be inferred. It commences with the fact that a matter is not put by defence counsel; it assumes that the reason for the omission is that counsel was unaware of the matter and that counsel was unaware because the </w:t>
      </w:r>
      <w:r w:rsidR="00153CE6" w:rsidRPr="008C2D33">
        <w:rPr>
          <w:rFonts w:ascii="Times New Roman" w:hAnsi="Times New Roman"/>
        </w:rPr>
        <w:t xml:space="preserve">accused </w:t>
      </w:r>
      <w:r w:rsidR="00C32800" w:rsidRPr="008C2D33">
        <w:rPr>
          <w:rFonts w:ascii="Times New Roman" w:hAnsi="Times New Roman"/>
        </w:rPr>
        <w:t xml:space="preserve">had </w:t>
      </w:r>
      <w:r w:rsidRPr="008C2D33">
        <w:rPr>
          <w:rFonts w:ascii="Times New Roman" w:hAnsi="Times New Roman"/>
        </w:rPr>
        <w:t>not given an account of it in his</w:t>
      </w:r>
      <w:r w:rsidR="00D23C72" w:rsidRPr="008C2D33">
        <w:rPr>
          <w:rFonts w:ascii="Times New Roman" w:hAnsi="Times New Roman"/>
        </w:rPr>
        <w:t xml:space="preserve"> or her</w:t>
      </w:r>
      <w:r w:rsidRPr="008C2D33">
        <w:rPr>
          <w:rFonts w:ascii="Times New Roman" w:hAnsi="Times New Roman"/>
        </w:rPr>
        <w:t xml:space="preserve"> instructions. The conclusion reached is that the accused must now be making the evidence up.</w:t>
      </w:r>
    </w:p>
    <w:p w14:paraId="6C88A888" w14:textId="6921FD1C"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w:t>
      </w:r>
      <w:r w:rsidRPr="008C2D33">
        <w:rPr>
          <w:rFonts w:ascii="Times New Roman" w:hAnsi="Times New Roman"/>
          <w:i/>
        </w:rPr>
        <w:t xml:space="preserve">R v </w:t>
      </w:r>
      <w:proofErr w:type="spellStart"/>
      <w:r w:rsidRPr="008C2D33">
        <w:rPr>
          <w:rFonts w:ascii="Times New Roman" w:hAnsi="Times New Roman"/>
          <w:i/>
        </w:rPr>
        <w:t>Manunta</w:t>
      </w:r>
      <w:proofErr w:type="spellEnd"/>
      <w:r w:rsidRPr="008C2D33">
        <w:rPr>
          <w:rStyle w:val="FootnoteReference"/>
          <w:rFonts w:ascii="Times New Roman" w:hAnsi="Times New Roman"/>
          <w:sz w:val="24"/>
        </w:rPr>
        <w:footnoteReference w:id="14"/>
      </w:r>
      <w:r w:rsidRPr="008C2D33">
        <w:rPr>
          <w:rFonts w:ascii="Times New Roman" w:hAnsi="Times New Roman"/>
        </w:rPr>
        <w:t xml:space="preserve">, King CJ observed that an examination of an accused person which proceeds by reference to there being but one reason why a matter has not been put to a witness is "fraught with peril". As his Honour there observed, </w:t>
      </w:r>
      <w:r w:rsidRPr="008C2D33">
        <w:rPr>
          <w:rFonts w:ascii="Times New Roman" w:hAnsi="Times New Roman"/>
        </w:rPr>
        <w:lastRenderedPageBreak/>
        <w:t>there may be many explanations for the omission which do not reflect upon the credibility of the accused. His Honour gave as examples defence counsel misunderstanding the accused's instructions or where forensic pressures may have resulted in looseness in the framing of questions. To these may be added the possibility that defence counsel has chosen not to advance certain matters upon which he or she had instructions because they were unlikely to assist the defence.</w:t>
      </w:r>
    </w:p>
    <w:p w14:paraId="51B650CE" w14:textId="77777777"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Where there remains a number of possible explanations as to why a matter was not put to a witness, there is no proper basis for a line of questioning directed to impugning the credit of an accused. Except in the clearest of cases, where there are clear indications of recent invention, an accused person should not be subjected to this kind of questioning. The potential for prejudice to an accused is obvious.</w:t>
      </w:r>
    </w:p>
    <w:p w14:paraId="5A46E226" w14:textId="16B2A3D1"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Proceeding on the basis of a mere assumption as to lack of instructions is likely to be productive of further unfairness in the course of the cross</w:t>
      </w:r>
      <w:r w:rsidRPr="008C2D33">
        <w:rPr>
          <w:rFonts w:ascii="Times New Roman" w:hAnsi="Times New Roman"/>
        </w:rPr>
        <w:noBreakHyphen/>
        <w:t>examination. The assumption will inevitably lead to impermissible questions of the accused, put expressly or arising implicitly, as to the actual instructions he or she gave</w:t>
      </w:r>
      <w:r w:rsidRPr="008C2D33">
        <w:rPr>
          <w:rStyle w:val="FootnoteReference"/>
          <w:rFonts w:ascii="Times New Roman" w:hAnsi="Times New Roman"/>
          <w:sz w:val="24"/>
        </w:rPr>
        <w:footnoteReference w:id="15"/>
      </w:r>
      <w:r w:rsidRPr="008C2D33">
        <w:rPr>
          <w:rFonts w:ascii="Times New Roman" w:hAnsi="Times New Roman"/>
        </w:rPr>
        <w:t>. An accused person faced with questioning of this kind is likely to feel obliged to attempt to explain by reference to the instructions he or she in fact gave when in reality the accused carries no such onus. Questioning of this kind may result in the need for counsel or the solicitor for the defence having to disclose those instructions. This is a circumstance which should not arise.</w:t>
      </w:r>
    </w:p>
    <w:p w14:paraId="6C5EBA8C" w14:textId="57F80472"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In most cases</w:t>
      </w:r>
      <w:r w:rsidR="001C6C21" w:rsidRPr="008C2D33">
        <w:rPr>
          <w:rFonts w:ascii="Times New Roman" w:hAnsi="Times New Roman"/>
        </w:rPr>
        <w:t>,</w:t>
      </w:r>
      <w:r w:rsidRPr="008C2D33">
        <w:rPr>
          <w:rFonts w:ascii="Times New Roman" w:hAnsi="Times New Roman"/>
        </w:rPr>
        <w:t xml:space="preserve"> the cross</w:t>
      </w:r>
      <w:r w:rsidRPr="008C2D33">
        <w:rPr>
          <w:rFonts w:ascii="Times New Roman" w:hAnsi="Times New Roman"/>
        </w:rPr>
        <w:noBreakHyphen/>
        <w:t xml:space="preserve">examination will have a dual purpose. It will be concerned </w:t>
      </w:r>
      <w:r w:rsidR="00624B28" w:rsidRPr="008C2D33">
        <w:rPr>
          <w:rFonts w:ascii="Times New Roman" w:hAnsi="Times New Roman"/>
        </w:rPr>
        <w:t xml:space="preserve">with </w:t>
      </w:r>
      <w:r w:rsidRPr="008C2D33">
        <w:rPr>
          <w:rFonts w:ascii="Times New Roman" w:hAnsi="Times New Roman"/>
        </w:rPr>
        <w:t>identify</w:t>
      </w:r>
      <w:r w:rsidR="001C6C21" w:rsidRPr="008C2D33">
        <w:rPr>
          <w:rFonts w:ascii="Times New Roman" w:hAnsi="Times New Roman"/>
        </w:rPr>
        <w:t>ing</w:t>
      </w:r>
      <w:r w:rsidRPr="008C2D33">
        <w:rPr>
          <w:rFonts w:ascii="Times New Roman" w:hAnsi="Times New Roman"/>
        </w:rPr>
        <w:t xml:space="preserve"> unfairness to a Crown witness as well as seeking to have the accused's evidence disbelieved. Where it has the sole purpose of impugning the credit of the accused it will be necessary for leave to be sought from the trial judge</w:t>
      </w:r>
      <w:r w:rsidRPr="008C2D33">
        <w:rPr>
          <w:rStyle w:val="FootnoteReference"/>
          <w:rFonts w:ascii="Times New Roman" w:hAnsi="Times New Roman"/>
          <w:sz w:val="24"/>
        </w:rPr>
        <w:footnoteReference w:id="16"/>
      </w:r>
      <w:r w:rsidRPr="008C2D33">
        <w:rPr>
          <w:rFonts w:ascii="Times New Roman" w:hAnsi="Times New Roman"/>
        </w:rPr>
        <w:t>. The discussion which will inevitably take place on such an application will point up the risks associated with the course proposed.</w:t>
      </w:r>
    </w:p>
    <w:p w14:paraId="09277889" w14:textId="5D77055D"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A trial judge should be alert to the problems associated with cross</w:t>
      </w:r>
      <w:r w:rsidRPr="008C2D33">
        <w:rPr>
          <w:rFonts w:ascii="Times New Roman" w:hAnsi="Times New Roman"/>
        </w:rPr>
        <w:noBreakHyphen/>
        <w:t>examination. They should be raised with counsel at an early point. Where the cross</w:t>
      </w:r>
      <w:r w:rsidRPr="008C2D33">
        <w:rPr>
          <w:rFonts w:ascii="Times New Roman" w:hAnsi="Times New Roman"/>
        </w:rPr>
        <w:noBreakHyphen/>
        <w:t>examination has occurred</w:t>
      </w:r>
      <w:r w:rsidR="009A7D3F" w:rsidRPr="008C2D33">
        <w:rPr>
          <w:rFonts w:ascii="Times New Roman" w:hAnsi="Times New Roman"/>
        </w:rPr>
        <w:t>,</w:t>
      </w:r>
      <w:r w:rsidRPr="008C2D33">
        <w:rPr>
          <w:rFonts w:ascii="Times New Roman" w:hAnsi="Times New Roman"/>
        </w:rPr>
        <w:t xml:space="preserve"> it will be necessary for the trial judge to warn the jury about any assumption made by the cross</w:t>
      </w:r>
      <w:r w:rsidRPr="008C2D33">
        <w:rPr>
          <w:rFonts w:ascii="Times New Roman" w:hAnsi="Times New Roman"/>
        </w:rPr>
        <w:noBreakHyphen/>
        <w:t xml:space="preserve">examiner, to draw attention to the possible reasons why the matter has not been put and </w:t>
      </w:r>
      <w:r w:rsidR="006414E3" w:rsidRPr="008C2D33">
        <w:rPr>
          <w:rFonts w:ascii="Times New Roman" w:hAnsi="Times New Roman"/>
        </w:rPr>
        <w:t xml:space="preserve">to </w:t>
      </w:r>
      <w:r w:rsidRPr="008C2D33">
        <w:rPr>
          <w:rFonts w:ascii="Times New Roman" w:hAnsi="Times New Roman"/>
        </w:rPr>
        <w:t>direct the jury as to whether any inferences are available.</w:t>
      </w:r>
    </w:p>
    <w:p w14:paraId="4A47D3FF" w14:textId="4AD74AAA" w:rsidR="002E1E2F" w:rsidRPr="008C2D33" w:rsidRDefault="002E1E2F" w:rsidP="008C2D33">
      <w:pPr>
        <w:pStyle w:val="HeadingL1"/>
        <w:spacing w:after="260" w:line="280" w:lineRule="exact"/>
        <w:ind w:right="0"/>
        <w:jc w:val="both"/>
        <w:rPr>
          <w:rFonts w:ascii="Times New Roman" w:hAnsi="Times New Roman"/>
        </w:rPr>
      </w:pPr>
      <w:r w:rsidRPr="008C2D33">
        <w:rPr>
          <w:rFonts w:ascii="Times New Roman" w:hAnsi="Times New Roman"/>
        </w:rPr>
        <w:lastRenderedPageBreak/>
        <w:t xml:space="preserve">The Court of Criminal Appeal </w:t>
      </w:r>
      <w:r w:rsidR="006B0F9B" w:rsidRPr="008C2D33">
        <w:rPr>
          <w:rFonts w:ascii="Times New Roman" w:hAnsi="Times New Roman"/>
        </w:rPr>
        <w:t>–</w:t>
      </w:r>
      <w:r w:rsidRPr="008C2D33">
        <w:rPr>
          <w:rFonts w:ascii="Times New Roman" w:hAnsi="Times New Roman"/>
        </w:rPr>
        <w:t xml:space="preserve"> miscarriage of justice</w:t>
      </w:r>
    </w:p>
    <w:p w14:paraId="409CA844" w14:textId="74A4D928"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The majority in the Court of Criminal Appeal (Fullerton and Fagan JJ) considered that a miscarriage will not inevitably follow where there has been no basis for a cross</w:t>
      </w:r>
      <w:r w:rsidRPr="008C2D33">
        <w:rPr>
          <w:rFonts w:ascii="Times New Roman" w:hAnsi="Times New Roman"/>
        </w:rPr>
        <w:noBreakHyphen/>
        <w:t>examination of this kind. Their Honours correctly observed that consideration must be given to its effect on the trial</w:t>
      </w:r>
      <w:r w:rsidRPr="008C2D33">
        <w:rPr>
          <w:rStyle w:val="FootnoteReference"/>
          <w:rFonts w:ascii="Times New Roman" w:hAnsi="Times New Roman"/>
          <w:sz w:val="24"/>
        </w:rPr>
        <w:footnoteReference w:id="17"/>
      </w:r>
      <w:r w:rsidRPr="008C2D33">
        <w:rPr>
          <w:rFonts w:ascii="Times New Roman" w:hAnsi="Times New Roman"/>
        </w:rPr>
        <w:t xml:space="preserve">. </w:t>
      </w:r>
      <w:r w:rsidR="00D478E9" w:rsidRPr="008C2D33">
        <w:rPr>
          <w:rFonts w:ascii="Times New Roman" w:hAnsi="Times New Roman"/>
        </w:rPr>
        <w:t>Fagan J</w:t>
      </w:r>
      <w:r w:rsidRPr="008C2D33">
        <w:rPr>
          <w:rFonts w:ascii="Times New Roman" w:hAnsi="Times New Roman"/>
        </w:rPr>
        <w:t xml:space="preserve"> considered that the questioning had been limited, inconclusive and ineffectual and was not followed by an invitation to infer fabrication</w:t>
      </w:r>
      <w:r w:rsidRPr="008C2D33">
        <w:rPr>
          <w:rStyle w:val="FootnoteReference"/>
          <w:rFonts w:ascii="Times New Roman" w:hAnsi="Times New Roman"/>
          <w:sz w:val="24"/>
        </w:rPr>
        <w:footnoteReference w:id="18"/>
      </w:r>
      <w:r w:rsidRPr="008C2D33">
        <w:rPr>
          <w:rFonts w:ascii="Times New Roman" w:hAnsi="Times New Roman"/>
        </w:rPr>
        <w:t>. There was no repeated suggestion of recent invention and the jury were never told why it mattered if defence counsel had failed to put the matters in question</w:t>
      </w:r>
      <w:r w:rsidRPr="008C2D33">
        <w:rPr>
          <w:rStyle w:val="FootnoteReference"/>
          <w:rFonts w:ascii="Times New Roman" w:hAnsi="Times New Roman"/>
          <w:sz w:val="24"/>
        </w:rPr>
        <w:footnoteReference w:id="19"/>
      </w:r>
      <w:r w:rsidRPr="008C2D33">
        <w:rPr>
          <w:rFonts w:ascii="Times New Roman" w:hAnsi="Times New Roman"/>
        </w:rPr>
        <w:t xml:space="preserve">. </w:t>
      </w:r>
      <w:r w:rsidR="009A7D3F" w:rsidRPr="008C2D33">
        <w:rPr>
          <w:rFonts w:ascii="Times New Roman" w:hAnsi="Times New Roman"/>
        </w:rPr>
        <w:t>The</w:t>
      </w:r>
      <w:r w:rsidR="00931CC8" w:rsidRPr="008C2D33">
        <w:rPr>
          <w:rFonts w:ascii="Times New Roman" w:hAnsi="Times New Roman"/>
        </w:rPr>
        <w:t xml:space="preserve"> majority </w:t>
      </w:r>
      <w:r w:rsidR="009A7D3F" w:rsidRPr="008C2D33">
        <w:rPr>
          <w:rFonts w:ascii="Times New Roman" w:hAnsi="Times New Roman"/>
        </w:rPr>
        <w:t xml:space="preserve">concluded there </w:t>
      </w:r>
      <w:r w:rsidRPr="008C2D33">
        <w:rPr>
          <w:rFonts w:ascii="Times New Roman" w:hAnsi="Times New Roman"/>
        </w:rPr>
        <w:t>was therefore no miscarriage of justice.</w:t>
      </w:r>
    </w:p>
    <w:p w14:paraId="54F00F3F" w14:textId="337913EE"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r>
      <w:proofErr w:type="spellStart"/>
      <w:r w:rsidRPr="008C2D33">
        <w:rPr>
          <w:rFonts w:ascii="Times New Roman" w:hAnsi="Times New Roman"/>
        </w:rPr>
        <w:t>Macfarlan</w:t>
      </w:r>
      <w:proofErr w:type="spellEnd"/>
      <w:r w:rsidRPr="008C2D33">
        <w:rPr>
          <w:rFonts w:ascii="Times New Roman" w:hAnsi="Times New Roman"/>
        </w:rPr>
        <w:t xml:space="preserve"> JA, in dissent, held that there was no basis for the questioning by the Crown, </w:t>
      </w:r>
      <w:r w:rsidR="00675321" w:rsidRPr="008C2D33">
        <w:rPr>
          <w:rFonts w:ascii="Times New Roman" w:hAnsi="Times New Roman"/>
        </w:rPr>
        <w:t>impliedly as to the</w:t>
      </w:r>
      <w:r w:rsidRPr="008C2D33">
        <w:rPr>
          <w:rFonts w:ascii="Times New Roman" w:hAnsi="Times New Roman"/>
        </w:rPr>
        <w:t xml:space="preserve"> lack of instructions </w:t>
      </w:r>
      <w:r w:rsidR="00FE7FD1" w:rsidRPr="008C2D33">
        <w:rPr>
          <w:rFonts w:ascii="Times New Roman" w:hAnsi="Times New Roman"/>
        </w:rPr>
        <w:t>by</w:t>
      </w:r>
      <w:r w:rsidR="00B015F0" w:rsidRPr="008C2D33">
        <w:rPr>
          <w:rFonts w:ascii="Times New Roman" w:hAnsi="Times New Roman"/>
        </w:rPr>
        <w:t xml:space="preserve"> </w:t>
      </w:r>
      <w:r w:rsidRPr="008C2D33">
        <w:rPr>
          <w:rFonts w:ascii="Times New Roman" w:hAnsi="Times New Roman"/>
        </w:rPr>
        <w:t>the appellant. Defence counsel may well have though</w:t>
      </w:r>
      <w:r w:rsidR="0033722B" w:rsidRPr="008C2D33">
        <w:rPr>
          <w:rFonts w:ascii="Times New Roman" w:hAnsi="Times New Roman"/>
        </w:rPr>
        <w:t>t</w:t>
      </w:r>
      <w:r w:rsidRPr="008C2D33">
        <w:rPr>
          <w:rFonts w:ascii="Times New Roman" w:hAnsi="Times New Roman"/>
        </w:rPr>
        <w:t xml:space="preserve"> </w:t>
      </w:r>
      <w:r w:rsidR="00EE2A1B" w:rsidRPr="008C2D33">
        <w:rPr>
          <w:rFonts w:ascii="Times New Roman" w:hAnsi="Times New Roman"/>
        </w:rPr>
        <w:t xml:space="preserve">that </w:t>
      </w:r>
      <w:r w:rsidR="00FD64A9" w:rsidRPr="008C2D33">
        <w:rPr>
          <w:rFonts w:ascii="Times New Roman" w:hAnsi="Times New Roman"/>
        </w:rPr>
        <w:t xml:space="preserve">putting </w:t>
      </w:r>
      <w:r w:rsidR="0049222A" w:rsidRPr="008C2D33">
        <w:rPr>
          <w:rFonts w:ascii="Times New Roman" w:hAnsi="Times New Roman"/>
        </w:rPr>
        <w:t>the matters to</w:t>
      </w:r>
      <w:r w:rsidR="0003102C" w:rsidRPr="008C2D33">
        <w:rPr>
          <w:rFonts w:ascii="Times New Roman" w:hAnsi="Times New Roman"/>
        </w:rPr>
        <w:t xml:space="preserve"> the complainants</w:t>
      </w:r>
      <w:r w:rsidR="00FD64A9" w:rsidRPr="008C2D33">
        <w:rPr>
          <w:rFonts w:ascii="Times New Roman" w:hAnsi="Times New Roman"/>
        </w:rPr>
        <w:t xml:space="preserve"> </w:t>
      </w:r>
      <w:r w:rsidRPr="008C2D33">
        <w:rPr>
          <w:rFonts w:ascii="Times New Roman" w:hAnsi="Times New Roman"/>
        </w:rPr>
        <w:t>was counter</w:t>
      </w:r>
      <w:r w:rsidRPr="008C2D33">
        <w:rPr>
          <w:rFonts w:ascii="Times New Roman" w:hAnsi="Times New Roman"/>
        </w:rPr>
        <w:noBreakHyphen/>
        <w:t>productive. The impermissible questions took up a significant part of the cross</w:t>
      </w:r>
      <w:r w:rsidRPr="008C2D33">
        <w:rPr>
          <w:rFonts w:ascii="Times New Roman" w:hAnsi="Times New Roman"/>
        </w:rPr>
        <w:noBreakHyphen/>
        <w:t>examination and were the principal means of attack. His</w:t>
      </w:r>
      <w:r w:rsidR="00A42920" w:rsidRPr="008C2D33">
        <w:rPr>
          <w:rFonts w:ascii="Times New Roman" w:hAnsi="Times New Roman"/>
        </w:rPr>
        <w:t> </w:t>
      </w:r>
      <w:r w:rsidRPr="008C2D33">
        <w:rPr>
          <w:rFonts w:ascii="Times New Roman" w:hAnsi="Times New Roman"/>
        </w:rPr>
        <w:t xml:space="preserve">Honour concluded that the </w:t>
      </w:r>
      <w:r w:rsidR="00756089" w:rsidRPr="008C2D33">
        <w:rPr>
          <w:rFonts w:ascii="Times New Roman" w:hAnsi="Times New Roman"/>
        </w:rPr>
        <w:t xml:space="preserve">appellant's </w:t>
      </w:r>
      <w:r w:rsidRPr="008C2D33">
        <w:rPr>
          <w:rFonts w:ascii="Times New Roman" w:hAnsi="Times New Roman"/>
        </w:rPr>
        <w:t>interests were prejudiced to a significant extent</w:t>
      </w:r>
      <w:r w:rsidR="001A5DD3" w:rsidRPr="008C2D33">
        <w:rPr>
          <w:rFonts w:ascii="Times New Roman" w:hAnsi="Times New Roman"/>
        </w:rPr>
        <w:t xml:space="preserve"> by the impermissible questions and the absence of any attempt by the trial judge to attempt to cure that prejudice</w:t>
      </w:r>
      <w:r w:rsidRPr="008C2D33">
        <w:rPr>
          <w:rStyle w:val="FootnoteReference"/>
          <w:rFonts w:ascii="Times New Roman" w:hAnsi="Times New Roman"/>
          <w:sz w:val="24"/>
        </w:rPr>
        <w:footnoteReference w:id="20"/>
      </w:r>
      <w:r w:rsidRPr="008C2D33">
        <w:rPr>
          <w:rFonts w:ascii="Times New Roman" w:hAnsi="Times New Roman"/>
        </w:rPr>
        <w:t>.</w:t>
      </w:r>
    </w:p>
    <w:p w14:paraId="1885B5DC" w14:textId="5C1D357C"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r>
      <w:r w:rsidR="000F6098" w:rsidRPr="008C2D33">
        <w:rPr>
          <w:rFonts w:ascii="Times New Roman" w:hAnsi="Times New Roman"/>
        </w:rPr>
        <w:t xml:space="preserve">The majority </w:t>
      </w:r>
      <w:r w:rsidR="001252D1" w:rsidRPr="008C2D33">
        <w:rPr>
          <w:rFonts w:ascii="Times New Roman" w:hAnsi="Times New Roman"/>
        </w:rPr>
        <w:t xml:space="preserve">in </w:t>
      </w:r>
      <w:r w:rsidR="005E5DEF" w:rsidRPr="008C2D33">
        <w:rPr>
          <w:rFonts w:ascii="Times New Roman" w:hAnsi="Times New Roman"/>
        </w:rPr>
        <w:t xml:space="preserve">the Court of Criminal Appeal </w:t>
      </w:r>
      <w:r w:rsidRPr="008C2D33">
        <w:rPr>
          <w:rFonts w:ascii="Times New Roman" w:hAnsi="Times New Roman"/>
        </w:rPr>
        <w:t xml:space="preserve">were </w:t>
      </w:r>
      <w:r w:rsidR="000F6098" w:rsidRPr="008C2D33">
        <w:rPr>
          <w:rFonts w:ascii="Times New Roman" w:hAnsi="Times New Roman"/>
        </w:rPr>
        <w:t xml:space="preserve">also </w:t>
      </w:r>
      <w:r w:rsidRPr="008C2D33">
        <w:rPr>
          <w:rFonts w:ascii="Times New Roman" w:hAnsi="Times New Roman"/>
        </w:rPr>
        <w:t>of the view that an alternative ground, that the appellant's trial miscarried on account of the incompetence of his counsel, failed</w:t>
      </w:r>
      <w:r w:rsidR="00365091" w:rsidRPr="008C2D33">
        <w:rPr>
          <w:rStyle w:val="FootnoteReference"/>
          <w:rFonts w:ascii="Times New Roman" w:hAnsi="Times New Roman"/>
          <w:sz w:val="24"/>
        </w:rPr>
        <w:footnoteReference w:id="21"/>
      </w:r>
      <w:r w:rsidRPr="008C2D33">
        <w:rPr>
          <w:rFonts w:ascii="Times New Roman" w:hAnsi="Times New Roman"/>
        </w:rPr>
        <w:t>.</w:t>
      </w:r>
    </w:p>
    <w:p w14:paraId="5C9E87D2" w14:textId="77777777" w:rsidR="002E1E2F" w:rsidRPr="008C2D33" w:rsidRDefault="002E1E2F" w:rsidP="008C2D33">
      <w:pPr>
        <w:pStyle w:val="HeadingL1"/>
        <w:spacing w:after="260" w:line="280" w:lineRule="exact"/>
        <w:ind w:right="0"/>
        <w:jc w:val="both"/>
        <w:rPr>
          <w:rFonts w:ascii="Times New Roman" w:hAnsi="Times New Roman"/>
        </w:rPr>
      </w:pPr>
      <w:r w:rsidRPr="008C2D33">
        <w:rPr>
          <w:rFonts w:ascii="Times New Roman" w:hAnsi="Times New Roman"/>
        </w:rPr>
        <w:t>A miscarriage of justice?</w:t>
      </w:r>
    </w:p>
    <w:p w14:paraId="48CD6765" w14:textId="60CD74F5"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A miscarriage of justice to which s 6(1)</w:t>
      </w:r>
      <w:r w:rsidR="009C4128" w:rsidRPr="008C2D33">
        <w:rPr>
          <w:rFonts w:ascii="Times New Roman" w:hAnsi="Times New Roman"/>
        </w:rPr>
        <w:t xml:space="preserve"> </w:t>
      </w:r>
      <w:r w:rsidR="000B161D" w:rsidRPr="008C2D33">
        <w:rPr>
          <w:rFonts w:ascii="Times New Roman" w:hAnsi="Times New Roman"/>
        </w:rPr>
        <w:t>of the</w:t>
      </w:r>
      <w:r w:rsidR="009C4128" w:rsidRPr="008C2D33">
        <w:rPr>
          <w:rFonts w:ascii="Times New Roman" w:hAnsi="Times New Roman"/>
        </w:rPr>
        <w:t xml:space="preserve"> </w:t>
      </w:r>
      <w:r w:rsidR="009C4128" w:rsidRPr="008C2D33">
        <w:rPr>
          <w:rFonts w:ascii="Times New Roman" w:hAnsi="Times New Roman"/>
          <w:i/>
          <w:iCs/>
        </w:rPr>
        <w:t>Criminal Appeal Act</w:t>
      </w:r>
      <w:r w:rsidRPr="008C2D33">
        <w:rPr>
          <w:rFonts w:ascii="Times New Roman" w:hAnsi="Times New Roman"/>
        </w:rPr>
        <w:t xml:space="preserve"> refers includes any departure from a trial according to law</w:t>
      </w:r>
      <w:r w:rsidR="00F563FD" w:rsidRPr="008C2D33">
        <w:rPr>
          <w:rFonts w:ascii="Times New Roman" w:hAnsi="Times New Roman"/>
        </w:rPr>
        <w:t xml:space="preserve"> to the prejudice of the accused</w:t>
      </w:r>
      <w:r w:rsidRPr="008C2D33">
        <w:rPr>
          <w:rStyle w:val="FootnoteReference"/>
          <w:rFonts w:ascii="Times New Roman" w:hAnsi="Times New Roman"/>
          <w:sz w:val="24"/>
        </w:rPr>
        <w:footnoteReference w:id="22"/>
      </w:r>
      <w:r w:rsidRPr="008C2D33">
        <w:rPr>
          <w:rFonts w:ascii="Times New Roman" w:hAnsi="Times New Roman"/>
        </w:rPr>
        <w:t xml:space="preserve">. This accords with the long tradition of criminal law that a person is </w:t>
      </w:r>
      <w:r w:rsidRPr="008C2D33">
        <w:rPr>
          <w:rFonts w:ascii="Times New Roman" w:hAnsi="Times New Roman"/>
        </w:rPr>
        <w:lastRenderedPageBreak/>
        <w:t>entitled to a trial where rules of procedure and evidence are strictly followed</w:t>
      </w:r>
      <w:r w:rsidRPr="008C2D33">
        <w:rPr>
          <w:rStyle w:val="FootnoteReference"/>
          <w:rFonts w:ascii="Times New Roman" w:hAnsi="Times New Roman"/>
          <w:sz w:val="24"/>
        </w:rPr>
        <w:footnoteReference w:id="23"/>
      </w:r>
      <w:r w:rsidRPr="008C2D33">
        <w:rPr>
          <w:rFonts w:ascii="Times New Roman" w:hAnsi="Times New Roman"/>
        </w:rPr>
        <w:t>. The larger and different question raised by the proviso, which is reserved to an appellate court,</w:t>
      </w:r>
      <w:r w:rsidR="00074847" w:rsidRPr="008C2D33">
        <w:rPr>
          <w:rFonts w:ascii="Times New Roman" w:hAnsi="Times New Roman"/>
        </w:rPr>
        <w:t xml:space="preserve"> of</w:t>
      </w:r>
      <w:r w:rsidRPr="008C2D33">
        <w:rPr>
          <w:rFonts w:ascii="Times New Roman" w:hAnsi="Times New Roman"/>
        </w:rPr>
        <w:t xml:space="preserve"> whether there has notwithstanding that departure been no substantial miscarriage of justice, focuses upon whether the nature and effect of the error which has occurred prevents the appellate court from undertaking its assessment </w:t>
      </w:r>
      <w:r w:rsidR="008A0A2B" w:rsidRPr="008C2D33">
        <w:rPr>
          <w:rFonts w:ascii="Times New Roman" w:hAnsi="Times New Roman"/>
        </w:rPr>
        <w:t xml:space="preserve">as to </w:t>
      </w:r>
      <w:r w:rsidRPr="008C2D33">
        <w:rPr>
          <w:rFonts w:ascii="Times New Roman" w:hAnsi="Times New Roman"/>
        </w:rPr>
        <w:t>whether guilt has been proved to the requisite standard</w:t>
      </w:r>
      <w:r w:rsidRPr="008C2D33">
        <w:rPr>
          <w:rStyle w:val="FootnoteReference"/>
          <w:rFonts w:ascii="Times New Roman" w:hAnsi="Times New Roman"/>
          <w:sz w:val="24"/>
        </w:rPr>
        <w:footnoteReference w:id="24"/>
      </w:r>
      <w:r w:rsidRPr="008C2D33">
        <w:rPr>
          <w:rFonts w:ascii="Times New Roman" w:hAnsi="Times New Roman"/>
        </w:rPr>
        <w:t>.</w:t>
      </w:r>
    </w:p>
    <w:p w14:paraId="0B045AF2" w14:textId="649D696C"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questioning undertaken by the prosecution of the appellant departed from the </w:t>
      </w:r>
      <w:r w:rsidR="00FC0A3F" w:rsidRPr="008C2D33">
        <w:rPr>
          <w:rFonts w:ascii="Times New Roman" w:hAnsi="Times New Roman"/>
        </w:rPr>
        <w:t>standards of a</w:t>
      </w:r>
      <w:r w:rsidRPr="008C2D33">
        <w:rPr>
          <w:rFonts w:ascii="Times New Roman" w:hAnsi="Times New Roman"/>
        </w:rPr>
        <w:t xml:space="preserve"> trial to which an accused is entitled and the standards of fairness which must attend it</w:t>
      </w:r>
      <w:r w:rsidR="00F563FD" w:rsidRPr="008C2D33">
        <w:rPr>
          <w:rStyle w:val="FootnoteReference"/>
          <w:rFonts w:ascii="Times New Roman" w:hAnsi="Times New Roman"/>
          <w:sz w:val="24"/>
        </w:rPr>
        <w:footnoteReference w:id="25"/>
      </w:r>
      <w:r w:rsidRPr="008C2D33">
        <w:rPr>
          <w:rFonts w:ascii="Times New Roman" w:hAnsi="Times New Roman"/>
        </w:rPr>
        <w:t xml:space="preserve">. The questioning was such as to imply that the appellant was obliged to provide an explanation as to why matters had not been put to C1 or C2. This </w:t>
      </w:r>
      <w:r w:rsidR="002379E0" w:rsidRPr="008C2D33">
        <w:rPr>
          <w:rFonts w:ascii="Times New Roman" w:hAnsi="Times New Roman"/>
        </w:rPr>
        <w:t xml:space="preserve">suggested he possessed </w:t>
      </w:r>
      <w:r w:rsidRPr="008C2D33">
        <w:rPr>
          <w:rFonts w:ascii="Times New Roman" w:hAnsi="Times New Roman"/>
        </w:rPr>
        <w:t>information which he had not given counsel by way of instructions. The unfairness in this regard was compounded when the appellant was not permitted by the trial judge to provide an answer and by defence counsel not informing the court that he had those instructions. The attack upon the appellant's credit by assertions of recent invention was based upon an assumption which was not warranted. All of these matters were highly prejudicial to the appellant.</w:t>
      </w:r>
    </w:p>
    <w:p w14:paraId="4121B3CE" w14:textId="31384B3F"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evidence given by defence counsel before the Court of Criminal Appeal may be seen to confirm what King CJ said in </w:t>
      </w:r>
      <w:proofErr w:type="spellStart"/>
      <w:r w:rsidRPr="008C2D33">
        <w:rPr>
          <w:rFonts w:ascii="Times New Roman" w:hAnsi="Times New Roman"/>
          <w:i/>
        </w:rPr>
        <w:t>Manunta</w:t>
      </w:r>
      <w:proofErr w:type="spellEnd"/>
      <w:r w:rsidR="00487F0D" w:rsidRPr="008C2D33">
        <w:rPr>
          <w:rStyle w:val="FootnoteReference"/>
          <w:rFonts w:ascii="Times New Roman" w:hAnsi="Times New Roman"/>
          <w:sz w:val="24"/>
        </w:rPr>
        <w:footnoteReference w:id="26"/>
      </w:r>
      <w:r w:rsidRPr="008C2D33">
        <w:rPr>
          <w:rFonts w:ascii="Times New Roman" w:hAnsi="Times New Roman"/>
        </w:rPr>
        <w:t xml:space="preserve"> regarding the possibility of there being alternative explanations as to why a matter was not put to a witness other than recent invention. In relation to the appellant's statements about C1 having had an orgasm, defence counsel said that he decided not to put them</w:t>
      </w:r>
      <w:r w:rsidR="00074847" w:rsidRPr="008C2D33">
        <w:rPr>
          <w:rFonts w:ascii="Times New Roman" w:hAnsi="Times New Roman"/>
        </w:rPr>
        <w:t xml:space="preserve"> to her</w:t>
      </w:r>
      <w:r w:rsidRPr="008C2D33">
        <w:rPr>
          <w:rFonts w:ascii="Times New Roman" w:hAnsi="Times New Roman"/>
        </w:rPr>
        <w:t xml:space="preserve"> because not only did he consider them irrelevant, he considered that it was likely to have the effect of turning the jury against the appellant. He had discussed this problem with the appellant.</w:t>
      </w:r>
    </w:p>
    <w:p w14:paraId="44FBC106" w14:textId="2B0FA847"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It is a sufficient departure from the process of a criminal trial that a highly prejudicial cross</w:t>
      </w:r>
      <w:r w:rsidRPr="008C2D33">
        <w:rPr>
          <w:rFonts w:ascii="Times New Roman" w:hAnsi="Times New Roman"/>
        </w:rPr>
        <w:noBreakHyphen/>
        <w:t>examination of the accused as to credit proceeded upon an unfounded assumption. In this case</w:t>
      </w:r>
      <w:r w:rsidR="005F7BE1" w:rsidRPr="008C2D33">
        <w:rPr>
          <w:rFonts w:ascii="Times New Roman" w:hAnsi="Times New Roman"/>
        </w:rPr>
        <w:t>,</w:t>
      </w:r>
      <w:r w:rsidRPr="008C2D33">
        <w:rPr>
          <w:rFonts w:ascii="Times New Roman" w:hAnsi="Times New Roman"/>
        </w:rPr>
        <w:t xml:space="preserve"> evidence placed before the Court of Criminal Appeal showed that the assumption was in fact wrong. Instructions had in fact been </w:t>
      </w:r>
      <w:r w:rsidRPr="008C2D33">
        <w:rPr>
          <w:rFonts w:ascii="Times New Roman" w:hAnsi="Times New Roman"/>
        </w:rPr>
        <w:lastRenderedPageBreak/>
        <w:t xml:space="preserve">given by the </w:t>
      </w:r>
      <w:r w:rsidR="00056222" w:rsidRPr="008C2D33">
        <w:rPr>
          <w:rFonts w:ascii="Times New Roman" w:hAnsi="Times New Roman"/>
        </w:rPr>
        <w:t xml:space="preserve">appellant </w:t>
      </w:r>
      <w:r w:rsidR="00290437" w:rsidRPr="008C2D33">
        <w:rPr>
          <w:rFonts w:ascii="Times New Roman" w:hAnsi="Times New Roman"/>
        </w:rPr>
        <w:t xml:space="preserve">in relation to seven of the eight matters. In relation to the eighth matter, defence counsel had read the </w:t>
      </w:r>
      <w:r w:rsidR="00080DEE" w:rsidRPr="008C2D33">
        <w:rPr>
          <w:rFonts w:ascii="Times New Roman" w:hAnsi="Times New Roman"/>
        </w:rPr>
        <w:t xml:space="preserve">appellant's </w:t>
      </w:r>
      <w:r w:rsidR="00E12E20" w:rsidRPr="008C2D33">
        <w:rPr>
          <w:rFonts w:ascii="Times New Roman" w:hAnsi="Times New Roman"/>
        </w:rPr>
        <w:t>psychiatric</w:t>
      </w:r>
      <w:r w:rsidR="00290437" w:rsidRPr="008C2D33">
        <w:rPr>
          <w:rFonts w:ascii="Times New Roman" w:hAnsi="Times New Roman"/>
        </w:rPr>
        <w:t xml:space="preserve"> report</w:t>
      </w:r>
      <w:r w:rsidR="00CD385F" w:rsidRPr="008C2D33">
        <w:rPr>
          <w:rStyle w:val="FootnoteReference"/>
          <w:rFonts w:ascii="Times New Roman" w:hAnsi="Times New Roman"/>
          <w:sz w:val="24"/>
        </w:rPr>
        <w:footnoteReference w:id="27"/>
      </w:r>
      <w:r w:rsidRPr="008C2D33">
        <w:rPr>
          <w:rFonts w:ascii="Times New Roman" w:hAnsi="Times New Roman"/>
        </w:rPr>
        <w:t>.</w:t>
      </w:r>
    </w:p>
    <w:p w14:paraId="0928DF32" w14:textId="6660EF87"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It cannot be inferred that the jury would not attach any importance to what arose from the cross</w:t>
      </w:r>
      <w:r w:rsidRPr="008C2D33">
        <w:rPr>
          <w:rFonts w:ascii="Times New Roman" w:hAnsi="Times New Roman"/>
        </w:rPr>
        <w:noBreakHyphen/>
        <w:t xml:space="preserve">examination. There were a number of matters which were identified as not having been put to C1 or C2. The persistent requirement that the appellant acknowledge that fact </w:t>
      </w:r>
      <w:r w:rsidR="00097A86" w:rsidRPr="008C2D33">
        <w:rPr>
          <w:rFonts w:ascii="Times New Roman" w:hAnsi="Times New Roman"/>
        </w:rPr>
        <w:t xml:space="preserve">was </w:t>
      </w:r>
      <w:r w:rsidRPr="008C2D33">
        <w:rPr>
          <w:rFonts w:ascii="Times New Roman" w:hAnsi="Times New Roman"/>
        </w:rPr>
        <w:t>likely to have suggested to the jury that questions were being asked about more than what defence counsel should have done</w:t>
      </w:r>
      <w:r w:rsidR="00B74A47" w:rsidRPr="008C2D33">
        <w:rPr>
          <w:rFonts w:ascii="Times New Roman" w:hAnsi="Times New Roman"/>
        </w:rPr>
        <w:t xml:space="preserve"> by way of fairness</w:t>
      </w:r>
      <w:r w:rsidR="00350E12" w:rsidRPr="008C2D33">
        <w:rPr>
          <w:rFonts w:ascii="Times New Roman" w:hAnsi="Times New Roman"/>
        </w:rPr>
        <w:t xml:space="preserve"> to the complainants</w:t>
      </w:r>
      <w:r w:rsidRPr="008C2D33">
        <w:rPr>
          <w:rFonts w:ascii="Times New Roman" w:hAnsi="Times New Roman"/>
        </w:rPr>
        <w:t xml:space="preserve">. The questions clearly required the appellant to provide some sort of explanation, a view which would have been confirmed when he attempted to do so. The purpose of the line of questioning, that the appellant should not be believed as to these accounts, was put beyond doubt when, in relation to the </w:t>
      </w:r>
      <w:r w:rsidR="00B61D5D" w:rsidRPr="008C2D33">
        <w:rPr>
          <w:rFonts w:ascii="Times New Roman" w:hAnsi="Times New Roman"/>
        </w:rPr>
        <w:t xml:space="preserve">sixth </w:t>
      </w:r>
      <w:r w:rsidRPr="008C2D33">
        <w:rPr>
          <w:rFonts w:ascii="Times New Roman" w:hAnsi="Times New Roman"/>
        </w:rPr>
        <w:t xml:space="preserve">and </w:t>
      </w:r>
      <w:r w:rsidR="00B61D5D" w:rsidRPr="008C2D33">
        <w:rPr>
          <w:rFonts w:ascii="Times New Roman" w:hAnsi="Times New Roman"/>
        </w:rPr>
        <w:t>seventh</w:t>
      </w:r>
      <w:r w:rsidRPr="008C2D33">
        <w:rPr>
          <w:rFonts w:ascii="Times New Roman" w:hAnsi="Times New Roman"/>
        </w:rPr>
        <w:t xml:space="preserve"> matters, the prosecutor alleged that the appellant had made up his evidence in the course of the cross</w:t>
      </w:r>
      <w:r w:rsidRPr="008C2D33">
        <w:rPr>
          <w:rFonts w:ascii="Times New Roman" w:hAnsi="Times New Roman"/>
        </w:rPr>
        <w:noBreakHyphen/>
        <w:t xml:space="preserve">examination. It was not necessary for the prosecution to go further than it did in address </w:t>
      </w:r>
      <w:r w:rsidR="007D6440" w:rsidRPr="008C2D33">
        <w:rPr>
          <w:rFonts w:ascii="Times New Roman" w:hAnsi="Times New Roman"/>
        </w:rPr>
        <w:t>in pointing</w:t>
      </w:r>
      <w:r w:rsidRPr="008C2D33">
        <w:rPr>
          <w:rFonts w:ascii="Times New Roman" w:hAnsi="Times New Roman"/>
        </w:rPr>
        <w:t xml:space="preserve"> out the process of reasoning in which the jury might engage</w:t>
      </w:r>
      <w:r w:rsidR="00D265EF" w:rsidRPr="008C2D33">
        <w:rPr>
          <w:rFonts w:ascii="Times New Roman" w:hAnsi="Times New Roman"/>
        </w:rPr>
        <w:t xml:space="preserve"> to cause unfair prejudice to the appellant</w:t>
      </w:r>
      <w:r w:rsidRPr="008C2D33">
        <w:rPr>
          <w:rFonts w:ascii="Times New Roman" w:hAnsi="Times New Roman"/>
        </w:rPr>
        <w:t>. The prosecutor had effectively invited the jury to reject the appellant's evidence as not credible.</w:t>
      </w:r>
    </w:p>
    <w:p w14:paraId="000736BE" w14:textId="15300FF0"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This is not the first occasion upon which cross</w:t>
      </w:r>
      <w:r w:rsidRPr="008C2D33">
        <w:rPr>
          <w:rFonts w:ascii="Times New Roman" w:hAnsi="Times New Roman"/>
        </w:rPr>
        <w:noBreakHyphen/>
        <w:t xml:space="preserve">examination of this kind has been held to result in a miscarriage of justice. In </w:t>
      </w:r>
      <w:r w:rsidRPr="008C2D33">
        <w:rPr>
          <w:rFonts w:ascii="Times New Roman" w:hAnsi="Times New Roman"/>
          <w:i/>
        </w:rPr>
        <w:t>Birks</w:t>
      </w:r>
      <w:r w:rsidRPr="008C2D33">
        <w:rPr>
          <w:rStyle w:val="FootnoteReference"/>
          <w:rFonts w:ascii="Times New Roman" w:hAnsi="Times New Roman"/>
          <w:sz w:val="24"/>
        </w:rPr>
        <w:footnoteReference w:id="28"/>
      </w:r>
      <w:r w:rsidRPr="008C2D33">
        <w:rPr>
          <w:rFonts w:ascii="Times New Roman" w:hAnsi="Times New Roman"/>
        </w:rPr>
        <w:t>, the accused was cross</w:t>
      </w:r>
      <w:r w:rsidRPr="008C2D33">
        <w:rPr>
          <w:rFonts w:ascii="Times New Roman" w:hAnsi="Times New Roman"/>
        </w:rPr>
        <w:noBreakHyphen/>
        <w:t>examined as to the instructions he had given when his counsel had failed to put certain matters to the complainant. The accused answered that he had given those instructions, a fact confirmed by his counsel after the jury retired.</w:t>
      </w:r>
      <w:r w:rsidR="004D1518" w:rsidRPr="008C2D33">
        <w:rPr>
          <w:rFonts w:ascii="Times New Roman" w:hAnsi="Times New Roman"/>
        </w:rPr>
        <w:t xml:space="preserve"> </w:t>
      </w:r>
      <w:r w:rsidR="007D3109" w:rsidRPr="008C2D33">
        <w:rPr>
          <w:rFonts w:ascii="Times New Roman" w:hAnsi="Times New Roman"/>
        </w:rPr>
        <w:t xml:space="preserve">The </w:t>
      </w:r>
      <w:r w:rsidR="00591BC2" w:rsidRPr="008C2D33">
        <w:rPr>
          <w:rFonts w:ascii="Times New Roman" w:hAnsi="Times New Roman"/>
        </w:rPr>
        <w:t xml:space="preserve">conduct of the </w:t>
      </w:r>
      <w:r w:rsidR="007D3109" w:rsidRPr="008C2D33">
        <w:rPr>
          <w:rFonts w:ascii="Times New Roman" w:hAnsi="Times New Roman"/>
        </w:rPr>
        <w:t>prosecutor, and later the trial judge,</w:t>
      </w:r>
      <w:r w:rsidR="00591BC2" w:rsidRPr="008C2D33">
        <w:rPr>
          <w:rFonts w:ascii="Times New Roman" w:hAnsi="Times New Roman"/>
        </w:rPr>
        <w:t xml:space="preserve"> in</w:t>
      </w:r>
      <w:r w:rsidR="007D3109" w:rsidRPr="008C2D33">
        <w:rPr>
          <w:rFonts w:ascii="Times New Roman" w:hAnsi="Times New Roman"/>
        </w:rPr>
        <w:t xml:space="preserve"> </w:t>
      </w:r>
      <w:r w:rsidR="003558C2" w:rsidRPr="008C2D33">
        <w:rPr>
          <w:rFonts w:ascii="Times New Roman" w:hAnsi="Times New Roman"/>
        </w:rPr>
        <w:t>pursu</w:t>
      </w:r>
      <w:r w:rsidR="00B03954" w:rsidRPr="008C2D33">
        <w:rPr>
          <w:rFonts w:ascii="Times New Roman" w:hAnsi="Times New Roman"/>
        </w:rPr>
        <w:t>ing</w:t>
      </w:r>
      <w:r w:rsidR="003558C2" w:rsidRPr="008C2D33">
        <w:rPr>
          <w:rFonts w:ascii="Times New Roman" w:hAnsi="Times New Roman"/>
        </w:rPr>
        <w:t xml:space="preserve"> the omission </w:t>
      </w:r>
      <w:r w:rsidR="00F5735E" w:rsidRPr="008C2D33">
        <w:rPr>
          <w:rFonts w:ascii="Times New Roman" w:hAnsi="Times New Roman"/>
        </w:rPr>
        <w:t>as a matter of</w:t>
      </w:r>
      <w:r w:rsidR="003558C2" w:rsidRPr="008C2D33">
        <w:rPr>
          <w:rFonts w:ascii="Times New Roman" w:hAnsi="Times New Roman"/>
        </w:rPr>
        <w:t xml:space="preserve"> credibility of the accused's evidence</w:t>
      </w:r>
      <w:r w:rsidR="00591BC2" w:rsidRPr="008C2D33">
        <w:rPr>
          <w:rFonts w:ascii="Times New Roman" w:hAnsi="Times New Roman"/>
        </w:rPr>
        <w:t>,</w:t>
      </w:r>
      <w:r w:rsidR="00771E4C" w:rsidRPr="008C2D33">
        <w:rPr>
          <w:rFonts w:ascii="Times New Roman" w:hAnsi="Times New Roman"/>
        </w:rPr>
        <w:t xml:space="preserve"> </w:t>
      </w:r>
      <w:r w:rsidR="006356A4" w:rsidRPr="008C2D33">
        <w:rPr>
          <w:rFonts w:ascii="Times New Roman" w:hAnsi="Times New Roman"/>
        </w:rPr>
        <w:t>resulted in</w:t>
      </w:r>
      <w:r w:rsidR="00B03954" w:rsidRPr="008C2D33">
        <w:rPr>
          <w:rFonts w:ascii="Times New Roman" w:hAnsi="Times New Roman"/>
        </w:rPr>
        <w:t xml:space="preserve"> a miscarriage</w:t>
      </w:r>
      <w:r w:rsidR="006D3672" w:rsidRPr="008C2D33">
        <w:rPr>
          <w:rFonts w:ascii="Times New Roman" w:hAnsi="Times New Roman"/>
        </w:rPr>
        <w:t xml:space="preserve"> of justice</w:t>
      </w:r>
      <w:r w:rsidR="003558C2" w:rsidRPr="008C2D33">
        <w:rPr>
          <w:rFonts w:ascii="Times New Roman" w:hAnsi="Times New Roman"/>
        </w:rPr>
        <w:t>.</w:t>
      </w:r>
      <w:r w:rsidR="00B838E6" w:rsidRPr="008C2D33">
        <w:rPr>
          <w:rFonts w:ascii="Times New Roman" w:hAnsi="Times New Roman"/>
        </w:rPr>
        <w:t xml:space="preserve"> </w:t>
      </w:r>
      <w:r w:rsidRPr="008C2D33">
        <w:rPr>
          <w:rFonts w:ascii="Times New Roman" w:hAnsi="Times New Roman"/>
        </w:rPr>
        <w:t xml:space="preserve">In </w:t>
      </w:r>
      <w:r w:rsidRPr="008C2D33">
        <w:rPr>
          <w:rFonts w:ascii="Times New Roman" w:hAnsi="Times New Roman"/>
          <w:i/>
        </w:rPr>
        <w:t>Picker v The Queen</w:t>
      </w:r>
      <w:r w:rsidRPr="008C2D33">
        <w:rPr>
          <w:rStyle w:val="FootnoteReference"/>
          <w:rFonts w:ascii="Times New Roman" w:hAnsi="Times New Roman"/>
          <w:sz w:val="24"/>
        </w:rPr>
        <w:footnoteReference w:id="29"/>
      </w:r>
      <w:r w:rsidRPr="008C2D33">
        <w:rPr>
          <w:rFonts w:ascii="Times New Roman" w:hAnsi="Times New Roman"/>
        </w:rPr>
        <w:t xml:space="preserve"> the defence was that the complainant initiated sexual intercourse</w:t>
      </w:r>
      <w:r w:rsidR="00074847" w:rsidRPr="008C2D33">
        <w:rPr>
          <w:rFonts w:ascii="Times New Roman" w:hAnsi="Times New Roman"/>
        </w:rPr>
        <w:t>,</w:t>
      </w:r>
      <w:r w:rsidRPr="008C2D33">
        <w:rPr>
          <w:rFonts w:ascii="Times New Roman" w:hAnsi="Times New Roman"/>
        </w:rPr>
        <w:t xml:space="preserve"> but defence counsel had left out some of the accused's instructions. The prosecutor pointed out the omissions to the accused and put to him that he had made them up. The cross</w:t>
      </w:r>
      <w:r w:rsidRPr="008C2D33">
        <w:rPr>
          <w:rFonts w:ascii="Times New Roman" w:hAnsi="Times New Roman"/>
        </w:rPr>
        <w:noBreakHyphen/>
        <w:t>examination was held to be impermissible and highly prejudicial to the accused's case</w:t>
      </w:r>
      <w:r w:rsidRPr="008C2D33">
        <w:rPr>
          <w:rStyle w:val="FootnoteReference"/>
          <w:rFonts w:ascii="Times New Roman" w:hAnsi="Times New Roman"/>
          <w:sz w:val="24"/>
        </w:rPr>
        <w:footnoteReference w:id="30"/>
      </w:r>
      <w:r w:rsidRPr="008C2D33">
        <w:rPr>
          <w:rFonts w:ascii="Times New Roman" w:hAnsi="Times New Roman"/>
        </w:rPr>
        <w:t>.</w:t>
      </w:r>
    </w:p>
    <w:p w14:paraId="2FCBC5A1" w14:textId="6FE0260D"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prejudice to the appellant was not addressed by the trial judge, as it should have been. It was necessary that the trial judge put the omissions in </w:t>
      </w:r>
      <w:r w:rsidRPr="008C2D33">
        <w:rPr>
          <w:rFonts w:ascii="Times New Roman" w:hAnsi="Times New Roman"/>
        </w:rPr>
        <w:lastRenderedPageBreak/>
        <w:t xml:space="preserve">perspective, discount any assumption as to why they occurred by reference to other possibilities and warn the jury about drawing any inference on the basis of a mere assumption. Absent such directions there was a real chance that the jury may have assumed that the reason for the omission was that the </w:t>
      </w:r>
      <w:r w:rsidR="00866FD4" w:rsidRPr="008C2D33">
        <w:rPr>
          <w:rFonts w:ascii="Times New Roman" w:hAnsi="Times New Roman"/>
        </w:rPr>
        <w:t xml:space="preserve">appellant </w:t>
      </w:r>
      <w:r w:rsidRPr="008C2D33">
        <w:rPr>
          <w:rFonts w:ascii="Times New Roman" w:hAnsi="Times New Roman"/>
        </w:rPr>
        <w:t>had changed or more recently made up his story</w:t>
      </w:r>
      <w:r w:rsidRPr="008C2D33">
        <w:rPr>
          <w:rStyle w:val="FootnoteReference"/>
          <w:rFonts w:ascii="Times New Roman" w:hAnsi="Times New Roman"/>
          <w:sz w:val="24"/>
        </w:rPr>
        <w:footnoteReference w:id="31"/>
      </w:r>
      <w:r w:rsidRPr="008C2D33">
        <w:rPr>
          <w:rFonts w:ascii="Times New Roman" w:hAnsi="Times New Roman"/>
        </w:rPr>
        <w:t>.</w:t>
      </w:r>
    </w:p>
    <w:p w14:paraId="37698A95" w14:textId="31F34D62" w:rsidR="002E1E2F"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It is not necessary to determine whether the inaction of defence counsel was such as to itself amount to a miscarriage of justice. The cross</w:t>
      </w:r>
      <w:r w:rsidRPr="008C2D33">
        <w:rPr>
          <w:rFonts w:ascii="Times New Roman" w:hAnsi="Times New Roman"/>
        </w:rPr>
        <w:noBreakHyphen/>
        <w:t xml:space="preserve">examination of the </w:t>
      </w:r>
      <w:r w:rsidR="00E34CC2" w:rsidRPr="008C2D33">
        <w:rPr>
          <w:rFonts w:ascii="Times New Roman" w:hAnsi="Times New Roman"/>
        </w:rPr>
        <w:t xml:space="preserve">appellant </w:t>
      </w:r>
      <w:r w:rsidRPr="008C2D33">
        <w:rPr>
          <w:rFonts w:ascii="Times New Roman" w:hAnsi="Times New Roman"/>
        </w:rPr>
        <w:t>clearly does. There is</w:t>
      </w:r>
      <w:r w:rsidR="00D12F9C" w:rsidRPr="008C2D33">
        <w:rPr>
          <w:rFonts w:ascii="Times New Roman" w:hAnsi="Times New Roman"/>
        </w:rPr>
        <w:t>,</w:t>
      </w:r>
      <w:r w:rsidRPr="008C2D33">
        <w:rPr>
          <w:rFonts w:ascii="Times New Roman" w:hAnsi="Times New Roman"/>
        </w:rPr>
        <w:t xml:space="preserve"> however</w:t>
      </w:r>
      <w:r w:rsidR="00D12F9C" w:rsidRPr="008C2D33">
        <w:rPr>
          <w:rFonts w:ascii="Times New Roman" w:hAnsi="Times New Roman"/>
        </w:rPr>
        <w:t>,</w:t>
      </w:r>
      <w:r w:rsidRPr="008C2D33">
        <w:rPr>
          <w:rFonts w:ascii="Times New Roman" w:hAnsi="Times New Roman"/>
        </w:rPr>
        <w:t xml:space="preserve"> much to be said for the view taken by the </w:t>
      </w:r>
      <w:r w:rsidR="004073F4" w:rsidRPr="008C2D33">
        <w:rPr>
          <w:rFonts w:ascii="Times New Roman" w:hAnsi="Times New Roman"/>
        </w:rPr>
        <w:t xml:space="preserve">majority </w:t>
      </w:r>
      <w:r w:rsidR="00F272C0" w:rsidRPr="008C2D33">
        <w:rPr>
          <w:rFonts w:ascii="Times New Roman" w:hAnsi="Times New Roman"/>
        </w:rPr>
        <w:t xml:space="preserve">in </w:t>
      </w:r>
      <w:r w:rsidR="004073F4" w:rsidRPr="008C2D33">
        <w:rPr>
          <w:rFonts w:ascii="Times New Roman" w:hAnsi="Times New Roman"/>
        </w:rPr>
        <w:t xml:space="preserve">the </w:t>
      </w:r>
      <w:r w:rsidRPr="008C2D33">
        <w:rPr>
          <w:rFonts w:ascii="Times New Roman" w:hAnsi="Times New Roman"/>
        </w:rPr>
        <w:t xml:space="preserve">Court of Criminal Appeal on the question. </w:t>
      </w:r>
    </w:p>
    <w:p w14:paraId="39EAF4CC" w14:textId="5574245B" w:rsidR="00821408" w:rsidRPr="008C2D33" w:rsidRDefault="002E1E2F" w:rsidP="008C2D33">
      <w:pPr>
        <w:pStyle w:val="FixListStyle"/>
        <w:spacing w:after="260" w:line="280" w:lineRule="exact"/>
        <w:ind w:right="0"/>
        <w:jc w:val="both"/>
        <w:rPr>
          <w:rFonts w:ascii="Times New Roman" w:hAnsi="Times New Roman"/>
        </w:rPr>
      </w:pPr>
      <w:r w:rsidRPr="008C2D33">
        <w:rPr>
          <w:rFonts w:ascii="Times New Roman" w:hAnsi="Times New Roman"/>
        </w:rPr>
        <w:tab/>
        <w:t>There having been a miscarriage of justice, s</w:t>
      </w:r>
      <w:r w:rsidR="00514A02" w:rsidRPr="008C2D33">
        <w:rPr>
          <w:rFonts w:ascii="Times New Roman" w:hAnsi="Times New Roman"/>
        </w:rPr>
        <w:t> </w:t>
      </w:r>
      <w:r w:rsidRPr="008C2D33">
        <w:rPr>
          <w:rFonts w:ascii="Times New Roman" w:hAnsi="Times New Roman"/>
        </w:rPr>
        <w:t xml:space="preserve">6(1) of the </w:t>
      </w:r>
      <w:r w:rsidRPr="008C2D33">
        <w:rPr>
          <w:rFonts w:ascii="Times New Roman" w:hAnsi="Times New Roman"/>
          <w:i/>
          <w:iCs/>
        </w:rPr>
        <w:t>Criminal Appeal Act</w:t>
      </w:r>
      <w:r w:rsidRPr="008C2D33">
        <w:rPr>
          <w:rFonts w:ascii="Times New Roman" w:hAnsi="Times New Roman"/>
        </w:rPr>
        <w:t xml:space="preserve"> requires that the appeal be allowed, unless it be determined that the proviso applies.</w:t>
      </w:r>
    </w:p>
    <w:p w14:paraId="72E789EE" w14:textId="77777777" w:rsidR="00C149C3" w:rsidRPr="008C2D33" w:rsidRDefault="00C149C3" w:rsidP="008C2D33">
      <w:pPr>
        <w:pStyle w:val="HeadingL1"/>
        <w:spacing w:after="260" w:line="280" w:lineRule="exact"/>
        <w:ind w:right="0"/>
        <w:jc w:val="both"/>
        <w:rPr>
          <w:rFonts w:ascii="Times New Roman" w:hAnsi="Times New Roman"/>
        </w:rPr>
      </w:pPr>
      <w:r w:rsidRPr="008C2D33">
        <w:rPr>
          <w:rFonts w:ascii="Times New Roman" w:hAnsi="Times New Roman"/>
        </w:rPr>
        <w:t>The application of the proviso</w:t>
      </w:r>
    </w:p>
    <w:p w14:paraId="37A36207" w14:textId="77777777" w:rsidR="00C149C3" w:rsidRPr="008C2D33" w:rsidRDefault="00C149C3" w:rsidP="008C2D33">
      <w:pPr>
        <w:pStyle w:val="HeadingL2"/>
        <w:spacing w:after="260" w:line="280" w:lineRule="exact"/>
        <w:ind w:right="0"/>
        <w:jc w:val="both"/>
        <w:rPr>
          <w:rFonts w:ascii="Times New Roman" w:hAnsi="Times New Roman"/>
        </w:rPr>
      </w:pPr>
      <w:r w:rsidRPr="008C2D33">
        <w:rPr>
          <w:rFonts w:ascii="Times New Roman" w:hAnsi="Times New Roman"/>
        </w:rPr>
        <w:t>The Court of Criminal Appeal</w:t>
      </w:r>
    </w:p>
    <w:p w14:paraId="11F4760C" w14:textId="6C4E320C"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the Court of Criminal Appeal, Fagan J concluded that if, contrary to his </w:t>
      </w:r>
      <w:r w:rsidR="006D0F4B" w:rsidRPr="008C2D33">
        <w:rPr>
          <w:rFonts w:ascii="Times New Roman" w:hAnsi="Times New Roman"/>
        </w:rPr>
        <w:t>Honour</w:t>
      </w:r>
      <w:r w:rsidR="007A15C1" w:rsidRPr="008C2D33">
        <w:rPr>
          <w:rFonts w:ascii="Times New Roman" w:hAnsi="Times New Roman"/>
        </w:rPr>
        <w:t xml:space="preserve">'s </w:t>
      </w:r>
      <w:r w:rsidRPr="008C2D33">
        <w:rPr>
          <w:rFonts w:ascii="Times New Roman" w:hAnsi="Times New Roman"/>
        </w:rPr>
        <w:t>view, a miscarriage of justice had occurred at trial, the proviso would have justified the dismissal of the appeal</w:t>
      </w:r>
      <w:r w:rsidRPr="008C2D33">
        <w:rPr>
          <w:rStyle w:val="FootnoteReference"/>
          <w:rFonts w:ascii="Times New Roman" w:hAnsi="Times New Roman"/>
          <w:sz w:val="24"/>
        </w:rPr>
        <w:footnoteReference w:id="32"/>
      </w:r>
      <w:r w:rsidRPr="008C2D33">
        <w:rPr>
          <w:rFonts w:ascii="Times New Roman" w:hAnsi="Times New Roman"/>
        </w:rPr>
        <w:t>. Fullerton J agreed with Fagan J that</w:t>
      </w:r>
      <w:r w:rsidR="0044408C" w:rsidRPr="008C2D33">
        <w:rPr>
          <w:rFonts w:ascii="Times New Roman" w:hAnsi="Times New Roman"/>
        </w:rPr>
        <w:t>,</w:t>
      </w:r>
      <w:r w:rsidRPr="008C2D33">
        <w:rPr>
          <w:rFonts w:ascii="Times New Roman" w:hAnsi="Times New Roman"/>
        </w:rPr>
        <w:t xml:space="preserve"> had a miscarriage of justice been established, the proviso would have applied</w:t>
      </w:r>
      <w:r w:rsidRPr="008C2D33">
        <w:rPr>
          <w:rStyle w:val="FootnoteReference"/>
          <w:rFonts w:ascii="Times New Roman" w:hAnsi="Times New Roman"/>
          <w:sz w:val="24"/>
        </w:rPr>
        <w:footnoteReference w:id="33"/>
      </w:r>
      <w:r w:rsidRPr="008C2D33">
        <w:rPr>
          <w:rFonts w:ascii="Times New Roman" w:hAnsi="Times New Roman"/>
        </w:rPr>
        <w:t>.</w:t>
      </w:r>
    </w:p>
    <w:p w14:paraId="6A61531E" w14:textId="0C925D74"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In relation to the application of the proviso, Fagan J considered that the appellant's guilt was proved beyond reasonable doubt. That being so, and because the eight matters the subject of the impermissible cross</w:t>
      </w:r>
      <w:r w:rsidRPr="008C2D33">
        <w:rPr>
          <w:rFonts w:ascii="Times New Roman" w:hAnsi="Times New Roman"/>
        </w:rPr>
        <w:noBreakHyphen/>
        <w:t>examination did not go "to the root of the trial"</w:t>
      </w:r>
      <w:r w:rsidRPr="008C2D33">
        <w:rPr>
          <w:rStyle w:val="FootnoteReference"/>
          <w:rFonts w:ascii="Times New Roman" w:hAnsi="Times New Roman"/>
          <w:sz w:val="24"/>
        </w:rPr>
        <w:footnoteReference w:id="34"/>
      </w:r>
      <w:r w:rsidRPr="008C2D33">
        <w:rPr>
          <w:rFonts w:ascii="Times New Roman" w:hAnsi="Times New Roman"/>
        </w:rPr>
        <w:t xml:space="preserve"> as a matter of process, no substantial miscarriage of justice had actually occurred</w:t>
      </w:r>
      <w:r w:rsidRPr="008C2D33">
        <w:rPr>
          <w:rStyle w:val="FootnoteReference"/>
          <w:rFonts w:ascii="Times New Roman" w:hAnsi="Times New Roman"/>
          <w:sz w:val="24"/>
        </w:rPr>
        <w:footnoteReference w:id="35"/>
      </w:r>
      <w:r w:rsidRPr="008C2D33">
        <w:rPr>
          <w:rFonts w:ascii="Times New Roman" w:hAnsi="Times New Roman"/>
        </w:rPr>
        <w:t xml:space="preserve">. Fagan J, in concluding that any flaw in the conduct of the trial did not go to the root of the trial, plainly had in mind the language of Brennan, </w:t>
      </w:r>
      <w:r w:rsidRPr="008C2D33">
        <w:rPr>
          <w:rFonts w:ascii="Times New Roman" w:hAnsi="Times New Roman"/>
        </w:rPr>
        <w:lastRenderedPageBreak/>
        <w:t xml:space="preserve">Dawson and Toohey JJ in </w:t>
      </w:r>
      <w:r w:rsidRPr="008C2D33">
        <w:rPr>
          <w:rFonts w:ascii="Times New Roman" w:hAnsi="Times New Roman"/>
          <w:i/>
          <w:iCs/>
        </w:rPr>
        <w:t>Wilde v The Queen</w:t>
      </w:r>
      <w:r w:rsidRPr="008C2D33">
        <w:rPr>
          <w:rStyle w:val="FootnoteReference"/>
          <w:rFonts w:ascii="Times New Roman" w:hAnsi="Times New Roman"/>
          <w:sz w:val="24"/>
        </w:rPr>
        <w:footnoteReference w:id="36"/>
      </w:r>
      <w:r w:rsidRPr="008C2D33">
        <w:rPr>
          <w:rFonts w:ascii="Times New Roman" w:hAnsi="Times New Roman"/>
        </w:rPr>
        <w:t xml:space="preserve"> and the observations of the unanimous Court in </w:t>
      </w:r>
      <w:r w:rsidRPr="008C2D33">
        <w:rPr>
          <w:rFonts w:ascii="Times New Roman" w:hAnsi="Times New Roman"/>
          <w:i/>
          <w:iCs/>
        </w:rPr>
        <w:t>Weiss v The Queen</w:t>
      </w:r>
      <w:r w:rsidRPr="008C2D33">
        <w:rPr>
          <w:rStyle w:val="FootnoteReference"/>
          <w:rFonts w:ascii="Times New Roman" w:hAnsi="Times New Roman"/>
          <w:sz w:val="24"/>
        </w:rPr>
        <w:footnoteReference w:id="37"/>
      </w:r>
      <w:r w:rsidRPr="008C2D33">
        <w:rPr>
          <w:rFonts w:ascii="Times New Roman" w:hAnsi="Times New Roman"/>
          <w:i/>
          <w:iCs/>
        </w:rPr>
        <w:t xml:space="preserve"> </w:t>
      </w:r>
      <w:r w:rsidRPr="008C2D33">
        <w:rPr>
          <w:rFonts w:ascii="Times New Roman" w:hAnsi="Times New Roman"/>
        </w:rPr>
        <w:t xml:space="preserve">that even where the appellate court is satisfied of the appellant's guilt beyond reasonable doubt, there may have been a "significant denial of procedural fairness at trial" which makes it "proper to allow the appeal and order a new trial". </w:t>
      </w:r>
    </w:p>
    <w:p w14:paraId="32BE9EE9" w14:textId="7941765E"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r>
      <w:proofErr w:type="spellStart"/>
      <w:r w:rsidRPr="008C2D33">
        <w:rPr>
          <w:rFonts w:ascii="Times New Roman" w:hAnsi="Times New Roman"/>
        </w:rPr>
        <w:t>Macfarlan</w:t>
      </w:r>
      <w:proofErr w:type="spellEnd"/>
      <w:r w:rsidRPr="008C2D33">
        <w:rPr>
          <w:rFonts w:ascii="Times New Roman" w:hAnsi="Times New Roman"/>
        </w:rPr>
        <w:t xml:space="preserve"> JA </w:t>
      </w:r>
      <w:r w:rsidR="00DE5587" w:rsidRPr="008C2D33">
        <w:rPr>
          <w:rFonts w:ascii="Times New Roman" w:hAnsi="Times New Roman"/>
        </w:rPr>
        <w:t xml:space="preserve">dissented, </w:t>
      </w:r>
      <w:r w:rsidRPr="008C2D33">
        <w:rPr>
          <w:rFonts w:ascii="Times New Roman" w:hAnsi="Times New Roman"/>
        </w:rPr>
        <w:t>conclud</w:t>
      </w:r>
      <w:r w:rsidR="00DE5587" w:rsidRPr="008C2D33">
        <w:rPr>
          <w:rFonts w:ascii="Times New Roman" w:hAnsi="Times New Roman"/>
        </w:rPr>
        <w:t>ing</w:t>
      </w:r>
      <w:r w:rsidRPr="008C2D33">
        <w:rPr>
          <w:rFonts w:ascii="Times New Roman" w:hAnsi="Times New Roman"/>
        </w:rPr>
        <w:t xml:space="preserve"> that the proviso did not apply because the impermissible cross</w:t>
      </w:r>
      <w:r w:rsidRPr="008C2D33">
        <w:rPr>
          <w:rFonts w:ascii="Times New Roman" w:hAnsi="Times New Roman"/>
        </w:rPr>
        <w:noBreakHyphen/>
        <w:t>examination was apt to have infected the jury's verdicts; and, that being so, he could not be satisfied that the evidence at trial proved the appellant's guilt beyond reasonable doubt</w:t>
      </w:r>
      <w:r w:rsidRPr="008C2D33">
        <w:rPr>
          <w:rStyle w:val="FootnoteReference"/>
          <w:rFonts w:ascii="Times New Roman" w:hAnsi="Times New Roman"/>
          <w:sz w:val="24"/>
        </w:rPr>
        <w:footnoteReference w:id="38"/>
      </w:r>
      <w:r w:rsidRPr="008C2D33">
        <w:rPr>
          <w:rFonts w:ascii="Times New Roman" w:hAnsi="Times New Roman"/>
        </w:rPr>
        <w:t xml:space="preserve">. His Honour said that the Court of Criminal Appeal "would have to rely upon the jury's verdicts of guilty if it were to conclude that the </w:t>
      </w:r>
      <w:r w:rsidR="00C974B9" w:rsidRPr="008C2D33">
        <w:rPr>
          <w:rFonts w:ascii="Times New Roman" w:hAnsi="Times New Roman"/>
        </w:rPr>
        <w:t xml:space="preserve">[appellant's] </w:t>
      </w:r>
      <w:r w:rsidRPr="008C2D33">
        <w:rPr>
          <w:rFonts w:ascii="Times New Roman" w:hAnsi="Times New Roman"/>
        </w:rPr>
        <w:t>evidence was not reasonably possibly true, in the same way that it would have to rely on the guilty verdicts to hold that the complainants' evidence ought to be accepted", and the "jury's verdicts cannot ... be relied upon in this way because they were impugned by the Crown's impermissible cross</w:t>
      </w:r>
      <w:r w:rsidRPr="008C2D33">
        <w:rPr>
          <w:rFonts w:ascii="Times New Roman" w:hAnsi="Times New Roman"/>
        </w:rPr>
        <w:noBreakHyphen/>
        <w:t>examination"</w:t>
      </w:r>
      <w:r w:rsidRPr="008C2D33">
        <w:rPr>
          <w:rStyle w:val="FootnoteReference"/>
          <w:rFonts w:ascii="Times New Roman" w:hAnsi="Times New Roman"/>
          <w:sz w:val="24"/>
        </w:rPr>
        <w:footnoteReference w:id="39"/>
      </w:r>
      <w:r w:rsidRPr="008C2D33">
        <w:rPr>
          <w:rFonts w:ascii="Times New Roman" w:hAnsi="Times New Roman"/>
        </w:rPr>
        <w:t>.</w:t>
      </w:r>
    </w:p>
    <w:p w14:paraId="55E31188" w14:textId="76723631"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this Court, the appellant adopted </w:t>
      </w:r>
      <w:r w:rsidR="00E56F2A" w:rsidRPr="008C2D33">
        <w:rPr>
          <w:rFonts w:ascii="Times New Roman" w:hAnsi="Times New Roman"/>
        </w:rPr>
        <w:t>the</w:t>
      </w:r>
      <w:r w:rsidRPr="008C2D33">
        <w:rPr>
          <w:rFonts w:ascii="Times New Roman" w:hAnsi="Times New Roman"/>
        </w:rPr>
        <w:t xml:space="preserve"> reasoning </w:t>
      </w:r>
      <w:r w:rsidR="00E56F2A" w:rsidRPr="008C2D33">
        <w:rPr>
          <w:rFonts w:ascii="Times New Roman" w:hAnsi="Times New Roman"/>
        </w:rPr>
        <w:t xml:space="preserve">of </w:t>
      </w:r>
      <w:proofErr w:type="spellStart"/>
      <w:r w:rsidR="00E56F2A" w:rsidRPr="008C2D33">
        <w:rPr>
          <w:rFonts w:ascii="Times New Roman" w:hAnsi="Times New Roman"/>
        </w:rPr>
        <w:t>Macfarlan</w:t>
      </w:r>
      <w:proofErr w:type="spellEnd"/>
      <w:r w:rsidR="001A7F3D" w:rsidRPr="008C2D33">
        <w:rPr>
          <w:rFonts w:ascii="Times New Roman" w:hAnsi="Times New Roman"/>
        </w:rPr>
        <w:t> </w:t>
      </w:r>
      <w:r w:rsidR="00E56F2A" w:rsidRPr="008C2D33">
        <w:rPr>
          <w:rFonts w:ascii="Times New Roman" w:hAnsi="Times New Roman"/>
        </w:rPr>
        <w:t>JA</w:t>
      </w:r>
      <w:r w:rsidRPr="008C2D33">
        <w:rPr>
          <w:rFonts w:ascii="Times New Roman" w:hAnsi="Times New Roman"/>
        </w:rPr>
        <w:t xml:space="preserve"> and submitted that if either ground of appeal was established, the proviso could not apply. The Crown submitted that the majority in the Court of Criminal Appeal </w:t>
      </w:r>
      <w:r w:rsidR="00B1264D" w:rsidRPr="008C2D33">
        <w:rPr>
          <w:rFonts w:ascii="Times New Roman" w:hAnsi="Times New Roman"/>
        </w:rPr>
        <w:t xml:space="preserve">were </w:t>
      </w:r>
      <w:r w:rsidRPr="008C2D33">
        <w:rPr>
          <w:rFonts w:ascii="Times New Roman" w:hAnsi="Times New Roman"/>
        </w:rPr>
        <w:t>correct in their application of the proviso, because the only element in the Crown case that was really in issue, namely whether the appellant knew that each complainant was not consenting or was reckless as to whether she was consenting, was established beyond reasonable doubt.</w:t>
      </w:r>
    </w:p>
    <w:p w14:paraId="032473CA" w14:textId="77777777" w:rsidR="00C149C3" w:rsidRPr="008C2D33" w:rsidRDefault="00C149C3" w:rsidP="008C2D33">
      <w:pPr>
        <w:pStyle w:val="HeadingL2"/>
        <w:spacing w:after="260" w:line="280" w:lineRule="exact"/>
        <w:ind w:right="0"/>
        <w:jc w:val="both"/>
        <w:rPr>
          <w:rFonts w:ascii="Times New Roman" w:hAnsi="Times New Roman"/>
        </w:rPr>
      </w:pPr>
      <w:r w:rsidRPr="008C2D33">
        <w:rPr>
          <w:rFonts w:ascii="Times New Roman" w:hAnsi="Times New Roman"/>
        </w:rPr>
        <w:t>Guilt beyond reasonable doubt?</w:t>
      </w:r>
    </w:p>
    <w:p w14:paraId="287AB6A5" w14:textId="10B5456E"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In considering whether the appellant's guilt was established beyond reasonable doubt as a necessary (albeit not necessarily sufficient)</w:t>
      </w:r>
      <w:r w:rsidRPr="008C2D33">
        <w:rPr>
          <w:rStyle w:val="FootnoteReference"/>
          <w:rFonts w:ascii="Times New Roman" w:hAnsi="Times New Roman"/>
          <w:sz w:val="24"/>
        </w:rPr>
        <w:footnoteReference w:id="40"/>
      </w:r>
      <w:r w:rsidRPr="008C2D33">
        <w:rPr>
          <w:rFonts w:ascii="Times New Roman" w:hAnsi="Times New Roman"/>
        </w:rPr>
        <w:t xml:space="preserve"> condition of the application of the proviso, it must be understood that lack of consent by each complainant was not contested by defence counsel at trial. The appellant's case at </w:t>
      </w:r>
      <w:r w:rsidRPr="008C2D33">
        <w:rPr>
          <w:rFonts w:ascii="Times New Roman" w:hAnsi="Times New Roman"/>
        </w:rPr>
        <w:lastRenderedPageBreak/>
        <w:t>trial, as put by his counsel</w:t>
      </w:r>
      <w:r w:rsidR="0032630A" w:rsidRPr="008C2D33">
        <w:rPr>
          <w:rFonts w:ascii="Times New Roman" w:hAnsi="Times New Roman"/>
        </w:rPr>
        <w:t>,</w:t>
      </w:r>
      <w:r w:rsidRPr="008C2D33">
        <w:rPr>
          <w:rFonts w:ascii="Times New Roman" w:hAnsi="Times New Roman"/>
        </w:rPr>
        <w:t xml:space="preserve"> was "not whether the two women</w:t>
      </w:r>
      <w:r w:rsidR="00593F6C" w:rsidRPr="008C2D33">
        <w:rPr>
          <w:rFonts w:ascii="Times New Roman" w:hAnsi="Times New Roman"/>
        </w:rPr>
        <w:t xml:space="preserve"> </w:t>
      </w:r>
      <w:r w:rsidRPr="008C2D33">
        <w:rPr>
          <w:rFonts w:ascii="Times New Roman" w:hAnsi="Times New Roman"/>
        </w:rPr>
        <w:t>...</w:t>
      </w:r>
      <w:r w:rsidR="00593F6C" w:rsidRPr="008C2D33">
        <w:rPr>
          <w:rFonts w:ascii="Times New Roman" w:hAnsi="Times New Roman"/>
        </w:rPr>
        <w:t xml:space="preserve"> </w:t>
      </w:r>
      <w:proofErr w:type="spellStart"/>
      <w:r w:rsidRPr="008C2D33">
        <w:rPr>
          <w:rFonts w:ascii="Times New Roman" w:hAnsi="Times New Roman"/>
        </w:rPr>
        <w:t>were</w:t>
      </w:r>
      <w:proofErr w:type="spellEnd"/>
      <w:r w:rsidRPr="008C2D33">
        <w:rPr>
          <w:rFonts w:ascii="Times New Roman" w:hAnsi="Times New Roman"/>
        </w:rPr>
        <w:t xml:space="preserve"> consenting to have sex with him but rather whether his perception of their behaviour throughout the respective evenings led him to believe that they were consenting to </w:t>
      </w:r>
      <w:r w:rsidR="00950011" w:rsidRPr="008C2D33">
        <w:rPr>
          <w:rFonts w:ascii="Times New Roman" w:hAnsi="Times New Roman"/>
        </w:rPr>
        <w:t xml:space="preserve">having </w:t>
      </w:r>
      <w:r w:rsidRPr="008C2D33">
        <w:rPr>
          <w:rFonts w:ascii="Times New Roman" w:hAnsi="Times New Roman"/>
        </w:rPr>
        <w:t xml:space="preserve">sex with him". </w:t>
      </w:r>
    </w:p>
    <w:p w14:paraId="06BD9C82" w14:textId="07960222"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The conclusion of Fagan J that the appellant's guilt was proved beyond reasonable doubt was reached, as his Honour said, "upon the whole of the evidence at trial and taking into account the jury's verdict"</w:t>
      </w:r>
      <w:r w:rsidRPr="008C2D33">
        <w:rPr>
          <w:rStyle w:val="FootnoteReference"/>
          <w:rFonts w:ascii="Times New Roman" w:hAnsi="Times New Roman"/>
          <w:sz w:val="24"/>
        </w:rPr>
        <w:footnoteReference w:id="41"/>
      </w:r>
      <w:r w:rsidRPr="008C2D33">
        <w:rPr>
          <w:rFonts w:ascii="Times New Roman" w:hAnsi="Times New Roman"/>
        </w:rPr>
        <w:t xml:space="preserve">. As will be explained, that conclusion could be reached without needing to rely upon the jury's verdict as the determinant of whether the evidence of the appellant on the crucial issue should be rejected because greater weight should be accorded to the evidence of the complainants. The evidence of the appellant on the crucial issue was "so obviously false that it </w:t>
      </w:r>
      <w:proofErr w:type="spellStart"/>
      <w:r w:rsidRPr="008C2D33">
        <w:rPr>
          <w:rFonts w:ascii="Times New Roman" w:hAnsi="Times New Roman"/>
        </w:rPr>
        <w:t>carrie</w:t>
      </w:r>
      <w:proofErr w:type="spellEnd"/>
      <w:r w:rsidRPr="008C2D33">
        <w:rPr>
          <w:rFonts w:ascii="Times New Roman" w:hAnsi="Times New Roman"/>
        </w:rPr>
        <w:t>[d] no weight at all"</w:t>
      </w:r>
      <w:r w:rsidRPr="008C2D33">
        <w:rPr>
          <w:rStyle w:val="FootnoteReference"/>
          <w:rFonts w:ascii="Times New Roman" w:hAnsi="Times New Roman"/>
          <w:sz w:val="24"/>
        </w:rPr>
        <w:footnoteReference w:id="42"/>
      </w:r>
      <w:r w:rsidRPr="008C2D33">
        <w:rPr>
          <w:rFonts w:ascii="Times New Roman" w:hAnsi="Times New Roman"/>
        </w:rPr>
        <w:t>.</w:t>
      </w:r>
    </w:p>
    <w:p w14:paraId="3329D310" w14:textId="77777777"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No complaint as to counsel's competence was made by the appellant in relation to this aspect of the conduct of the trial. If one looks at the evidence that is common ground between the complainants and the appellant and takes into account the glaring improbability of the aspects of the appellant's evidence material to his belief as to the consent of each of the complainants, there can be no reasonable doubt that the appellant was, at the least, reckless as to whether he acted with her consent.</w:t>
      </w:r>
    </w:p>
    <w:p w14:paraId="6692CA40" w14:textId="6B393648"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True it is that the appellant was not obliged to give evidence</w:t>
      </w:r>
      <w:r w:rsidRPr="008C2D33">
        <w:rPr>
          <w:rStyle w:val="FootnoteReference"/>
          <w:rFonts w:ascii="Times New Roman" w:hAnsi="Times New Roman"/>
          <w:sz w:val="24"/>
        </w:rPr>
        <w:footnoteReference w:id="43"/>
      </w:r>
      <w:r w:rsidRPr="008C2D33">
        <w:rPr>
          <w:rFonts w:ascii="Times New Roman" w:hAnsi="Times New Roman"/>
        </w:rPr>
        <w:t xml:space="preserve">, and that the tribunal of fact need only have </w:t>
      </w:r>
      <w:r w:rsidR="00CF1AD9" w:rsidRPr="008C2D33">
        <w:rPr>
          <w:rFonts w:ascii="Times New Roman" w:hAnsi="Times New Roman"/>
        </w:rPr>
        <w:t xml:space="preserve">had </w:t>
      </w:r>
      <w:r w:rsidRPr="008C2D33">
        <w:rPr>
          <w:rFonts w:ascii="Times New Roman" w:hAnsi="Times New Roman"/>
        </w:rPr>
        <w:t xml:space="preserve">a doubt about this element for the appellant to </w:t>
      </w:r>
      <w:r w:rsidR="00CF1AD9" w:rsidRPr="008C2D33">
        <w:rPr>
          <w:rFonts w:ascii="Times New Roman" w:hAnsi="Times New Roman"/>
        </w:rPr>
        <w:t xml:space="preserve">have </w:t>
      </w:r>
      <w:r w:rsidRPr="008C2D33">
        <w:rPr>
          <w:rFonts w:ascii="Times New Roman" w:hAnsi="Times New Roman"/>
        </w:rPr>
        <w:t>b</w:t>
      </w:r>
      <w:r w:rsidR="00CF1AD9" w:rsidRPr="008C2D33">
        <w:rPr>
          <w:rFonts w:ascii="Times New Roman" w:hAnsi="Times New Roman"/>
        </w:rPr>
        <w:t>e</w:t>
      </w:r>
      <w:r w:rsidRPr="008C2D33">
        <w:rPr>
          <w:rFonts w:ascii="Times New Roman" w:hAnsi="Times New Roman"/>
        </w:rPr>
        <w:t>e</w:t>
      </w:r>
      <w:r w:rsidR="00CF1AD9" w:rsidRPr="008C2D33">
        <w:rPr>
          <w:rFonts w:ascii="Times New Roman" w:hAnsi="Times New Roman"/>
        </w:rPr>
        <w:t>n</w:t>
      </w:r>
      <w:r w:rsidRPr="008C2D33">
        <w:rPr>
          <w:rFonts w:ascii="Times New Roman" w:hAnsi="Times New Roman"/>
        </w:rPr>
        <w:t xml:space="preserve"> acquitted; but the point is that, absent evidence from the appellant, there was simply no reason for the tribunal of fact to entertain a doubt about this element of each offence. It was necessary for the jury, as it </w:t>
      </w:r>
      <w:r w:rsidR="00CF1AD9" w:rsidRPr="008C2D33">
        <w:rPr>
          <w:rFonts w:ascii="Times New Roman" w:hAnsi="Times New Roman"/>
        </w:rPr>
        <w:t xml:space="preserve">was </w:t>
      </w:r>
      <w:r w:rsidRPr="008C2D33">
        <w:rPr>
          <w:rFonts w:ascii="Times New Roman" w:hAnsi="Times New Roman"/>
        </w:rPr>
        <w:t xml:space="preserve">for the </w:t>
      </w:r>
      <w:r w:rsidR="00CF1AD9" w:rsidRPr="008C2D33">
        <w:rPr>
          <w:rFonts w:ascii="Times New Roman" w:hAnsi="Times New Roman"/>
        </w:rPr>
        <w:t>Court of Criminal Appeal</w:t>
      </w:r>
      <w:r w:rsidRPr="008C2D33">
        <w:rPr>
          <w:rFonts w:ascii="Times New Roman" w:hAnsi="Times New Roman"/>
        </w:rPr>
        <w:t>, to consider whether the appellant's evidence might "reasonably possibly" be true</w:t>
      </w:r>
      <w:r w:rsidRPr="008C2D33">
        <w:rPr>
          <w:rStyle w:val="FootnoteReference"/>
          <w:rFonts w:ascii="Times New Roman" w:hAnsi="Times New Roman"/>
          <w:sz w:val="24"/>
        </w:rPr>
        <w:footnoteReference w:id="44"/>
      </w:r>
      <w:r w:rsidRPr="008C2D33">
        <w:rPr>
          <w:rFonts w:ascii="Times New Roman" w:hAnsi="Times New Roman"/>
        </w:rPr>
        <w:t>.</w:t>
      </w:r>
    </w:p>
    <w:p w14:paraId="2865F75B" w14:textId="77777777"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lastRenderedPageBreak/>
        <w:tab/>
        <w:t xml:space="preserve">A consideration of the appellant's evidence, together with the evidence that was common ground between the parties, inevitably leads to the conclusion that the appellant's evidence was so glaringly improbable that it could not give rise to a reasonable doubt as to his guilt. To explain why this is so, it is necessary first to consider the function of an appellate court in the application of the proviso. </w:t>
      </w:r>
    </w:p>
    <w:p w14:paraId="6ACF2C6E" w14:textId="2C853CCC"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w:t>
      </w:r>
      <w:r w:rsidRPr="008C2D33">
        <w:rPr>
          <w:rFonts w:ascii="Times New Roman" w:hAnsi="Times New Roman"/>
          <w:i/>
          <w:iCs/>
        </w:rPr>
        <w:t>Weiss</w:t>
      </w:r>
      <w:r w:rsidRPr="008C2D33">
        <w:rPr>
          <w:rStyle w:val="FootnoteReference"/>
          <w:rFonts w:ascii="Times New Roman" w:hAnsi="Times New Roman"/>
          <w:sz w:val="24"/>
        </w:rPr>
        <w:footnoteReference w:id="45"/>
      </w:r>
      <w:r w:rsidR="00841FB2" w:rsidRPr="008C2D33">
        <w:rPr>
          <w:rFonts w:ascii="Times New Roman" w:hAnsi="Times New Roman"/>
          <w:i/>
          <w:iCs/>
        </w:rPr>
        <w:t xml:space="preserve"> </w:t>
      </w:r>
      <w:r w:rsidRPr="008C2D33">
        <w:rPr>
          <w:rFonts w:ascii="Times New Roman" w:hAnsi="Times New Roman"/>
        </w:rPr>
        <w:t xml:space="preserve">this Court resolved the apparent tension in the </w:t>
      </w:r>
      <w:r w:rsidR="0020767E" w:rsidRPr="008C2D33">
        <w:rPr>
          <w:rFonts w:ascii="Times New Roman" w:hAnsi="Times New Roman"/>
        </w:rPr>
        <w:t>former</w:t>
      </w:r>
      <w:r w:rsidRPr="008C2D33">
        <w:rPr>
          <w:rFonts w:ascii="Times New Roman" w:hAnsi="Times New Roman"/>
        </w:rPr>
        <w:t xml:space="preserve"> Victorian equivalent of s 6(1) of the </w:t>
      </w:r>
      <w:r w:rsidRPr="008C2D33">
        <w:rPr>
          <w:rFonts w:ascii="Times New Roman" w:hAnsi="Times New Roman"/>
          <w:i/>
          <w:iCs/>
        </w:rPr>
        <w:t xml:space="preserve">Criminal Appeal Act </w:t>
      </w:r>
      <w:r w:rsidRPr="008C2D33">
        <w:rPr>
          <w:rFonts w:ascii="Times New Roman" w:hAnsi="Times New Roman"/>
        </w:rPr>
        <w:t>between the command to allow an appeal where the court is of the opinion that there was a miscarriage of justice, and the proviso that it may dismiss the appeal if it considers that no substantial miscarriage of justice has occurred, on the basis that the appellate court's assessment of the appellant's guilt "is not to be undertaken by attempting to predict what a jury (</w:t>
      </w:r>
      <w:r w:rsidR="002523A4" w:rsidRPr="008C2D33">
        <w:rPr>
          <w:rFonts w:ascii="Times New Roman" w:hAnsi="Times New Roman"/>
        </w:rPr>
        <w:t xml:space="preserve">whether the jury at trial </w:t>
      </w:r>
      <w:r w:rsidRPr="008C2D33">
        <w:rPr>
          <w:rFonts w:ascii="Times New Roman" w:hAnsi="Times New Roman"/>
        </w:rPr>
        <w:t xml:space="preserve">or </w:t>
      </w:r>
      <w:r w:rsidR="002523A4" w:rsidRPr="008C2D33">
        <w:rPr>
          <w:rFonts w:ascii="Times New Roman" w:hAnsi="Times New Roman"/>
        </w:rPr>
        <w:t>some</w:t>
      </w:r>
      <w:r w:rsidRPr="008C2D33">
        <w:rPr>
          <w:rFonts w:ascii="Times New Roman" w:hAnsi="Times New Roman"/>
        </w:rPr>
        <w:t xml:space="preserve"> hypothetical future jury) would or might do", but on the basis that the appellate court is itself satisfied of the appellant's guilt beyond reasonable doubt. As was explained by the plurality in </w:t>
      </w:r>
      <w:proofErr w:type="spellStart"/>
      <w:r w:rsidRPr="008C2D33">
        <w:rPr>
          <w:rFonts w:ascii="Times New Roman" w:hAnsi="Times New Roman"/>
          <w:i/>
          <w:iCs/>
        </w:rPr>
        <w:t>Kalbasi</w:t>
      </w:r>
      <w:proofErr w:type="spellEnd"/>
      <w:r w:rsidRPr="008C2D33">
        <w:rPr>
          <w:rFonts w:ascii="Times New Roman" w:hAnsi="Times New Roman"/>
          <w:i/>
          <w:iCs/>
        </w:rPr>
        <w:t xml:space="preserve"> v Western Australia</w:t>
      </w:r>
      <w:r w:rsidRPr="008C2D33">
        <w:rPr>
          <w:rStyle w:val="FootnoteReference"/>
          <w:rFonts w:ascii="Times New Roman" w:hAnsi="Times New Roman"/>
          <w:sz w:val="24"/>
        </w:rPr>
        <w:footnoteReference w:id="46"/>
      </w:r>
      <w:r w:rsidRPr="008C2D33">
        <w:rPr>
          <w:rFonts w:ascii="Times New Roman" w:hAnsi="Times New Roman"/>
        </w:rPr>
        <w:t>, in such a case "the appellate court is not predicting the outcome of a hypothetical error</w:t>
      </w:r>
      <w:r w:rsidRPr="008C2D33">
        <w:rPr>
          <w:rFonts w:ascii="Times New Roman" w:hAnsi="Times New Roman"/>
        </w:rPr>
        <w:noBreakHyphen/>
        <w:t>free trial, but is deciding whether, notwithstanding error, guilt was proved to the criminal standard on the admissible evidence at the trial that was had"</w:t>
      </w:r>
      <w:r w:rsidR="00154ABF" w:rsidRPr="008C2D33">
        <w:rPr>
          <w:rFonts w:ascii="Times New Roman" w:hAnsi="Times New Roman"/>
        </w:rPr>
        <w:t>.</w:t>
      </w:r>
    </w:p>
    <w:p w14:paraId="28E87804" w14:textId="01824419"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some cases the error which has occurred at trial may be such as to prevent the appellate court from making that assessment. In </w:t>
      </w:r>
      <w:proofErr w:type="spellStart"/>
      <w:r w:rsidRPr="008C2D33">
        <w:rPr>
          <w:rFonts w:ascii="Times New Roman" w:hAnsi="Times New Roman"/>
          <w:i/>
          <w:iCs/>
        </w:rPr>
        <w:t>Kalbasi</w:t>
      </w:r>
      <w:proofErr w:type="spellEnd"/>
      <w:r w:rsidRPr="008C2D33">
        <w:rPr>
          <w:rStyle w:val="FootnoteReference"/>
          <w:rFonts w:ascii="Times New Roman" w:hAnsi="Times New Roman"/>
          <w:sz w:val="24"/>
        </w:rPr>
        <w:footnoteReference w:id="47"/>
      </w:r>
      <w:r w:rsidR="00EA74BF" w:rsidRPr="008C2D33">
        <w:rPr>
          <w:rFonts w:ascii="Times New Roman" w:hAnsi="Times New Roman"/>
          <w:iCs/>
        </w:rPr>
        <w:t>,</w:t>
      </w:r>
      <w:r w:rsidRPr="008C2D33">
        <w:rPr>
          <w:rFonts w:ascii="Times New Roman" w:hAnsi="Times New Roman"/>
        </w:rPr>
        <w:t xml:space="preserve"> Kiefel CJ, Bell, Keane and Gordon JJ explained:</w:t>
      </w:r>
    </w:p>
    <w:p w14:paraId="5809124C" w14:textId="11D23FEC" w:rsidR="008C2D33" w:rsidRDefault="00C149C3" w:rsidP="008C2D33">
      <w:pPr>
        <w:pStyle w:val="LeftrightafterHC"/>
        <w:spacing w:before="0" w:after="260" w:line="280" w:lineRule="exact"/>
        <w:ind w:right="0"/>
        <w:jc w:val="both"/>
        <w:rPr>
          <w:rFonts w:ascii="Times New Roman" w:hAnsi="Times New Roman"/>
        </w:rPr>
      </w:pPr>
      <w:r w:rsidRPr="008C2D33">
        <w:rPr>
          <w:rFonts w:ascii="Times New Roman" w:hAnsi="Times New Roman"/>
        </w:rPr>
        <w:t>"</w:t>
      </w:r>
      <w:r w:rsidRPr="008C2D33">
        <w:rPr>
          <w:rFonts w:ascii="Times New Roman" w:hAnsi="Times New Roman"/>
          <w:i/>
          <w:iCs/>
        </w:rPr>
        <w:t>Weiss</w:t>
      </w:r>
      <w:r w:rsidRPr="008C2D33">
        <w:rPr>
          <w:rFonts w:ascii="Times New Roman" w:hAnsi="Times New Roman"/>
        </w:rPr>
        <w:t xml:space="preserve"> requires the appellate court to consider the nature and effect of the error in every case</w:t>
      </w:r>
      <w:r w:rsidRPr="008C2D33">
        <w:rPr>
          <w:rStyle w:val="FootnoteReference"/>
          <w:rFonts w:ascii="Times New Roman" w:hAnsi="Times New Roman"/>
          <w:sz w:val="24"/>
        </w:rPr>
        <w:footnoteReference w:id="48"/>
      </w:r>
      <w:r w:rsidRPr="008C2D33">
        <w:rPr>
          <w:rFonts w:ascii="Times New Roman" w:hAnsi="Times New Roman"/>
        </w:rPr>
        <w:t>. This is because some errors will prevent the appellate court from being able to assess whether guilt was proved to the criminal standard. These may include, but are not limited to, cases which turn on issues of contested credibility</w:t>
      </w:r>
      <w:r w:rsidRPr="008C2D33">
        <w:rPr>
          <w:rStyle w:val="FootnoteReference"/>
          <w:rFonts w:ascii="Times New Roman" w:hAnsi="Times New Roman"/>
          <w:sz w:val="24"/>
        </w:rPr>
        <w:footnoteReference w:id="49"/>
      </w:r>
      <w:r w:rsidRPr="008C2D33">
        <w:rPr>
          <w:rFonts w:ascii="Times New Roman" w:hAnsi="Times New Roman"/>
        </w:rPr>
        <w:t xml:space="preserve">, cases in which there has been a failure to </w:t>
      </w:r>
      <w:r w:rsidRPr="008C2D33">
        <w:rPr>
          <w:rFonts w:ascii="Times New Roman" w:hAnsi="Times New Roman"/>
        </w:rPr>
        <w:lastRenderedPageBreak/>
        <w:t>leave a defence or partial defence for the jury</w:t>
      </w:r>
      <w:r w:rsidR="00466ADC" w:rsidRPr="008C2D33">
        <w:rPr>
          <w:rFonts w:ascii="Times New Roman" w:hAnsi="Times New Roman"/>
        </w:rPr>
        <w:t>'</w:t>
      </w:r>
      <w:r w:rsidRPr="008C2D33">
        <w:rPr>
          <w:rFonts w:ascii="Times New Roman" w:hAnsi="Times New Roman"/>
        </w:rPr>
        <w:t>s consideration</w:t>
      </w:r>
      <w:r w:rsidRPr="008C2D33">
        <w:rPr>
          <w:rStyle w:val="FootnoteReference"/>
          <w:rFonts w:ascii="Times New Roman" w:hAnsi="Times New Roman"/>
          <w:sz w:val="24"/>
        </w:rPr>
        <w:footnoteReference w:id="50"/>
      </w:r>
      <w:r w:rsidR="000C2A52" w:rsidRPr="008C2D33">
        <w:rPr>
          <w:rFonts w:ascii="Times New Roman" w:hAnsi="Times New Roman"/>
        </w:rPr>
        <w:t xml:space="preserve"> </w:t>
      </w:r>
      <w:r w:rsidRPr="008C2D33">
        <w:rPr>
          <w:rFonts w:ascii="Times New Roman" w:hAnsi="Times New Roman"/>
        </w:rPr>
        <w:t>and cases in which there has been a wrong direction on an element of liability in issue or on a defence or partial defence</w:t>
      </w:r>
      <w:r w:rsidRPr="008C2D33">
        <w:rPr>
          <w:rStyle w:val="FootnoteReference"/>
          <w:rFonts w:ascii="Times New Roman" w:hAnsi="Times New Roman"/>
          <w:sz w:val="24"/>
        </w:rPr>
        <w:footnoteReference w:id="51"/>
      </w:r>
      <w:r w:rsidRPr="008C2D33">
        <w:rPr>
          <w:rFonts w:ascii="Times New Roman" w:hAnsi="Times New Roman"/>
        </w:rPr>
        <w:t>. In such cases ... regardless of the apparent strength of the prosecution case, the appellate court cannot be satisfied that guilt has been proved. Assessing the application of the proviso by reference to considerations of 'process' and 'outcome' may or may not be helpful provided always that the former takes into account the capacity of the error to deprive the appellate court of the ability to justly assess the latter</w:t>
      </w:r>
      <w:r w:rsidRPr="008C2D33">
        <w:rPr>
          <w:rStyle w:val="FootnoteReference"/>
          <w:rFonts w:ascii="Times New Roman" w:hAnsi="Times New Roman"/>
          <w:sz w:val="24"/>
        </w:rPr>
        <w:footnoteReference w:id="52"/>
      </w:r>
      <w:r w:rsidRPr="008C2D33">
        <w:rPr>
          <w:rFonts w:ascii="Times New Roman" w:hAnsi="Times New Roman"/>
        </w:rPr>
        <w:t>."</w:t>
      </w:r>
    </w:p>
    <w:p w14:paraId="2AE42DE8" w14:textId="00159BDD"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Contrary to the view of </w:t>
      </w:r>
      <w:proofErr w:type="spellStart"/>
      <w:r w:rsidRPr="008C2D33">
        <w:rPr>
          <w:rFonts w:ascii="Times New Roman" w:hAnsi="Times New Roman"/>
        </w:rPr>
        <w:t>Macfarlan</w:t>
      </w:r>
      <w:proofErr w:type="spellEnd"/>
      <w:r w:rsidRPr="008C2D33">
        <w:rPr>
          <w:rFonts w:ascii="Times New Roman" w:hAnsi="Times New Roman"/>
        </w:rPr>
        <w:t xml:space="preserve"> JA in the Court of Criminal Appeal, this is not a case where the issue </w:t>
      </w:r>
      <w:r w:rsidR="00CA2F34" w:rsidRPr="008C2D33">
        <w:rPr>
          <w:rFonts w:ascii="Times New Roman" w:hAnsi="Times New Roman"/>
        </w:rPr>
        <w:t>–</w:t>
      </w:r>
      <w:r w:rsidRPr="008C2D33">
        <w:rPr>
          <w:rFonts w:ascii="Times New Roman" w:hAnsi="Times New Roman"/>
        </w:rPr>
        <w:t xml:space="preserve"> as to whether the Crown had proved that the appellant did not believe that the complainants consented to having sex with him or was reckless in that regard</w:t>
      </w:r>
      <w:r w:rsidR="00CA2F34" w:rsidRPr="008C2D33">
        <w:rPr>
          <w:rFonts w:ascii="Times New Roman" w:hAnsi="Times New Roman"/>
        </w:rPr>
        <w:t xml:space="preserve"> –</w:t>
      </w:r>
      <w:r w:rsidRPr="008C2D33">
        <w:rPr>
          <w:rFonts w:ascii="Times New Roman" w:hAnsi="Times New Roman"/>
        </w:rPr>
        <w:t xml:space="preserve"> turned upon the rejection of the appellant's evidence simply because of a preference for the evidence of each of the complainants</w:t>
      </w:r>
      <w:r w:rsidRPr="008C2D33">
        <w:rPr>
          <w:rStyle w:val="FootnoteReference"/>
          <w:rFonts w:ascii="Times New Roman" w:hAnsi="Times New Roman"/>
          <w:sz w:val="24"/>
        </w:rPr>
        <w:footnoteReference w:id="53"/>
      </w:r>
      <w:r w:rsidRPr="008C2D33">
        <w:rPr>
          <w:rFonts w:ascii="Times New Roman" w:hAnsi="Times New Roman"/>
        </w:rPr>
        <w:t xml:space="preserve">. It is instructive to refer, in this regard, to this Court's decision in </w:t>
      </w:r>
      <w:r w:rsidRPr="008C2D33">
        <w:rPr>
          <w:rFonts w:ascii="Times New Roman" w:hAnsi="Times New Roman"/>
          <w:i/>
          <w:iCs/>
        </w:rPr>
        <w:t>Castle v The Queen</w:t>
      </w:r>
      <w:r w:rsidRPr="008C2D33">
        <w:rPr>
          <w:rStyle w:val="FootnoteReference"/>
          <w:rFonts w:ascii="Times New Roman" w:hAnsi="Times New Roman"/>
          <w:sz w:val="24"/>
        </w:rPr>
        <w:footnoteReference w:id="54"/>
      </w:r>
      <w:r w:rsidRPr="008C2D33">
        <w:rPr>
          <w:rFonts w:ascii="Times New Roman" w:hAnsi="Times New Roman"/>
        </w:rPr>
        <w:t xml:space="preserve">. In that case, Kiefel, Bell, Keane and Nettle JJ distinguished between a case which turns on the jury's preference for the evidence of one witness over another witness and a case, like the present, where it is apparent to an appellate court that the evidence of a witness is glaringly improbable. In </w:t>
      </w:r>
      <w:r w:rsidR="0011299A" w:rsidRPr="008C2D33">
        <w:rPr>
          <w:rFonts w:ascii="Times New Roman" w:hAnsi="Times New Roman"/>
        </w:rPr>
        <w:t>the latter</w:t>
      </w:r>
      <w:r w:rsidRPr="008C2D33">
        <w:rPr>
          <w:rFonts w:ascii="Times New Roman" w:hAnsi="Times New Roman"/>
        </w:rPr>
        <w:t xml:space="preserve"> case, the appellate court is not usurping the function of the jury</w:t>
      </w:r>
      <w:r w:rsidR="00CB58A4" w:rsidRPr="008C2D33">
        <w:rPr>
          <w:rFonts w:ascii="Times New Roman" w:hAnsi="Times New Roman"/>
        </w:rPr>
        <w:t xml:space="preserve"> in rejecting evidence that is so glaringly improbabl</w:t>
      </w:r>
      <w:r w:rsidR="00D50FE7" w:rsidRPr="008C2D33">
        <w:rPr>
          <w:rFonts w:ascii="Times New Roman" w:hAnsi="Times New Roman"/>
        </w:rPr>
        <w:t>e</w:t>
      </w:r>
      <w:r w:rsidR="00CB58A4" w:rsidRPr="008C2D33">
        <w:rPr>
          <w:rFonts w:ascii="Times New Roman" w:hAnsi="Times New Roman"/>
        </w:rPr>
        <w:t xml:space="preserve"> as to be incapable of belief</w:t>
      </w:r>
      <w:r w:rsidRPr="008C2D33">
        <w:rPr>
          <w:rStyle w:val="FootnoteReference"/>
          <w:rFonts w:ascii="Times New Roman" w:hAnsi="Times New Roman"/>
          <w:sz w:val="24"/>
        </w:rPr>
        <w:footnoteReference w:id="55"/>
      </w:r>
      <w:r w:rsidRPr="008C2D33">
        <w:rPr>
          <w:rFonts w:ascii="Times New Roman" w:hAnsi="Times New Roman"/>
        </w:rPr>
        <w:t>.</w:t>
      </w:r>
    </w:p>
    <w:p w14:paraId="427D049C" w14:textId="7CE48EF2" w:rsidR="0002585C" w:rsidRPr="008C2D33" w:rsidRDefault="00DC59D1" w:rsidP="008C2D33">
      <w:pPr>
        <w:pStyle w:val="FixListStyle"/>
        <w:spacing w:after="260" w:line="280" w:lineRule="exact"/>
        <w:ind w:right="0"/>
        <w:jc w:val="both"/>
        <w:rPr>
          <w:rFonts w:ascii="Times New Roman" w:hAnsi="Times New Roman"/>
        </w:rPr>
      </w:pPr>
      <w:r w:rsidRPr="008C2D33">
        <w:rPr>
          <w:rFonts w:ascii="Times New Roman" w:hAnsi="Times New Roman"/>
          <w:lang w:val="en-US"/>
        </w:rPr>
        <w:tab/>
      </w:r>
      <w:r w:rsidR="001171B1" w:rsidRPr="008C2D33">
        <w:rPr>
          <w:rFonts w:ascii="Times New Roman" w:hAnsi="Times New Roman"/>
          <w:lang w:val="en-US"/>
        </w:rPr>
        <w:t xml:space="preserve">In </w:t>
      </w:r>
      <w:r w:rsidR="001171B1" w:rsidRPr="008C2D33">
        <w:rPr>
          <w:rFonts w:ascii="Times New Roman" w:hAnsi="Times New Roman"/>
          <w:i/>
          <w:iCs/>
          <w:lang w:val="en-US"/>
        </w:rPr>
        <w:t>Castle</w:t>
      </w:r>
      <w:r w:rsidR="001171B1" w:rsidRPr="008C2D33">
        <w:rPr>
          <w:rStyle w:val="FootnoteReference"/>
          <w:rFonts w:ascii="Times New Roman" w:hAnsi="Times New Roman"/>
          <w:sz w:val="24"/>
        </w:rPr>
        <w:footnoteReference w:id="56"/>
      </w:r>
      <w:r w:rsidR="001171B1" w:rsidRPr="008C2D33">
        <w:rPr>
          <w:rFonts w:ascii="Times New Roman" w:hAnsi="Times New Roman"/>
          <w:lang w:val="en-US"/>
        </w:rPr>
        <w:t>,</w:t>
      </w:r>
      <w:r w:rsidR="001171B1" w:rsidRPr="008C2D33">
        <w:rPr>
          <w:rFonts w:ascii="Times New Roman" w:hAnsi="Times New Roman"/>
          <w:i/>
          <w:iCs/>
          <w:lang w:val="en-US"/>
        </w:rPr>
        <w:t xml:space="preserve"> </w:t>
      </w:r>
      <w:r w:rsidR="001171B1" w:rsidRPr="008C2D33">
        <w:rPr>
          <w:rFonts w:ascii="Times New Roman" w:hAnsi="Times New Roman"/>
          <w:lang w:val="en-US"/>
        </w:rPr>
        <w:t xml:space="preserve">the plurality accepted that it was open to the Court of Criminal Appeal to conclude that the evidence of the accused was, in light of the objective evidence, glaringly improbable, and so not a reason to refrain from applying the </w:t>
      </w:r>
      <w:r w:rsidR="001171B1" w:rsidRPr="008C2D33">
        <w:rPr>
          <w:rFonts w:ascii="Times New Roman" w:hAnsi="Times New Roman"/>
          <w:lang w:val="en-US"/>
        </w:rPr>
        <w:lastRenderedPageBreak/>
        <w:t xml:space="preserve">proviso. The obstacle to the application of the proviso in that case was, however, that proof of guilt depended on acceptance of the disputed evidence of the Crown witness </w:t>
      </w:r>
      <w:r w:rsidR="006D7823" w:rsidRPr="008C2D33">
        <w:rPr>
          <w:rFonts w:ascii="Times New Roman" w:hAnsi="Times New Roman"/>
          <w:lang w:val="en-US"/>
        </w:rPr>
        <w:t>"</w:t>
      </w:r>
      <w:r w:rsidR="001171B1" w:rsidRPr="008C2D33">
        <w:rPr>
          <w:rFonts w:ascii="Times New Roman" w:hAnsi="Times New Roman"/>
          <w:lang w:val="en-US"/>
        </w:rPr>
        <w:t>M</w:t>
      </w:r>
      <w:r w:rsidR="006D7823" w:rsidRPr="008C2D33">
        <w:rPr>
          <w:rFonts w:ascii="Times New Roman" w:hAnsi="Times New Roman"/>
          <w:lang w:val="en-US"/>
        </w:rPr>
        <w:t>"</w:t>
      </w:r>
      <w:r w:rsidR="001171B1" w:rsidRPr="008C2D33">
        <w:rPr>
          <w:rFonts w:ascii="Times New Roman" w:hAnsi="Times New Roman"/>
          <w:lang w:val="en-US"/>
        </w:rPr>
        <w:t>. M's veracity and reliability were challenged because her drug and alcohol abuse had resulted in psychotic episodes and auditory hallucinations</w:t>
      </w:r>
      <w:r w:rsidR="001171B1" w:rsidRPr="008C2D33">
        <w:rPr>
          <w:rStyle w:val="FootnoteReference"/>
          <w:rFonts w:ascii="Times New Roman" w:hAnsi="Times New Roman"/>
          <w:sz w:val="24"/>
        </w:rPr>
        <w:footnoteReference w:id="57"/>
      </w:r>
      <w:r w:rsidR="001171B1" w:rsidRPr="008C2D33">
        <w:rPr>
          <w:rFonts w:ascii="Times New Roman" w:hAnsi="Times New Roman"/>
          <w:lang w:val="en-US"/>
        </w:rPr>
        <w:t xml:space="preserve">. The Court of Criminal Appeal was not able to resolve that challenge in </w:t>
      </w:r>
      <w:proofErr w:type="spellStart"/>
      <w:r w:rsidR="001171B1" w:rsidRPr="008C2D33">
        <w:rPr>
          <w:rFonts w:ascii="Times New Roman" w:hAnsi="Times New Roman"/>
          <w:lang w:val="en-US"/>
        </w:rPr>
        <w:t>favour</w:t>
      </w:r>
      <w:proofErr w:type="spellEnd"/>
      <w:r w:rsidR="001171B1" w:rsidRPr="008C2D33">
        <w:rPr>
          <w:rFonts w:ascii="Times New Roman" w:hAnsi="Times New Roman"/>
          <w:lang w:val="en-US"/>
        </w:rPr>
        <w:t xml:space="preserve"> of the prosecution by reference to the record. In the present case, notwithstanding the acquittals on counts</w:t>
      </w:r>
      <w:r w:rsidR="006D7823" w:rsidRPr="008C2D33">
        <w:rPr>
          <w:rFonts w:ascii="Times New Roman" w:hAnsi="Times New Roman"/>
          <w:lang w:val="en-US"/>
        </w:rPr>
        <w:t> </w:t>
      </w:r>
      <w:r w:rsidR="001171B1" w:rsidRPr="008C2D33">
        <w:rPr>
          <w:rFonts w:ascii="Times New Roman" w:hAnsi="Times New Roman"/>
          <w:lang w:val="en-US"/>
        </w:rPr>
        <w:t xml:space="preserve">1 and 8, there was no challenge to the jury's guilty verdicts so far as the occurrence of acts of sexual intercourse </w:t>
      </w:r>
      <w:r w:rsidR="002C599B" w:rsidRPr="008C2D33">
        <w:rPr>
          <w:rFonts w:ascii="Times New Roman" w:hAnsi="Times New Roman"/>
          <w:lang w:val="en-US"/>
        </w:rPr>
        <w:t xml:space="preserve">was </w:t>
      </w:r>
      <w:r w:rsidR="001171B1" w:rsidRPr="008C2D33">
        <w:rPr>
          <w:rFonts w:ascii="Times New Roman" w:hAnsi="Times New Roman"/>
          <w:lang w:val="en-US"/>
        </w:rPr>
        <w:t xml:space="preserve">concerned. And while the appellant gave evidence that he believed that the complainants were consenting to having sex with him, this Court can be satisfied of the appellant's guilt to the requisite standard because the appellant's evidence as to his belief is incapable of being believed. Once his evidence on this issue is rejected, there is no reason, having regard to the record, to doubt that he did not have that belief. In the particulars of this case, making </w:t>
      </w:r>
      <w:r w:rsidR="00855FE1" w:rsidRPr="008C2D33">
        <w:rPr>
          <w:rFonts w:ascii="Times New Roman" w:hAnsi="Times New Roman"/>
          <w:lang w:val="en-US"/>
        </w:rPr>
        <w:t>"</w:t>
      </w:r>
      <w:r w:rsidR="001171B1" w:rsidRPr="008C2D33">
        <w:rPr>
          <w:rFonts w:ascii="Times New Roman" w:hAnsi="Times New Roman"/>
          <w:lang w:val="en-US"/>
        </w:rPr>
        <w:t xml:space="preserve">due allowance for the </w:t>
      </w:r>
      <w:r w:rsidR="00C53E2E" w:rsidRPr="008C2D33">
        <w:rPr>
          <w:rFonts w:ascii="Times New Roman" w:hAnsi="Times New Roman"/>
          <w:lang w:val="en-US"/>
        </w:rPr>
        <w:t>'</w:t>
      </w:r>
      <w:r w:rsidR="001171B1" w:rsidRPr="008C2D33">
        <w:rPr>
          <w:rFonts w:ascii="Times New Roman" w:hAnsi="Times New Roman"/>
          <w:lang w:val="en-US"/>
        </w:rPr>
        <w:t>natural limitations</w:t>
      </w:r>
      <w:r w:rsidR="00C53E2E" w:rsidRPr="008C2D33">
        <w:rPr>
          <w:rFonts w:ascii="Times New Roman" w:hAnsi="Times New Roman"/>
          <w:lang w:val="en-US"/>
        </w:rPr>
        <w:t>'</w:t>
      </w:r>
      <w:r w:rsidR="001171B1" w:rsidRPr="008C2D33">
        <w:rPr>
          <w:rFonts w:ascii="Times New Roman" w:hAnsi="Times New Roman"/>
          <w:lang w:val="en-US"/>
        </w:rPr>
        <w:t xml:space="preserve"> that exist in the case of an appellate court proceeding wholly or substantially on the record</w:t>
      </w:r>
      <w:r w:rsidR="00855FE1" w:rsidRPr="008C2D33">
        <w:rPr>
          <w:rFonts w:ascii="Times New Roman" w:hAnsi="Times New Roman"/>
          <w:lang w:val="en-US"/>
        </w:rPr>
        <w:t>"</w:t>
      </w:r>
      <w:r w:rsidR="001171B1" w:rsidRPr="008C2D33">
        <w:rPr>
          <w:rFonts w:ascii="Times New Roman" w:hAnsi="Times New Roman"/>
          <w:lang w:val="en-US"/>
        </w:rPr>
        <w:t xml:space="preserve">, this Court can and must give effect to </w:t>
      </w:r>
      <w:r w:rsidR="00855FE1" w:rsidRPr="008C2D33">
        <w:rPr>
          <w:rFonts w:ascii="Times New Roman" w:hAnsi="Times New Roman"/>
          <w:lang w:val="en-US"/>
        </w:rPr>
        <w:t>"</w:t>
      </w:r>
      <w:r w:rsidR="001171B1" w:rsidRPr="008C2D33">
        <w:rPr>
          <w:rFonts w:ascii="Times New Roman" w:hAnsi="Times New Roman"/>
          <w:lang w:val="en-US"/>
        </w:rPr>
        <w:t>its own independent assessment</w:t>
      </w:r>
      <w:r w:rsidR="00855FE1" w:rsidRPr="008C2D33">
        <w:rPr>
          <w:rFonts w:ascii="Times New Roman" w:hAnsi="Times New Roman"/>
          <w:lang w:val="en-US"/>
        </w:rPr>
        <w:t>"</w:t>
      </w:r>
      <w:r w:rsidR="001171B1" w:rsidRPr="008C2D33">
        <w:rPr>
          <w:rFonts w:ascii="Times New Roman" w:hAnsi="Times New Roman"/>
          <w:lang w:val="en-US"/>
        </w:rPr>
        <w:t xml:space="preserve"> of the evidence</w:t>
      </w:r>
      <w:r w:rsidR="001171B1" w:rsidRPr="008C2D33">
        <w:rPr>
          <w:rStyle w:val="FootnoteReference"/>
          <w:rFonts w:ascii="Times New Roman" w:hAnsi="Times New Roman"/>
          <w:sz w:val="24"/>
        </w:rPr>
        <w:footnoteReference w:id="58"/>
      </w:r>
      <w:r w:rsidR="001171B1" w:rsidRPr="008C2D33">
        <w:rPr>
          <w:rFonts w:ascii="Times New Roman" w:hAnsi="Times New Roman"/>
          <w:lang w:val="en-US"/>
        </w:rPr>
        <w:t>.</w:t>
      </w:r>
    </w:p>
    <w:p w14:paraId="0EC1F074" w14:textId="674CC702"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This is not a case where this Court was required to seek to resolve a conflict between oath and oath, where the resolution of the contest must depend on the reliability of the jury's verdict. While the Crown case did include reliance on the effect of impermissible cross</w:t>
      </w:r>
      <w:r w:rsidRPr="008C2D33">
        <w:rPr>
          <w:rFonts w:ascii="Times New Roman" w:hAnsi="Times New Roman"/>
        </w:rPr>
        <w:noBreakHyphen/>
        <w:t>examination, there were other, and overwhelmingly sufficient, reasons for rejecting the appellant's evidence as to his belief that each complainant was consenting, and to conclude on the whole of the evidence that he was at least reckless as to her consent, and so to find him guilty beyond reasonable doubt. Those reasons do not depend merely on rejecting the appellant's evidence, and certainly not rejecting it by reason of a preference for the evidence of either complainant. The appellant's evidence in support of his belief that each complainant was consenting to</w:t>
      </w:r>
      <w:r w:rsidR="00AA7315" w:rsidRPr="008C2D33">
        <w:rPr>
          <w:rFonts w:ascii="Times New Roman" w:hAnsi="Times New Roman"/>
        </w:rPr>
        <w:t xml:space="preserve"> having</w:t>
      </w:r>
      <w:r w:rsidRPr="008C2D33">
        <w:rPr>
          <w:rFonts w:ascii="Times New Roman" w:hAnsi="Times New Roman"/>
        </w:rPr>
        <w:t xml:space="preserve"> sex with him was so glaringly improbable that it was not capable of raising a doubt in the mind of a reasonable jury as to </w:t>
      </w:r>
      <w:r w:rsidR="00F81676" w:rsidRPr="008C2D33">
        <w:rPr>
          <w:rFonts w:ascii="Times New Roman" w:hAnsi="Times New Roman"/>
        </w:rPr>
        <w:t>his recklessness</w:t>
      </w:r>
      <w:r w:rsidRPr="008C2D33">
        <w:rPr>
          <w:rFonts w:ascii="Times New Roman" w:hAnsi="Times New Roman"/>
        </w:rPr>
        <w:t xml:space="preserve"> as to whether either complainant consented to having sex with him. </w:t>
      </w:r>
    </w:p>
    <w:p w14:paraId="41325D72" w14:textId="77777777"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lastRenderedPageBreak/>
        <w:tab/>
        <w:t>In his reasons, Fagan J, having earlier noted that the appellant was "a 130 kg virtual stranger" to each complainant</w:t>
      </w:r>
      <w:r w:rsidRPr="008C2D33">
        <w:rPr>
          <w:rStyle w:val="FootnoteReference"/>
          <w:rFonts w:ascii="Times New Roman" w:hAnsi="Times New Roman"/>
          <w:sz w:val="24"/>
        </w:rPr>
        <w:footnoteReference w:id="59"/>
      </w:r>
      <w:r w:rsidRPr="008C2D33">
        <w:rPr>
          <w:rFonts w:ascii="Times New Roman" w:hAnsi="Times New Roman"/>
        </w:rPr>
        <w:t>, went on to say</w:t>
      </w:r>
      <w:r w:rsidRPr="008C2D33">
        <w:rPr>
          <w:rStyle w:val="FootnoteReference"/>
          <w:rFonts w:ascii="Times New Roman" w:hAnsi="Times New Roman"/>
          <w:sz w:val="24"/>
        </w:rPr>
        <w:footnoteReference w:id="60"/>
      </w:r>
      <w:r w:rsidRPr="008C2D33">
        <w:rPr>
          <w:rFonts w:ascii="Times New Roman" w:hAnsi="Times New Roman"/>
        </w:rPr>
        <w:t>:</w:t>
      </w:r>
    </w:p>
    <w:p w14:paraId="0AF18B0B" w14:textId="77777777" w:rsidR="008C2D33" w:rsidRDefault="00C149C3" w:rsidP="008C2D33">
      <w:pPr>
        <w:pStyle w:val="LeftrightafterHC"/>
        <w:spacing w:before="0" w:after="260" w:line="280" w:lineRule="exact"/>
        <w:ind w:right="0"/>
        <w:jc w:val="both"/>
        <w:rPr>
          <w:rFonts w:ascii="Times New Roman" w:hAnsi="Times New Roman"/>
        </w:rPr>
      </w:pPr>
      <w:r w:rsidRPr="008C2D33">
        <w:rPr>
          <w:rFonts w:ascii="Times New Roman" w:hAnsi="Times New Roman"/>
        </w:rPr>
        <w:t>"His evidence that he thought they agreed was objectively improbable given the age difference, the brief period over which each complainant had made his acquaintance and the limited, non</w:t>
      </w:r>
      <w:r w:rsidRPr="008C2D33">
        <w:rPr>
          <w:rFonts w:ascii="Times New Roman" w:hAnsi="Times New Roman"/>
        </w:rPr>
        <w:noBreakHyphen/>
        <w:t>romantic business purpose for which they had met with him. The incontestable evidence that the [appellant] had plied each of these young women with alcohol evinced his intent</w:t>
      </w:r>
      <w:r w:rsidR="00590D52" w:rsidRPr="008C2D33">
        <w:rPr>
          <w:rFonts w:ascii="Times New Roman" w:hAnsi="Times New Roman"/>
        </w:rPr>
        <w:t>,</w:t>
      </w:r>
      <w:r w:rsidRPr="008C2D33">
        <w:rPr>
          <w:rFonts w:ascii="Times New Roman" w:hAnsi="Times New Roman"/>
        </w:rPr>
        <w:t xml:space="preserve"> from the outset</w:t>
      </w:r>
      <w:r w:rsidR="00590D52" w:rsidRPr="008C2D33">
        <w:rPr>
          <w:rFonts w:ascii="Times New Roman" w:hAnsi="Times New Roman"/>
        </w:rPr>
        <w:t>,</w:t>
      </w:r>
      <w:r w:rsidRPr="008C2D33">
        <w:rPr>
          <w:rFonts w:ascii="Times New Roman" w:hAnsi="Times New Roman"/>
        </w:rPr>
        <w:t xml:space="preserve"> to reduce their capacity for resistance; it showed his reckless disregard for whether they consented or not."</w:t>
      </w:r>
    </w:p>
    <w:p w14:paraId="4491A82A" w14:textId="791DE545"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To these undisputed aspects of the evidence noted by Fagan J may be added the truly extraordinary circumstance that the appellant's assaults on the complainants occurred on consecutive nights upon young women who had responded to the appellant's offer of accommodation. The extraordinary circumstance that the incidents in question occurred on consecutive nights is significant, not because of coincidence or tendency, but because of what it reveals of the appellant's modus operandi and the intention which informed his plans. On two nights in a row, with different young women, the appellant pursued a course of conduct that was plainly focused upon having sex with them. The evident purpose of the appellant's plan was to reduce each complainant's agency by isolating her in his house</w:t>
      </w:r>
      <w:r w:rsidR="000258C0" w:rsidRPr="008C2D33">
        <w:rPr>
          <w:rFonts w:ascii="Times New Roman" w:hAnsi="Times New Roman"/>
        </w:rPr>
        <w:t>,</w:t>
      </w:r>
      <w:r w:rsidRPr="008C2D33">
        <w:rPr>
          <w:rFonts w:ascii="Times New Roman" w:hAnsi="Times New Roman"/>
        </w:rPr>
        <w:t xml:space="preserve"> where, affected by alcohol, she would be at his mercy by reason of his height and weight. Plying each complainant with alcohol before bringing her back to his house was also part of that plan</w:t>
      </w:r>
      <w:r w:rsidR="000258C0" w:rsidRPr="008C2D33">
        <w:rPr>
          <w:rFonts w:ascii="Times New Roman" w:hAnsi="Times New Roman"/>
        </w:rPr>
        <w:t>,</w:t>
      </w:r>
      <w:r w:rsidRPr="008C2D33">
        <w:rPr>
          <w:rFonts w:ascii="Times New Roman" w:hAnsi="Times New Roman"/>
        </w:rPr>
        <w:t xml:space="preserve"> which had nothing to do with the search for a possible housemate. </w:t>
      </w:r>
    </w:p>
    <w:p w14:paraId="22ED3E08" w14:textId="077B838D"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It is an affront to common sense to suggest that the appellant, in fabricating the pretext of offering to share his house, was acting otherwise than with the intention to lure young women back to his house and</w:t>
      </w:r>
      <w:r w:rsidR="00E2198D" w:rsidRPr="008C2D33">
        <w:rPr>
          <w:rFonts w:ascii="Times New Roman" w:hAnsi="Times New Roman"/>
        </w:rPr>
        <w:t>,</w:t>
      </w:r>
      <w:r w:rsidRPr="008C2D33">
        <w:rPr>
          <w:rFonts w:ascii="Times New Roman" w:hAnsi="Times New Roman"/>
        </w:rPr>
        <w:t xml:space="preserve"> having plied them with alcohol before doing so, to have sex with them irrespective of their wishes. There is no room here for reasonable doubt that in the case of each complainant the sexual assaults which the appellant perpetrated were planned in advance and were to be executed without regard to the wishes of the complainants. </w:t>
      </w:r>
    </w:p>
    <w:p w14:paraId="02718C88" w14:textId="6A5DEC18"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It should be noted that there is an obvious reason why defence counsel refrained from putting to C1 and C2 those aspects of the appellant's evidence that were said by the Crown to be matters of recent invention. As noted above, defence counsel identified that reason in his evidence before the Court of Criminal Appeal. </w:t>
      </w:r>
      <w:r w:rsidRPr="008C2D33">
        <w:rPr>
          <w:rFonts w:ascii="Times New Roman" w:hAnsi="Times New Roman"/>
        </w:rPr>
        <w:lastRenderedPageBreak/>
        <w:t>He refrained from putting these matters to the complainants because he thought that these matters "held a high risk of actually setting the jury against Mr Hofer"</w:t>
      </w:r>
      <w:r w:rsidR="00B12B8F" w:rsidRPr="008C2D33">
        <w:rPr>
          <w:rFonts w:ascii="Times New Roman" w:hAnsi="Times New Roman"/>
        </w:rPr>
        <w:t>.</w:t>
      </w:r>
    </w:p>
    <w:p w14:paraId="5928E5CB" w14:textId="77777777"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Counsel's appreciation, both of the irrelevance of the evidence in question to the issues in the case, and the likely adverse effect that the appellant's evidence would have upon the jury as the tribunal of fact, was plainly correct. The appellant's attempt to present his evening with each complainant as "a date" can be seen as a fabrication that is of a piece with the fabrication of his advertisement for a housemate. Any reasonable tribunal would have regarded this evidence as bordering on fantasy. </w:t>
      </w:r>
    </w:p>
    <w:p w14:paraId="110472EB" w14:textId="61612A2B"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Thus far, in this discussion of whether the appellant was proved to be guilty as found by the jury, attention has been </w:t>
      </w:r>
      <w:r w:rsidR="009A48B2" w:rsidRPr="008C2D33">
        <w:rPr>
          <w:rFonts w:ascii="Times New Roman" w:hAnsi="Times New Roman"/>
        </w:rPr>
        <w:t xml:space="preserve">focused </w:t>
      </w:r>
      <w:r w:rsidRPr="008C2D33">
        <w:rPr>
          <w:rFonts w:ascii="Times New Roman" w:hAnsi="Times New Roman"/>
        </w:rPr>
        <w:t xml:space="preserve">on what was identified at trial and in the arguments in this Court as </w:t>
      </w:r>
      <w:r w:rsidR="00F91A0F" w:rsidRPr="008C2D33">
        <w:rPr>
          <w:rFonts w:ascii="Times New Roman" w:hAnsi="Times New Roman"/>
        </w:rPr>
        <w:t xml:space="preserve">to </w:t>
      </w:r>
      <w:r w:rsidRPr="008C2D33">
        <w:rPr>
          <w:rFonts w:ascii="Times New Roman" w:hAnsi="Times New Roman"/>
        </w:rPr>
        <w:t>the crucial issue at trial, that is</w:t>
      </w:r>
      <w:r w:rsidR="00EA30CC" w:rsidRPr="008C2D33">
        <w:rPr>
          <w:rFonts w:ascii="Times New Roman" w:hAnsi="Times New Roman"/>
        </w:rPr>
        <w:t>,</w:t>
      </w:r>
      <w:r w:rsidRPr="008C2D33">
        <w:rPr>
          <w:rFonts w:ascii="Times New Roman" w:hAnsi="Times New Roman"/>
        </w:rPr>
        <w:t xml:space="preserve"> whether the appellant truly believed that each complainant consented to have sex with him. In the Court of Criminal Appeal, Fagan J noted that the commission of an act of sexual intercourse was admitted by the appellant for all counts upon which the appellant was convicted in relation to C1 except counts 6 and 7</w:t>
      </w:r>
      <w:r w:rsidRPr="008C2D33">
        <w:rPr>
          <w:rStyle w:val="FootnoteReference"/>
          <w:rFonts w:ascii="Times New Roman" w:hAnsi="Times New Roman"/>
          <w:sz w:val="24"/>
        </w:rPr>
        <w:footnoteReference w:id="61"/>
      </w:r>
      <w:r w:rsidRPr="008C2D33">
        <w:rPr>
          <w:rFonts w:ascii="Times New Roman" w:hAnsi="Times New Roman"/>
        </w:rPr>
        <w:t>. The appellant denied that these acts of penile</w:t>
      </w:r>
      <w:r w:rsidRPr="008C2D33">
        <w:rPr>
          <w:rFonts w:ascii="Times New Roman" w:hAnsi="Times New Roman"/>
        </w:rPr>
        <w:noBreakHyphen/>
        <w:t>vaginal penetration had occurred. In this regard, Fagan J preferred the evidence of C1 as "highly credible" while the evidence of the appellant lacked credibility</w:t>
      </w:r>
      <w:r w:rsidRPr="008C2D33">
        <w:rPr>
          <w:rStyle w:val="FootnoteReference"/>
          <w:rFonts w:ascii="Times New Roman" w:hAnsi="Times New Roman"/>
          <w:sz w:val="24"/>
        </w:rPr>
        <w:footnoteReference w:id="62"/>
      </w:r>
      <w:r w:rsidRPr="008C2D33">
        <w:rPr>
          <w:rFonts w:ascii="Times New Roman" w:hAnsi="Times New Roman"/>
        </w:rPr>
        <w:t>. His Honour took a similar view in relation to the establishment of the element of consent (as distinct from the appellant's belief or recklessness as to the element of consent) in relation to both C1 and C2</w:t>
      </w:r>
      <w:r w:rsidRPr="008C2D33">
        <w:rPr>
          <w:rStyle w:val="FootnoteReference"/>
          <w:rFonts w:ascii="Times New Roman" w:hAnsi="Times New Roman"/>
          <w:sz w:val="24"/>
        </w:rPr>
        <w:footnoteReference w:id="63"/>
      </w:r>
      <w:r w:rsidRPr="008C2D33">
        <w:rPr>
          <w:rFonts w:ascii="Times New Roman" w:hAnsi="Times New Roman"/>
        </w:rPr>
        <w:t>.</w:t>
      </w:r>
    </w:p>
    <w:p w14:paraId="72B96780" w14:textId="7296E691"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To the extent that Fagan J relied upon the verdict of the jury as resolving the contest of credibility between the appellant on the one hand and the complainants on the other, that course was not open to </w:t>
      </w:r>
      <w:r w:rsidR="00AC7D26" w:rsidRPr="008C2D33">
        <w:rPr>
          <w:rFonts w:ascii="Times New Roman" w:hAnsi="Times New Roman"/>
        </w:rPr>
        <w:t xml:space="preserve">his Honour </w:t>
      </w:r>
      <w:r w:rsidRPr="008C2D33">
        <w:rPr>
          <w:rFonts w:ascii="Times New Roman" w:hAnsi="Times New Roman"/>
        </w:rPr>
        <w:t>if it were to be assumed that the jury's verdict may have been affected by the impermissible cross</w:t>
      </w:r>
      <w:r w:rsidRPr="008C2D33">
        <w:rPr>
          <w:rFonts w:ascii="Times New Roman" w:hAnsi="Times New Roman"/>
        </w:rPr>
        <w:noBreakHyphen/>
        <w:t>examination of the appellant. But</w:t>
      </w:r>
      <w:r w:rsidR="00CB6B84" w:rsidRPr="008C2D33">
        <w:rPr>
          <w:rFonts w:ascii="Times New Roman" w:hAnsi="Times New Roman"/>
        </w:rPr>
        <w:t>,</w:t>
      </w:r>
      <w:r w:rsidRPr="008C2D33">
        <w:rPr>
          <w:rFonts w:ascii="Times New Roman" w:hAnsi="Times New Roman"/>
        </w:rPr>
        <w:t xml:space="preserve"> for the reasons stated above, the evidence of the appellant was so wholly lacking in credibility that it was not necessary for Fagan J to rely upon the verdict of the jury as resolving these issues.</w:t>
      </w:r>
    </w:p>
    <w:p w14:paraId="4DC49A4D" w14:textId="77777777"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the extraordinary circumstances of this case, just as no reasonable tribunal of fact could possibly have been beguiled by the appellant's fabrications, so an appellate court invited to apply the proviso is not obliged to entertain these </w:t>
      </w:r>
      <w:r w:rsidRPr="008C2D33">
        <w:rPr>
          <w:rFonts w:ascii="Times New Roman" w:hAnsi="Times New Roman"/>
        </w:rPr>
        <w:lastRenderedPageBreak/>
        <w:t>fantastical suggestions as giving rise to a reasonable doubt as to the appellant's guilt.</w:t>
      </w:r>
    </w:p>
    <w:p w14:paraId="0A605F1B" w14:textId="77777777" w:rsidR="00C149C3" w:rsidRPr="008C2D33" w:rsidRDefault="00C149C3" w:rsidP="008C2D33">
      <w:pPr>
        <w:pStyle w:val="HeadingL2"/>
        <w:spacing w:after="260" w:line="280" w:lineRule="exact"/>
        <w:ind w:right="0"/>
        <w:jc w:val="both"/>
        <w:rPr>
          <w:rFonts w:ascii="Times New Roman" w:hAnsi="Times New Roman"/>
        </w:rPr>
      </w:pPr>
      <w:r w:rsidRPr="008C2D33">
        <w:rPr>
          <w:rFonts w:ascii="Times New Roman" w:hAnsi="Times New Roman"/>
        </w:rPr>
        <w:t>A failure of process?</w:t>
      </w:r>
    </w:p>
    <w:p w14:paraId="2E2D4E33" w14:textId="303745A3"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w:t>
      </w:r>
      <w:r w:rsidRPr="008C2D33">
        <w:rPr>
          <w:rFonts w:ascii="Times New Roman" w:hAnsi="Times New Roman"/>
          <w:i/>
          <w:iCs/>
        </w:rPr>
        <w:t>Weiss</w:t>
      </w:r>
      <w:r w:rsidRPr="008C2D33">
        <w:rPr>
          <w:rFonts w:ascii="Times New Roman" w:hAnsi="Times New Roman"/>
        </w:rPr>
        <w:t>, when speaking of failures of process involving a denial of procedural fairness, this Court was speaking of "errors or miscarriages of justice ... [that] may amount to such a serious breach of the presuppositions of the trial"</w:t>
      </w:r>
      <w:r w:rsidRPr="008C2D33">
        <w:rPr>
          <w:rStyle w:val="FootnoteReference"/>
          <w:rFonts w:ascii="Times New Roman" w:hAnsi="Times New Roman"/>
          <w:sz w:val="24"/>
        </w:rPr>
        <w:footnoteReference w:id="64"/>
      </w:r>
      <w:r w:rsidR="00C35D3F" w:rsidRPr="008C2D33">
        <w:rPr>
          <w:rFonts w:ascii="Times New Roman" w:hAnsi="Times New Roman"/>
        </w:rPr>
        <w:t>.</w:t>
      </w:r>
      <w:r w:rsidRPr="008C2D33">
        <w:rPr>
          <w:rFonts w:ascii="Times New Roman" w:hAnsi="Times New Roman"/>
        </w:rPr>
        <w:t xml:space="preserve"> This is not a case where there has been a failure of process that involves a serious breach of the presuppositions of the trial, such that the proviso cannot be applied. </w:t>
      </w:r>
    </w:p>
    <w:p w14:paraId="1B1DC7A2" w14:textId="53774DCA"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In </w:t>
      </w:r>
      <w:proofErr w:type="spellStart"/>
      <w:r w:rsidRPr="008C2D33">
        <w:rPr>
          <w:rFonts w:ascii="Times New Roman" w:hAnsi="Times New Roman"/>
          <w:i/>
          <w:iCs/>
        </w:rPr>
        <w:t>Nudd</w:t>
      </w:r>
      <w:proofErr w:type="spellEnd"/>
      <w:r w:rsidRPr="008C2D33">
        <w:rPr>
          <w:rFonts w:ascii="Times New Roman" w:hAnsi="Times New Roman"/>
          <w:i/>
          <w:iCs/>
        </w:rPr>
        <w:t xml:space="preserve"> v The Queen</w:t>
      </w:r>
      <w:r w:rsidRPr="008C2D33">
        <w:rPr>
          <w:rStyle w:val="FootnoteReference"/>
          <w:rFonts w:ascii="Times New Roman" w:hAnsi="Times New Roman"/>
          <w:sz w:val="24"/>
        </w:rPr>
        <w:footnoteReference w:id="65"/>
      </w:r>
      <w:r w:rsidRPr="008C2D33">
        <w:rPr>
          <w:rFonts w:ascii="Times New Roman" w:hAnsi="Times New Roman"/>
        </w:rPr>
        <w:t xml:space="preserve">, Gleeson CJ acknowledged that there may be cases where counsel's "ineptitude is so extreme as to constitute a denial of due process to the client". His Honour described such cases as "rare", and in justifying that description referred to the two examples given by McHugh J in </w:t>
      </w:r>
      <w:r w:rsidRPr="008C2D33">
        <w:rPr>
          <w:rFonts w:ascii="Times New Roman" w:hAnsi="Times New Roman"/>
          <w:i/>
          <w:iCs/>
        </w:rPr>
        <w:t>TKWJ v The Queen</w:t>
      </w:r>
      <w:r w:rsidRPr="008C2D33">
        <w:rPr>
          <w:rStyle w:val="FootnoteReference"/>
          <w:rFonts w:ascii="Times New Roman" w:hAnsi="Times New Roman"/>
          <w:sz w:val="24"/>
        </w:rPr>
        <w:footnoteReference w:id="66"/>
      </w:r>
      <w:r w:rsidRPr="008C2D33">
        <w:rPr>
          <w:rFonts w:ascii="Times New Roman" w:hAnsi="Times New Roman"/>
        </w:rPr>
        <w:t>: "cases where, for no valid reason, counsel fails to cross</w:t>
      </w:r>
      <w:r w:rsidRPr="008C2D33">
        <w:rPr>
          <w:rFonts w:ascii="Times New Roman" w:hAnsi="Times New Roman"/>
        </w:rPr>
        <w:noBreakHyphen/>
        <w:t>examine material witnesses, or does not address the jury"</w:t>
      </w:r>
      <w:r w:rsidR="00037DF4" w:rsidRPr="008C2D33">
        <w:rPr>
          <w:rFonts w:ascii="Times New Roman" w:hAnsi="Times New Roman"/>
        </w:rPr>
        <w:t>.</w:t>
      </w:r>
      <w:r w:rsidRPr="008C2D33">
        <w:rPr>
          <w:rFonts w:ascii="Times New Roman" w:hAnsi="Times New Roman"/>
        </w:rPr>
        <w:t xml:space="preserve"> </w:t>
      </w:r>
    </w:p>
    <w:p w14:paraId="608041CE" w14:textId="22F0147A"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The failure of defence counsel at trial to stop the cross</w:t>
      </w:r>
      <w:r w:rsidRPr="008C2D33">
        <w:rPr>
          <w:rFonts w:ascii="Times New Roman" w:hAnsi="Times New Roman"/>
        </w:rPr>
        <w:noBreakHyphen/>
        <w:t>examination of the appellant and the consequent suggestions of recent invention do not make the present appeal an example of the rare case where there has been a denial of the presuppositions of the trial. A suggestion that any impermissible cross</w:t>
      </w:r>
      <w:r w:rsidRPr="008C2D33">
        <w:rPr>
          <w:rFonts w:ascii="Times New Roman" w:hAnsi="Times New Roman"/>
        </w:rPr>
        <w:noBreakHyphen/>
        <w:t xml:space="preserve">examination based on a supposed breach by the accused of the rule in </w:t>
      </w:r>
      <w:r w:rsidRPr="008C2D33">
        <w:rPr>
          <w:rFonts w:ascii="Times New Roman" w:hAnsi="Times New Roman"/>
          <w:i/>
          <w:iCs/>
        </w:rPr>
        <w:t xml:space="preserve">Browne v Dunn </w:t>
      </w:r>
      <w:r w:rsidRPr="008C2D33">
        <w:rPr>
          <w:rFonts w:ascii="Times New Roman" w:hAnsi="Times New Roman"/>
        </w:rPr>
        <w:t xml:space="preserve">is such a failure of due process that the proviso cannot be applied cannot stand with this Court's decision in </w:t>
      </w:r>
      <w:r w:rsidRPr="008C2D33">
        <w:rPr>
          <w:rFonts w:ascii="Times New Roman" w:hAnsi="Times New Roman"/>
          <w:i/>
          <w:iCs/>
        </w:rPr>
        <w:t>MWJ v The Queen</w:t>
      </w:r>
      <w:r w:rsidRPr="008C2D33">
        <w:rPr>
          <w:rStyle w:val="FootnoteReference"/>
          <w:rFonts w:ascii="Times New Roman" w:hAnsi="Times New Roman"/>
          <w:sz w:val="24"/>
        </w:rPr>
        <w:footnoteReference w:id="67"/>
      </w:r>
      <w:r w:rsidRPr="008C2D33">
        <w:rPr>
          <w:rFonts w:ascii="Times New Roman" w:hAnsi="Times New Roman"/>
        </w:rPr>
        <w:t xml:space="preserve">.  </w:t>
      </w:r>
    </w:p>
    <w:p w14:paraId="33695F44" w14:textId="44C83A4C"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 xml:space="preserve">The failure of process in the present case cannot be said to have been of greater significance to the integrity of the trial process than that which occurred in </w:t>
      </w:r>
      <w:proofErr w:type="spellStart"/>
      <w:r w:rsidRPr="008C2D33">
        <w:rPr>
          <w:rFonts w:ascii="Times New Roman" w:hAnsi="Times New Roman"/>
          <w:i/>
          <w:iCs/>
        </w:rPr>
        <w:t>Kalbasi</w:t>
      </w:r>
      <w:proofErr w:type="spellEnd"/>
      <w:r w:rsidRPr="008C2D33">
        <w:rPr>
          <w:rFonts w:ascii="Times New Roman" w:hAnsi="Times New Roman"/>
        </w:rPr>
        <w:t>. In that case, there was no issue as to proof of a particular element of the offence charged and the accused's counsel consented to the removal of that element from the jury's consideration</w:t>
      </w:r>
      <w:r w:rsidRPr="008C2D33">
        <w:rPr>
          <w:rStyle w:val="FootnoteReference"/>
          <w:rFonts w:ascii="Times New Roman" w:hAnsi="Times New Roman"/>
          <w:sz w:val="24"/>
        </w:rPr>
        <w:footnoteReference w:id="68"/>
      </w:r>
      <w:r w:rsidRPr="008C2D33">
        <w:rPr>
          <w:rFonts w:ascii="Times New Roman" w:hAnsi="Times New Roman"/>
        </w:rPr>
        <w:t xml:space="preserve">. This Court held that these flaws in the trial process </w:t>
      </w:r>
      <w:r w:rsidRPr="008C2D33">
        <w:rPr>
          <w:rFonts w:ascii="Times New Roman" w:hAnsi="Times New Roman"/>
        </w:rPr>
        <w:lastRenderedPageBreak/>
        <w:t>did not amount to the kind of failure of process that would prevent the application of the proviso</w:t>
      </w:r>
      <w:r w:rsidRPr="008C2D33">
        <w:rPr>
          <w:rStyle w:val="FootnoteReference"/>
          <w:rFonts w:ascii="Times New Roman" w:hAnsi="Times New Roman"/>
          <w:sz w:val="24"/>
        </w:rPr>
        <w:footnoteReference w:id="69"/>
      </w:r>
      <w:r w:rsidRPr="008C2D33">
        <w:rPr>
          <w:rFonts w:ascii="Times New Roman" w:hAnsi="Times New Roman"/>
        </w:rPr>
        <w:t>.</w:t>
      </w:r>
    </w:p>
    <w:p w14:paraId="6C788EF7" w14:textId="6F4E5AD8"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In the present case, the Crown's impermissible contention of recent invention was of little significance in the determination of the real issue in the trial. The flaw in the trial process cannot be said to have been such that "the jury has not performed its function"</w:t>
      </w:r>
      <w:r w:rsidRPr="008C2D33">
        <w:rPr>
          <w:rStyle w:val="FootnoteReference"/>
          <w:rFonts w:ascii="Times New Roman" w:hAnsi="Times New Roman"/>
          <w:sz w:val="24"/>
        </w:rPr>
        <w:footnoteReference w:id="70"/>
      </w:r>
      <w:r w:rsidRPr="008C2D33">
        <w:rPr>
          <w:rFonts w:ascii="Times New Roman" w:hAnsi="Times New Roman"/>
        </w:rPr>
        <w:t>. The difficulty for the appellant, which was overwhelming, lay not in the suggestion that his case involved recent invention, but in his account</w:t>
      </w:r>
      <w:r w:rsidR="00D9374B" w:rsidRPr="008C2D33">
        <w:rPr>
          <w:rFonts w:ascii="Times New Roman" w:hAnsi="Times New Roman"/>
        </w:rPr>
        <w:t>,</w:t>
      </w:r>
      <w:r w:rsidRPr="008C2D33">
        <w:rPr>
          <w:rFonts w:ascii="Times New Roman" w:hAnsi="Times New Roman"/>
        </w:rPr>
        <w:t xml:space="preserve"> </w:t>
      </w:r>
      <w:r w:rsidR="00D9374B" w:rsidRPr="008C2D33">
        <w:rPr>
          <w:rFonts w:ascii="Times New Roman" w:hAnsi="Times New Roman"/>
        </w:rPr>
        <w:t xml:space="preserve">which </w:t>
      </w:r>
      <w:r w:rsidRPr="008C2D33">
        <w:rPr>
          <w:rFonts w:ascii="Times New Roman" w:hAnsi="Times New Roman"/>
        </w:rPr>
        <w:t>was as much a fabrication as his advertisement that he was seeking to find a housemate. Whether the fabrication of his evidence was or was not "recent" was beside the point.</w:t>
      </w:r>
    </w:p>
    <w:p w14:paraId="68117CB5" w14:textId="77777777" w:rsidR="00C149C3" w:rsidRPr="008C2D33" w:rsidRDefault="00C149C3" w:rsidP="008C2D33">
      <w:pPr>
        <w:pStyle w:val="HeadingL1"/>
        <w:spacing w:after="260" w:line="280" w:lineRule="exact"/>
        <w:ind w:right="0"/>
        <w:jc w:val="both"/>
        <w:rPr>
          <w:rFonts w:ascii="Times New Roman" w:hAnsi="Times New Roman"/>
        </w:rPr>
      </w:pPr>
      <w:r w:rsidRPr="008C2D33">
        <w:rPr>
          <w:rFonts w:ascii="Times New Roman" w:hAnsi="Times New Roman"/>
        </w:rPr>
        <w:t>Conclusion and order</w:t>
      </w:r>
    </w:p>
    <w:p w14:paraId="01EA2A03" w14:textId="77777777" w:rsidR="00C149C3" w:rsidRPr="008C2D33"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The Crown's submissions in relation to the application of the proviso should be accepted. The appellant's conviction did not involve a substantial miscarriage of justice within the meaning of the proviso. The Court of Criminal Appeal was right to dismiss the appeal.</w:t>
      </w:r>
    </w:p>
    <w:p w14:paraId="4AB50F63" w14:textId="77777777" w:rsidR="00357618" w:rsidRDefault="00C149C3" w:rsidP="008C2D33">
      <w:pPr>
        <w:pStyle w:val="FixListStyle"/>
        <w:spacing w:after="260" w:line="280" w:lineRule="exact"/>
        <w:ind w:right="0"/>
        <w:jc w:val="both"/>
        <w:rPr>
          <w:rFonts w:ascii="Times New Roman" w:hAnsi="Times New Roman"/>
        </w:rPr>
      </w:pPr>
      <w:r w:rsidRPr="008C2D33">
        <w:rPr>
          <w:rFonts w:ascii="Times New Roman" w:hAnsi="Times New Roman"/>
        </w:rPr>
        <w:tab/>
        <w:t>The appeal to this Court should be dismissed.</w:t>
      </w:r>
    </w:p>
    <w:p w14:paraId="7C7F4D56" w14:textId="77777777" w:rsidR="00357618" w:rsidRDefault="00357618" w:rsidP="008C2D33">
      <w:pPr>
        <w:pStyle w:val="FixListStyle"/>
        <w:spacing w:after="260" w:line="280" w:lineRule="exact"/>
        <w:ind w:right="0"/>
        <w:jc w:val="both"/>
        <w:rPr>
          <w:rFonts w:ascii="Times New Roman" w:hAnsi="Times New Roman"/>
        </w:rPr>
        <w:sectPr w:rsidR="00357618" w:rsidSect="0059744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FF7500B" w14:textId="77777777" w:rsidR="00357618" w:rsidRPr="00727042" w:rsidRDefault="00357618" w:rsidP="0035761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27042">
        <w:rPr>
          <w:rFonts w:ascii="Times New Roman" w:hAnsi="Times New Roman"/>
        </w:rPr>
        <w:lastRenderedPageBreak/>
        <w:t xml:space="preserve">GAGELER J.   In common with criminal appeal statutes in most other States and Territories of Australia, the </w:t>
      </w:r>
      <w:r w:rsidRPr="00727042">
        <w:rPr>
          <w:rFonts w:ascii="Times New Roman" w:hAnsi="Times New Roman"/>
          <w:i/>
        </w:rPr>
        <w:t>Criminal Appeal Act 1912</w:t>
      </w:r>
      <w:r w:rsidRPr="00727042">
        <w:rPr>
          <w:rFonts w:ascii="Times New Roman" w:hAnsi="Times New Roman"/>
        </w:rPr>
        <w:t xml:space="preserve"> (NSW)</w:t>
      </w:r>
      <w:r w:rsidRPr="00727042">
        <w:rPr>
          <w:rStyle w:val="FootnoteReference"/>
          <w:rFonts w:ascii="Times New Roman" w:hAnsi="Times New Roman"/>
          <w:sz w:val="24"/>
        </w:rPr>
        <w:footnoteReference w:id="71"/>
      </w:r>
      <w:r w:rsidRPr="00727042">
        <w:rPr>
          <w:rFonts w:ascii="Times New Roman" w:hAnsi="Times New Roman"/>
        </w:rPr>
        <w:t xml:space="preserve"> provides that, on an appeal against a conviction on indictment, the appellate court:</w:t>
      </w:r>
    </w:p>
    <w:p w14:paraId="3DC67250" w14:textId="77777777" w:rsidR="00357618" w:rsidRDefault="00357618" w:rsidP="00727042">
      <w:pPr>
        <w:pStyle w:val="leftright"/>
        <w:spacing w:before="0" w:after="260" w:line="280" w:lineRule="exact"/>
        <w:ind w:right="0"/>
        <w:jc w:val="both"/>
        <w:rPr>
          <w:rFonts w:ascii="Times New Roman" w:hAnsi="Times New Roman"/>
        </w:rPr>
      </w:pPr>
      <w:r w:rsidRPr="00727042">
        <w:rPr>
          <w:rFonts w:ascii="Times New Roman" w:hAnsi="Times New Roman"/>
        </w:rPr>
        <w:t>"shall allow the appeal if it is of opinion that the verdict</w:t>
      </w:r>
      <w:r w:rsidRPr="00727042">
        <w:rPr>
          <w:rFonts w:ascii="Times New Roman" w:hAnsi="Times New Roman"/>
          <w:i/>
        </w:rPr>
        <w:t xml:space="preserve"> </w:t>
      </w:r>
      <w:r w:rsidRPr="00727042">
        <w:rPr>
          <w:rFonts w:ascii="Times New Roman" w:hAnsi="Times New Roman"/>
        </w:rPr>
        <w:t xml:space="preserve">of the jury should be set aside on the ground that it is unreasonable, or cannot be supported, having regard to the evidence, or that the judgment of the court of trial should be set aside on the ground of the wrong decision of any question of law, or that </w:t>
      </w:r>
      <w:r w:rsidRPr="00727042">
        <w:rPr>
          <w:rFonts w:ascii="Times New Roman" w:hAnsi="Times New Roman"/>
          <w:i/>
        </w:rPr>
        <w:t>on any other ground whatsoever there was a miscarriage of justice</w:t>
      </w:r>
      <w:r w:rsidRPr="00727042">
        <w:rPr>
          <w:rFonts w:ascii="Times New Roman" w:hAnsi="Times New Roman"/>
        </w:rPr>
        <w:t>, and in any other case shall dismiss the appeal; provided that the court may, notwithstanding that it is of opinion that the point or points raised by the appeal might be decided in favour of the appellant, dismiss the appeal if it considers that</w:t>
      </w:r>
      <w:r w:rsidRPr="00727042">
        <w:rPr>
          <w:rFonts w:ascii="Times New Roman" w:hAnsi="Times New Roman"/>
          <w:i/>
        </w:rPr>
        <w:t xml:space="preserve"> no substantial miscarriage of justice has actually occurred</w:t>
      </w:r>
      <w:r w:rsidRPr="00727042">
        <w:rPr>
          <w:rFonts w:ascii="Times New Roman" w:hAnsi="Times New Roman"/>
        </w:rPr>
        <w:t>."</w:t>
      </w:r>
    </w:p>
    <w:p w14:paraId="011C495F"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Kiefel CJ, Keane and Gleeson JJ find in the present case that "there was a miscarriage of justice" on a ground that was not "the wrong decision of any question of law". Their Honours nevertheless conclude that the appeal against conviction was properly dismissed in the application of the proviso because "no substantial miscarriage of justice has actually occurred". I agree with that finding and that conclusion, and broadly with the reasons expressed by their Honours.</w:t>
      </w:r>
    </w:p>
    <w:p w14:paraId="353780FA"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My purpose in adding these reasons is squarely to address the content of, and relationship between, the "miscarriage of justice" ground and the "no substantial miscarriage of justice has actually occurred" proviso in a manner that lays to rest reservations I have repeatedly expressed in the past</w:t>
      </w:r>
      <w:r w:rsidRPr="00727042">
        <w:rPr>
          <w:rStyle w:val="FootnoteReference"/>
          <w:rFonts w:ascii="Times New Roman" w:hAnsi="Times New Roman"/>
          <w:sz w:val="24"/>
        </w:rPr>
        <w:footnoteReference w:id="72"/>
      </w:r>
      <w:r w:rsidRPr="00727042">
        <w:rPr>
          <w:rFonts w:ascii="Times New Roman" w:hAnsi="Times New Roman"/>
        </w:rPr>
        <w:t xml:space="preserve"> about aspects of the reasoning in </w:t>
      </w:r>
      <w:r w:rsidRPr="00727042">
        <w:rPr>
          <w:rFonts w:ascii="Times New Roman" w:hAnsi="Times New Roman"/>
          <w:i/>
        </w:rPr>
        <w:t>Weiss v The Queen</w:t>
      </w:r>
      <w:r w:rsidRPr="00727042">
        <w:rPr>
          <w:rStyle w:val="FootnoteReference"/>
          <w:rFonts w:ascii="Times New Roman" w:hAnsi="Times New Roman"/>
          <w:sz w:val="24"/>
        </w:rPr>
        <w:footnoteReference w:id="73"/>
      </w:r>
      <w:r w:rsidRPr="00727042">
        <w:rPr>
          <w:rFonts w:ascii="Times New Roman" w:hAnsi="Times New Roman"/>
        </w:rPr>
        <w:t xml:space="preserve">. </w:t>
      </w:r>
    </w:p>
    <w:p w14:paraId="2D5BCAE4" w14:textId="77777777" w:rsidR="00357618" w:rsidRPr="00727042" w:rsidRDefault="00357618" w:rsidP="00727042">
      <w:pPr>
        <w:pStyle w:val="HeadingL1"/>
        <w:spacing w:after="260" w:line="280" w:lineRule="exact"/>
        <w:ind w:right="0"/>
        <w:jc w:val="both"/>
        <w:rPr>
          <w:rFonts w:ascii="Times New Roman" w:hAnsi="Times New Roman"/>
        </w:rPr>
      </w:pPr>
      <w:r w:rsidRPr="00727042">
        <w:rPr>
          <w:rFonts w:ascii="Times New Roman" w:hAnsi="Times New Roman"/>
          <w:i/>
        </w:rPr>
        <w:t xml:space="preserve">Weiss </w:t>
      </w:r>
      <w:r w:rsidRPr="00727042">
        <w:rPr>
          <w:rFonts w:ascii="Times New Roman" w:hAnsi="Times New Roman"/>
        </w:rPr>
        <w:t>and the proviso</w:t>
      </w:r>
    </w:p>
    <w:p w14:paraId="35836A8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Before </w:t>
      </w:r>
      <w:r w:rsidRPr="00727042">
        <w:rPr>
          <w:rFonts w:ascii="Times New Roman" w:hAnsi="Times New Roman"/>
          <w:i/>
        </w:rPr>
        <w:t>Weiss</w:t>
      </w:r>
      <w:r w:rsidRPr="00727042">
        <w:rPr>
          <w:rFonts w:ascii="Times New Roman" w:hAnsi="Times New Roman"/>
        </w:rPr>
        <w:t xml:space="preserve">, appellate courts in Australia had not reached a conclusion on "what, if anything, is the difference between a miscarriage of justice and a </w:t>
      </w:r>
      <w:r w:rsidRPr="00727042">
        <w:rPr>
          <w:rFonts w:ascii="Times New Roman" w:hAnsi="Times New Roman"/>
        </w:rPr>
        <w:lastRenderedPageBreak/>
        <w:t>substantial miscarriage of justice"</w:t>
      </w:r>
      <w:r w:rsidRPr="00727042">
        <w:rPr>
          <w:rStyle w:val="FootnoteReference"/>
          <w:rFonts w:ascii="Times New Roman" w:hAnsi="Times New Roman"/>
          <w:sz w:val="24"/>
        </w:rPr>
        <w:footnoteReference w:id="74"/>
      </w:r>
      <w:r w:rsidRPr="00727042">
        <w:rPr>
          <w:rFonts w:ascii="Times New Roman" w:hAnsi="Times New Roman"/>
        </w:rPr>
        <w:t>. They treated the verdict that had been returned by the jury as the sole determinant of guilt. They approached the question whether there had been a miscarriage of justice and the question whether a substantial miscarriage of justice had actually occurred in much the same way: by asking in each case whether an identified error or irregularity in the conduct of the trial had deprived the appellant of a chance of acquittal</w:t>
      </w:r>
      <w:r w:rsidRPr="00727042">
        <w:rPr>
          <w:rStyle w:val="FootnoteReference"/>
          <w:rFonts w:ascii="Times New Roman" w:hAnsi="Times New Roman"/>
          <w:sz w:val="24"/>
        </w:rPr>
        <w:footnoteReference w:id="75"/>
      </w:r>
      <w:r w:rsidRPr="00727042">
        <w:rPr>
          <w:rFonts w:ascii="Times New Roman" w:hAnsi="Times New Roman"/>
        </w:rPr>
        <w:t>.</w:t>
      </w:r>
    </w:p>
    <w:p w14:paraId="0D9A8923"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On one view</w:t>
      </w:r>
      <w:r w:rsidRPr="00727042">
        <w:rPr>
          <w:rStyle w:val="FootnoteReference"/>
          <w:rFonts w:ascii="Times New Roman" w:hAnsi="Times New Roman"/>
          <w:sz w:val="24"/>
        </w:rPr>
        <w:footnoteReference w:id="76"/>
      </w:r>
      <w:r w:rsidRPr="00727042">
        <w:rPr>
          <w:rFonts w:ascii="Times New Roman" w:hAnsi="Times New Roman"/>
        </w:rPr>
        <w:t>, the inquiry posed by the miscarriage of justice ground, like the inquiry posed by the unreasonable verdict ground</w:t>
      </w:r>
      <w:r w:rsidRPr="00727042">
        <w:rPr>
          <w:rStyle w:val="FootnoteReference"/>
          <w:rFonts w:ascii="Times New Roman" w:hAnsi="Times New Roman"/>
          <w:sz w:val="24"/>
        </w:rPr>
        <w:footnoteReference w:id="77"/>
      </w:r>
      <w:r w:rsidRPr="00727042">
        <w:rPr>
          <w:rFonts w:ascii="Times New Roman" w:hAnsi="Times New Roman"/>
        </w:rPr>
        <w:t xml:space="preserve">, was an inquiry of a nature that left little or no room for further inquiry about whether a substantial miscarriage of justice had actually occurred. The real significance of the proviso on that view lay in its operation to alleviate the automatic consequence of an appellate court finding a "wrong decision of </w:t>
      </w:r>
      <w:r w:rsidRPr="00727042">
        <w:rPr>
          <w:rFonts w:ascii="Times New Roman" w:hAnsi="Times New Roman"/>
          <w:i/>
        </w:rPr>
        <w:t xml:space="preserve">any </w:t>
      </w:r>
      <w:r w:rsidRPr="00727042">
        <w:rPr>
          <w:rFonts w:ascii="Times New Roman" w:hAnsi="Times New Roman"/>
        </w:rPr>
        <w:t>question of law"</w:t>
      </w:r>
      <w:r w:rsidRPr="00727042">
        <w:rPr>
          <w:rStyle w:val="FootnoteReference"/>
          <w:rFonts w:ascii="Times New Roman" w:hAnsi="Times New Roman"/>
          <w:sz w:val="24"/>
        </w:rPr>
        <w:footnoteReference w:id="78"/>
      </w:r>
      <w:r w:rsidRPr="00727042">
        <w:rPr>
          <w:rFonts w:ascii="Times New Roman" w:hAnsi="Times New Roman"/>
        </w:rPr>
        <w:t>. On another view</w:t>
      </w:r>
      <w:r w:rsidRPr="00727042">
        <w:rPr>
          <w:rStyle w:val="FootnoteReference"/>
          <w:rFonts w:ascii="Times New Roman" w:hAnsi="Times New Roman"/>
          <w:sz w:val="24"/>
        </w:rPr>
        <w:footnoteReference w:id="79"/>
      </w:r>
      <w:r w:rsidRPr="00727042">
        <w:rPr>
          <w:rFonts w:ascii="Times New Roman" w:hAnsi="Times New Roman"/>
        </w:rPr>
        <w:t>, the inquiries into whether there had been a miscarriage of justice and whether a substantial miscarriage of justice had actually occurred were cumulative. The difference between a miscarriage of justice and a substantial miscarriage of justice on that alternative view was at most a difference of degree in the chance of acquittal that was lost. On what became pre-</w:t>
      </w:r>
      <w:r w:rsidRPr="00727042">
        <w:rPr>
          <w:rFonts w:ascii="Times New Roman" w:hAnsi="Times New Roman"/>
          <w:i/>
        </w:rPr>
        <w:t>Weiss</w:t>
      </w:r>
      <w:r w:rsidRPr="00727042">
        <w:rPr>
          <w:rFonts w:ascii="Times New Roman" w:hAnsi="Times New Roman"/>
        </w:rPr>
        <w:t xml:space="preserve"> the most commonly adopted formulation, an appellate court would not say that "no substantial miscarriage of justice" had actually occurred</w:t>
      </w:r>
      <w:r w:rsidRPr="00727042">
        <w:rPr>
          <w:rFonts w:ascii="Times New Roman" w:hAnsi="Times New Roman"/>
          <w:color w:val="000000"/>
          <w:shd w:val="clear" w:color="auto" w:fill="FFFFFF"/>
        </w:rPr>
        <w:t xml:space="preserve"> unless it could say that "had there been no blemish in the trial, an appropriately instructed jury, acting reasonably on the evidence properly before them and applying the correct onus and standard of proof, would inevitably have convicted"</w:t>
      </w:r>
      <w:r w:rsidRPr="00727042">
        <w:rPr>
          <w:rStyle w:val="FootnoteReference"/>
          <w:rFonts w:ascii="Times New Roman" w:hAnsi="Times New Roman"/>
          <w:color w:val="000000"/>
          <w:sz w:val="24"/>
          <w:shd w:val="clear" w:color="auto" w:fill="FFFFFF"/>
        </w:rPr>
        <w:footnoteReference w:id="80"/>
      </w:r>
      <w:r w:rsidRPr="00727042">
        <w:rPr>
          <w:rFonts w:ascii="Times New Roman" w:hAnsi="Times New Roman"/>
          <w:color w:val="000000"/>
          <w:shd w:val="clear" w:color="auto" w:fill="FFFFFF"/>
        </w:rPr>
        <w:t>.</w:t>
      </w:r>
    </w:p>
    <w:p w14:paraId="7C8BB57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lastRenderedPageBreak/>
        <w:tab/>
      </w:r>
      <w:r w:rsidRPr="00727042">
        <w:rPr>
          <w:rFonts w:ascii="Times New Roman" w:hAnsi="Times New Roman"/>
          <w:i/>
        </w:rPr>
        <w:t xml:space="preserve">Weiss </w:t>
      </w:r>
      <w:r w:rsidRPr="00727042">
        <w:rPr>
          <w:rFonts w:ascii="Times New Roman" w:hAnsi="Times New Roman"/>
        </w:rPr>
        <w:t xml:space="preserve">reframed the inquiry posed by the proviso. </w:t>
      </w:r>
      <w:r w:rsidRPr="00727042">
        <w:rPr>
          <w:rFonts w:ascii="Times New Roman" w:hAnsi="Times New Roman"/>
          <w:i/>
        </w:rPr>
        <w:t xml:space="preserve">Weiss </w:t>
      </w:r>
      <w:r w:rsidRPr="00727042">
        <w:rPr>
          <w:rFonts w:ascii="Times New Roman" w:hAnsi="Times New Roman"/>
        </w:rPr>
        <w:t>did so by reorienting the function to be performed by an appellate court when applying the proviso. Henceforth, the function of the appellate court was to be understood to require the court to make its own independent assessment of whether the appellant was proved guilty of the offence on which the jury had returned the verdict of guilt</w:t>
      </w:r>
      <w:r w:rsidRPr="00727042">
        <w:rPr>
          <w:rStyle w:val="FootnoteReference"/>
          <w:rFonts w:ascii="Times New Roman" w:hAnsi="Times New Roman"/>
          <w:sz w:val="24"/>
        </w:rPr>
        <w:footnoteReference w:id="81"/>
      </w:r>
      <w:r w:rsidRPr="00727042">
        <w:rPr>
          <w:rFonts w:ascii="Times New Roman" w:hAnsi="Times New Roman"/>
        </w:rPr>
        <w:t>. Unless itself persuaded that the evidence properly admitted at trial established guilt beyond reasonable doubt, the appellate court was to be precluded from concluding that no substantial miscarriage of justice had actually occurred</w:t>
      </w:r>
      <w:r w:rsidRPr="00727042">
        <w:rPr>
          <w:rStyle w:val="FootnoteReference"/>
          <w:rFonts w:ascii="Times New Roman" w:hAnsi="Times New Roman"/>
          <w:sz w:val="24"/>
        </w:rPr>
        <w:footnoteReference w:id="82"/>
      </w:r>
      <w:r w:rsidRPr="00727042">
        <w:rPr>
          <w:rFonts w:ascii="Times New Roman" w:hAnsi="Times New Roman"/>
        </w:rPr>
        <w:t>. The pivot that occurred in the introduction of that negative proposition was from an "effect-on-the-jury" conception of the appellate function to a "determination-of-guilt" conception of the appellate function</w:t>
      </w:r>
      <w:r w:rsidRPr="00727042">
        <w:rPr>
          <w:rStyle w:val="FootnoteReference"/>
          <w:rFonts w:ascii="Times New Roman" w:hAnsi="Times New Roman"/>
          <w:sz w:val="24"/>
        </w:rPr>
        <w:footnoteReference w:id="83"/>
      </w:r>
      <w:r w:rsidRPr="00727042">
        <w:rPr>
          <w:rFonts w:ascii="Times New Roman" w:hAnsi="Times New Roman"/>
        </w:rPr>
        <w:t>.</w:t>
      </w:r>
    </w:p>
    <w:p w14:paraId="16BD8773"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For me, as for some others at the time </w:t>
      </w:r>
      <w:r w:rsidRPr="00727042">
        <w:rPr>
          <w:rFonts w:ascii="Times New Roman" w:hAnsi="Times New Roman"/>
          <w:i/>
        </w:rPr>
        <w:t xml:space="preserve">Weiss </w:t>
      </w:r>
      <w:r w:rsidRPr="00727042">
        <w:rPr>
          <w:rFonts w:ascii="Times New Roman" w:hAnsi="Times New Roman"/>
        </w:rPr>
        <w:t>was decided</w:t>
      </w:r>
      <w:r w:rsidRPr="00727042">
        <w:rPr>
          <w:rStyle w:val="FootnoteReference"/>
          <w:rFonts w:ascii="Times New Roman" w:hAnsi="Times New Roman"/>
          <w:sz w:val="24"/>
        </w:rPr>
        <w:footnoteReference w:id="84"/>
      </w:r>
      <w:r w:rsidRPr="00727042">
        <w:rPr>
          <w:rFonts w:ascii="Times New Roman" w:hAnsi="Times New Roman"/>
        </w:rPr>
        <w:t>, that reorientation of the function to be performed by an appellate court –</w:t>
      </w:r>
      <w:r w:rsidRPr="00727042">
        <w:rPr>
          <w:rFonts w:ascii="Times New Roman" w:hAnsi="Times New Roman"/>
          <w:i/>
        </w:rPr>
        <w:t xml:space="preserve"> </w:t>
      </w:r>
      <w:r w:rsidRPr="00727042">
        <w:rPr>
          <w:rFonts w:ascii="Times New Roman" w:hAnsi="Times New Roman"/>
        </w:rPr>
        <w:t xml:space="preserve">from an inquiry into loss of a chance of acquittal to an inquiry into criminal guilt – has been difficult to square with the traditional common law understanding of the jury as the constitutional tribunal for the determination of criminal guilt. I have preferred to understand the essential role of an appellate court in an appeal against a conviction on indictment as being to ensure the integrity of the verdict of guilt that has been rendered by the jury. Essentially for the reasons laid out by the Privy Council in </w:t>
      </w:r>
      <w:r w:rsidRPr="00727042">
        <w:rPr>
          <w:rFonts w:ascii="Times New Roman" w:hAnsi="Times New Roman"/>
          <w:i/>
        </w:rPr>
        <w:t>Makin v Attorney-General for New South Wales</w:t>
      </w:r>
      <w:r w:rsidRPr="00727042">
        <w:rPr>
          <w:rStyle w:val="FootnoteReference"/>
          <w:rFonts w:ascii="Times New Roman" w:hAnsi="Times New Roman"/>
          <w:sz w:val="24"/>
        </w:rPr>
        <w:footnoteReference w:id="85"/>
      </w:r>
      <w:r w:rsidRPr="00727042">
        <w:rPr>
          <w:rFonts w:ascii="Times New Roman" w:hAnsi="Times New Roman"/>
          <w:i/>
        </w:rPr>
        <w:t xml:space="preserve"> </w:t>
      </w:r>
      <w:r w:rsidRPr="00727042">
        <w:rPr>
          <w:rFonts w:ascii="Times New Roman" w:hAnsi="Times New Roman"/>
        </w:rPr>
        <w:t xml:space="preserve">and by Deane J in </w:t>
      </w:r>
      <w:r w:rsidRPr="00727042">
        <w:rPr>
          <w:rFonts w:ascii="Times New Roman" w:hAnsi="Times New Roman"/>
          <w:i/>
        </w:rPr>
        <w:t>Wilde v The Queen</w:t>
      </w:r>
      <w:r w:rsidRPr="00727042">
        <w:rPr>
          <w:rStyle w:val="FootnoteReference"/>
          <w:rFonts w:ascii="Times New Roman" w:hAnsi="Times New Roman"/>
          <w:sz w:val="24"/>
        </w:rPr>
        <w:footnoteReference w:id="86"/>
      </w:r>
      <w:r w:rsidRPr="00727042">
        <w:rPr>
          <w:rFonts w:ascii="Times New Roman" w:hAnsi="Times New Roman"/>
        </w:rPr>
        <w:t>, I have baulked at the notion that the function of the appellate court encompasses determination of guilt for itself. The proper function of the appellate court, I have thought, is to determine "not whether guilt may be spelt out of a record, but whether guilt has been found by a jury according to the procedure and standards appropriate for criminal trials"</w:t>
      </w:r>
      <w:r w:rsidRPr="00727042">
        <w:rPr>
          <w:rStyle w:val="FootnoteReference"/>
          <w:rFonts w:ascii="Times New Roman" w:hAnsi="Times New Roman"/>
          <w:sz w:val="24"/>
        </w:rPr>
        <w:footnoteReference w:id="87"/>
      </w:r>
      <w:r w:rsidRPr="00727042">
        <w:rPr>
          <w:rFonts w:ascii="Times New Roman" w:hAnsi="Times New Roman"/>
        </w:rPr>
        <w:t>. I have not thought it part of the function of the appellate court "</w:t>
      </w:r>
      <w:r w:rsidRPr="00727042">
        <w:rPr>
          <w:rFonts w:ascii="Times New Roman" w:hAnsi="Times New Roman"/>
          <w:color w:val="000000"/>
          <w:sz w:val="27"/>
          <w:szCs w:val="27"/>
          <w:shd w:val="clear" w:color="auto" w:fill="FFFFFF"/>
        </w:rPr>
        <w:t xml:space="preserve">to say that the accused is, in its view, so obviously guilty that the requirement of a fair trial according to law can be dispensed </w:t>
      </w:r>
      <w:r w:rsidRPr="00727042">
        <w:rPr>
          <w:rFonts w:ascii="Times New Roman" w:hAnsi="Times New Roman"/>
          <w:color w:val="000000"/>
          <w:sz w:val="27"/>
          <w:szCs w:val="27"/>
          <w:shd w:val="clear" w:color="auto" w:fill="FFFFFF"/>
        </w:rPr>
        <w:lastRenderedPageBreak/>
        <w:t>with</w:t>
      </w:r>
      <w:r w:rsidRPr="00727042">
        <w:rPr>
          <w:rFonts w:ascii="Times New Roman" w:hAnsi="Times New Roman"/>
        </w:rPr>
        <w:t>"</w:t>
      </w:r>
      <w:r w:rsidRPr="00727042">
        <w:rPr>
          <w:rStyle w:val="FootnoteReference"/>
          <w:rFonts w:ascii="Times New Roman" w:hAnsi="Times New Roman"/>
          <w:sz w:val="24"/>
        </w:rPr>
        <w:footnoteReference w:id="88"/>
      </w:r>
      <w:r w:rsidRPr="00727042">
        <w:rPr>
          <w:rFonts w:ascii="Times New Roman" w:hAnsi="Times New Roman"/>
        </w:rPr>
        <w:t xml:space="preserve">. Reservations expressed by some Justices who were party to the judgment in </w:t>
      </w:r>
      <w:r w:rsidRPr="00727042">
        <w:rPr>
          <w:rFonts w:ascii="Times New Roman" w:hAnsi="Times New Roman"/>
          <w:i/>
        </w:rPr>
        <w:t xml:space="preserve">Weiss </w:t>
      </w:r>
      <w:r w:rsidRPr="00727042">
        <w:rPr>
          <w:rFonts w:ascii="Times New Roman" w:hAnsi="Times New Roman"/>
        </w:rPr>
        <w:t>about the scope of its holding</w:t>
      </w:r>
      <w:r w:rsidRPr="00727042">
        <w:rPr>
          <w:rStyle w:val="FootnoteReference"/>
          <w:rFonts w:ascii="Times New Roman" w:hAnsi="Times New Roman"/>
          <w:sz w:val="24"/>
        </w:rPr>
        <w:footnoteReference w:id="89"/>
      </w:r>
      <w:r w:rsidRPr="00727042">
        <w:rPr>
          <w:rFonts w:ascii="Times New Roman" w:hAnsi="Times New Roman"/>
        </w:rPr>
        <w:t xml:space="preserve"> and not-infrequent post-</w:t>
      </w:r>
      <w:r w:rsidRPr="00727042">
        <w:rPr>
          <w:rFonts w:ascii="Times New Roman" w:hAnsi="Times New Roman"/>
          <w:i/>
        </w:rPr>
        <w:t>Weiss</w:t>
      </w:r>
      <w:r w:rsidRPr="00727042">
        <w:rPr>
          <w:rFonts w:ascii="Times New Roman" w:hAnsi="Times New Roman"/>
        </w:rPr>
        <w:t xml:space="preserve"> lapses into pre-</w:t>
      </w:r>
      <w:r w:rsidRPr="00727042">
        <w:rPr>
          <w:rFonts w:ascii="Times New Roman" w:hAnsi="Times New Roman"/>
          <w:i/>
        </w:rPr>
        <w:t xml:space="preserve">Weiss </w:t>
      </w:r>
      <w:r w:rsidRPr="00727042">
        <w:rPr>
          <w:rFonts w:ascii="Times New Roman" w:hAnsi="Times New Roman"/>
        </w:rPr>
        <w:t>terminology and modes of analysis</w:t>
      </w:r>
      <w:r w:rsidRPr="00727042">
        <w:rPr>
          <w:rStyle w:val="FootnoteReference"/>
          <w:rFonts w:ascii="Times New Roman" w:hAnsi="Times New Roman"/>
          <w:sz w:val="24"/>
        </w:rPr>
        <w:footnoteReference w:id="90"/>
      </w:r>
      <w:r w:rsidRPr="00727042">
        <w:rPr>
          <w:rFonts w:ascii="Times New Roman" w:hAnsi="Times New Roman"/>
        </w:rPr>
        <w:t xml:space="preserve"> have fuelled my misgivings.</w:t>
      </w:r>
    </w:p>
    <w:p w14:paraId="00020BF1"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More often than not, the circumstances revealed by the appellate record make it open for an appellate court to proceed on the assumption that a belief beyond doubt or a reasonable doubt that the court itself forms on an examination of the evidence properly admitted at trial is a belief beyond doubt or a reasonable doubt that would have been formed by a properly instructed reasonable jury, which the trial jury can for this purpose be assumed to have been</w:t>
      </w:r>
      <w:r w:rsidRPr="00727042">
        <w:rPr>
          <w:rStyle w:val="FootnoteReference"/>
          <w:rFonts w:ascii="Times New Roman" w:hAnsi="Times New Roman"/>
          <w:sz w:val="24"/>
        </w:rPr>
        <w:footnoteReference w:id="91"/>
      </w:r>
      <w:r w:rsidRPr="00727042">
        <w:rPr>
          <w:rFonts w:ascii="Times New Roman" w:hAnsi="Times New Roman"/>
        </w:rPr>
        <w:t xml:space="preserve">. Where that assumption holds, as I sought to explain in </w:t>
      </w:r>
      <w:proofErr w:type="spellStart"/>
      <w:r w:rsidRPr="00727042">
        <w:rPr>
          <w:rFonts w:ascii="Times New Roman" w:hAnsi="Times New Roman"/>
          <w:i/>
        </w:rPr>
        <w:t>Kalbasi</w:t>
      </w:r>
      <w:proofErr w:type="spellEnd"/>
      <w:r w:rsidRPr="00727042">
        <w:rPr>
          <w:rFonts w:ascii="Times New Roman" w:hAnsi="Times New Roman"/>
          <w:i/>
        </w:rPr>
        <w:t xml:space="preserve"> v Western Australia</w:t>
      </w:r>
      <w:r w:rsidRPr="00727042">
        <w:rPr>
          <w:rStyle w:val="FootnoteReference"/>
          <w:rFonts w:ascii="Times New Roman" w:hAnsi="Times New Roman"/>
          <w:sz w:val="24"/>
        </w:rPr>
        <w:footnoteReference w:id="92"/>
      </w:r>
      <w:r w:rsidRPr="00727042">
        <w:rPr>
          <w:rFonts w:ascii="Times New Roman" w:hAnsi="Times New Roman"/>
        </w:rPr>
        <w:t>, the appellate court's independent assessment of whether the appellant was proved guilty beyond reasonable doubt can be regarded as a step in the court's determination of whether the appellant was deprived of a chance of acquittal by the trial jury that was fairly open. The court's own assessment that the evidence properly admitted at trial proves the appellant's guilt beyond reasonable doubt contributes logically to the court's ultimate conclusion that the appellant was not deprived of such a chance of acquittal. In many cases, perhaps almost all cases, the difference between pre-</w:t>
      </w:r>
      <w:r w:rsidRPr="00727042">
        <w:rPr>
          <w:rFonts w:ascii="Times New Roman" w:hAnsi="Times New Roman"/>
          <w:i/>
        </w:rPr>
        <w:t xml:space="preserve">Weiss </w:t>
      </w:r>
      <w:r w:rsidRPr="00727042">
        <w:rPr>
          <w:rFonts w:ascii="Times New Roman" w:hAnsi="Times New Roman"/>
        </w:rPr>
        <w:t>orientation and post-</w:t>
      </w:r>
      <w:r w:rsidRPr="00727042">
        <w:rPr>
          <w:rFonts w:ascii="Times New Roman" w:hAnsi="Times New Roman"/>
          <w:i/>
        </w:rPr>
        <w:t>Weiss</w:t>
      </w:r>
      <w:r w:rsidRPr="00727042">
        <w:rPr>
          <w:rFonts w:ascii="Times New Roman" w:hAnsi="Times New Roman"/>
        </w:rPr>
        <w:t xml:space="preserve"> orientation accordingly makes no practical difference. The outcome is the same.</w:t>
      </w:r>
    </w:p>
    <w:p w14:paraId="6990C2C3"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Having been conscious that the difference between the pre-</w:t>
      </w:r>
      <w:r w:rsidRPr="00727042">
        <w:rPr>
          <w:rFonts w:ascii="Times New Roman" w:hAnsi="Times New Roman"/>
          <w:i/>
        </w:rPr>
        <w:t xml:space="preserve">Weiss </w:t>
      </w:r>
      <w:r w:rsidRPr="00727042">
        <w:rPr>
          <w:rFonts w:ascii="Times New Roman" w:hAnsi="Times New Roman"/>
        </w:rPr>
        <w:t>and post-</w:t>
      </w:r>
      <w:r w:rsidRPr="00727042">
        <w:rPr>
          <w:rFonts w:ascii="Times New Roman" w:hAnsi="Times New Roman"/>
          <w:i/>
        </w:rPr>
        <w:t>Weiss</w:t>
      </w:r>
      <w:r w:rsidRPr="00727042">
        <w:rPr>
          <w:rFonts w:ascii="Times New Roman" w:hAnsi="Times New Roman"/>
        </w:rPr>
        <w:t xml:space="preserve"> orientations might very often be dismissed as more jurisprudential than determinative, I have avoided having to meet </w:t>
      </w:r>
      <w:r w:rsidRPr="00727042">
        <w:rPr>
          <w:rFonts w:ascii="Times New Roman" w:hAnsi="Times New Roman"/>
          <w:i/>
        </w:rPr>
        <w:t xml:space="preserve">Weiss </w:t>
      </w:r>
      <w:r w:rsidRPr="00727042">
        <w:rPr>
          <w:rFonts w:ascii="Times New Roman" w:hAnsi="Times New Roman"/>
        </w:rPr>
        <w:t xml:space="preserve">head on in the past. What has made that avoidance possible is that the ordinary assumption, that a belief an appellate court itself forms beyond doubt on the evidence properly admitted at trial is also a belief that the trial jury properly instructed would have formed on the </w:t>
      </w:r>
      <w:r w:rsidRPr="00727042">
        <w:rPr>
          <w:rFonts w:ascii="Times New Roman" w:hAnsi="Times New Roman"/>
        </w:rPr>
        <w:lastRenderedPageBreak/>
        <w:t>same evidence, has been available in those cases in which I have been required to consider the proviso</w:t>
      </w:r>
      <w:r w:rsidRPr="00727042">
        <w:rPr>
          <w:rStyle w:val="FootnoteReference"/>
          <w:rFonts w:ascii="Times New Roman" w:hAnsi="Times New Roman"/>
          <w:sz w:val="24"/>
        </w:rPr>
        <w:footnoteReference w:id="93"/>
      </w:r>
      <w:r w:rsidRPr="00727042">
        <w:rPr>
          <w:rFonts w:ascii="Times New Roman" w:hAnsi="Times New Roman"/>
        </w:rPr>
        <w:t>.</w:t>
      </w:r>
    </w:p>
    <w:p w14:paraId="718CA51B"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assumption ordinarily available to an appellate court is strained in the extraordinary circumstances of the present case. Here, as Kiefel CJ, Keane and Gleeson JJ demonstrate, an appellate court can be persuaded on the evidence properly admitted at trial that the appellant's account of the circumstances justifying his asserted belief that the complainants consented to sexual intercourse was so glaringly improbable as to exclude the reasonable possibility of that account being true. That is the conclusion to which two out of three members of the Court of Criminal Appeal were persuaded after independently reviewing the evidence, and it is the conclusion to which four out of five members of this Court now come on their own independent assessment of the evidence. Yet here the acquittal of the appellant on two of ten counts of sexual intercourse without consent on which he was indicted shows that, even though the trial jury might have been influenced by the unfair cross-examination to which the appellant was subjected to take a dim view of his credit, the trial jury might not have disbelieved his account in its totality.  </w:t>
      </w:r>
    </w:p>
    <w:p w14:paraId="3BA6E496"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There is accordingly a disconnect between what an appellate court can conclude from the record about the guilt of the appellant and what an appellate court can conclude from the record about what the trial jury might conclude about the guilt of the appellant. The extraordinary circumstances of the present case are in that respect not unlike the extraordinary circumstances which precipitated the re-examination and reframing of the inquiry posed by the proviso in </w:t>
      </w:r>
      <w:r w:rsidRPr="00727042">
        <w:rPr>
          <w:rFonts w:ascii="Times New Roman" w:hAnsi="Times New Roman"/>
          <w:i/>
        </w:rPr>
        <w:t>Weiss</w:t>
      </w:r>
      <w:r w:rsidRPr="00727042">
        <w:rPr>
          <w:rFonts w:ascii="Times New Roman" w:hAnsi="Times New Roman"/>
        </w:rPr>
        <w:t>, albeit that the present case is the converse of that case. There the initial conclusion of the Victorian Court of Appeal was that, had an identified error in the trial not occurred, the trial jury would still have returned the verdict of guilty that it did but that a hypothetical properly instructed reasonable jury might not have returned a verdict of guilty</w:t>
      </w:r>
      <w:r w:rsidRPr="00727042">
        <w:rPr>
          <w:rStyle w:val="FootnoteReference"/>
          <w:rFonts w:ascii="Times New Roman" w:hAnsi="Times New Roman"/>
          <w:sz w:val="24"/>
        </w:rPr>
        <w:footnoteReference w:id="94"/>
      </w:r>
      <w:r w:rsidRPr="00727042">
        <w:rPr>
          <w:rFonts w:ascii="Times New Roman" w:hAnsi="Times New Roman"/>
        </w:rPr>
        <w:t>. Having been told by this Court that its task of considering the proviso "</w:t>
      </w:r>
      <w:r w:rsidRPr="00727042">
        <w:rPr>
          <w:rFonts w:ascii="Times New Roman" w:hAnsi="Times New Roman"/>
          <w:color w:val="000000"/>
          <w:shd w:val="clear" w:color="auto" w:fill="FFFFFF"/>
        </w:rPr>
        <w:t>is not to be undertaken by attempting to predict what a jury (whether the jury at trial or some hypothetical future jury) would or might do"</w:t>
      </w:r>
      <w:r w:rsidRPr="00727042">
        <w:rPr>
          <w:rStyle w:val="FootnoteReference"/>
          <w:rFonts w:ascii="Times New Roman" w:hAnsi="Times New Roman"/>
          <w:color w:val="000000"/>
          <w:sz w:val="24"/>
          <w:shd w:val="clear" w:color="auto" w:fill="FFFFFF"/>
        </w:rPr>
        <w:footnoteReference w:id="95"/>
      </w:r>
      <w:r w:rsidRPr="00727042">
        <w:rPr>
          <w:rFonts w:ascii="Times New Roman" w:hAnsi="Times New Roman"/>
        </w:rPr>
        <w:t xml:space="preserve">, that Court on remitter </w:t>
      </w:r>
      <w:r w:rsidRPr="00727042">
        <w:rPr>
          <w:rFonts w:ascii="Times New Roman" w:hAnsi="Times New Roman"/>
        </w:rPr>
        <w:lastRenderedPageBreak/>
        <w:t>found for itself that guilt was proved beyond reasonable doubt and in consequence applied the proviso</w:t>
      </w:r>
      <w:r w:rsidRPr="00727042">
        <w:rPr>
          <w:rStyle w:val="FootnoteReference"/>
          <w:rFonts w:ascii="Times New Roman" w:hAnsi="Times New Roman"/>
          <w:sz w:val="24"/>
        </w:rPr>
        <w:footnoteReference w:id="96"/>
      </w:r>
      <w:r w:rsidRPr="00727042">
        <w:rPr>
          <w:rFonts w:ascii="Times New Roman" w:hAnsi="Times New Roman"/>
        </w:rPr>
        <w:t xml:space="preserve">. </w:t>
      </w:r>
    </w:p>
    <w:p w14:paraId="0C9C1800"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demand of </w:t>
      </w:r>
      <w:r w:rsidRPr="00727042">
        <w:rPr>
          <w:rFonts w:ascii="Times New Roman" w:hAnsi="Times New Roman"/>
          <w:i/>
        </w:rPr>
        <w:t xml:space="preserve">Weiss </w:t>
      </w:r>
      <w:r w:rsidRPr="00727042">
        <w:rPr>
          <w:rFonts w:ascii="Times New Roman" w:hAnsi="Times New Roman"/>
        </w:rPr>
        <w:t>is for an appellate court to survey the whole of the appellate record</w:t>
      </w:r>
      <w:r w:rsidRPr="00727042">
        <w:rPr>
          <w:rStyle w:val="FootnoteReference"/>
          <w:rFonts w:ascii="Times New Roman" w:hAnsi="Times New Roman"/>
          <w:sz w:val="24"/>
        </w:rPr>
        <w:footnoteReference w:id="97"/>
      </w:r>
      <w:r w:rsidRPr="00727042">
        <w:rPr>
          <w:rFonts w:ascii="Times New Roman" w:hAnsi="Times New Roman"/>
        </w:rPr>
        <w:t>:</w:t>
      </w:r>
    </w:p>
    <w:p w14:paraId="5B5172BE" w14:textId="77777777" w:rsidR="00357618" w:rsidRDefault="00357618" w:rsidP="00727042">
      <w:pPr>
        <w:pStyle w:val="leftright"/>
        <w:spacing w:before="0" w:after="260" w:line="280" w:lineRule="exact"/>
        <w:ind w:right="0"/>
        <w:jc w:val="both"/>
        <w:rPr>
          <w:rFonts w:ascii="Times New Roman" w:hAnsi="Times New Roman"/>
          <w:shd w:val="clear" w:color="auto" w:fill="FFFFFF"/>
        </w:rPr>
      </w:pPr>
      <w:r w:rsidRPr="00727042">
        <w:rPr>
          <w:rFonts w:ascii="Times New Roman" w:hAnsi="Times New Roman"/>
        </w:rPr>
        <w:t xml:space="preserve">"The task is to be carried out by each member of the appellate court personally. </w:t>
      </w:r>
      <w:r w:rsidRPr="00727042">
        <w:rPr>
          <w:rFonts w:ascii="Times New Roman" w:hAnsi="Times New Roman"/>
          <w:shd w:val="clear" w:color="auto" w:fill="FFFFFF"/>
        </w:rPr>
        <w:t>The relevant question to be asked is not whether the jury which returned the guilty verdict would have done so if there had been no error. Nor is it whether a reasonable jury would convict. Instead, the question for each member of the appellate court personally is whether that member thinks that the evidence properly received established the accused's guilt beyond reasonable doubt."</w:t>
      </w:r>
    </w:p>
    <w:p w14:paraId="5EABCC72"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r>
      <w:r w:rsidRPr="00727042">
        <w:rPr>
          <w:rFonts w:ascii="Times New Roman" w:hAnsi="Times New Roman"/>
          <w:i/>
        </w:rPr>
        <w:t xml:space="preserve">Weiss </w:t>
      </w:r>
      <w:r w:rsidRPr="00727042">
        <w:rPr>
          <w:rFonts w:ascii="Times New Roman" w:hAnsi="Times New Roman"/>
        </w:rPr>
        <w:t>further demands that each member of an appellate court approach that question conscious of the inherent limitations of fact-finding on the basis only of an appellate record. The appellate record before the Court of Criminal Appeal in the present case included the whole of the record of the trial. The appellate record before this Court does not extend to the whole of the record of the trial but includes everything that either party contends is relevant to this Court's own consideration of the proviso.</w:t>
      </w:r>
    </w:p>
    <w:p w14:paraId="7FCF210E"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trial jury's acquittal of the appellant on two out of ten counts indicates that the attitude of the jury to the appellant's account might not have been one of wholesale disbelief. That circumstance provides reason to reflect long before being confident that the appellate record is alone a sufficient basis upon which to be satisfied of proof beyond reasonable doubt of the appellant's guilt on the other eight counts. Might something about the manner in which the appellant gave his account, or something about the atmosphere of the trial not conveyed in the written record, have made the incredible seem credible? To the Court of Criminal Appeal and to this Court, the answer is an unknowable unknown. The possibility that the question might admit of an affirmative answer could never be excluded beyond all shadow of doubt. But I can and do exclude it in my own mind beyond the shadow of a </w:t>
      </w:r>
      <w:r w:rsidRPr="00727042">
        <w:rPr>
          <w:rFonts w:ascii="Times New Roman" w:hAnsi="Times New Roman"/>
          <w:i/>
        </w:rPr>
        <w:t>reasonable</w:t>
      </w:r>
      <w:r w:rsidRPr="00727042">
        <w:rPr>
          <w:rFonts w:ascii="Times New Roman" w:hAnsi="Times New Roman"/>
        </w:rPr>
        <w:t xml:space="preserve"> doubt.</w:t>
      </w:r>
    </w:p>
    <w:p w14:paraId="483408A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Where, "making due allowance for the 'natural limitations' that exist in the case of an appellate court proceeding wholly or substantially on the record", the court is persuaded to the conclusion that the evidence properly admitted at trial established guilt beyond reasonable doubt, the court must give effect to "its own </w:t>
      </w:r>
      <w:r w:rsidRPr="00727042">
        <w:rPr>
          <w:rFonts w:ascii="Times New Roman" w:hAnsi="Times New Roman"/>
        </w:rPr>
        <w:lastRenderedPageBreak/>
        <w:t>independent assessment"</w:t>
      </w:r>
      <w:r w:rsidRPr="00727042">
        <w:rPr>
          <w:rStyle w:val="FootnoteReference"/>
          <w:rFonts w:ascii="Times New Roman" w:hAnsi="Times New Roman"/>
          <w:sz w:val="24"/>
        </w:rPr>
        <w:footnoteReference w:id="98"/>
      </w:r>
      <w:r w:rsidRPr="00727042">
        <w:rPr>
          <w:rFonts w:ascii="Times New Roman" w:hAnsi="Times New Roman"/>
        </w:rPr>
        <w:t xml:space="preserve">. That is what </w:t>
      </w:r>
      <w:r w:rsidRPr="00727042">
        <w:rPr>
          <w:rFonts w:ascii="Times New Roman" w:hAnsi="Times New Roman"/>
          <w:i/>
        </w:rPr>
        <w:t xml:space="preserve">Weiss </w:t>
      </w:r>
      <w:r w:rsidRPr="00727042">
        <w:rPr>
          <w:rFonts w:ascii="Times New Roman" w:hAnsi="Times New Roman"/>
        </w:rPr>
        <w:t xml:space="preserve">said. Lest there be any doubt, that is what the majority in </w:t>
      </w:r>
      <w:proofErr w:type="spellStart"/>
      <w:r w:rsidRPr="00727042">
        <w:rPr>
          <w:rFonts w:ascii="Times New Roman" w:hAnsi="Times New Roman"/>
          <w:i/>
        </w:rPr>
        <w:t>Kalbasi</w:t>
      </w:r>
      <w:proofErr w:type="spellEnd"/>
      <w:r w:rsidRPr="00727042">
        <w:rPr>
          <w:rFonts w:ascii="Times New Roman" w:hAnsi="Times New Roman"/>
          <w:i/>
        </w:rPr>
        <w:t xml:space="preserve"> </w:t>
      </w:r>
      <w:r w:rsidRPr="00727042">
        <w:rPr>
          <w:rFonts w:ascii="Times New Roman" w:hAnsi="Times New Roman"/>
        </w:rPr>
        <w:t xml:space="preserve">said that </w:t>
      </w:r>
      <w:r w:rsidRPr="00727042">
        <w:rPr>
          <w:rFonts w:ascii="Times New Roman" w:hAnsi="Times New Roman"/>
          <w:i/>
        </w:rPr>
        <w:t xml:space="preserve">Weiss </w:t>
      </w:r>
      <w:r w:rsidRPr="00727042">
        <w:rPr>
          <w:rFonts w:ascii="Times New Roman" w:hAnsi="Times New Roman"/>
        </w:rPr>
        <w:t>said</w:t>
      </w:r>
      <w:r w:rsidRPr="00727042">
        <w:rPr>
          <w:rStyle w:val="FootnoteReference"/>
          <w:rFonts w:ascii="Times New Roman" w:hAnsi="Times New Roman"/>
          <w:sz w:val="24"/>
        </w:rPr>
        <w:footnoteReference w:id="99"/>
      </w:r>
      <w:r w:rsidRPr="00727042">
        <w:rPr>
          <w:rFonts w:ascii="Times New Roman" w:hAnsi="Times New Roman"/>
        </w:rPr>
        <w:t xml:space="preserve">. I cannot read </w:t>
      </w:r>
      <w:r w:rsidRPr="00727042">
        <w:rPr>
          <w:rFonts w:ascii="Times New Roman" w:hAnsi="Times New Roman"/>
          <w:i/>
        </w:rPr>
        <w:t>Castle v The Queen</w:t>
      </w:r>
      <w:r w:rsidRPr="00727042">
        <w:rPr>
          <w:rStyle w:val="FootnoteReference"/>
          <w:rFonts w:ascii="Times New Roman" w:hAnsi="Times New Roman"/>
          <w:sz w:val="24"/>
        </w:rPr>
        <w:footnoteReference w:id="100"/>
      </w:r>
      <w:r w:rsidRPr="00727042">
        <w:rPr>
          <w:rFonts w:ascii="Times New Roman" w:hAnsi="Times New Roman"/>
        </w:rPr>
        <w:t xml:space="preserve"> as saying anything different.</w:t>
      </w:r>
    </w:p>
    <w:p w14:paraId="0F3CBE2C"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If the appellate court's assessment is to be truly independent, then the mere circumstance that there is a real possibility that the trial jury might have made a different assessment had the trial jury performed the appellate function cannot be allowed to divert the appellate court from forming and giving effect to its own conclusion of guilt. That is where the logic of </w:t>
      </w:r>
      <w:r w:rsidRPr="00727042">
        <w:rPr>
          <w:rFonts w:ascii="Times New Roman" w:hAnsi="Times New Roman"/>
          <w:i/>
        </w:rPr>
        <w:t xml:space="preserve">Weiss </w:t>
      </w:r>
      <w:r w:rsidRPr="00727042">
        <w:rPr>
          <w:rFonts w:ascii="Times New Roman" w:hAnsi="Times New Roman"/>
        </w:rPr>
        <w:t>leads. That is where it leads in this case.</w:t>
      </w:r>
    </w:p>
    <w:p w14:paraId="285846BF"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extraordinary circumstances of the present case therefore make my engagement with </w:t>
      </w:r>
      <w:r w:rsidRPr="00727042">
        <w:rPr>
          <w:rFonts w:ascii="Times New Roman" w:hAnsi="Times New Roman"/>
          <w:i/>
        </w:rPr>
        <w:t>Weiss</w:t>
      </w:r>
      <w:r w:rsidRPr="00727042">
        <w:rPr>
          <w:rFonts w:ascii="Times New Roman" w:hAnsi="Times New Roman"/>
        </w:rPr>
        <w:t xml:space="preserve"> unavoidable. If there were ever to be an occasion to re-examine and perhaps to depart from </w:t>
      </w:r>
      <w:r w:rsidRPr="00727042">
        <w:rPr>
          <w:rFonts w:ascii="Times New Roman" w:hAnsi="Times New Roman"/>
          <w:i/>
        </w:rPr>
        <w:t>Weiss</w:t>
      </w:r>
      <w:r w:rsidRPr="00727042">
        <w:rPr>
          <w:rFonts w:ascii="Times New Roman" w:hAnsi="Times New Roman"/>
        </w:rPr>
        <w:t xml:space="preserve">, this is it. But </w:t>
      </w:r>
      <w:r w:rsidRPr="00727042">
        <w:rPr>
          <w:rFonts w:ascii="Times New Roman" w:hAnsi="Times New Roman"/>
          <w:i/>
        </w:rPr>
        <w:t>Weiss</w:t>
      </w:r>
      <w:r w:rsidRPr="00727042">
        <w:rPr>
          <w:rFonts w:ascii="Times New Roman" w:hAnsi="Times New Roman"/>
        </w:rPr>
        <w:t xml:space="preserve"> has not been sought to be reopened in any case in the 16 years since it was decided, and it has not been sought to be reopened in this case</w:t>
      </w:r>
      <w:r w:rsidRPr="00727042">
        <w:rPr>
          <w:rStyle w:val="FootnoteReference"/>
          <w:rFonts w:ascii="Times New Roman" w:hAnsi="Times New Roman"/>
          <w:sz w:val="24"/>
        </w:rPr>
        <w:footnoteReference w:id="101"/>
      </w:r>
      <w:r w:rsidRPr="00727042">
        <w:rPr>
          <w:rFonts w:ascii="Times New Roman" w:hAnsi="Times New Roman"/>
        </w:rPr>
        <w:t xml:space="preserve">. Absent an application now to reopen </w:t>
      </w:r>
      <w:r w:rsidRPr="00727042">
        <w:rPr>
          <w:rFonts w:ascii="Times New Roman" w:hAnsi="Times New Roman"/>
          <w:i/>
        </w:rPr>
        <w:t>Weiss</w:t>
      </w:r>
      <w:r w:rsidRPr="00727042">
        <w:rPr>
          <w:rFonts w:ascii="Times New Roman" w:hAnsi="Times New Roman"/>
        </w:rPr>
        <w:t xml:space="preserve">, there is no question but that my duty is to follow it. </w:t>
      </w:r>
    </w:p>
    <w:p w14:paraId="5D9EE008" w14:textId="549C6BF1"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"Obviously, respect for the rule of law must start with those who are responsible for </w:t>
      </w:r>
      <w:r w:rsidRPr="00727042">
        <w:rPr>
          <w:rFonts w:ascii="Times New Roman" w:hAnsi="Times New Roman"/>
          <w:i/>
        </w:rPr>
        <w:t>pronouncing</w:t>
      </w:r>
      <w:r w:rsidRPr="00727042">
        <w:rPr>
          <w:rFonts w:ascii="Times New Roman" w:hAnsi="Times New Roman"/>
        </w:rPr>
        <w:t xml:space="preserve"> the law."</w:t>
      </w:r>
      <w:r w:rsidRPr="00727042">
        <w:rPr>
          <w:rStyle w:val="FootnoteReference"/>
          <w:rFonts w:ascii="Times New Roman" w:hAnsi="Times New Roman"/>
          <w:sz w:val="24"/>
        </w:rPr>
        <w:footnoteReference w:id="102"/>
      </w:r>
      <w:r w:rsidRPr="00727042">
        <w:rPr>
          <w:rFonts w:ascii="Times New Roman" w:hAnsi="Times New Roman"/>
        </w:rPr>
        <w:t xml:space="preserve"> Their entrustment with the judicial function entails that the "duty of judges in the hierarchy of courts is to obey authority; not to be convinced by it"</w:t>
      </w:r>
      <w:r w:rsidRPr="00727042">
        <w:rPr>
          <w:rStyle w:val="FootnoteReference"/>
          <w:rFonts w:ascii="Times New Roman" w:hAnsi="Times New Roman"/>
          <w:sz w:val="24"/>
        </w:rPr>
        <w:footnoteReference w:id="103"/>
      </w:r>
      <w:r w:rsidRPr="00727042">
        <w:rPr>
          <w:rFonts w:ascii="Times New Roman" w:hAnsi="Times New Roman"/>
        </w:rPr>
        <w:t>. The uniqueness of the constitutionally designated position of the High Court as the "Federal Supreme Court"</w:t>
      </w:r>
      <w:r w:rsidRPr="00727042">
        <w:rPr>
          <w:rStyle w:val="FootnoteReference"/>
          <w:rFonts w:ascii="Times New Roman" w:hAnsi="Times New Roman"/>
          <w:sz w:val="24"/>
        </w:rPr>
        <w:footnoteReference w:id="104"/>
      </w:r>
      <w:r w:rsidRPr="00727042">
        <w:rPr>
          <w:rFonts w:ascii="Times New Roman" w:hAnsi="Times New Roman"/>
        </w:rPr>
        <w:t xml:space="preserve"> within the judicial hierarchy of Australia gives rise to no exception when it comes to the duty of a Justice of this Court confronted with an authority of this Court. Brennan</w:t>
      </w:r>
      <w:r w:rsidR="009D51A5">
        <w:rPr>
          <w:rFonts w:ascii="Times New Roman" w:hAnsi="Times New Roman"/>
        </w:rPr>
        <w:t> </w:t>
      </w:r>
      <w:r w:rsidRPr="00727042">
        <w:rPr>
          <w:rFonts w:ascii="Times New Roman" w:hAnsi="Times New Roman"/>
        </w:rPr>
        <w:t>J captured both the duty of an individual Justice to obey a previous decision that stands unyieldingly as an authority of this Court and the rationale for that duty when he explained that, "</w:t>
      </w:r>
      <w:r w:rsidRPr="00727042">
        <w:rPr>
          <w:rFonts w:ascii="Times New Roman" w:hAnsi="Times New Roman"/>
          <w:color w:val="000000"/>
          <w:shd w:val="clear" w:color="auto" w:fill="FFFFFF"/>
        </w:rPr>
        <w:t xml:space="preserve">[a]s the function of defining the law is vested in the Court </w:t>
      </w:r>
      <w:r w:rsidRPr="00727042">
        <w:rPr>
          <w:rFonts w:ascii="Times New Roman" w:hAnsi="Times New Roman"/>
          <w:color w:val="000000"/>
          <w:shd w:val="clear" w:color="auto" w:fill="FFFFFF"/>
        </w:rPr>
        <w:lastRenderedPageBreak/>
        <w:t>rather than in the justices who compose it, a decision of the Court will be followed in subsequent cases by the Court, however composed, subject to the exceptional power which resides in the Court to permit reconsideration"</w:t>
      </w:r>
      <w:r w:rsidRPr="00727042">
        <w:rPr>
          <w:rStyle w:val="FootnoteReference"/>
          <w:rFonts w:ascii="Times New Roman" w:hAnsi="Times New Roman"/>
          <w:color w:val="000000"/>
          <w:sz w:val="24"/>
          <w:shd w:val="clear" w:color="auto" w:fill="FFFFFF"/>
        </w:rPr>
        <w:footnoteReference w:id="105"/>
      </w:r>
      <w:r w:rsidRPr="00727042">
        <w:rPr>
          <w:rFonts w:ascii="Times New Roman" w:hAnsi="Times New Roman"/>
          <w:color w:val="000000"/>
          <w:shd w:val="clear" w:color="auto" w:fill="FFFFFF"/>
        </w:rPr>
        <w:t>. His Honour went on to explain that "observance of such a constraint, coupled with the Court's ability to re-examine its own decisions, provides the appropriate balance between a legal system on which the dead hand of the past rests too heavily and one in which the law is in continual ferment"</w:t>
      </w:r>
      <w:r w:rsidRPr="00727042">
        <w:rPr>
          <w:rStyle w:val="FootnoteReference"/>
          <w:rFonts w:ascii="Times New Roman" w:hAnsi="Times New Roman"/>
          <w:color w:val="000000"/>
          <w:sz w:val="24"/>
          <w:shd w:val="clear" w:color="auto" w:fill="FFFFFF"/>
        </w:rPr>
        <w:footnoteReference w:id="106"/>
      </w:r>
      <w:r w:rsidRPr="00727042">
        <w:rPr>
          <w:rFonts w:ascii="Times New Roman" w:hAnsi="Times New Roman"/>
          <w:color w:val="000000"/>
          <w:shd w:val="clear" w:color="auto" w:fill="FFFFFF"/>
        </w:rPr>
        <w:t>.</w:t>
      </w:r>
    </w:p>
    <w:p w14:paraId="33057A29"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bottom line is that I am impelled to follow </w:t>
      </w:r>
      <w:r w:rsidRPr="00727042">
        <w:rPr>
          <w:rFonts w:ascii="Times New Roman" w:hAnsi="Times New Roman"/>
          <w:i/>
        </w:rPr>
        <w:t>Weiss</w:t>
      </w:r>
      <w:r w:rsidRPr="00727042">
        <w:rPr>
          <w:rFonts w:ascii="Times New Roman" w:hAnsi="Times New Roman"/>
        </w:rPr>
        <w:t>, not "</w:t>
      </w:r>
      <w:r w:rsidRPr="00727042">
        <w:rPr>
          <w:rFonts w:ascii="Times New Roman" w:hAnsi="Times New Roman"/>
          <w:color w:val="000000"/>
          <w:sz w:val="27"/>
          <w:szCs w:val="27"/>
          <w:shd w:val="clear" w:color="auto" w:fill="FFFFFF"/>
        </w:rPr>
        <w:t>because it is the right decision, because it is logical, because it is just, because it accords with the weight of authority, because it has been generally accepted and acted on, because it secures a beneficial result to the community", but "because it is a previous decision and for no other reason"</w:t>
      </w:r>
      <w:r w:rsidRPr="00727042">
        <w:rPr>
          <w:rStyle w:val="FootnoteReference"/>
          <w:rFonts w:ascii="Times New Roman" w:hAnsi="Times New Roman"/>
          <w:color w:val="000000"/>
          <w:sz w:val="24"/>
          <w:szCs w:val="27"/>
          <w:shd w:val="clear" w:color="auto" w:fill="FFFFFF"/>
        </w:rPr>
        <w:footnoteReference w:id="107"/>
      </w:r>
      <w:r w:rsidRPr="00727042">
        <w:rPr>
          <w:rFonts w:ascii="Times New Roman" w:hAnsi="Times New Roman"/>
          <w:color w:val="000000"/>
          <w:sz w:val="27"/>
          <w:szCs w:val="27"/>
          <w:shd w:val="clear" w:color="auto" w:fill="FFFFFF"/>
        </w:rPr>
        <w:t>.</w:t>
      </w:r>
      <w:r w:rsidRPr="00727042">
        <w:rPr>
          <w:rFonts w:ascii="Times New Roman" w:hAnsi="Times New Roman"/>
        </w:rPr>
        <w:t xml:space="preserve"> </w:t>
      </w:r>
    </w:p>
    <w:p w14:paraId="742C35E8" w14:textId="77777777" w:rsidR="00357618" w:rsidRPr="00727042" w:rsidRDefault="00357618" w:rsidP="00727042">
      <w:pPr>
        <w:pStyle w:val="HeadingL1"/>
        <w:spacing w:after="260" w:line="280" w:lineRule="exact"/>
        <w:ind w:right="0"/>
        <w:jc w:val="both"/>
        <w:rPr>
          <w:rFonts w:ascii="Times New Roman" w:hAnsi="Times New Roman"/>
          <w:szCs w:val="26"/>
        </w:rPr>
      </w:pPr>
      <w:r w:rsidRPr="00727042">
        <w:rPr>
          <w:rFonts w:ascii="Times New Roman" w:hAnsi="Times New Roman"/>
          <w:i/>
          <w:szCs w:val="26"/>
        </w:rPr>
        <w:t xml:space="preserve">Weiss </w:t>
      </w:r>
      <w:r w:rsidRPr="00727042">
        <w:rPr>
          <w:rFonts w:ascii="Times New Roman" w:hAnsi="Times New Roman"/>
          <w:szCs w:val="26"/>
        </w:rPr>
        <w:t>and the miscarriage of justice ground</w:t>
      </w:r>
    </w:p>
    <w:p w14:paraId="5F1CFC44"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That brings me to the content of the miscarriage of justice ground and its relationship to the proviso as authoritatively expounded in </w:t>
      </w:r>
      <w:r w:rsidRPr="00727042">
        <w:rPr>
          <w:rFonts w:ascii="Times New Roman" w:hAnsi="Times New Roman"/>
          <w:i/>
        </w:rPr>
        <w:t>Weiss</w:t>
      </w:r>
      <w:r w:rsidRPr="00727042">
        <w:rPr>
          <w:rFonts w:ascii="Times New Roman" w:hAnsi="Times New Roman"/>
        </w:rPr>
        <w:t>.</w:t>
      </w:r>
    </w:p>
    <w:p w14:paraId="7606A79F"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reasoning in </w:t>
      </w:r>
      <w:r w:rsidRPr="00727042">
        <w:rPr>
          <w:rFonts w:ascii="Times New Roman" w:hAnsi="Times New Roman"/>
          <w:i/>
        </w:rPr>
        <w:t>Weiss</w:t>
      </w:r>
      <w:r w:rsidRPr="00727042">
        <w:rPr>
          <w:rFonts w:ascii="Times New Roman" w:hAnsi="Times New Roman"/>
        </w:rPr>
        <w:t xml:space="preserve"> explained the language and intended operation of the proviso against the historical backdrop of what was referred to in </w:t>
      </w:r>
      <w:r w:rsidRPr="00727042">
        <w:rPr>
          <w:rFonts w:ascii="Times New Roman" w:hAnsi="Times New Roman"/>
          <w:i/>
        </w:rPr>
        <w:t>Weiss</w:t>
      </w:r>
      <w:r w:rsidRPr="00727042">
        <w:rPr>
          <w:rFonts w:ascii="Times New Roman" w:hAnsi="Times New Roman"/>
        </w:rPr>
        <w:t xml:space="preserve"> as the "Exchequer rule". Under that common law rule, according to </w:t>
      </w:r>
      <w:r w:rsidRPr="00727042">
        <w:rPr>
          <w:rFonts w:ascii="Times New Roman" w:hAnsi="Times New Roman"/>
          <w:i/>
        </w:rPr>
        <w:t>Weiss</w:t>
      </w:r>
      <w:r w:rsidRPr="00727042">
        <w:rPr>
          <w:rFonts w:ascii="Times New Roman" w:hAnsi="Times New Roman"/>
        </w:rPr>
        <w:t>, a "miscarriage of justice" was "</w:t>
      </w:r>
      <w:r w:rsidRPr="00727042">
        <w:rPr>
          <w:rFonts w:ascii="Times New Roman" w:hAnsi="Times New Roman"/>
          <w:i/>
        </w:rPr>
        <w:t xml:space="preserve">any </w:t>
      </w:r>
      <w:r w:rsidRPr="00727042">
        <w:rPr>
          <w:rFonts w:ascii="Times New Roman" w:hAnsi="Times New Roman"/>
        </w:rPr>
        <w:t>departure from trial according to law, regardless of the nature or importance of that departure"</w:t>
      </w:r>
      <w:r w:rsidRPr="00727042">
        <w:rPr>
          <w:rStyle w:val="FootnoteReference"/>
          <w:rFonts w:ascii="Times New Roman" w:hAnsi="Times New Roman"/>
          <w:sz w:val="24"/>
        </w:rPr>
        <w:footnoteReference w:id="108"/>
      </w:r>
      <w:r w:rsidRPr="00727042">
        <w:rPr>
          <w:rFonts w:ascii="Times New Roman" w:hAnsi="Times New Roman"/>
        </w:rPr>
        <w:t xml:space="preserve">.  </w:t>
      </w:r>
    </w:p>
    <w:p w14:paraId="785986AE"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Taken out of context, that description of the former position at common law has the potential to be read as indicating that the miscarriage of justice ground is confined to a departure from a rule or principle of law as distinct from a departure from procedural regularity in the conduct of a trial. The description might also be understood to indicate that any departure from a rule or principle of law bearing on the conduct of a trial constitutes a miscarriage of justice for the purpose of the miscarriage of justice ground irrespective of the practical consequence of that </w:t>
      </w:r>
      <w:r w:rsidRPr="00727042">
        <w:rPr>
          <w:rFonts w:ascii="Times New Roman" w:hAnsi="Times New Roman"/>
        </w:rPr>
        <w:lastRenderedPageBreak/>
        <w:t>departure. Later references to the passage might be thought to reinforce that reading</w:t>
      </w:r>
      <w:r w:rsidRPr="00727042">
        <w:rPr>
          <w:rStyle w:val="FootnoteReference"/>
          <w:rFonts w:ascii="Times New Roman" w:hAnsi="Times New Roman"/>
          <w:sz w:val="24"/>
        </w:rPr>
        <w:footnoteReference w:id="109"/>
      </w:r>
      <w:r w:rsidRPr="00727042">
        <w:rPr>
          <w:rFonts w:ascii="Times New Roman" w:hAnsi="Times New Roman"/>
        </w:rPr>
        <w:t xml:space="preserve">. </w:t>
      </w:r>
    </w:p>
    <w:p w14:paraId="1D90AE3C"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That </w:t>
      </w:r>
      <w:r w:rsidRPr="00727042">
        <w:rPr>
          <w:rFonts w:ascii="Times New Roman" w:hAnsi="Times New Roman"/>
          <w:i/>
        </w:rPr>
        <w:t>Weiss</w:t>
      </w:r>
      <w:r w:rsidRPr="00727042">
        <w:rPr>
          <w:rFonts w:ascii="Times New Roman" w:hAnsi="Times New Roman"/>
        </w:rPr>
        <w:t xml:space="preserve">'s description of the former position at common law can be read in that way is evident from the re-examination of the miscarriage of justice ground in light of </w:t>
      </w:r>
      <w:r w:rsidRPr="00727042">
        <w:rPr>
          <w:rFonts w:ascii="Times New Roman" w:hAnsi="Times New Roman"/>
          <w:i/>
        </w:rPr>
        <w:t xml:space="preserve">Weiss </w:t>
      </w:r>
      <w:r w:rsidRPr="00727042">
        <w:rPr>
          <w:rFonts w:ascii="Times New Roman" w:hAnsi="Times New Roman"/>
        </w:rPr>
        <w:t>seen to be necessary to be undertaken in recent decisions of the Court of Criminal Appeal of New South Wales</w:t>
      </w:r>
      <w:r w:rsidRPr="00727042">
        <w:rPr>
          <w:rStyle w:val="FootnoteReference"/>
          <w:rFonts w:ascii="Times New Roman" w:hAnsi="Times New Roman"/>
          <w:sz w:val="24"/>
        </w:rPr>
        <w:footnoteReference w:id="110"/>
      </w:r>
      <w:r w:rsidRPr="00727042">
        <w:rPr>
          <w:rFonts w:ascii="Times New Roman" w:hAnsi="Times New Roman"/>
        </w:rPr>
        <w:t xml:space="preserve">. That the description in </w:t>
      </w:r>
      <w:r w:rsidRPr="00727042">
        <w:rPr>
          <w:rFonts w:ascii="Times New Roman" w:hAnsi="Times New Roman"/>
          <w:i/>
        </w:rPr>
        <w:t>Weiss</w:t>
      </w:r>
      <w:r w:rsidRPr="00727042">
        <w:rPr>
          <w:rFonts w:ascii="Times New Roman" w:hAnsi="Times New Roman"/>
        </w:rPr>
        <w:t xml:space="preserve"> can be so read is</w:t>
      </w:r>
      <w:r w:rsidRPr="00727042" w:rsidDel="00C626B5">
        <w:rPr>
          <w:rFonts w:ascii="Times New Roman" w:hAnsi="Times New Roman"/>
        </w:rPr>
        <w:t xml:space="preserve"> </w:t>
      </w:r>
      <w:r w:rsidRPr="00727042">
        <w:rPr>
          <w:rFonts w:ascii="Times New Roman" w:hAnsi="Times New Roman"/>
        </w:rPr>
        <w:t xml:space="preserve">evident also from the need felt by the Supreme Court of New Zealand in </w:t>
      </w:r>
      <w:r w:rsidRPr="00727042">
        <w:rPr>
          <w:rFonts w:ascii="Times New Roman" w:hAnsi="Times New Roman"/>
          <w:i/>
        </w:rPr>
        <w:t xml:space="preserve">R v </w:t>
      </w:r>
      <w:proofErr w:type="spellStart"/>
      <w:r w:rsidRPr="00727042">
        <w:rPr>
          <w:rFonts w:ascii="Times New Roman" w:hAnsi="Times New Roman"/>
          <w:i/>
        </w:rPr>
        <w:t>Matenga</w:t>
      </w:r>
      <w:proofErr w:type="spellEnd"/>
      <w:r w:rsidRPr="00727042">
        <w:rPr>
          <w:rStyle w:val="FootnoteReference"/>
          <w:rFonts w:ascii="Times New Roman" w:hAnsi="Times New Roman"/>
          <w:sz w:val="24"/>
        </w:rPr>
        <w:footnoteReference w:id="111"/>
      </w:r>
      <w:r w:rsidRPr="00727042">
        <w:rPr>
          <w:rFonts w:ascii="Times New Roman" w:hAnsi="Times New Roman"/>
        </w:rPr>
        <w:t xml:space="preserve"> to distance itself from the passage by adding the following qualification to its adoption of </w:t>
      </w:r>
      <w:r w:rsidRPr="00727042">
        <w:rPr>
          <w:rFonts w:ascii="Times New Roman" w:hAnsi="Times New Roman"/>
          <w:i/>
        </w:rPr>
        <w:t>Weiss</w:t>
      </w:r>
      <w:r w:rsidRPr="00727042">
        <w:rPr>
          <w:rFonts w:ascii="Times New Roman" w:hAnsi="Times New Roman"/>
        </w:rPr>
        <w:t>. The Supreme Court said</w:t>
      </w:r>
      <w:r w:rsidRPr="00727042">
        <w:rPr>
          <w:rStyle w:val="FootnoteReference"/>
          <w:rFonts w:ascii="Times New Roman" w:hAnsi="Times New Roman"/>
          <w:sz w:val="24"/>
        </w:rPr>
        <w:footnoteReference w:id="112"/>
      </w:r>
      <w:r w:rsidRPr="00727042">
        <w:rPr>
          <w:rFonts w:ascii="Times New Roman" w:hAnsi="Times New Roman"/>
        </w:rPr>
        <w:t>:</w:t>
      </w:r>
    </w:p>
    <w:p w14:paraId="5278F25C" w14:textId="77777777" w:rsidR="00357618" w:rsidRDefault="00357618" w:rsidP="00727042">
      <w:pPr>
        <w:pStyle w:val="leftright"/>
        <w:spacing w:before="0" w:after="260" w:line="280" w:lineRule="exact"/>
        <w:ind w:right="0"/>
        <w:jc w:val="both"/>
        <w:rPr>
          <w:rFonts w:ascii="Times New Roman" w:hAnsi="Times New Roman"/>
          <w:shd w:val="clear" w:color="auto" w:fill="FFFFFF"/>
        </w:rPr>
      </w:pPr>
      <w:r w:rsidRPr="00727042">
        <w:rPr>
          <w:rFonts w:ascii="Times New Roman" w:hAnsi="Times New Roman"/>
          <w:shd w:val="clear" w:color="auto" w:fill="FFFFFF"/>
        </w:rPr>
        <w:tab/>
        <w:t>"The </w:t>
      </w:r>
      <w:r w:rsidRPr="00727042">
        <w:rPr>
          <w:rFonts w:ascii="Times New Roman" w:hAnsi="Times New Roman"/>
          <w:i/>
          <w:iCs/>
          <w:shd w:val="clear" w:color="auto" w:fill="FFFFFF"/>
        </w:rPr>
        <w:t>Weiss </w:t>
      </w:r>
      <w:r w:rsidRPr="00727042">
        <w:rPr>
          <w:rFonts w:ascii="Times New Roman" w:hAnsi="Times New Roman"/>
          <w:shd w:val="clear" w:color="auto" w:fill="FFFFFF"/>
        </w:rPr>
        <w:t>Court accepted that a miscarriage under [the miscarriage of justice ground] is anything which is a departure from applicable rules of evidence or procedure. We have hesitated about whether in its statutory context that is the meaning which should be given to the word, lest it might lead to the application of the proviso in a large number of cases. Few trials are perfect in all respects. Frequent use of the proviso may create the false impression that the appeal court is too ready to resort to it despite the existence of a miscarriage of justice. In the end, departing in this respect from </w:t>
      </w:r>
      <w:r w:rsidRPr="00727042">
        <w:rPr>
          <w:rFonts w:ascii="Times New Roman" w:hAnsi="Times New Roman"/>
          <w:i/>
          <w:iCs/>
          <w:shd w:val="clear" w:color="auto" w:fill="FFFFFF"/>
        </w:rPr>
        <w:t>Weiss</w:t>
      </w:r>
      <w:r w:rsidRPr="00727042">
        <w:rPr>
          <w:rFonts w:ascii="Times New Roman" w:hAnsi="Times New Roman"/>
          <w:shd w:val="clear" w:color="auto" w:fill="FFFFFF"/>
        </w:rPr>
        <w:t>, we consider that in the first place the appeal court should put to one side and disregard those irregularities which plainly could not, either singly or collectively, have affected the result of the trial and therefore cannot properly be called miscarriages. A miscarriage is more than an inconsequential or immaterial mistake or irregularity."</w:t>
      </w:r>
    </w:p>
    <w:p w14:paraId="04F6A6F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present case is an opportunity for clarification. </w:t>
      </w:r>
      <w:r w:rsidRPr="00727042">
        <w:rPr>
          <w:rFonts w:ascii="Times New Roman" w:hAnsi="Times New Roman"/>
          <w:i/>
        </w:rPr>
        <w:t>Weiss</w:t>
      </w:r>
      <w:r w:rsidRPr="00727042">
        <w:rPr>
          <w:rFonts w:ascii="Times New Roman" w:hAnsi="Times New Roman"/>
        </w:rPr>
        <w:t xml:space="preserve"> should not be taken to draw a distinction for the purpose of the miscarriage of justice ground between a departure from the proper conduct of a trial which involves legal error and a departure from the proper conduct of a trial which involves some other form of irregularity. Nor should </w:t>
      </w:r>
      <w:r w:rsidRPr="00727042">
        <w:rPr>
          <w:rFonts w:ascii="Times New Roman" w:hAnsi="Times New Roman"/>
          <w:i/>
        </w:rPr>
        <w:t>Weiss</w:t>
      </w:r>
      <w:r w:rsidRPr="00727042">
        <w:rPr>
          <w:rFonts w:ascii="Times New Roman" w:hAnsi="Times New Roman"/>
        </w:rPr>
        <w:t xml:space="preserve"> be taken to mean that an error or irregularity </w:t>
      </w:r>
      <w:r w:rsidRPr="00727042">
        <w:rPr>
          <w:rFonts w:ascii="Times New Roman" w:hAnsi="Times New Roman"/>
        </w:rPr>
        <w:lastRenderedPageBreak/>
        <w:t xml:space="preserve">which could not have affected the result of the trial will amount to a miscarriage of justice. </w:t>
      </w:r>
    </w:p>
    <w:p w14:paraId="057008A8"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references in </w:t>
      </w:r>
      <w:r w:rsidRPr="00727042">
        <w:rPr>
          <w:rFonts w:ascii="Times New Roman" w:hAnsi="Times New Roman"/>
          <w:i/>
        </w:rPr>
        <w:t>Weiss</w:t>
      </w:r>
      <w:r w:rsidRPr="00727042">
        <w:rPr>
          <w:rFonts w:ascii="Times New Roman" w:hAnsi="Times New Roman"/>
        </w:rPr>
        <w:t xml:space="preserve"> to the "Exchequer rule" derive from the label given by John Henry </w:t>
      </w:r>
      <w:proofErr w:type="spellStart"/>
      <w:r w:rsidRPr="00727042">
        <w:rPr>
          <w:rFonts w:ascii="Times New Roman" w:hAnsi="Times New Roman"/>
        </w:rPr>
        <w:t>Wigmore</w:t>
      </w:r>
      <w:proofErr w:type="spellEnd"/>
      <w:r w:rsidRPr="00727042">
        <w:rPr>
          <w:rFonts w:ascii="Times New Roman" w:hAnsi="Times New Roman"/>
        </w:rPr>
        <w:t xml:space="preserve"> in 1903</w:t>
      </w:r>
      <w:r w:rsidRPr="00727042">
        <w:rPr>
          <w:rStyle w:val="FootnoteReference"/>
          <w:rFonts w:ascii="Times New Roman" w:hAnsi="Times New Roman"/>
          <w:sz w:val="24"/>
        </w:rPr>
        <w:footnoteReference w:id="113"/>
      </w:r>
      <w:r w:rsidRPr="00727042">
        <w:rPr>
          <w:rFonts w:ascii="Times New Roman" w:hAnsi="Times New Roman"/>
        </w:rPr>
        <w:t xml:space="preserve"> to a narrow understanding</w:t>
      </w:r>
      <w:r w:rsidRPr="00727042">
        <w:rPr>
          <w:rStyle w:val="FootnoteReference"/>
          <w:rFonts w:ascii="Times New Roman" w:hAnsi="Times New Roman"/>
          <w:sz w:val="24"/>
        </w:rPr>
        <w:footnoteReference w:id="114"/>
      </w:r>
      <w:r w:rsidRPr="00727042">
        <w:rPr>
          <w:rFonts w:ascii="Times New Roman" w:hAnsi="Times New Roman"/>
        </w:rPr>
        <w:t xml:space="preserve"> which had come by then to prevail in the United States of a rule introduced into the common law of England by a decision of the Court of Exchequer in 1835</w:t>
      </w:r>
      <w:r w:rsidRPr="00727042">
        <w:rPr>
          <w:rStyle w:val="FootnoteReference"/>
          <w:rFonts w:ascii="Times New Roman" w:hAnsi="Times New Roman"/>
          <w:sz w:val="24"/>
        </w:rPr>
        <w:footnoteReference w:id="115"/>
      </w:r>
      <w:r w:rsidRPr="00727042">
        <w:rPr>
          <w:rFonts w:ascii="Times New Roman" w:hAnsi="Times New Roman"/>
        </w:rPr>
        <w:t xml:space="preserve">. The narrow understanding can be seen to have been reflected in a strict and literal interpretation of the statement two years later that </w:t>
      </w:r>
      <w:r w:rsidRPr="00727042">
        <w:rPr>
          <w:rFonts w:ascii="Times New Roman" w:hAnsi="Times New Roman"/>
          <w:color w:val="000000"/>
          <w:shd w:val="clear" w:color="auto" w:fill="FFFFFF"/>
        </w:rPr>
        <w:t>"where evidence formally objected to at Nisi Prius is received by the Judge, and is afterwards thought by the Court to be inadmissible, the losing party has</w:t>
      </w:r>
      <w:r>
        <w:rPr>
          <w:rFonts w:ascii="Times New Roman" w:hAnsi="Times New Roman"/>
          <w:color w:val="000000"/>
          <w:shd w:val="clear" w:color="auto" w:fill="FFFFFF"/>
        </w:rPr>
        <w:t xml:space="preserve"> </w:t>
      </w:r>
      <w:r w:rsidRPr="00727042">
        <w:rPr>
          <w:rFonts w:ascii="Times New Roman" w:hAnsi="Times New Roman"/>
          <w:i/>
          <w:iCs/>
          <w:color w:val="000000"/>
          <w:shd w:val="clear" w:color="auto" w:fill="FFFFFF"/>
        </w:rPr>
        <w:t>a right</w:t>
      </w:r>
      <w:r>
        <w:rPr>
          <w:rFonts w:ascii="Times New Roman" w:hAnsi="Times New Roman"/>
          <w:color w:val="000000"/>
          <w:shd w:val="clear" w:color="auto" w:fill="FFFFFF"/>
        </w:rPr>
        <w:t xml:space="preserve"> </w:t>
      </w:r>
      <w:r w:rsidRPr="00727042">
        <w:rPr>
          <w:rFonts w:ascii="Times New Roman" w:hAnsi="Times New Roman"/>
          <w:color w:val="000000"/>
          <w:shd w:val="clear" w:color="auto" w:fill="FFFFFF"/>
        </w:rPr>
        <w:t>to a new trial"</w:t>
      </w:r>
      <w:r w:rsidRPr="00727042">
        <w:rPr>
          <w:rStyle w:val="FootnoteReference"/>
          <w:rFonts w:ascii="Times New Roman" w:hAnsi="Times New Roman"/>
          <w:color w:val="000000"/>
          <w:sz w:val="24"/>
          <w:shd w:val="clear" w:color="auto" w:fill="FFFFFF"/>
        </w:rPr>
        <w:footnoteReference w:id="116"/>
      </w:r>
      <w:r w:rsidRPr="00727042">
        <w:rPr>
          <w:rFonts w:ascii="Times New Roman" w:hAnsi="Times New Roman"/>
          <w:color w:val="000000"/>
          <w:shd w:val="clear" w:color="auto" w:fill="FFFFFF"/>
        </w:rPr>
        <w:t>. The narrow understanding was that, if "error" was found, "prejudice" would normally be presumed</w:t>
      </w:r>
      <w:r w:rsidRPr="00727042">
        <w:rPr>
          <w:rStyle w:val="FootnoteReference"/>
          <w:rFonts w:ascii="Times New Roman" w:hAnsi="Times New Roman"/>
          <w:color w:val="000000"/>
          <w:sz w:val="24"/>
          <w:shd w:val="clear" w:color="auto" w:fill="FFFFFF"/>
        </w:rPr>
        <w:footnoteReference w:id="117"/>
      </w:r>
      <w:r w:rsidRPr="00727042">
        <w:rPr>
          <w:rFonts w:ascii="Times New Roman" w:hAnsi="Times New Roman"/>
          <w:color w:val="000000"/>
          <w:shd w:val="clear" w:color="auto" w:fill="FFFFFF"/>
        </w:rPr>
        <w:t>.</w:t>
      </w:r>
    </w:p>
    <w:p w14:paraId="3608CDFA"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color w:val="000000"/>
          <w:shd w:val="clear" w:color="auto" w:fill="FFFFFF"/>
        </w:rPr>
        <w:tab/>
        <w:t xml:space="preserve">By 1906, adherence to the </w:t>
      </w:r>
      <w:r w:rsidRPr="00727042">
        <w:rPr>
          <w:rFonts w:ascii="Times New Roman" w:hAnsi="Times New Roman"/>
        </w:rPr>
        <w:t xml:space="preserve">"Exchequer rule" in the United States </w:t>
      </w:r>
      <w:r w:rsidRPr="00727042">
        <w:rPr>
          <w:rFonts w:ascii="Times New Roman" w:hAnsi="Times New Roman"/>
          <w:color w:val="000000"/>
          <w:shd w:val="clear" w:color="auto" w:fill="FFFFFF"/>
        </w:rPr>
        <w:t>was being identified as a source of a reported discrepancy between new trials being ordered in over 40 per cent of cases brought before appellate courts in the United States compared with new trials being ordered in around three per cent of cases brought before appellate courts in England</w:t>
      </w:r>
      <w:r w:rsidRPr="00727042">
        <w:rPr>
          <w:rStyle w:val="FootnoteReference"/>
          <w:rFonts w:ascii="Times New Roman" w:hAnsi="Times New Roman"/>
          <w:color w:val="000000"/>
          <w:sz w:val="24"/>
          <w:shd w:val="clear" w:color="auto" w:fill="FFFFFF"/>
        </w:rPr>
        <w:footnoteReference w:id="118"/>
      </w:r>
      <w:r w:rsidRPr="00727042">
        <w:rPr>
          <w:rFonts w:ascii="Times New Roman" w:hAnsi="Times New Roman"/>
          <w:color w:val="000000"/>
          <w:shd w:val="clear" w:color="auto" w:fill="FFFFFF"/>
        </w:rPr>
        <w:t xml:space="preserve">. In a </w:t>
      </w:r>
      <w:r w:rsidRPr="00727042">
        <w:rPr>
          <w:rFonts w:ascii="Times New Roman" w:hAnsi="Times New Roman"/>
        </w:rPr>
        <w:t xml:space="preserve">famous speech to the American Bar Association in 1906, </w:t>
      </w:r>
      <w:proofErr w:type="spellStart"/>
      <w:r w:rsidRPr="00727042">
        <w:rPr>
          <w:rFonts w:ascii="Times New Roman" w:hAnsi="Times New Roman"/>
        </w:rPr>
        <w:t>Wigmore's</w:t>
      </w:r>
      <w:proofErr w:type="spellEnd"/>
      <w:r w:rsidRPr="00727042">
        <w:rPr>
          <w:rFonts w:ascii="Times New Roman" w:hAnsi="Times New Roman"/>
        </w:rPr>
        <w:t xml:space="preserve"> contemporary, Roscoe Pound, lamented that "exaggerated contentious procedure" in the United States had "[kept] alive the unfortunate [Exchequer rule], dead in the country of its origin, according to which </w:t>
      </w:r>
      <w:r w:rsidRPr="00727042">
        <w:rPr>
          <w:rFonts w:ascii="Times New Roman" w:hAnsi="Times New Roman"/>
        </w:rPr>
        <w:lastRenderedPageBreak/>
        <w:t>errors in the admission or rejection of evidence are presumed to be prejudicial and hence demand a new trial"</w:t>
      </w:r>
      <w:r w:rsidRPr="00727042">
        <w:rPr>
          <w:rStyle w:val="FootnoteReference"/>
          <w:rFonts w:ascii="Times New Roman" w:hAnsi="Times New Roman"/>
          <w:sz w:val="24"/>
        </w:rPr>
        <w:footnoteReference w:id="119"/>
      </w:r>
      <w:r w:rsidRPr="00727042">
        <w:rPr>
          <w:rFonts w:ascii="Times New Roman" w:hAnsi="Times New Roman"/>
        </w:rPr>
        <w:t xml:space="preserve">. </w:t>
      </w:r>
    </w:p>
    <w:p w14:paraId="0AD2CB76"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Together with William Howard Taft</w:t>
      </w:r>
      <w:r w:rsidRPr="00727042">
        <w:rPr>
          <w:rStyle w:val="FootnoteReference"/>
          <w:rFonts w:ascii="Times New Roman" w:hAnsi="Times New Roman"/>
          <w:sz w:val="24"/>
        </w:rPr>
        <w:footnoteReference w:id="120"/>
      </w:r>
      <w:r w:rsidRPr="00727042">
        <w:rPr>
          <w:rFonts w:ascii="Times New Roman" w:hAnsi="Times New Roman"/>
        </w:rPr>
        <w:t xml:space="preserve">, who was later to become President and then Chief Justice of the Supreme Court of the United States, </w:t>
      </w:r>
      <w:proofErr w:type="spellStart"/>
      <w:r w:rsidRPr="00727042">
        <w:rPr>
          <w:rFonts w:ascii="Times New Roman" w:hAnsi="Times New Roman"/>
        </w:rPr>
        <w:t>Wigmore</w:t>
      </w:r>
      <w:proofErr w:type="spellEnd"/>
      <w:r w:rsidRPr="00727042">
        <w:rPr>
          <w:rFonts w:ascii="Times New Roman" w:hAnsi="Times New Roman"/>
        </w:rPr>
        <w:t xml:space="preserve"> and Pound spearheaded a campaign to eradicate the influence of the "Exchequer rule" in the United States. The campaign came to fruition with the passage in 1919 of a federal law requiring an appellate court in any civil or criminal case to disregard "technical errors, defects, or exceptions which do not affect the substantial rights of the parties"</w:t>
      </w:r>
      <w:r w:rsidRPr="00727042">
        <w:rPr>
          <w:rStyle w:val="FootnoteReference"/>
          <w:rFonts w:ascii="Times New Roman" w:hAnsi="Times New Roman"/>
          <w:sz w:val="24"/>
        </w:rPr>
        <w:footnoteReference w:id="121"/>
      </w:r>
      <w:r w:rsidRPr="00727042">
        <w:rPr>
          <w:rFonts w:ascii="Times New Roman" w:hAnsi="Times New Roman"/>
        </w:rPr>
        <w:t xml:space="preserve"> and with the enactment of rules in similar terms</w:t>
      </w:r>
      <w:r w:rsidRPr="00727042">
        <w:rPr>
          <w:rStyle w:val="FootnoteReference"/>
          <w:rFonts w:ascii="Times New Roman" w:hAnsi="Times New Roman"/>
          <w:sz w:val="24"/>
        </w:rPr>
        <w:footnoteReference w:id="122"/>
      </w:r>
      <w:r w:rsidRPr="00727042">
        <w:rPr>
          <w:rFonts w:ascii="Times New Roman" w:hAnsi="Times New Roman"/>
        </w:rPr>
        <w:t xml:space="preserve"> in many States of the United States in the surrounding decade</w:t>
      </w:r>
      <w:r w:rsidRPr="00727042">
        <w:rPr>
          <w:rStyle w:val="FootnoteReference"/>
          <w:rFonts w:ascii="Times New Roman" w:hAnsi="Times New Roman"/>
          <w:sz w:val="24"/>
        </w:rPr>
        <w:footnoteReference w:id="123"/>
      </w:r>
      <w:r w:rsidRPr="00727042">
        <w:rPr>
          <w:rFonts w:ascii="Times New Roman" w:hAnsi="Times New Roman"/>
        </w:rPr>
        <w:t>.</w:t>
      </w:r>
    </w:p>
    <w:p w14:paraId="53D426F6"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An appreciation of how the reference to the "Exchequer rule" in the critical passage in </w:t>
      </w:r>
      <w:r w:rsidRPr="00727042">
        <w:rPr>
          <w:rFonts w:ascii="Times New Roman" w:hAnsi="Times New Roman"/>
          <w:i/>
        </w:rPr>
        <w:t>Weiss</w:t>
      </w:r>
      <w:r w:rsidRPr="00727042">
        <w:rPr>
          <w:rFonts w:ascii="Times New Roman" w:hAnsi="Times New Roman"/>
        </w:rPr>
        <w:t xml:space="preserve"> is to be understood is assisted by a reference earlier in </w:t>
      </w:r>
      <w:r w:rsidRPr="00727042">
        <w:rPr>
          <w:rFonts w:ascii="Times New Roman" w:hAnsi="Times New Roman"/>
          <w:i/>
        </w:rPr>
        <w:t xml:space="preserve">Weiss </w:t>
      </w:r>
      <w:r w:rsidRPr="00727042">
        <w:rPr>
          <w:rFonts w:ascii="Times New Roman" w:hAnsi="Times New Roman"/>
        </w:rPr>
        <w:t xml:space="preserve">to the rule having been stated in the Queen's Bench Division of the English High Court of Justice in 1887 in </w:t>
      </w:r>
      <w:r w:rsidRPr="00727042">
        <w:rPr>
          <w:rFonts w:ascii="Times New Roman" w:hAnsi="Times New Roman"/>
          <w:i/>
        </w:rPr>
        <w:t>R v Gibson</w:t>
      </w:r>
      <w:r w:rsidRPr="00727042">
        <w:rPr>
          <w:rStyle w:val="FootnoteReference"/>
          <w:rFonts w:ascii="Times New Roman" w:hAnsi="Times New Roman"/>
          <w:color w:val="000000"/>
          <w:sz w:val="24"/>
          <w:shd w:val="clear" w:color="auto" w:fill="FFFFFF"/>
        </w:rPr>
        <w:footnoteReference w:id="124"/>
      </w:r>
      <w:r w:rsidRPr="00727042">
        <w:rPr>
          <w:rFonts w:ascii="Times New Roman" w:hAnsi="Times New Roman"/>
          <w:i/>
        </w:rPr>
        <w:t xml:space="preserve"> </w:t>
      </w:r>
      <w:r w:rsidRPr="00727042">
        <w:rPr>
          <w:rFonts w:ascii="Times New Roman" w:hAnsi="Times New Roman"/>
        </w:rPr>
        <w:t xml:space="preserve">in terms that </w:t>
      </w:r>
      <w:r w:rsidRPr="00727042">
        <w:rPr>
          <w:rFonts w:ascii="Times New Roman" w:hAnsi="Times New Roman"/>
          <w:color w:val="000000"/>
          <w:shd w:val="clear" w:color="auto" w:fill="FFFFFF"/>
        </w:rPr>
        <w:t xml:space="preserve">"if any bit of evidence not legally admissible, </w:t>
      </w:r>
      <w:r w:rsidRPr="00727042">
        <w:rPr>
          <w:rFonts w:ascii="Times New Roman" w:hAnsi="Times New Roman"/>
          <w:i/>
          <w:color w:val="000000"/>
          <w:shd w:val="clear" w:color="auto" w:fill="FFFFFF"/>
        </w:rPr>
        <w:t>which might have affected the verdict</w:t>
      </w:r>
      <w:r w:rsidRPr="00727042">
        <w:rPr>
          <w:rFonts w:ascii="Times New Roman" w:hAnsi="Times New Roman"/>
          <w:color w:val="000000"/>
          <w:shd w:val="clear" w:color="auto" w:fill="FFFFFF"/>
        </w:rPr>
        <w:t>, had gone to the jury, the party against whom it was given was entitled to a new trial".</w:t>
      </w:r>
      <w:r w:rsidRPr="00727042">
        <w:rPr>
          <w:rFonts w:ascii="Times New Roman" w:hAnsi="Times New Roman"/>
          <w:i/>
        </w:rPr>
        <w:t xml:space="preserve"> </w:t>
      </w:r>
      <w:r w:rsidRPr="00727042">
        <w:rPr>
          <w:rFonts w:ascii="Times New Roman" w:hAnsi="Times New Roman"/>
        </w:rPr>
        <w:t xml:space="preserve">The emphasised words in that statement of the rule are important. They bear out the observation of Pound that the American understanding of the common law rule, as one by which errors in the admission or rejection of evidence were </w:t>
      </w:r>
      <w:r w:rsidRPr="00727042">
        <w:rPr>
          <w:rFonts w:ascii="Times New Roman" w:hAnsi="Times New Roman"/>
          <w:i/>
        </w:rPr>
        <w:t>presumed</w:t>
      </w:r>
      <w:r w:rsidRPr="00727042">
        <w:rPr>
          <w:rFonts w:ascii="Times New Roman" w:hAnsi="Times New Roman"/>
        </w:rPr>
        <w:t xml:space="preserve"> to be prejudicial, was an exaggeration of the understanding that existed in England. The English version of the rule involved no presumption of prejudice. The English version of the rule conferred an entitlement to a new trial only if the erroneous admission of </w:t>
      </w:r>
      <w:r w:rsidRPr="00727042">
        <w:rPr>
          <w:rFonts w:ascii="Times New Roman" w:hAnsi="Times New Roman"/>
        </w:rPr>
        <w:lastRenderedPageBreak/>
        <w:t xml:space="preserve">evidence operated to the prejudice of the party against whom it was admitted in the sense that it </w:t>
      </w:r>
      <w:r w:rsidRPr="00727042">
        <w:rPr>
          <w:rFonts w:ascii="Times New Roman" w:hAnsi="Times New Roman"/>
          <w:color w:val="000000"/>
          <w:shd w:val="clear" w:color="auto" w:fill="FFFFFF"/>
        </w:rPr>
        <w:t>might have affected the verdict.</w:t>
      </w:r>
    </w:p>
    <w:p w14:paraId="0CE794F2"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Given the policy laid down by the Privy Council in 1879 that "in all parts of the empire where English law prevails, the interpretation of that law by the Courts should be as nearly as possible the same"</w:t>
      </w:r>
      <w:r w:rsidRPr="00727042">
        <w:rPr>
          <w:rStyle w:val="FootnoteReference"/>
          <w:rFonts w:ascii="Times New Roman" w:hAnsi="Times New Roman"/>
          <w:sz w:val="24"/>
        </w:rPr>
        <w:footnoteReference w:id="125"/>
      </w:r>
      <w:r w:rsidRPr="00727042">
        <w:rPr>
          <w:rFonts w:ascii="Times New Roman" w:hAnsi="Times New Roman"/>
        </w:rPr>
        <w:t xml:space="preserve">, it was only to be expected that the English and not the American understanding of the common law rule would be taken up in Australia. That understanding was succinctly conveyed by </w:t>
      </w:r>
      <w:proofErr w:type="spellStart"/>
      <w:r w:rsidRPr="00727042">
        <w:rPr>
          <w:rFonts w:ascii="Times New Roman" w:hAnsi="Times New Roman"/>
        </w:rPr>
        <w:t>Cussen</w:t>
      </w:r>
      <w:proofErr w:type="spellEnd"/>
      <w:r w:rsidRPr="00727042">
        <w:rPr>
          <w:rFonts w:ascii="Times New Roman" w:hAnsi="Times New Roman"/>
        </w:rPr>
        <w:t> J in 1907 when he said that "the wrongful reception of statements as evidence will not invalidate the conviction if it could not have affected the verdict"</w:t>
      </w:r>
      <w:r w:rsidRPr="00727042">
        <w:rPr>
          <w:rStyle w:val="FootnoteReference"/>
          <w:rFonts w:ascii="Times New Roman" w:hAnsi="Times New Roman"/>
          <w:sz w:val="24"/>
        </w:rPr>
        <w:footnoteReference w:id="126"/>
      </w:r>
      <w:r w:rsidRPr="00727042">
        <w:rPr>
          <w:rFonts w:ascii="Times New Roman" w:hAnsi="Times New Roman"/>
        </w:rPr>
        <w:t xml:space="preserve">. Three years later, in </w:t>
      </w:r>
      <w:r w:rsidRPr="00727042">
        <w:rPr>
          <w:rFonts w:ascii="Times New Roman" w:hAnsi="Times New Roman"/>
          <w:i/>
        </w:rPr>
        <w:t>R v Grills</w:t>
      </w:r>
      <w:r w:rsidRPr="00727042">
        <w:rPr>
          <w:rStyle w:val="FootnoteReference"/>
          <w:rFonts w:ascii="Times New Roman" w:hAnsi="Times New Roman"/>
          <w:sz w:val="24"/>
        </w:rPr>
        <w:footnoteReference w:id="127"/>
      </w:r>
      <w:r w:rsidRPr="00727042">
        <w:rPr>
          <w:rFonts w:ascii="Times New Roman" w:hAnsi="Times New Roman"/>
        </w:rPr>
        <w:t xml:space="preserve">, to which reference was made in </w:t>
      </w:r>
      <w:r w:rsidRPr="00727042">
        <w:rPr>
          <w:rFonts w:ascii="Times New Roman" w:hAnsi="Times New Roman"/>
          <w:i/>
        </w:rPr>
        <w:t>Weiss</w:t>
      </w:r>
      <w:r w:rsidRPr="00727042">
        <w:rPr>
          <w:rStyle w:val="FootnoteReference"/>
          <w:rFonts w:ascii="Times New Roman" w:hAnsi="Times New Roman"/>
          <w:sz w:val="24"/>
        </w:rPr>
        <w:footnoteReference w:id="128"/>
      </w:r>
      <w:r w:rsidRPr="00727042">
        <w:rPr>
          <w:rFonts w:ascii="Times New Roman" w:hAnsi="Times New Roman"/>
        </w:rPr>
        <w:t xml:space="preserve">, Griffith CJ said that </w:t>
      </w:r>
      <w:r w:rsidRPr="00727042">
        <w:rPr>
          <w:rFonts w:ascii="Times New Roman" w:hAnsi="Times New Roman"/>
          <w:i/>
        </w:rPr>
        <w:t>Gibson</w:t>
      </w:r>
      <w:r w:rsidRPr="00727042">
        <w:rPr>
          <w:rFonts w:ascii="Times New Roman" w:hAnsi="Times New Roman"/>
        </w:rPr>
        <w:t xml:space="preserve"> could not be treated "as an authority for the position that if any inadmissible evidence is 'left' to ... the jury, the conviction is bad". His Honour added:</w:t>
      </w:r>
    </w:p>
    <w:p w14:paraId="2B49B8C5" w14:textId="77777777" w:rsidR="00357618" w:rsidRDefault="00357618" w:rsidP="00727042">
      <w:pPr>
        <w:pStyle w:val="leftright"/>
        <w:spacing w:before="0" w:after="260" w:line="280" w:lineRule="exact"/>
        <w:ind w:right="0"/>
        <w:jc w:val="both"/>
        <w:rPr>
          <w:rFonts w:ascii="Times New Roman" w:hAnsi="Times New Roman"/>
        </w:rPr>
      </w:pPr>
      <w:r w:rsidRPr="00727042">
        <w:rPr>
          <w:rFonts w:ascii="Times New Roman" w:hAnsi="Times New Roman"/>
        </w:rPr>
        <w:t>"What was really decided was that if the jury are expressly invited to take inadmissible evidence into consideration the conviction is bad. It happens, I suppose, in innumerable cases that, by inadvertence, irrelevant evidence (which, strictly speaking, is not admissible) is admitted, and passes without notice and without mischief."</w:t>
      </w:r>
    </w:p>
    <w:p w14:paraId="4642218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reference to the "Exchequer rule" in the critical passage in </w:t>
      </w:r>
      <w:r w:rsidRPr="00727042">
        <w:rPr>
          <w:rFonts w:ascii="Times New Roman" w:hAnsi="Times New Roman"/>
          <w:i/>
        </w:rPr>
        <w:t>Weiss</w:t>
      </w:r>
      <w:r w:rsidRPr="00727042">
        <w:rPr>
          <w:rStyle w:val="FootnoteReference"/>
          <w:rFonts w:ascii="Times New Roman" w:hAnsi="Times New Roman"/>
          <w:sz w:val="24"/>
        </w:rPr>
        <w:footnoteReference w:id="129"/>
      </w:r>
      <w:r w:rsidRPr="00727042">
        <w:rPr>
          <w:rFonts w:ascii="Times New Roman" w:hAnsi="Times New Roman"/>
        </w:rPr>
        <w:t xml:space="preserve"> is therefore best understood as a reference to the prevailing English and Australian understandings of the rule rather than as a reference to the prevailing American understanding as described and criticised by </w:t>
      </w:r>
      <w:proofErr w:type="spellStart"/>
      <w:r w:rsidRPr="00727042">
        <w:rPr>
          <w:rFonts w:ascii="Times New Roman" w:hAnsi="Times New Roman"/>
        </w:rPr>
        <w:t>Wigmore</w:t>
      </w:r>
      <w:proofErr w:type="spellEnd"/>
      <w:r w:rsidRPr="00727042">
        <w:rPr>
          <w:rFonts w:ascii="Times New Roman" w:hAnsi="Times New Roman"/>
        </w:rPr>
        <w:t xml:space="preserve">. So understood, the qualification that the Supreme Court of New Zealand thought useful to be spelt out in </w:t>
      </w:r>
      <w:proofErr w:type="spellStart"/>
      <w:r w:rsidRPr="00727042">
        <w:rPr>
          <w:rFonts w:ascii="Times New Roman" w:hAnsi="Times New Roman"/>
          <w:i/>
        </w:rPr>
        <w:t>Matenga</w:t>
      </w:r>
      <w:proofErr w:type="spellEnd"/>
      <w:r w:rsidRPr="00727042">
        <w:rPr>
          <w:rFonts w:ascii="Times New Roman" w:hAnsi="Times New Roman"/>
          <w:i/>
        </w:rPr>
        <w:t xml:space="preserve"> </w:t>
      </w:r>
      <w:r w:rsidRPr="00727042">
        <w:rPr>
          <w:rFonts w:ascii="Times New Roman" w:hAnsi="Times New Roman"/>
        </w:rPr>
        <w:t xml:space="preserve">is not really a departure from </w:t>
      </w:r>
      <w:r w:rsidRPr="00727042">
        <w:rPr>
          <w:rFonts w:ascii="Times New Roman" w:hAnsi="Times New Roman"/>
          <w:i/>
        </w:rPr>
        <w:t>Weiss</w:t>
      </w:r>
      <w:r w:rsidRPr="00727042">
        <w:rPr>
          <w:rFonts w:ascii="Times New Roman" w:hAnsi="Times New Roman"/>
        </w:rPr>
        <w:t xml:space="preserve">. The qualification is implicit in the common law rule referred to in </w:t>
      </w:r>
      <w:r w:rsidRPr="00727042">
        <w:rPr>
          <w:rFonts w:ascii="Times New Roman" w:hAnsi="Times New Roman"/>
          <w:i/>
        </w:rPr>
        <w:t>Weiss</w:t>
      </w:r>
      <w:r w:rsidRPr="00727042">
        <w:rPr>
          <w:rFonts w:ascii="Times New Roman" w:hAnsi="Times New Roman"/>
        </w:rPr>
        <w:t>.</w:t>
      </w:r>
    </w:p>
    <w:p w14:paraId="720D083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That the reasoning in </w:t>
      </w:r>
      <w:r w:rsidRPr="00727042">
        <w:rPr>
          <w:rFonts w:ascii="Times New Roman" w:hAnsi="Times New Roman"/>
          <w:i/>
        </w:rPr>
        <w:t xml:space="preserve">Weiss </w:t>
      </w:r>
      <w:r w:rsidRPr="00727042">
        <w:rPr>
          <w:rFonts w:ascii="Times New Roman" w:hAnsi="Times New Roman"/>
        </w:rPr>
        <w:t xml:space="preserve">should have focused on the common law rule pertaining to the consequence of the reception of inadmissible evidence and on the proviso's operation to modify its strictness, without drawing attention to the qualification in what </w:t>
      </w:r>
      <w:r w:rsidRPr="00727042">
        <w:rPr>
          <w:rFonts w:ascii="Times New Roman" w:hAnsi="Times New Roman"/>
          <w:i/>
        </w:rPr>
        <w:t>Weiss</w:t>
      </w:r>
      <w:r w:rsidRPr="00727042">
        <w:rPr>
          <w:rFonts w:ascii="Times New Roman" w:hAnsi="Times New Roman"/>
        </w:rPr>
        <w:t xml:space="preserve"> identified as the leading English statement of the rule, is understandable. </w:t>
      </w:r>
      <w:r w:rsidRPr="00727042">
        <w:rPr>
          <w:rFonts w:ascii="Times New Roman" w:hAnsi="Times New Roman"/>
          <w:i/>
        </w:rPr>
        <w:t xml:space="preserve">Weiss </w:t>
      </w:r>
      <w:r w:rsidRPr="00727042">
        <w:rPr>
          <w:rFonts w:ascii="Times New Roman" w:hAnsi="Times New Roman"/>
        </w:rPr>
        <w:t xml:space="preserve">was a case in which the inquiry posed by the proviso had </w:t>
      </w:r>
      <w:r w:rsidRPr="00727042">
        <w:rPr>
          <w:rFonts w:ascii="Times New Roman" w:hAnsi="Times New Roman"/>
        </w:rPr>
        <w:lastRenderedPageBreak/>
        <w:t>been triggered by a finding of a wrong decision of a question of law – an incorrect ruling by the trial judge on the admissibility of evidence</w:t>
      </w:r>
      <w:r w:rsidRPr="00727042">
        <w:rPr>
          <w:rStyle w:val="FootnoteReference"/>
          <w:rFonts w:ascii="Times New Roman" w:hAnsi="Times New Roman"/>
          <w:sz w:val="24"/>
        </w:rPr>
        <w:footnoteReference w:id="130"/>
      </w:r>
      <w:r w:rsidRPr="00727042">
        <w:rPr>
          <w:rFonts w:ascii="Times New Roman" w:hAnsi="Times New Roman"/>
        </w:rPr>
        <w:t>. The threshold for finding that the wrong decision of a question of law also led to a miscarriage of justice</w:t>
      </w:r>
      <w:r w:rsidRPr="00727042">
        <w:rPr>
          <w:rStyle w:val="FootnoteReference"/>
          <w:rFonts w:ascii="Times New Roman" w:hAnsi="Times New Roman"/>
          <w:sz w:val="24"/>
        </w:rPr>
        <w:footnoteReference w:id="131"/>
      </w:r>
      <w:r w:rsidRPr="00727042">
        <w:rPr>
          <w:rFonts w:ascii="Times New Roman" w:hAnsi="Times New Roman"/>
        </w:rPr>
        <w:t xml:space="preserve"> was unquestionably met in the circumstances of </w:t>
      </w:r>
      <w:r w:rsidRPr="00727042">
        <w:rPr>
          <w:rFonts w:ascii="Times New Roman" w:hAnsi="Times New Roman"/>
          <w:i/>
        </w:rPr>
        <w:t xml:space="preserve">Weiss </w:t>
      </w:r>
      <w:r w:rsidRPr="00727042">
        <w:rPr>
          <w:rFonts w:ascii="Times New Roman" w:hAnsi="Times New Roman"/>
        </w:rPr>
        <w:t>given that the incorrect ruling of the trial judge had resulted in the admission of evidence found to be not only "irrelevant" but also "prejudicial"</w:t>
      </w:r>
      <w:r w:rsidRPr="00727042">
        <w:rPr>
          <w:rStyle w:val="FootnoteReference"/>
          <w:rFonts w:ascii="Times New Roman" w:hAnsi="Times New Roman"/>
          <w:sz w:val="24"/>
        </w:rPr>
        <w:footnoteReference w:id="132"/>
      </w:r>
      <w:r w:rsidRPr="00727042">
        <w:rPr>
          <w:rFonts w:ascii="Times New Roman" w:hAnsi="Times New Roman"/>
        </w:rPr>
        <w:t>.</w:t>
      </w:r>
    </w:p>
    <w:p w14:paraId="79010D74"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r>
      <w:r w:rsidRPr="00727042">
        <w:rPr>
          <w:rFonts w:ascii="Times New Roman" w:hAnsi="Times New Roman"/>
          <w:i/>
        </w:rPr>
        <w:t>Weiss</w:t>
      </w:r>
      <w:r w:rsidRPr="00727042">
        <w:rPr>
          <w:rFonts w:ascii="Times New Roman" w:hAnsi="Times New Roman"/>
        </w:rPr>
        <w:t xml:space="preserve"> presented no occasion to explore the metes and bounds of the miscarriage of justice ground. Nothing in the reasoning or the legal history recounted in </w:t>
      </w:r>
      <w:r w:rsidRPr="00727042">
        <w:rPr>
          <w:rFonts w:ascii="Times New Roman" w:hAnsi="Times New Roman"/>
          <w:i/>
        </w:rPr>
        <w:t xml:space="preserve">Weiss </w:t>
      </w:r>
      <w:r w:rsidRPr="00727042">
        <w:rPr>
          <w:rFonts w:ascii="Times New Roman" w:hAnsi="Times New Roman"/>
        </w:rPr>
        <w:t xml:space="preserve">contradicts the understanding expressed by Isaacs J in </w:t>
      </w:r>
      <w:r w:rsidRPr="00727042">
        <w:rPr>
          <w:rFonts w:ascii="Times New Roman" w:hAnsi="Times New Roman"/>
          <w:i/>
        </w:rPr>
        <w:t>Hargan v The King</w:t>
      </w:r>
      <w:r w:rsidRPr="00727042">
        <w:rPr>
          <w:rStyle w:val="FootnoteReference"/>
          <w:rFonts w:ascii="Times New Roman" w:hAnsi="Times New Roman"/>
          <w:sz w:val="24"/>
        </w:rPr>
        <w:footnoteReference w:id="133"/>
      </w:r>
      <w:r w:rsidRPr="00727042">
        <w:rPr>
          <w:rFonts w:ascii="Times New Roman" w:hAnsi="Times New Roman"/>
        </w:rPr>
        <w:t xml:space="preserve"> that the extension of the miscarriage of justice ground beyond "an error in strict law" was "the greatest innovation" made by the </w:t>
      </w:r>
      <w:r w:rsidRPr="00727042">
        <w:rPr>
          <w:rFonts w:ascii="Times New Roman" w:hAnsi="Times New Roman"/>
          <w:i/>
        </w:rPr>
        <w:t>Criminal Appeal Act</w:t>
      </w:r>
      <w:r>
        <w:rPr>
          <w:rFonts w:ascii="Times New Roman" w:hAnsi="Times New Roman"/>
          <w:i/>
        </w:rPr>
        <w:t> </w:t>
      </w:r>
      <w:r w:rsidRPr="00727042">
        <w:rPr>
          <w:rFonts w:ascii="Times New Roman" w:hAnsi="Times New Roman"/>
        </w:rPr>
        <w:t xml:space="preserve">– "to lose sight of that [would be] to miss the point of the legislative advance". Nor does the reasoning in </w:t>
      </w:r>
      <w:r w:rsidRPr="00727042">
        <w:rPr>
          <w:rFonts w:ascii="Times New Roman" w:hAnsi="Times New Roman"/>
          <w:i/>
        </w:rPr>
        <w:t xml:space="preserve">Weiss </w:t>
      </w:r>
      <w:r w:rsidRPr="00727042">
        <w:rPr>
          <w:rFonts w:ascii="Times New Roman" w:hAnsi="Times New Roman"/>
        </w:rPr>
        <w:t xml:space="preserve">or the underlying legal history call into question the consistent application of the miscarriage of justice ground, noted in </w:t>
      </w:r>
      <w:r w:rsidRPr="00727042">
        <w:rPr>
          <w:rFonts w:ascii="Times New Roman" w:hAnsi="Times New Roman"/>
          <w:i/>
        </w:rPr>
        <w:t>Davies and Cody v The King</w:t>
      </w:r>
      <w:r w:rsidRPr="00727042">
        <w:rPr>
          <w:rStyle w:val="FootnoteReference"/>
          <w:rFonts w:ascii="Times New Roman" w:hAnsi="Times New Roman"/>
          <w:sz w:val="24"/>
        </w:rPr>
        <w:footnoteReference w:id="134"/>
      </w:r>
      <w:r w:rsidRPr="00727042">
        <w:rPr>
          <w:rFonts w:ascii="Times New Roman" w:hAnsi="Times New Roman"/>
        </w:rPr>
        <w:t>, to "</w:t>
      </w:r>
      <w:r w:rsidRPr="00727042">
        <w:rPr>
          <w:rFonts w:ascii="Times New Roman" w:hAnsi="Times New Roman"/>
          <w:color w:val="000000"/>
          <w:shd w:val="clear" w:color="auto" w:fill="FFFFFF"/>
        </w:rPr>
        <w:t>set aside a conviction whenever it appears unjust or unsafe to allow the verdict to stand because some failure has occurred in observing the conditions which, in the court's view, are essential to a satisfactory trial, or because there is some feature of the case raising a substantial possibility that, either in the conclusion itself, or in the manner in which it has been reached, the jury may have been mistaken or misled".</w:t>
      </w:r>
    </w:p>
    <w:p w14:paraId="386E1580"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color w:val="000000"/>
          <w:shd w:val="clear" w:color="auto" w:fill="FFFFFF"/>
        </w:rPr>
        <w:tab/>
        <w:t xml:space="preserve">When applying </w:t>
      </w:r>
      <w:r w:rsidRPr="00727042">
        <w:rPr>
          <w:rFonts w:ascii="Times New Roman" w:hAnsi="Times New Roman"/>
        </w:rPr>
        <w:t xml:space="preserve">the miscarriage of justice ground, as when administering </w:t>
      </w:r>
      <w:r w:rsidRPr="00727042">
        <w:rPr>
          <w:rFonts w:ascii="Times New Roman" w:hAnsi="Times New Roman"/>
          <w:color w:val="000000"/>
          <w:shd w:val="clear" w:color="auto" w:fill="FFFFFF"/>
        </w:rPr>
        <w:t>criminal law</w:t>
      </w:r>
      <w:r w:rsidRPr="00727042">
        <w:rPr>
          <w:rFonts w:ascii="Times New Roman" w:hAnsi="Times New Roman"/>
        </w:rPr>
        <w:t xml:space="preserve"> more generally, appellate courts have proceeded on the foundational understanding that every person accused of a serious crime has an entitlement to a trial that is fair</w:t>
      </w:r>
      <w:r w:rsidRPr="00727042">
        <w:rPr>
          <w:rStyle w:val="FootnoteReference"/>
          <w:rFonts w:ascii="Times New Roman" w:hAnsi="Times New Roman"/>
          <w:sz w:val="24"/>
        </w:rPr>
        <w:footnoteReference w:id="135"/>
      </w:r>
      <w:r w:rsidRPr="00727042">
        <w:rPr>
          <w:rFonts w:ascii="Times New Roman" w:hAnsi="Times New Roman"/>
        </w:rPr>
        <w:t>. "</w:t>
      </w:r>
      <w:r w:rsidRPr="00727042">
        <w:rPr>
          <w:rFonts w:ascii="Times New Roman" w:hAnsi="Times New Roman"/>
          <w:color w:val="000000"/>
          <w:sz w:val="27"/>
          <w:szCs w:val="27"/>
          <w:shd w:val="clear" w:color="auto" w:fill="FFFFFF"/>
        </w:rPr>
        <w:t>The central thesis of the administration of criminal justice</w:t>
      </w:r>
      <w:r w:rsidRPr="00727042">
        <w:rPr>
          <w:rFonts w:ascii="Times New Roman" w:hAnsi="Times New Roman"/>
        </w:rPr>
        <w:t xml:space="preserve">" was identified before </w:t>
      </w:r>
      <w:r w:rsidRPr="00727042">
        <w:rPr>
          <w:rFonts w:ascii="Times New Roman" w:hAnsi="Times New Roman"/>
          <w:i/>
        </w:rPr>
        <w:t xml:space="preserve">Weiss </w:t>
      </w:r>
      <w:r w:rsidRPr="00727042">
        <w:rPr>
          <w:rFonts w:ascii="Times New Roman" w:hAnsi="Times New Roman"/>
        </w:rPr>
        <w:t>in terms</w:t>
      </w:r>
      <w:r w:rsidRPr="00727042">
        <w:rPr>
          <w:rFonts w:ascii="Times New Roman" w:hAnsi="Times New Roman"/>
          <w:color w:val="000000"/>
          <w:sz w:val="27"/>
          <w:szCs w:val="27"/>
          <w:shd w:val="clear" w:color="auto" w:fill="FFFFFF"/>
        </w:rPr>
        <w:t xml:space="preserve"> of an accused person having an entitlement not simply to "a trial according to law" but to a "</w:t>
      </w:r>
      <w:r w:rsidRPr="00727042">
        <w:rPr>
          <w:rFonts w:ascii="Times New Roman" w:hAnsi="Times New Roman"/>
          <w:i/>
          <w:color w:val="000000"/>
          <w:sz w:val="27"/>
          <w:szCs w:val="27"/>
          <w:shd w:val="clear" w:color="auto" w:fill="FFFFFF"/>
        </w:rPr>
        <w:t>fair</w:t>
      </w:r>
      <w:r w:rsidRPr="00727042">
        <w:rPr>
          <w:rFonts w:ascii="Times New Roman" w:hAnsi="Times New Roman"/>
          <w:color w:val="000000"/>
          <w:sz w:val="27"/>
          <w:szCs w:val="27"/>
          <w:shd w:val="clear" w:color="auto" w:fill="FFFFFF"/>
        </w:rPr>
        <w:t xml:space="preserve"> trial according to law"</w:t>
      </w:r>
      <w:r w:rsidRPr="00727042">
        <w:rPr>
          <w:rStyle w:val="FootnoteReference"/>
          <w:rFonts w:ascii="Times New Roman" w:hAnsi="Times New Roman"/>
          <w:color w:val="000000"/>
          <w:sz w:val="24"/>
          <w:szCs w:val="27"/>
          <w:shd w:val="clear" w:color="auto" w:fill="FFFFFF"/>
        </w:rPr>
        <w:footnoteReference w:id="136"/>
      </w:r>
      <w:r w:rsidRPr="00727042">
        <w:rPr>
          <w:rFonts w:ascii="Times New Roman" w:hAnsi="Times New Roman"/>
          <w:color w:val="000000"/>
          <w:sz w:val="27"/>
          <w:szCs w:val="27"/>
          <w:shd w:val="clear" w:color="auto" w:fill="FFFFFF"/>
        </w:rPr>
        <w:t xml:space="preserve">. </w:t>
      </w:r>
      <w:r w:rsidRPr="00727042">
        <w:rPr>
          <w:rFonts w:ascii="Times New Roman" w:hAnsi="Times New Roman"/>
          <w:color w:val="000000"/>
          <w:sz w:val="27"/>
          <w:szCs w:val="27"/>
          <w:shd w:val="clear" w:color="auto" w:fill="FFFFFF"/>
        </w:rPr>
        <w:lastRenderedPageBreak/>
        <w:t xml:space="preserve">Hence, it could meaningfully be said at a level of generality that a miscarriage of justice would arise "whenever the accused has not had a </w:t>
      </w:r>
      <w:r w:rsidRPr="00727042">
        <w:rPr>
          <w:rFonts w:ascii="Times New Roman" w:hAnsi="Times New Roman"/>
          <w:i/>
          <w:color w:val="000000"/>
          <w:sz w:val="27"/>
          <w:szCs w:val="27"/>
          <w:shd w:val="clear" w:color="auto" w:fill="FFFFFF"/>
        </w:rPr>
        <w:t>fair</w:t>
      </w:r>
      <w:r w:rsidRPr="00727042">
        <w:rPr>
          <w:rFonts w:ascii="Times New Roman" w:hAnsi="Times New Roman"/>
          <w:color w:val="000000"/>
          <w:sz w:val="27"/>
          <w:szCs w:val="27"/>
          <w:shd w:val="clear" w:color="auto" w:fill="FFFFFF"/>
        </w:rPr>
        <w:t xml:space="preserve"> trial according to law"</w:t>
      </w:r>
      <w:r w:rsidRPr="00727042">
        <w:rPr>
          <w:rStyle w:val="FootnoteReference"/>
          <w:rFonts w:ascii="Times New Roman" w:hAnsi="Times New Roman"/>
          <w:color w:val="000000"/>
          <w:sz w:val="24"/>
          <w:szCs w:val="27"/>
          <w:shd w:val="clear" w:color="auto" w:fill="FFFFFF"/>
        </w:rPr>
        <w:footnoteReference w:id="137"/>
      </w:r>
      <w:r w:rsidRPr="00727042">
        <w:rPr>
          <w:rFonts w:ascii="Times New Roman" w:hAnsi="Times New Roman"/>
          <w:color w:val="000000"/>
          <w:sz w:val="27"/>
          <w:szCs w:val="27"/>
          <w:shd w:val="clear" w:color="auto" w:fill="FFFFFF"/>
        </w:rPr>
        <w:t>.</w:t>
      </w:r>
    </w:p>
    <w:p w14:paraId="723B9ACD"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Fairness, however, is a standard not a rule. As Deane J pointed out in </w:t>
      </w:r>
      <w:proofErr w:type="spellStart"/>
      <w:r w:rsidRPr="00727042">
        <w:rPr>
          <w:rFonts w:ascii="Times New Roman" w:hAnsi="Times New Roman"/>
          <w:i/>
        </w:rPr>
        <w:t>Jago</w:t>
      </w:r>
      <w:proofErr w:type="spellEnd"/>
      <w:r w:rsidRPr="00727042">
        <w:rPr>
          <w:rFonts w:ascii="Times New Roman" w:hAnsi="Times New Roman"/>
          <w:i/>
        </w:rPr>
        <w:t xml:space="preserve"> v District Court (NSW)</w:t>
      </w:r>
      <w:r w:rsidRPr="00727042">
        <w:rPr>
          <w:rStyle w:val="FootnoteReference"/>
          <w:rFonts w:ascii="Times New Roman" w:hAnsi="Times New Roman"/>
          <w:sz w:val="24"/>
        </w:rPr>
        <w:footnoteReference w:id="138"/>
      </w:r>
      <w:r w:rsidRPr="00727042">
        <w:rPr>
          <w:rFonts w:ascii="Times New Roman" w:hAnsi="Times New Roman"/>
        </w:rPr>
        <w:t>:</w:t>
      </w:r>
    </w:p>
    <w:p w14:paraId="73AE995D" w14:textId="77777777" w:rsidR="00357618" w:rsidRDefault="00357618" w:rsidP="00727042">
      <w:pPr>
        <w:pStyle w:val="leftright"/>
        <w:spacing w:before="0" w:after="260" w:line="280" w:lineRule="exact"/>
        <w:ind w:right="0"/>
        <w:jc w:val="both"/>
        <w:rPr>
          <w:rFonts w:ascii="Times New Roman" w:hAnsi="Times New Roman"/>
          <w:shd w:val="clear" w:color="auto" w:fill="FFFFFF"/>
        </w:rPr>
      </w:pPr>
      <w:r w:rsidRPr="00727042">
        <w:rPr>
          <w:rFonts w:ascii="Times New Roman" w:hAnsi="Times New Roman"/>
        </w:rPr>
        <w:tab/>
        <w:t>"</w:t>
      </w:r>
      <w:r w:rsidRPr="00727042">
        <w:rPr>
          <w:rFonts w:ascii="Times New Roman" w:hAnsi="Times New Roman"/>
          <w:shd w:val="clear" w:color="auto" w:fill="FFFFFF"/>
        </w:rPr>
        <w:t>The general notion of fairness which has inspired much of the traditional criminal law of this country defies analytical definition. Nor is it possible to catalogue in the abstract the occurrences outside or within the actual trial which will or may affect the overall trial to an extent that it can no longer properly be regarded as a fair one. Putting to one side cases of actual or ostensible bias, the identification of what does and what does not remove the quality of fairness from an overall trial must proceed on a case by case basis and involve an undesirably, but unavoidably, large content of essentially intuitive judgment. The best that one can do is to formulate relevant general propositions and examples derived from past experience."</w:t>
      </w:r>
    </w:p>
    <w:p w14:paraId="0C3E7E66"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color w:val="000000"/>
          <w:shd w:val="clear" w:color="auto" w:fill="FFFFFF"/>
        </w:rPr>
        <w:tab/>
        <w:t xml:space="preserve">Using language of Mason CJ and McHugh J in </w:t>
      </w:r>
      <w:r w:rsidRPr="00727042">
        <w:rPr>
          <w:rFonts w:ascii="Times New Roman" w:hAnsi="Times New Roman"/>
          <w:i/>
          <w:color w:val="000000"/>
          <w:shd w:val="clear" w:color="auto" w:fill="FFFFFF"/>
        </w:rPr>
        <w:t>Dietrich v The Queen</w:t>
      </w:r>
      <w:r w:rsidRPr="00727042">
        <w:rPr>
          <w:rStyle w:val="FootnoteReference"/>
          <w:rFonts w:ascii="Times New Roman" w:hAnsi="Times New Roman"/>
          <w:color w:val="000000"/>
          <w:sz w:val="24"/>
          <w:shd w:val="clear" w:color="auto" w:fill="FFFFFF"/>
        </w:rPr>
        <w:footnoteReference w:id="139"/>
      </w:r>
      <w:r w:rsidRPr="00727042">
        <w:rPr>
          <w:rFonts w:ascii="Times New Roman" w:hAnsi="Times New Roman"/>
          <w:color w:val="000000"/>
          <w:shd w:val="clear" w:color="auto" w:fill="FFFFFF"/>
        </w:rPr>
        <w:t xml:space="preserve">, it is precisely </w:t>
      </w:r>
      <w:r w:rsidRPr="00727042">
        <w:rPr>
          <w:rFonts w:ascii="Times New Roman" w:hAnsi="Times New Roman"/>
        </w:rPr>
        <w:t xml:space="preserve">"because, </w:t>
      </w:r>
      <w:r w:rsidRPr="00727042">
        <w:rPr>
          <w:rFonts w:ascii="Times New Roman" w:hAnsi="Times New Roman"/>
          <w:color w:val="000000"/>
          <w:shd w:val="clear" w:color="auto" w:fill="FFFFFF"/>
        </w:rPr>
        <w:t xml:space="preserve">in the ordinary course of the criminal appellate process, an appellate court is generally called upon to determine ... whether something that was done or said in the course of the trial, or less usually before trial, resulted in the accused being deprived of a fair trial and led to a miscarriage of justice" that neither before nor after the introduction of the common form criminal appeal statutes has there been any "judicial attempt to list exhaustively the attributes of a fair trial" such as might allow it to be said that any departure at all from a trial exhibiting all of those attributes is </w:t>
      </w:r>
      <w:r w:rsidRPr="00727042">
        <w:rPr>
          <w:rFonts w:ascii="Times New Roman" w:hAnsi="Times New Roman"/>
        </w:rPr>
        <w:t>to be characterised as a departure from a fair trial according to law</w:t>
      </w:r>
      <w:r w:rsidRPr="00727042">
        <w:rPr>
          <w:rFonts w:ascii="Times New Roman" w:hAnsi="Times New Roman"/>
          <w:color w:val="000000"/>
          <w:shd w:val="clear" w:color="auto" w:fill="FFFFFF"/>
        </w:rPr>
        <w:t xml:space="preserve">. To the extent that rules of law and of practice to regulate the course of the criminal trial have emerged from appellate judgments, they are rules tailored to avoiding or mitigating the risk of occurrence of a miscarriage of </w:t>
      </w:r>
      <w:r w:rsidRPr="00727042">
        <w:rPr>
          <w:rFonts w:ascii="Times New Roman" w:hAnsi="Times New Roman"/>
          <w:color w:val="000000"/>
          <w:shd w:val="clear" w:color="auto" w:fill="FFFFFF"/>
        </w:rPr>
        <w:lastRenderedPageBreak/>
        <w:t>justice</w:t>
      </w:r>
      <w:r w:rsidRPr="00727042">
        <w:rPr>
          <w:rStyle w:val="FootnoteReference"/>
          <w:rFonts w:ascii="Times New Roman" w:hAnsi="Times New Roman"/>
          <w:color w:val="000000"/>
          <w:sz w:val="24"/>
          <w:shd w:val="clear" w:color="auto" w:fill="FFFFFF"/>
        </w:rPr>
        <w:footnoteReference w:id="140"/>
      </w:r>
      <w:r w:rsidRPr="00727042">
        <w:rPr>
          <w:rFonts w:ascii="Times New Roman" w:hAnsi="Times New Roman"/>
          <w:color w:val="000000"/>
          <w:shd w:val="clear" w:color="auto" w:fill="FFFFFF"/>
        </w:rPr>
        <w:t>. Some are truly "fundamental"</w:t>
      </w:r>
      <w:r w:rsidRPr="00727042">
        <w:rPr>
          <w:rStyle w:val="FootnoteReference"/>
          <w:rFonts w:ascii="Times New Roman" w:hAnsi="Times New Roman"/>
          <w:color w:val="000000"/>
          <w:sz w:val="24"/>
          <w:shd w:val="clear" w:color="auto" w:fill="FFFFFF"/>
        </w:rPr>
        <w:footnoteReference w:id="141"/>
      </w:r>
      <w:r w:rsidRPr="00727042">
        <w:rPr>
          <w:rFonts w:ascii="Times New Roman" w:hAnsi="Times New Roman"/>
          <w:color w:val="000000"/>
          <w:shd w:val="clear" w:color="auto" w:fill="FFFFFF"/>
        </w:rPr>
        <w:t>, but few are so rigid as to admit of mechanical application.</w:t>
      </w:r>
    </w:p>
    <w:p w14:paraId="5483BB09"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In </w:t>
      </w:r>
      <w:proofErr w:type="spellStart"/>
      <w:r w:rsidRPr="00727042">
        <w:rPr>
          <w:rFonts w:ascii="Times New Roman" w:hAnsi="Times New Roman"/>
          <w:i/>
        </w:rPr>
        <w:t>Nudd</w:t>
      </w:r>
      <w:proofErr w:type="spellEnd"/>
      <w:r w:rsidRPr="00727042">
        <w:rPr>
          <w:rFonts w:ascii="Times New Roman" w:hAnsi="Times New Roman"/>
          <w:i/>
        </w:rPr>
        <w:t xml:space="preserve"> v The Queen</w:t>
      </w:r>
      <w:r w:rsidRPr="00727042">
        <w:rPr>
          <w:rStyle w:val="FootnoteReference"/>
          <w:rFonts w:ascii="Times New Roman" w:hAnsi="Times New Roman"/>
          <w:sz w:val="24"/>
        </w:rPr>
        <w:footnoteReference w:id="142"/>
      </w:r>
      <w:r w:rsidRPr="00727042">
        <w:rPr>
          <w:rFonts w:ascii="Times New Roman" w:hAnsi="Times New Roman"/>
        </w:rPr>
        <w:t>, in which the miscarriage of justice ground was invoked on the basis of an allegation that trial counsel was incompetent, Gummow and Hayne JJ said:</w:t>
      </w:r>
    </w:p>
    <w:p w14:paraId="5CAB3A02" w14:textId="77777777" w:rsidR="00357618" w:rsidRDefault="00357618" w:rsidP="00727042">
      <w:pPr>
        <w:pStyle w:val="leftright"/>
        <w:spacing w:before="0" w:after="260" w:line="280" w:lineRule="exact"/>
        <w:ind w:right="0"/>
        <w:jc w:val="both"/>
        <w:rPr>
          <w:rFonts w:ascii="Times New Roman" w:hAnsi="Times New Roman"/>
        </w:rPr>
      </w:pPr>
      <w:r w:rsidRPr="00727042">
        <w:rPr>
          <w:rFonts w:ascii="Times New Roman" w:hAnsi="Times New Roman"/>
        </w:rPr>
        <w:t>"'Miscarriage of justice', as a ground on which a court of appeal is required by the common form of criminal appeal statute to allow an appeal against conviction, may encompass any of a very wide variety of departures from the proper conduct of a trial. Alleging that trial counsel was incompetent does not reveal what is said to be the miscarriage of justice. That requires consideration of what did or did not occur at the trial, of whether there was a material irregularity in the trial, and whether there was a significant possibility that the acts or omissions of which complaint is made affected the outcome of the trial."</w:t>
      </w:r>
    </w:p>
    <w:p w14:paraId="2FDD5497"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The need for an appellate court to consider, and ordinarily to be satisfied of, "a significant possibility that the acts or omissions of which complaint is made affected the outcome of the trial" in order to find a miscarriage of justice has routinely informed the analysis undertaken to establish whether or not there was a miscarriage of justice in subsequent cases. Examples are </w:t>
      </w:r>
      <w:proofErr w:type="spellStart"/>
      <w:r w:rsidRPr="00727042">
        <w:rPr>
          <w:rFonts w:ascii="Times New Roman" w:hAnsi="Times New Roman"/>
          <w:i/>
        </w:rPr>
        <w:t>Libke</w:t>
      </w:r>
      <w:proofErr w:type="spellEnd"/>
      <w:r w:rsidRPr="00727042">
        <w:rPr>
          <w:rFonts w:ascii="Times New Roman" w:hAnsi="Times New Roman"/>
          <w:i/>
        </w:rPr>
        <w:t xml:space="preserve"> v The Queen</w:t>
      </w:r>
      <w:r w:rsidRPr="00727042">
        <w:rPr>
          <w:rStyle w:val="FootnoteReference"/>
          <w:rFonts w:ascii="Times New Roman" w:hAnsi="Times New Roman"/>
          <w:sz w:val="24"/>
        </w:rPr>
        <w:footnoteReference w:id="143"/>
      </w:r>
      <w:r w:rsidRPr="00727042">
        <w:rPr>
          <w:rFonts w:ascii="Times New Roman" w:hAnsi="Times New Roman"/>
          <w:i/>
        </w:rPr>
        <w:t xml:space="preserve"> </w:t>
      </w:r>
      <w:r w:rsidRPr="00727042">
        <w:rPr>
          <w:rFonts w:ascii="Times New Roman" w:hAnsi="Times New Roman"/>
        </w:rPr>
        <w:t xml:space="preserve">(where the complaint was that the prosecutor had engaged in unfair cross-examination of the appellant), </w:t>
      </w:r>
      <w:proofErr w:type="spellStart"/>
      <w:r w:rsidRPr="00727042">
        <w:rPr>
          <w:rFonts w:ascii="Times New Roman" w:hAnsi="Times New Roman"/>
          <w:i/>
        </w:rPr>
        <w:t>Cesan</w:t>
      </w:r>
      <w:proofErr w:type="spellEnd"/>
      <w:r w:rsidRPr="00727042">
        <w:rPr>
          <w:rFonts w:ascii="Times New Roman" w:hAnsi="Times New Roman"/>
          <w:i/>
        </w:rPr>
        <w:t xml:space="preserve"> v The Queen</w:t>
      </w:r>
      <w:r w:rsidRPr="00727042">
        <w:rPr>
          <w:rStyle w:val="FootnoteReference"/>
          <w:rFonts w:ascii="Times New Roman" w:hAnsi="Times New Roman"/>
          <w:sz w:val="24"/>
        </w:rPr>
        <w:footnoteReference w:id="144"/>
      </w:r>
      <w:r w:rsidRPr="00727042">
        <w:rPr>
          <w:rFonts w:ascii="Times New Roman" w:hAnsi="Times New Roman"/>
          <w:i/>
        </w:rPr>
        <w:t xml:space="preserve"> </w:t>
      </w:r>
      <w:r w:rsidRPr="00727042">
        <w:rPr>
          <w:rFonts w:ascii="Times New Roman" w:hAnsi="Times New Roman"/>
        </w:rPr>
        <w:t xml:space="preserve">(where it was found that the jury was distracted from paying attention to evidence as a result of the trial judge being asleep), </w:t>
      </w:r>
      <w:r w:rsidRPr="00727042">
        <w:rPr>
          <w:rFonts w:ascii="Times New Roman" w:hAnsi="Times New Roman"/>
          <w:i/>
        </w:rPr>
        <w:t>Jones v The Queen</w:t>
      </w:r>
      <w:r w:rsidRPr="00727042">
        <w:rPr>
          <w:rStyle w:val="FootnoteReference"/>
          <w:rFonts w:ascii="Times New Roman" w:hAnsi="Times New Roman"/>
          <w:sz w:val="24"/>
        </w:rPr>
        <w:footnoteReference w:id="145"/>
      </w:r>
      <w:r w:rsidRPr="00727042">
        <w:rPr>
          <w:rFonts w:ascii="Times New Roman" w:hAnsi="Times New Roman"/>
        </w:rPr>
        <w:t xml:space="preserve">, </w:t>
      </w:r>
      <w:r w:rsidRPr="00727042">
        <w:rPr>
          <w:rFonts w:ascii="Times New Roman" w:hAnsi="Times New Roman"/>
          <w:i/>
        </w:rPr>
        <w:t>Pollock v The Queen</w:t>
      </w:r>
      <w:r w:rsidRPr="00727042">
        <w:rPr>
          <w:rStyle w:val="FootnoteReference"/>
          <w:rFonts w:ascii="Times New Roman" w:hAnsi="Times New Roman"/>
          <w:sz w:val="24"/>
        </w:rPr>
        <w:footnoteReference w:id="146"/>
      </w:r>
      <w:r w:rsidRPr="00727042">
        <w:rPr>
          <w:rFonts w:ascii="Times New Roman" w:hAnsi="Times New Roman"/>
        </w:rPr>
        <w:t xml:space="preserve"> and </w:t>
      </w:r>
      <w:r w:rsidRPr="00727042">
        <w:rPr>
          <w:rFonts w:ascii="Times New Roman" w:hAnsi="Times New Roman"/>
          <w:i/>
        </w:rPr>
        <w:t xml:space="preserve">Hargraves v The </w:t>
      </w:r>
      <w:r w:rsidRPr="00727042">
        <w:rPr>
          <w:rFonts w:ascii="Times New Roman" w:hAnsi="Times New Roman"/>
          <w:i/>
        </w:rPr>
        <w:lastRenderedPageBreak/>
        <w:t>Queen</w:t>
      </w:r>
      <w:r w:rsidRPr="00727042">
        <w:rPr>
          <w:rStyle w:val="FootnoteReference"/>
          <w:rFonts w:ascii="Times New Roman" w:hAnsi="Times New Roman"/>
          <w:sz w:val="24"/>
        </w:rPr>
        <w:footnoteReference w:id="147"/>
      </w:r>
      <w:r w:rsidRPr="00727042">
        <w:rPr>
          <w:rFonts w:ascii="Times New Roman" w:hAnsi="Times New Roman"/>
        </w:rPr>
        <w:t xml:space="preserve"> (where the relevant complaint in each case was of misdirection), </w:t>
      </w:r>
      <w:r w:rsidRPr="00727042">
        <w:rPr>
          <w:rFonts w:ascii="Times New Roman" w:hAnsi="Times New Roman"/>
          <w:i/>
        </w:rPr>
        <w:t>Patel v The Queen</w:t>
      </w:r>
      <w:r w:rsidRPr="00727042">
        <w:rPr>
          <w:rStyle w:val="FootnoteReference"/>
          <w:rFonts w:ascii="Times New Roman" w:hAnsi="Times New Roman"/>
          <w:sz w:val="24"/>
        </w:rPr>
        <w:footnoteReference w:id="148"/>
      </w:r>
      <w:r w:rsidRPr="00727042">
        <w:rPr>
          <w:rFonts w:ascii="Times New Roman" w:hAnsi="Times New Roman"/>
          <w:i/>
        </w:rPr>
        <w:t xml:space="preserve"> </w:t>
      </w:r>
      <w:r w:rsidRPr="00727042">
        <w:rPr>
          <w:rFonts w:ascii="Times New Roman" w:hAnsi="Times New Roman"/>
        </w:rPr>
        <w:t xml:space="preserve">(where a late narrowing of the prosecution case rendered much of the evidence previously admitted irrelevant), </w:t>
      </w:r>
      <w:r w:rsidRPr="00727042">
        <w:rPr>
          <w:rFonts w:ascii="Times New Roman" w:hAnsi="Times New Roman"/>
          <w:i/>
        </w:rPr>
        <w:t>Castle v The Queen</w:t>
      </w:r>
      <w:r w:rsidRPr="00727042">
        <w:rPr>
          <w:rStyle w:val="FootnoteReference"/>
          <w:rFonts w:ascii="Times New Roman" w:hAnsi="Times New Roman"/>
          <w:sz w:val="24"/>
        </w:rPr>
        <w:footnoteReference w:id="149"/>
      </w:r>
      <w:r w:rsidRPr="00727042">
        <w:rPr>
          <w:rFonts w:ascii="Times New Roman" w:hAnsi="Times New Roman"/>
        </w:rPr>
        <w:t xml:space="preserve"> (where the error identified was that evidence left to the jury as an admission was in fact exculpatory), </w:t>
      </w:r>
      <w:r w:rsidRPr="00727042">
        <w:rPr>
          <w:rFonts w:ascii="Times New Roman" w:hAnsi="Times New Roman"/>
          <w:i/>
        </w:rPr>
        <w:t>Craig v The Queen</w:t>
      </w:r>
      <w:r w:rsidRPr="00727042">
        <w:rPr>
          <w:rStyle w:val="FootnoteReference"/>
          <w:rFonts w:ascii="Times New Roman" w:hAnsi="Times New Roman"/>
          <w:sz w:val="24"/>
        </w:rPr>
        <w:footnoteReference w:id="150"/>
      </w:r>
      <w:r w:rsidRPr="00727042">
        <w:rPr>
          <w:rFonts w:ascii="Times New Roman" w:hAnsi="Times New Roman"/>
        </w:rPr>
        <w:t xml:space="preserve"> (where the appellant had been given incorrect legal advice by his counsel), </w:t>
      </w:r>
      <w:proofErr w:type="spellStart"/>
      <w:r w:rsidRPr="00727042">
        <w:rPr>
          <w:rFonts w:ascii="Times New Roman" w:hAnsi="Times New Roman"/>
          <w:i/>
        </w:rPr>
        <w:t>Rodi</w:t>
      </w:r>
      <w:proofErr w:type="spellEnd"/>
      <w:r w:rsidRPr="00727042">
        <w:rPr>
          <w:rFonts w:ascii="Times New Roman" w:hAnsi="Times New Roman"/>
          <w:i/>
        </w:rPr>
        <w:t xml:space="preserve"> v Western Australia</w:t>
      </w:r>
      <w:r w:rsidRPr="00727042">
        <w:rPr>
          <w:rStyle w:val="FootnoteReference"/>
          <w:rFonts w:ascii="Times New Roman" w:hAnsi="Times New Roman"/>
          <w:sz w:val="24"/>
        </w:rPr>
        <w:footnoteReference w:id="151"/>
      </w:r>
      <w:r w:rsidRPr="00727042">
        <w:rPr>
          <w:rFonts w:ascii="Times New Roman" w:hAnsi="Times New Roman"/>
        </w:rPr>
        <w:t xml:space="preserve"> (where there was found to be a s</w:t>
      </w:r>
      <w:r w:rsidRPr="00727042">
        <w:rPr>
          <w:rFonts w:ascii="Times New Roman" w:hAnsi="Times New Roman"/>
          <w:color w:val="000000"/>
          <w:shd w:val="clear" w:color="auto" w:fill="FFFFFF"/>
        </w:rPr>
        <w:t>ignificant possibility that the trial jury would have acquitted had fresh evidence been before it),</w:t>
      </w:r>
      <w:r w:rsidRPr="00727042">
        <w:rPr>
          <w:rFonts w:ascii="Times New Roman" w:hAnsi="Times New Roman"/>
        </w:rPr>
        <w:t xml:space="preserve"> </w:t>
      </w:r>
      <w:r w:rsidRPr="00727042">
        <w:rPr>
          <w:rFonts w:ascii="Times New Roman" w:hAnsi="Times New Roman"/>
          <w:i/>
        </w:rPr>
        <w:t>De Silva v The Queen</w:t>
      </w:r>
      <w:r w:rsidRPr="00727042">
        <w:rPr>
          <w:rStyle w:val="FootnoteReference"/>
          <w:rFonts w:ascii="Times New Roman" w:hAnsi="Times New Roman"/>
          <w:sz w:val="24"/>
        </w:rPr>
        <w:footnoteReference w:id="152"/>
      </w:r>
      <w:r w:rsidRPr="00727042">
        <w:rPr>
          <w:rFonts w:ascii="Times New Roman" w:hAnsi="Times New Roman"/>
        </w:rPr>
        <w:t xml:space="preserve"> (where the complaint was of a failure of the trial judge to give a specific direction </w:t>
      </w:r>
      <w:r w:rsidRPr="00727042">
        <w:rPr>
          <w:rFonts w:ascii="Times New Roman" w:hAnsi="Times New Roman"/>
          <w:color w:val="000000"/>
          <w:shd w:val="clear" w:color="auto" w:fill="FFFFFF"/>
        </w:rPr>
        <w:t>as to how the jury should approach certain evidence</w:t>
      </w:r>
      <w:r w:rsidRPr="00727042">
        <w:rPr>
          <w:rFonts w:ascii="Times New Roman" w:hAnsi="Times New Roman"/>
        </w:rPr>
        <w:t xml:space="preserve">), and </w:t>
      </w:r>
      <w:proofErr w:type="spellStart"/>
      <w:r w:rsidRPr="00727042">
        <w:rPr>
          <w:rFonts w:ascii="Times New Roman" w:hAnsi="Times New Roman"/>
          <w:i/>
        </w:rPr>
        <w:t>McKell</w:t>
      </w:r>
      <w:proofErr w:type="spellEnd"/>
      <w:r w:rsidRPr="00727042">
        <w:rPr>
          <w:rFonts w:ascii="Times New Roman" w:hAnsi="Times New Roman"/>
          <w:i/>
        </w:rPr>
        <w:t xml:space="preserve"> v The Queen</w:t>
      </w:r>
      <w:r w:rsidRPr="00727042">
        <w:rPr>
          <w:rStyle w:val="FootnoteReference"/>
          <w:rFonts w:ascii="Times New Roman" w:hAnsi="Times New Roman"/>
          <w:sz w:val="24"/>
        </w:rPr>
        <w:footnoteReference w:id="153"/>
      </w:r>
      <w:r w:rsidRPr="00727042">
        <w:rPr>
          <w:rFonts w:ascii="Times New Roman" w:hAnsi="Times New Roman"/>
        </w:rPr>
        <w:t xml:space="preserve"> and </w:t>
      </w:r>
      <w:r w:rsidRPr="00727042">
        <w:rPr>
          <w:rFonts w:ascii="Times New Roman" w:hAnsi="Times New Roman"/>
          <w:i/>
        </w:rPr>
        <w:t>R v Abdirahman-Khalif</w:t>
      </w:r>
      <w:r w:rsidRPr="00727042">
        <w:rPr>
          <w:rStyle w:val="FootnoteReference"/>
          <w:rFonts w:ascii="Times New Roman" w:hAnsi="Times New Roman"/>
          <w:sz w:val="24"/>
        </w:rPr>
        <w:footnoteReference w:id="154"/>
      </w:r>
      <w:r w:rsidRPr="00727042">
        <w:rPr>
          <w:rFonts w:ascii="Times New Roman" w:hAnsi="Times New Roman"/>
        </w:rPr>
        <w:t xml:space="preserve"> (where the relevant complaint in each case was of an unfair comment by the trial judge in the course of summing up to the trial jury).</w:t>
      </w:r>
    </w:p>
    <w:p w14:paraId="5902F3FB"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In the application of the miscarriage of justice ground, there is no principled reason for treating "an error in strict law" differently from another error or irregularity in the conduct of a trial. The miscarriage of justice in a particular case might arise from a singular error or irregularity, or it might arise from a cumulation of errors or irregularities some or all of which might or might not be connected</w:t>
      </w:r>
      <w:r w:rsidRPr="00727042">
        <w:rPr>
          <w:rStyle w:val="FootnoteReference"/>
          <w:rFonts w:ascii="Times New Roman" w:hAnsi="Times New Roman"/>
          <w:sz w:val="24"/>
        </w:rPr>
        <w:footnoteReference w:id="155"/>
      </w:r>
      <w:r w:rsidRPr="00727042">
        <w:rPr>
          <w:rFonts w:ascii="Times New Roman" w:hAnsi="Times New Roman"/>
        </w:rPr>
        <w:t xml:space="preserve"> and some or all of which might or might not be capable of being characterised as errors of law</w:t>
      </w:r>
      <w:r w:rsidRPr="00727042">
        <w:rPr>
          <w:rStyle w:val="FootnoteReference"/>
          <w:rFonts w:ascii="Times New Roman" w:hAnsi="Times New Roman"/>
          <w:sz w:val="24"/>
        </w:rPr>
        <w:footnoteReference w:id="156"/>
      </w:r>
      <w:r w:rsidRPr="00727042">
        <w:rPr>
          <w:rFonts w:ascii="Times New Roman" w:hAnsi="Times New Roman"/>
        </w:rPr>
        <w:t xml:space="preserve">. </w:t>
      </w:r>
      <w:r w:rsidRPr="00727042">
        <w:rPr>
          <w:rFonts w:ascii="Times New Roman" w:hAnsi="Times New Roman"/>
          <w:color w:val="000000"/>
        </w:rPr>
        <w:t xml:space="preserve">Whether or not </w:t>
      </w:r>
      <w:r w:rsidRPr="00727042">
        <w:rPr>
          <w:rFonts w:ascii="Times New Roman" w:hAnsi="Times New Roman"/>
        </w:rPr>
        <w:t>some or all of them might be characterised as errors of law</w:t>
      </w:r>
      <w:r w:rsidRPr="00727042">
        <w:rPr>
          <w:rFonts w:ascii="Times New Roman" w:hAnsi="Times New Roman"/>
          <w:color w:val="000000"/>
        </w:rPr>
        <w:t xml:space="preserve">, the consideration required to be given to their individual or cumulative </w:t>
      </w:r>
      <w:r w:rsidRPr="00727042">
        <w:rPr>
          <w:rFonts w:ascii="Times New Roman" w:hAnsi="Times New Roman"/>
          <w:color w:val="000000"/>
        </w:rPr>
        <w:lastRenderedPageBreak/>
        <w:t>consequence remains the same. An inconsequential error, including an inconsequential error of law, is not a miscarriage.</w:t>
      </w:r>
    </w:p>
    <w:p w14:paraId="6156B6D4"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The present case furnishes an illustration. The irregularity that occurred at the trial was essentially one of unfairness. The unfairness lay in the prosecutor subjecting the appellant to a line of cross-examination and submission conveying an insinuation that parts of his evidence were the product of recent invention which, if the insinuation was to be dispelled by the appellant, had the practical effect of requiring the appellant to divulge the instructions he had given to his counsel</w:t>
      </w:r>
      <w:r w:rsidRPr="00727042">
        <w:rPr>
          <w:rStyle w:val="FootnoteReference"/>
          <w:rFonts w:ascii="Times New Roman" w:hAnsi="Times New Roman"/>
          <w:sz w:val="24"/>
        </w:rPr>
        <w:footnoteReference w:id="157"/>
      </w:r>
      <w:r w:rsidRPr="00727042">
        <w:rPr>
          <w:rFonts w:ascii="Times New Roman" w:hAnsi="Times New Roman"/>
        </w:rPr>
        <w:t xml:space="preserve">. </w:t>
      </w:r>
    </w:p>
    <w:p w14:paraId="56B0CA44"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r>
      <w:r w:rsidRPr="00727042">
        <w:rPr>
          <w:rFonts w:ascii="Times New Roman" w:hAnsi="Times New Roman"/>
          <w:color w:val="000000"/>
        </w:rPr>
        <w:t xml:space="preserve">The overall prejudicial consequence of </w:t>
      </w:r>
      <w:r w:rsidRPr="00727042">
        <w:rPr>
          <w:rFonts w:ascii="Times New Roman" w:hAnsi="Times New Roman"/>
        </w:rPr>
        <w:t xml:space="preserve">the irregularity </w:t>
      </w:r>
      <w:r w:rsidRPr="00727042">
        <w:rPr>
          <w:rFonts w:ascii="Times New Roman" w:hAnsi="Times New Roman"/>
          <w:color w:val="000000"/>
        </w:rPr>
        <w:t xml:space="preserve">is identified by </w:t>
      </w:r>
      <w:r w:rsidRPr="00727042">
        <w:rPr>
          <w:rFonts w:ascii="Times New Roman" w:hAnsi="Times New Roman"/>
        </w:rPr>
        <w:t>Kiefel CJ, Keane and Gleeson JJ in terms of giving rise to a "real chance" that the jury, in reaching its verdict of guilty on eight of ten counts on which the appellant was indicted, inferred that the appellant invented some parts of his evidence between the time when his counsel cross-examined the complainants at the trial and the short time later when he came to give his own evidence at the trial. I agree with that identification, and with the language in which it is couched. What is essential to the finding of miscarriage of justice is that the irregularity had the meaningful potential or tendency to have affected the result of the trial.</w:t>
      </w:r>
    </w:p>
    <w:p w14:paraId="574C7814"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However, the irregularity might additionally or alternatively be characterised (as senior counsel for the appellant submitted) as including the admission during the cross-examination of the appellant, without objection, of inadmissible evidence about what had occurred in the presence of the jury during the cross-examination of the complainants by counsel for the defence. The evidence was inadmissible (as senior counsel for the appellant submitted) either because it was adduced for the purpose of impugning the appellant's credibility without leave of the trial judge</w:t>
      </w:r>
      <w:r w:rsidRPr="00727042">
        <w:rPr>
          <w:rStyle w:val="FootnoteReference"/>
          <w:rFonts w:ascii="Times New Roman" w:hAnsi="Times New Roman"/>
          <w:sz w:val="24"/>
        </w:rPr>
        <w:footnoteReference w:id="158"/>
      </w:r>
      <w:r w:rsidRPr="00727042">
        <w:rPr>
          <w:rFonts w:ascii="Times New Roman" w:hAnsi="Times New Roman"/>
        </w:rPr>
        <w:t xml:space="preserve"> or (if not adduced for the purpose of impugning the appellant's credibility) because it </w:t>
      </w:r>
      <w:r w:rsidRPr="00727042">
        <w:rPr>
          <w:rFonts w:ascii="Times New Roman" w:hAnsi="Times New Roman"/>
          <w:color w:val="000000"/>
        </w:rPr>
        <w:t>could not rationally have affected the assessment of the probability of the existence of a fact in issue in the trial and was therefore irrelevant</w:t>
      </w:r>
      <w:r w:rsidRPr="00727042">
        <w:rPr>
          <w:rStyle w:val="FootnoteReference"/>
          <w:rFonts w:ascii="Times New Roman" w:hAnsi="Times New Roman"/>
          <w:color w:val="000000"/>
          <w:sz w:val="24"/>
        </w:rPr>
        <w:footnoteReference w:id="159"/>
      </w:r>
      <w:r w:rsidRPr="00727042">
        <w:rPr>
          <w:rFonts w:ascii="Times New Roman" w:hAnsi="Times New Roman"/>
          <w:color w:val="000000"/>
        </w:rPr>
        <w:t xml:space="preserve">. Treating that characterisation as correct, the absence of objection to the admission of most of the inadmissible evidence means that most of the inadmissible evidence could not be said to have been admitted as a result of </w:t>
      </w:r>
      <w:r w:rsidRPr="00727042">
        <w:rPr>
          <w:rFonts w:ascii="Times New Roman" w:hAnsi="Times New Roman"/>
          <w:color w:val="000000"/>
        </w:rPr>
        <w:lastRenderedPageBreak/>
        <w:t>a wrong decision of any question of law</w:t>
      </w:r>
      <w:r w:rsidRPr="00727042">
        <w:rPr>
          <w:rStyle w:val="FootnoteReference"/>
          <w:rFonts w:ascii="Times New Roman" w:hAnsi="Times New Roman"/>
          <w:sz w:val="24"/>
        </w:rPr>
        <w:footnoteReference w:id="160"/>
      </w:r>
      <w:r w:rsidRPr="00727042">
        <w:rPr>
          <w:rFonts w:ascii="Times New Roman" w:hAnsi="Times New Roman"/>
          <w:color w:val="000000"/>
        </w:rPr>
        <w:t xml:space="preserve">. The erroneous admission of the inadmissible evidence to which no objection was made would give rise, or contribute, to a miscarriage of justice only through such prejudicial effect as the evidence has the potential to have on the jury. The inquiry into the </w:t>
      </w:r>
      <w:r w:rsidRPr="00727042">
        <w:rPr>
          <w:rFonts w:ascii="Times New Roman" w:hAnsi="Times New Roman"/>
        </w:rPr>
        <w:t>potential or tendency of what occurred to have affected the result of the trial</w:t>
      </w:r>
      <w:r w:rsidRPr="00727042">
        <w:rPr>
          <w:rFonts w:ascii="Times New Roman" w:hAnsi="Times New Roman"/>
          <w:color w:val="000000"/>
        </w:rPr>
        <w:t xml:space="preserve"> would remain the same.</w:t>
      </w:r>
      <w:r w:rsidRPr="00727042">
        <w:rPr>
          <w:rFonts w:ascii="Times New Roman" w:hAnsi="Times New Roman"/>
        </w:rPr>
        <w:t xml:space="preserve"> </w:t>
      </w:r>
    </w:p>
    <w:p w14:paraId="2BA78E41"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 xml:space="preserve">Terms like "real chance" have been used in the context of explaining a finding </w:t>
      </w:r>
      <w:r>
        <w:rPr>
          <w:rFonts w:ascii="Times New Roman" w:hAnsi="Times New Roman"/>
        </w:rPr>
        <w:t xml:space="preserve">of </w:t>
      </w:r>
      <w:r w:rsidRPr="00727042">
        <w:rPr>
          <w:rFonts w:ascii="Times New Roman" w:hAnsi="Times New Roman"/>
        </w:rPr>
        <w:t>a miscarriage of justice interchangeably with terms like "significant possibility"</w:t>
      </w:r>
      <w:r w:rsidRPr="00727042">
        <w:rPr>
          <w:rStyle w:val="FootnoteReference"/>
          <w:rFonts w:ascii="Times New Roman" w:hAnsi="Times New Roman"/>
          <w:sz w:val="24"/>
        </w:rPr>
        <w:footnoteReference w:id="161"/>
      </w:r>
      <w:r w:rsidRPr="00727042">
        <w:rPr>
          <w:rFonts w:ascii="Times New Roman" w:hAnsi="Times New Roman"/>
        </w:rPr>
        <w:t>, "perceptible risk"</w:t>
      </w:r>
      <w:r w:rsidRPr="00727042">
        <w:rPr>
          <w:rStyle w:val="FootnoteReference"/>
          <w:rFonts w:ascii="Times New Roman" w:hAnsi="Times New Roman"/>
          <w:sz w:val="24"/>
        </w:rPr>
        <w:footnoteReference w:id="162"/>
      </w:r>
      <w:r w:rsidRPr="00727042">
        <w:rPr>
          <w:rFonts w:ascii="Times New Roman" w:hAnsi="Times New Roman"/>
        </w:rPr>
        <w:t xml:space="preserve"> and "substantial risk"</w:t>
      </w:r>
      <w:r w:rsidRPr="00727042">
        <w:rPr>
          <w:rStyle w:val="FootnoteReference"/>
          <w:rFonts w:ascii="Times New Roman" w:hAnsi="Times New Roman"/>
          <w:sz w:val="24"/>
        </w:rPr>
        <w:footnoteReference w:id="163"/>
      </w:r>
      <w:r w:rsidRPr="00727042">
        <w:rPr>
          <w:rFonts w:ascii="Times New Roman" w:hAnsi="Times New Roman"/>
        </w:rPr>
        <w:t>. Often it has been thought enough to refer to the error or irregularity that has given rise to a miscarriage of justice as "prejudicial"</w:t>
      </w:r>
      <w:r w:rsidRPr="00727042">
        <w:rPr>
          <w:rStyle w:val="FootnoteReference"/>
          <w:rFonts w:ascii="Times New Roman" w:hAnsi="Times New Roman"/>
          <w:sz w:val="24"/>
        </w:rPr>
        <w:footnoteReference w:id="164"/>
      </w:r>
      <w:r w:rsidRPr="00727042">
        <w:rPr>
          <w:rFonts w:ascii="Times New Roman" w:hAnsi="Times New Roman"/>
        </w:rPr>
        <w:t xml:space="preserve"> in contradistinction to "innocuous" or occasioning "no real forensic disadvantage"</w:t>
      </w:r>
      <w:r w:rsidRPr="00727042">
        <w:rPr>
          <w:rStyle w:val="FootnoteReference"/>
          <w:rFonts w:ascii="Times New Roman" w:hAnsi="Times New Roman"/>
          <w:sz w:val="24"/>
        </w:rPr>
        <w:footnoteReference w:id="165"/>
      </w:r>
      <w:r w:rsidRPr="00727042">
        <w:rPr>
          <w:rFonts w:ascii="Times New Roman" w:hAnsi="Times New Roman"/>
        </w:rPr>
        <w:t xml:space="preserve">. All are different ways of expressing </w:t>
      </w:r>
      <w:r w:rsidRPr="00727042">
        <w:rPr>
          <w:rFonts w:ascii="Times New Roman" w:hAnsi="Times New Roman"/>
          <w:color w:val="000000"/>
          <w:shd w:val="clear" w:color="auto" w:fill="FFFFFF"/>
        </w:rPr>
        <w:t>a realistic possibility of a causal connection between one or more identified legal errors or procedural irregularities and the verdict returned by the trial jury.</w:t>
      </w:r>
    </w:p>
    <w:p w14:paraId="5609182C"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The terminology is unimportant provided it is understood that the requisite analysis in the context of finding a miscarriage of justice is factual. The inquiry is into the tendency or propensity of an error or irregularity to have affected the basis on which the trial jury actually reached its verdict in the totality of the events that occurred in the trial that was had. The inquiry is not into the outcome of a hypothetical trial before a hypothetical jury in which the error or irregularity is assumed not to have occurred.</w:t>
      </w:r>
    </w:p>
    <w:p w14:paraId="35F1318B"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Finding a miscarriage of justice post-</w:t>
      </w:r>
      <w:r w:rsidRPr="00727042">
        <w:rPr>
          <w:rFonts w:ascii="Times New Roman" w:hAnsi="Times New Roman"/>
          <w:i/>
        </w:rPr>
        <w:t>Weiss</w:t>
      </w:r>
      <w:r w:rsidRPr="00727042">
        <w:rPr>
          <w:rFonts w:ascii="Times New Roman" w:hAnsi="Times New Roman"/>
        </w:rPr>
        <w:t xml:space="preserve"> is in that way the result of a more precise and confined inquiry than might have been thought to have been indicated pre-</w:t>
      </w:r>
      <w:r w:rsidRPr="00727042">
        <w:rPr>
          <w:rFonts w:ascii="Times New Roman" w:hAnsi="Times New Roman"/>
          <w:i/>
        </w:rPr>
        <w:t>Weiss</w:t>
      </w:r>
      <w:r w:rsidRPr="00727042">
        <w:rPr>
          <w:rFonts w:ascii="Times New Roman" w:hAnsi="Times New Roman"/>
        </w:rPr>
        <w:t xml:space="preserve">, when the miscarriage of justice ground and the non-application of the proviso were both commonly explained to involve the finding </w:t>
      </w:r>
      <w:r w:rsidRPr="00727042">
        <w:rPr>
          <w:rFonts w:ascii="Times New Roman" w:hAnsi="Times New Roman"/>
        </w:rPr>
        <w:lastRenderedPageBreak/>
        <w:t>of a loss of a "real chance of acquittal"</w:t>
      </w:r>
      <w:r w:rsidRPr="00727042">
        <w:rPr>
          <w:rStyle w:val="FootnoteReference"/>
          <w:rFonts w:ascii="Times New Roman" w:hAnsi="Times New Roman"/>
          <w:sz w:val="24"/>
        </w:rPr>
        <w:footnoteReference w:id="166"/>
      </w:r>
      <w:r w:rsidRPr="00727042">
        <w:rPr>
          <w:rFonts w:ascii="Times New Roman" w:hAnsi="Times New Roman"/>
        </w:rPr>
        <w:t xml:space="preserve"> or of a "chance which was fairly open ... of being acquitted"</w:t>
      </w:r>
      <w:r w:rsidRPr="00727042">
        <w:rPr>
          <w:rStyle w:val="FootnoteReference"/>
          <w:rFonts w:ascii="Times New Roman" w:hAnsi="Times New Roman"/>
          <w:sz w:val="24"/>
        </w:rPr>
        <w:footnoteReference w:id="167"/>
      </w:r>
      <w:r w:rsidRPr="00727042">
        <w:rPr>
          <w:rFonts w:ascii="Times New Roman" w:hAnsi="Times New Roman"/>
        </w:rPr>
        <w:t xml:space="preserve">. By reframing the inquiry to be undertaken by an appellate court applying the proviso, </w:t>
      </w:r>
      <w:r w:rsidRPr="00727042">
        <w:rPr>
          <w:rFonts w:ascii="Times New Roman" w:hAnsi="Times New Roman"/>
          <w:i/>
        </w:rPr>
        <w:t xml:space="preserve">Weiss </w:t>
      </w:r>
      <w:r w:rsidRPr="00727042">
        <w:rPr>
          <w:rFonts w:ascii="Times New Roman" w:hAnsi="Times New Roman"/>
        </w:rPr>
        <w:t>has demanded greater precision in framing the inquiry to be undertaken by an appellate court finding a miscarriage of justice.</w:t>
      </w:r>
    </w:p>
    <w:p w14:paraId="01066802"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Except in the case of an error or irregularity so profound as to be characterised as a</w:t>
      </w:r>
      <w:r w:rsidRPr="00727042">
        <w:rPr>
          <w:rFonts w:ascii="Times New Roman" w:hAnsi="Times New Roman"/>
          <w:color w:val="000000"/>
          <w:shd w:val="clear" w:color="auto" w:fill="FFFFFF"/>
        </w:rPr>
        <w:t xml:space="preserve"> "failure to observe the requirements of the criminal process in a fundamental respect"</w:t>
      </w:r>
      <w:r w:rsidRPr="00727042">
        <w:rPr>
          <w:rStyle w:val="FootnoteReference"/>
          <w:rFonts w:ascii="Times New Roman" w:hAnsi="Times New Roman"/>
          <w:color w:val="000000"/>
          <w:sz w:val="24"/>
          <w:shd w:val="clear" w:color="auto" w:fill="FFFFFF"/>
        </w:rPr>
        <w:footnoteReference w:id="168"/>
      </w:r>
      <w:r w:rsidRPr="00727042">
        <w:rPr>
          <w:rFonts w:ascii="Times New Roman" w:hAnsi="Times New Roman"/>
        </w:rPr>
        <w:t>, an error or irregularity will rise to the level of a miscarriage of justice only if found by an appellate court to be of a nature and degree that could realistically have affected the verdict of guilt that was in fact returned by the jury in the trial that was had. Only if that threshold is met is a miscarriage of justice established. Only then can a further issue arise of the appellate court going on in the consideration of the proviso to ask and answer the distinct question of whether the court is satisfied that no substantial miscarriage of justice actually occurred. And only where that distinct question arises does the court need itself to be satisfied that the evidence properly admitted at trial established guilt beyond reasonable doubt before it can answer that no substantial miscarriage of justice actually occurred.</w:t>
      </w:r>
    </w:p>
    <w:p w14:paraId="6DD0C547" w14:textId="77777777" w:rsidR="00357618" w:rsidRPr="00727042" w:rsidRDefault="00357618" w:rsidP="00727042">
      <w:pPr>
        <w:pStyle w:val="HeadingL1"/>
        <w:spacing w:after="260" w:line="280" w:lineRule="exact"/>
        <w:ind w:right="0"/>
        <w:jc w:val="both"/>
        <w:rPr>
          <w:rFonts w:ascii="Times New Roman" w:hAnsi="Times New Roman"/>
          <w:szCs w:val="26"/>
        </w:rPr>
      </w:pPr>
      <w:r w:rsidRPr="00727042">
        <w:rPr>
          <w:rFonts w:ascii="Times New Roman" w:hAnsi="Times New Roman"/>
          <w:szCs w:val="26"/>
        </w:rPr>
        <w:t>Order</w:t>
      </w:r>
    </w:p>
    <w:p w14:paraId="7D2D299B" w14:textId="77777777" w:rsidR="00357618" w:rsidRPr="00727042" w:rsidRDefault="00357618" w:rsidP="00357618">
      <w:pPr>
        <w:pStyle w:val="FixListStyle"/>
        <w:numPr>
          <w:ilvl w:val="0"/>
          <w:numId w:val="18"/>
        </w:numPr>
        <w:spacing w:after="260" w:line="280" w:lineRule="exact"/>
        <w:ind w:left="0" w:right="0" w:hanging="720"/>
        <w:jc w:val="both"/>
        <w:rPr>
          <w:rFonts w:ascii="Times New Roman" w:hAnsi="Times New Roman"/>
        </w:rPr>
      </w:pPr>
      <w:r w:rsidRPr="00727042">
        <w:rPr>
          <w:rFonts w:ascii="Times New Roman" w:hAnsi="Times New Roman"/>
        </w:rPr>
        <w:tab/>
        <w:t>I agree that the appeal should be dismissed.</w:t>
      </w:r>
    </w:p>
    <w:p w14:paraId="41A894CA" w14:textId="77777777" w:rsidR="00357618" w:rsidRDefault="00357618" w:rsidP="00357618">
      <w:pPr>
        <w:pStyle w:val="FixListStyle"/>
        <w:numPr>
          <w:ilvl w:val="0"/>
          <w:numId w:val="0"/>
        </w:numPr>
        <w:spacing w:after="260" w:line="280" w:lineRule="exact"/>
        <w:ind w:right="0"/>
        <w:jc w:val="both"/>
        <w:rPr>
          <w:rFonts w:ascii="Times New Roman" w:hAnsi="Times New Roman"/>
        </w:rPr>
      </w:pPr>
    </w:p>
    <w:p w14:paraId="4FB78AD8" w14:textId="77777777" w:rsidR="00357618" w:rsidRDefault="00357618" w:rsidP="008C2D33">
      <w:pPr>
        <w:pStyle w:val="FixListStyle"/>
        <w:spacing w:after="260" w:line="280" w:lineRule="exact"/>
        <w:ind w:right="0"/>
        <w:jc w:val="both"/>
        <w:rPr>
          <w:rFonts w:ascii="Times New Roman" w:hAnsi="Times New Roman"/>
        </w:rPr>
        <w:sectPr w:rsidR="00357618" w:rsidSect="0035761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7805DAC"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left" w:pos="0"/>
        </w:tabs>
        <w:spacing w:after="260" w:line="280" w:lineRule="exact"/>
        <w:ind w:left="0" w:right="0" w:hanging="720"/>
        <w:jc w:val="both"/>
        <w:rPr>
          <w:rFonts w:ascii="Times New Roman" w:hAnsi="Times New Roman"/>
        </w:rPr>
      </w:pPr>
      <w:r w:rsidRPr="00FC7E3C">
        <w:rPr>
          <w:rFonts w:ascii="Times New Roman" w:hAnsi="Times New Roman"/>
        </w:rPr>
        <w:lastRenderedPageBreak/>
        <w:t>GORDON J.   I agree that there was a "miscarriage of justice" at the trial of the appellant</w:t>
      </w:r>
      <w:r w:rsidRPr="00FC7E3C">
        <w:rPr>
          <w:rStyle w:val="FootnoteReference"/>
          <w:rFonts w:ascii="Times New Roman" w:hAnsi="Times New Roman"/>
          <w:sz w:val="24"/>
        </w:rPr>
        <w:footnoteReference w:id="169"/>
      </w:r>
      <w:r w:rsidRPr="00FC7E3C">
        <w:rPr>
          <w:rFonts w:ascii="Times New Roman" w:hAnsi="Times New Roman"/>
        </w:rPr>
        <w:t>. I do not agree that this Court can conclude "no substantial miscarriage of justice has actually occurred"</w:t>
      </w:r>
      <w:r w:rsidRPr="00FC7E3C">
        <w:rPr>
          <w:rStyle w:val="FootnoteReference"/>
          <w:rFonts w:ascii="Times New Roman" w:hAnsi="Times New Roman"/>
          <w:sz w:val="24"/>
        </w:rPr>
        <w:footnoteReference w:id="170"/>
      </w:r>
      <w:r w:rsidRPr="00FC7E3C">
        <w:rPr>
          <w:rFonts w:ascii="Times New Roman" w:hAnsi="Times New Roman"/>
        </w:rPr>
        <w:t>. That</w:t>
      </w:r>
      <w:r>
        <w:rPr>
          <w:rFonts w:ascii="Times New Roman" w:hAnsi="Times New Roman"/>
        </w:rPr>
        <w:t xml:space="preserve"> </w:t>
      </w:r>
      <w:r w:rsidRPr="00FC7E3C">
        <w:rPr>
          <w:rFonts w:ascii="Times New Roman" w:hAnsi="Times New Roman"/>
        </w:rPr>
        <w:t xml:space="preserve">is, I do not agree that the proviso to s 6(1) of the </w:t>
      </w:r>
      <w:r w:rsidRPr="00FC7E3C">
        <w:rPr>
          <w:rFonts w:ascii="Times New Roman" w:hAnsi="Times New Roman"/>
          <w:i/>
        </w:rPr>
        <w:t xml:space="preserve">Criminal Appeal Act 1912 </w:t>
      </w:r>
      <w:r w:rsidRPr="00FC7E3C">
        <w:rPr>
          <w:rFonts w:ascii="Times New Roman" w:hAnsi="Times New Roman"/>
        </w:rPr>
        <w:t>(NSW) applies.</w:t>
      </w:r>
    </w:p>
    <w:p w14:paraId="129697EF" w14:textId="77777777" w:rsidR="00357618" w:rsidRPr="00FC7E3C" w:rsidRDefault="00357618" w:rsidP="00FC7E3C">
      <w:pPr>
        <w:pStyle w:val="HeadingL1"/>
        <w:spacing w:after="260" w:line="280" w:lineRule="exact"/>
        <w:ind w:right="0"/>
        <w:jc w:val="both"/>
        <w:rPr>
          <w:rFonts w:ascii="Times New Roman" w:hAnsi="Times New Roman"/>
        </w:rPr>
      </w:pPr>
      <w:r w:rsidRPr="00FC7E3C">
        <w:rPr>
          <w:rFonts w:ascii="Times New Roman" w:hAnsi="Times New Roman"/>
        </w:rPr>
        <w:t>A miscarriage of justice</w:t>
      </w:r>
    </w:p>
    <w:p w14:paraId="364F5676"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I agree with Kiefel CJ, Keane and Gleeson JJ that questions asked of the appellant in cross</w:t>
      </w:r>
      <w:r w:rsidRPr="00FC7E3C">
        <w:rPr>
          <w:rFonts w:ascii="Times New Roman" w:hAnsi="Times New Roman"/>
        </w:rPr>
        <w:noBreakHyphen/>
        <w:t>examination by the prosecutor departed from the standards of a trial to which the appellant was entitled. The unfairness to the appellant in being asked these questions was emphasised when he was not permitted to explain why he thought matters had not been put to the complainants and other Crown witnesses. The unfairness was compounded</w:t>
      </w:r>
      <w:r w:rsidRPr="00FC7E3C">
        <w:rPr>
          <w:rFonts w:ascii="Times New Roman" w:hAnsi="Times New Roman"/>
          <w:b/>
        </w:rPr>
        <w:t xml:space="preserve"> </w:t>
      </w:r>
      <w:r w:rsidRPr="00FC7E3C">
        <w:rPr>
          <w:rFonts w:ascii="Times New Roman" w:hAnsi="Times New Roman"/>
        </w:rPr>
        <w:t>by defence counsel saying as little as he did about those matters and by the trial judge not intervening to prevent the questioning, not seeking to remedy the error when it first arose and not telling the jury that there may be many reasons why a matter was not raised in cross</w:t>
      </w:r>
      <w:r w:rsidRPr="00FC7E3C">
        <w:rPr>
          <w:rFonts w:ascii="Times New Roman" w:hAnsi="Times New Roman"/>
        </w:rPr>
        <w:noBreakHyphen/>
        <w:t>examination of a witness.</w:t>
      </w:r>
    </w:p>
    <w:p w14:paraId="1CB4ADE8"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That events of the kind that happened at the appellant's trial can constitute a miscarriage of justice is well established. The</w:t>
      </w:r>
      <w:r>
        <w:rPr>
          <w:rFonts w:ascii="Times New Roman" w:hAnsi="Times New Roman"/>
        </w:rPr>
        <w:t xml:space="preserve"> </w:t>
      </w:r>
      <w:r w:rsidRPr="00FC7E3C">
        <w:rPr>
          <w:rFonts w:ascii="Times New Roman" w:hAnsi="Times New Roman"/>
        </w:rPr>
        <w:t xml:space="preserve">analysis of </w:t>
      </w:r>
      <w:proofErr w:type="spellStart"/>
      <w:r w:rsidRPr="00FC7E3C">
        <w:rPr>
          <w:rFonts w:ascii="Times New Roman" w:hAnsi="Times New Roman"/>
        </w:rPr>
        <w:t>Garling</w:t>
      </w:r>
      <w:proofErr w:type="spellEnd"/>
      <w:r w:rsidRPr="00FC7E3C">
        <w:rPr>
          <w:rFonts w:ascii="Times New Roman" w:hAnsi="Times New Roman"/>
        </w:rPr>
        <w:t xml:space="preserve"> J in </w:t>
      </w:r>
      <w:r w:rsidRPr="00FC7E3C">
        <w:rPr>
          <w:rFonts w:ascii="Times New Roman" w:hAnsi="Times New Roman"/>
          <w:i/>
        </w:rPr>
        <w:t>Llewellyn v The Queen</w:t>
      </w:r>
      <w:r w:rsidRPr="00FC7E3C">
        <w:rPr>
          <w:rStyle w:val="FootnoteReference"/>
          <w:rFonts w:ascii="Times New Roman" w:hAnsi="Times New Roman"/>
          <w:sz w:val="24"/>
        </w:rPr>
        <w:footnoteReference w:id="171"/>
      </w:r>
      <w:r w:rsidRPr="00FC7E3C">
        <w:rPr>
          <w:rFonts w:ascii="Times New Roman" w:hAnsi="Times New Roman"/>
        </w:rPr>
        <w:t xml:space="preserve"> is right. It follows that the appeal should be allowed unless the Court "considers that no substantial miscarriage of justice has actually occurred"</w:t>
      </w:r>
      <w:r w:rsidRPr="00FC7E3C">
        <w:rPr>
          <w:rStyle w:val="FootnoteReference"/>
          <w:rFonts w:ascii="Times New Roman" w:hAnsi="Times New Roman"/>
          <w:sz w:val="24"/>
        </w:rPr>
        <w:footnoteReference w:id="172"/>
      </w:r>
      <w:r w:rsidRPr="00FC7E3C">
        <w:rPr>
          <w:rFonts w:ascii="Times New Roman" w:hAnsi="Times New Roman"/>
        </w:rPr>
        <w:t>.</w:t>
      </w:r>
    </w:p>
    <w:p w14:paraId="5A806A3B" w14:textId="77777777" w:rsidR="00357618" w:rsidRPr="00FC7E3C" w:rsidRDefault="00357618" w:rsidP="00FC7E3C">
      <w:pPr>
        <w:pStyle w:val="HeadingL1"/>
        <w:spacing w:after="260" w:line="280" w:lineRule="exact"/>
        <w:ind w:right="0"/>
        <w:jc w:val="both"/>
        <w:rPr>
          <w:rFonts w:ascii="Times New Roman" w:hAnsi="Times New Roman"/>
        </w:rPr>
      </w:pPr>
      <w:r w:rsidRPr="00FC7E3C">
        <w:rPr>
          <w:rFonts w:ascii="Times New Roman" w:hAnsi="Times New Roman"/>
        </w:rPr>
        <w:t>The proviso</w:t>
      </w:r>
    </w:p>
    <w:p w14:paraId="0B78482E"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 xml:space="preserve">The principles governing the application of the proviso are set out in </w:t>
      </w:r>
      <w:r w:rsidRPr="00FC7E3C">
        <w:rPr>
          <w:rFonts w:ascii="Times New Roman" w:hAnsi="Times New Roman"/>
          <w:i/>
        </w:rPr>
        <w:t>Weiss v The Queen</w:t>
      </w:r>
      <w:r w:rsidRPr="00FC7E3C">
        <w:rPr>
          <w:rStyle w:val="FootnoteReference"/>
          <w:rFonts w:ascii="Times New Roman" w:hAnsi="Times New Roman"/>
          <w:sz w:val="24"/>
        </w:rPr>
        <w:footnoteReference w:id="173"/>
      </w:r>
      <w:r w:rsidRPr="00FC7E3C">
        <w:rPr>
          <w:rFonts w:ascii="Times New Roman" w:hAnsi="Times New Roman"/>
        </w:rPr>
        <w:t xml:space="preserve">. </w:t>
      </w:r>
      <w:r w:rsidRPr="00FC7E3C">
        <w:rPr>
          <w:rFonts w:ascii="Times New Roman" w:hAnsi="Times New Roman"/>
          <w:i/>
        </w:rPr>
        <w:t xml:space="preserve">Weiss </w:t>
      </w:r>
      <w:r w:rsidRPr="00FC7E3C">
        <w:rPr>
          <w:rFonts w:ascii="Times New Roman" w:hAnsi="Times New Roman"/>
        </w:rPr>
        <w:t xml:space="preserve">was decided 16 years ago and has since been applied by this </w:t>
      </w:r>
      <w:r w:rsidRPr="00FC7E3C">
        <w:rPr>
          <w:rFonts w:ascii="Times New Roman" w:hAnsi="Times New Roman"/>
        </w:rPr>
        <w:lastRenderedPageBreak/>
        <w:t xml:space="preserve">Court and intermediate appellate courts in the determination of many hundreds of criminal appeals. </w:t>
      </w:r>
    </w:p>
    <w:p w14:paraId="2075D206"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 xml:space="preserve">The common form criminal appeal statute, derived from the </w:t>
      </w:r>
      <w:r w:rsidRPr="00FC7E3C">
        <w:rPr>
          <w:rFonts w:ascii="Times New Roman" w:hAnsi="Times New Roman"/>
          <w:i/>
        </w:rPr>
        <w:t>Criminal Appeal Act 1907</w:t>
      </w:r>
      <w:r w:rsidRPr="00FC7E3C">
        <w:rPr>
          <w:rFonts w:ascii="Times New Roman" w:hAnsi="Times New Roman"/>
        </w:rPr>
        <w:t xml:space="preserve"> (UK)</w:t>
      </w:r>
      <w:r w:rsidRPr="00FC7E3C">
        <w:rPr>
          <w:rStyle w:val="FootnoteReference"/>
          <w:rFonts w:ascii="Times New Roman" w:hAnsi="Times New Roman"/>
          <w:sz w:val="24"/>
        </w:rPr>
        <w:footnoteReference w:id="174"/>
      </w:r>
      <w:r w:rsidRPr="00FC7E3C">
        <w:rPr>
          <w:rFonts w:ascii="Times New Roman" w:hAnsi="Times New Roman"/>
        </w:rPr>
        <w:t xml:space="preserve">, uses the phrase "miscarriage of justice" twice: first in stating a ground on which an appeal against conviction </w:t>
      </w:r>
      <w:r w:rsidRPr="00FC7E3C">
        <w:rPr>
          <w:rFonts w:ascii="Times New Roman" w:hAnsi="Times New Roman"/>
          <w:i/>
        </w:rPr>
        <w:t xml:space="preserve">must </w:t>
      </w:r>
      <w:r w:rsidRPr="00FC7E3C">
        <w:rPr>
          <w:rFonts w:ascii="Times New Roman" w:hAnsi="Times New Roman"/>
        </w:rPr>
        <w:t xml:space="preserve">be allowed and then in the proviso stating the circumstance in which, despite a ground of appeal being established, the appeal </w:t>
      </w:r>
      <w:r w:rsidRPr="00FC7E3C">
        <w:rPr>
          <w:rFonts w:ascii="Times New Roman" w:hAnsi="Times New Roman"/>
          <w:i/>
        </w:rPr>
        <w:t xml:space="preserve">may </w:t>
      </w:r>
      <w:r w:rsidRPr="00FC7E3C">
        <w:rPr>
          <w:rFonts w:ascii="Times New Roman" w:hAnsi="Times New Roman"/>
        </w:rPr>
        <w:t>be dismissed. The ground of appeal is described as "on</w:t>
      </w:r>
      <w:r>
        <w:rPr>
          <w:rFonts w:ascii="Times New Roman" w:hAnsi="Times New Roman"/>
        </w:rPr>
        <w:t> </w:t>
      </w:r>
      <w:r w:rsidRPr="00FC7E3C">
        <w:rPr>
          <w:rFonts w:ascii="Times New Roman" w:hAnsi="Times New Roman"/>
        </w:rPr>
        <w:t xml:space="preserve">any other ground whatsoever there was a miscarriage of justice"; the proviso permits the appellate court to dismiss the appeal notwithstanding that it is of the opinion that the point or points raised by the appeal </w:t>
      </w:r>
      <w:r w:rsidRPr="00FC7E3C">
        <w:rPr>
          <w:rFonts w:ascii="Times New Roman" w:hAnsi="Times New Roman"/>
          <w:i/>
        </w:rPr>
        <w:t xml:space="preserve">might be decided </w:t>
      </w:r>
      <w:r w:rsidRPr="00FC7E3C">
        <w:rPr>
          <w:rFonts w:ascii="Times New Roman" w:hAnsi="Times New Roman"/>
        </w:rPr>
        <w:t xml:space="preserve">in favour of the appellant "if it </w:t>
      </w:r>
      <w:r w:rsidRPr="00FC7E3C">
        <w:rPr>
          <w:rFonts w:ascii="Times New Roman" w:hAnsi="Times New Roman"/>
          <w:i/>
        </w:rPr>
        <w:t xml:space="preserve">considers </w:t>
      </w:r>
      <w:r w:rsidRPr="00FC7E3C">
        <w:rPr>
          <w:rFonts w:ascii="Times New Roman" w:hAnsi="Times New Roman"/>
        </w:rPr>
        <w:t xml:space="preserve">that </w:t>
      </w:r>
      <w:r w:rsidRPr="00FC7E3C">
        <w:rPr>
          <w:rFonts w:ascii="Times New Roman" w:hAnsi="Times New Roman"/>
          <w:i/>
        </w:rPr>
        <w:t>no substantial miscarriage of justice has actually occurred</w:t>
      </w:r>
      <w:r w:rsidRPr="00FC7E3C">
        <w:rPr>
          <w:rFonts w:ascii="Times New Roman" w:hAnsi="Times New Roman"/>
        </w:rPr>
        <w:t>" (emphasis added).</w:t>
      </w:r>
    </w:p>
    <w:p w14:paraId="6306E454"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The text of the provision reveals a fundamental difference between the two steps of first, deciding whether a ground of appeal is established and second, considering whether the proviso may (not must) be applied. One of the three kinds of grounds of appeal (verdict that is unreasonable or cannot be supported on the evidence; wrong decision of any question of law; and on any other ground whatsoever there has been a miscarriage of justice) will not be established if the mistake made at trial was one which could have had no effect on the outcome of the trial. That is, when considering whether a ground of appeal is established it is necessary and sufficient for the appellate court to conclude that the error might have made a difference.</w:t>
      </w:r>
    </w:p>
    <w:p w14:paraId="1A72548B"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 xml:space="preserve">By contrast, when considering whether the proviso applies, the appellate court </w:t>
      </w:r>
      <w:r w:rsidRPr="00FC7E3C">
        <w:rPr>
          <w:rFonts w:ascii="Times New Roman" w:hAnsi="Times New Roman"/>
          <w:i/>
        </w:rPr>
        <w:t xml:space="preserve">cannot </w:t>
      </w:r>
      <w:r w:rsidRPr="00FC7E3C">
        <w:rPr>
          <w:rFonts w:ascii="Times New Roman" w:hAnsi="Times New Roman"/>
        </w:rPr>
        <w:t xml:space="preserve">apply the proviso unless it is persuaded that the admissible evidence at trial proved the accused's guilt beyond reasonable doubt. But that is a negative proposition. The appellate court cannot apply the proviso unless it is persuaded to that conclusion. Other considerations may show that the discretion which the proviso gives ("provided that the court </w:t>
      </w:r>
      <w:r w:rsidRPr="00FC7E3C">
        <w:rPr>
          <w:rFonts w:ascii="Times New Roman" w:hAnsi="Times New Roman"/>
          <w:i/>
        </w:rPr>
        <w:t xml:space="preserve">may </w:t>
      </w:r>
      <w:r w:rsidRPr="00FC7E3C">
        <w:rPr>
          <w:rFonts w:ascii="Times New Roman" w:hAnsi="Times New Roman"/>
        </w:rPr>
        <w:t>... dismiss the appeal if it considers that no substantial miscarriage of justice has actually occurred") should not be exercised (emphasis added). The proviso cannot be applied unless the appellate court is positively persuaded of the accused's guilt beyond reasonable doubt. And</w:t>
      </w:r>
      <w:r>
        <w:rPr>
          <w:rFonts w:ascii="Times New Roman" w:hAnsi="Times New Roman"/>
        </w:rPr>
        <w:t> </w:t>
      </w:r>
      <w:r w:rsidRPr="00FC7E3C">
        <w:rPr>
          <w:rFonts w:ascii="Times New Roman" w:hAnsi="Times New Roman"/>
        </w:rPr>
        <w:t xml:space="preserve">it is the Crown that must persuade the court to the requisite standard. </w:t>
      </w:r>
    </w:p>
    <w:p w14:paraId="2F220CCC" w14:textId="3E11F1D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In applying the proviso, an appellate court "must itself decide whether a substantial miscarriage of justice has actually occurred"</w:t>
      </w:r>
      <w:r w:rsidRPr="00FC7E3C">
        <w:rPr>
          <w:rStyle w:val="FootnoteReference"/>
          <w:rFonts w:ascii="Times New Roman" w:hAnsi="Times New Roman"/>
          <w:sz w:val="24"/>
        </w:rPr>
        <w:footnoteReference w:id="175"/>
      </w:r>
      <w:r w:rsidRPr="00FC7E3C">
        <w:rPr>
          <w:rFonts w:ascii="Times New Roman" w:hAnsi="Times New Roman"/>
        </w:rPr>
        <w:t xml:space="preserve">. This is "an objective task not materially different from other appellate tasks" which "is to be performed </w:t>
      </w:r>
      <w:r w:rsidRPr="00FC7E3C">
        <w:rPr>
          <w:rFonts w:ascii="Times New Roman" w:hAnsi="Times New Roman"/>
        </w:rPr>
        <w:lastRenderedPageBreak/>
        <w:t>with whatever are the advantages and disadvantages of deciding an appeal on the record of the trial; it is not an exercise in speculation or prediction"</w:t>
      </w:r>
      <w:r w:rsidRPr="00FC7E3C">
        <w:rPr>
          <w:rStyle w:val="FootnoteReference"/>
          <w:rFonts w:ascii="Times New Roman" w:hAnsi="Times New Roman"/>
          <w:sz w:val="24"/>
        </w:rPr>
        <w:footnoteReference w:id="176"/>
      </w:r>
      <w:r w:rsidRPr="00FC7E3C">
        <w:rPr>
          <w:rFonts w:ascii="Times New Roman" w:hAnsi="Times New Roman"/>
        </w:rPr>
        <w:t>. More</w:t>
      </w:r>
      <w:r w:rsidR="00EA5644">
        <w:rPr>
          <w:rFonts w:ascii="Times New Roman" w:hAnsi="Times New Roman"/>
        </w:rPr>
        <w:t> </w:t>
      </w:r>
      <w:r w:rsidRPr="00FC7E3C">
        <w:rPr>
          <w:rFonts w:ascii="Times New Roman" w:hAnsi="Times New Roman"/>
        </w:rPr>
        <w:t>particularly, "[t]he appellate court must make its own independent assessment of the evidence</w:t>
      </w:r>
      <w:r w:rsidRPr="00FC7E3C">
        <w:rPr>
          <w:rStyle w:val="FootnoteReference"/>
          <w:rFonts w:ascii="Times New Roman" w:hAnsi="Times New Roman"/>
          <w:sz w:val="24"/>
        </w:rPr>
        <w:footnoteReference w:id="177"/>
      </w:r>
      <w:r w:rsidRPr="00FC7E3C">
        <w:rPr>
          <w:rFonts w:ascii="Times New Roman" w:hAnsi="Times New Roman"/>
        </w:rPr>
        <w:t xml:space="preserve"> and determine whether, making due allowance for the </w:t>
      </w:r>
      <w:r w:rsidRPr="00FC7E3C">
        <w:rPr>
          <w:rFonts w:ascii="Times New Roman" w:hAnsi="Times New Roman"/>
          <w:i/>
        </w:rPr>
        <w:t>'natural limitations' that exist in the case of an appellate court proceeding wholly or substantially on the record</w:t>
      </w:r>
      <w:r w:rsidRPr="00FC7E3C">
        <w:rPr>
          <w:rStyle w:val="FootnoteReference"/>
          <w:rFonts w:ascii="Times New Roman" w:hAnsi="Times New Roman"/>
          <w:sz w:val="24"/>
        </w:rPr>
        <w:footnoteReference w:id="178"/>
      </w:r>
      <w:r w:rsidRPr="00FC7E3C">
        <w:rPr>
          <w:rFonts w:ascii="Times New Roman" w:hAnsi="Times New Roman"/>
        </w:rPr>
        <w:t>"</w:t>
      </w:r>
      <w:r w:rsidRPr="00FC7E3C" w:rsidDel="00723B13">
        <w:rPr>
          <w:rFonts w:ascii="Times New Roman" w:hAnsi="Times New Roman"/>
        </w:rPr>
        <w:t xml:space="preserve"> </w:t>
      </w:r>
      <w:r w:rsidRPr="00FC7E3C">
        <w:rPr>
          <w:rFonts w:ascii="Times New Roman" w:hAnsi="Times New Roman"/>
        </w:rPr>
        <w:t xml:space="preserve">(emphasis added), the </w:t>
      </w:r>
      <w:r w:rsidRPr="00FC7E3C">
        <w:rPr>
          <w:rFonts w:ascii="Times New Roman" w:hAnsi="Times New Roman"/>
          <w:i/>
        </w:rPr>
        <w:t>Crown</w:t>
      </w:r>
      <w:r w:rsidRPr="00FC7E3C">
        <w:rPr>
          <w:rFonts w:ascii="Times New Roman" w:hAnsi="Times New Roman"/>
        </w:rPr>
        <w:t xml:space="preserve"> proved beyond reasonable doubt that the appellant was guilty of the offence on which the jury returned its verdict of guilt</w:t>
      </w:r>
      <w:r w:rsidRPr="00FC7E3C">
        <w:rPr>
          <w:rStyle w:val="FootnoteReference"/>
          <w:rFonts w:ascii="Times New Roman" w:hAnsi="Times New Roman"/>
          <w:sz w:val="24"/>
        </w:rPr>
        <w:footnoteReference w:id="179"/>
      </w:r>
      <w:r w:rsidRPr="00FC7E3C">
        <w:rPr>
          <w:rFonts w:ascii="Times New Roman" w:hAnsi="Times New Roman"/>
        </w:rPr>
        <w:t>.</w:t>
      </w:r>
    </w:p>
    <w:p w14:paraId="4851BFB5" w14:textId="72A3F7E8"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 xml:space="preserve">In </w:t>
      </w:r>
      <w:r w:rsidRPr="00FC7E3C">
        <w:rPr>
          <w:rFonts w:ascii="Times New Roman" w:hAnsi="Times New Roman"/>
          <w:i/>
        </w:rPr>
        <w:t>Fox v Percy</w:t>
      </w:r>
      <w:r w:rsidRPr="00FC7E3C">
        <w:rPr>
          <w:rStyle w:val="FootnoteReference"/>
          <w:rFonts w:ascii="Times New Roman" w:hAnsi="Times New Roman"/>
          <w:sz w:val="24"/>
        </w:rPr>
        <w:footnoteReference w:id="180"/>
      </w:r>
      <w:r w:rsidRPr="00FC7E3C">
        <w:rPr>
          <w:rFonts w:ascii="Times New Roman" w:hAnsi="Times New Roman"/>
        </w:rPr>
        <w:t>, Gleeson CJ, Gummow and Kirby JJ observed that the "'natural limitations' that exist in the case of any appellate court proceeding wholly or substantially on the record" include "the disadvantage that the appellate court has when compared with the trial judge in respect of the evaluation of witnesses' credibility and of the 'feeling' of a case which an appellate court, reading the transcript, cannot always fully share". Their Honours amplified the point by reference to several earlier decisions of this Court making the same point about the limitations that an appellate court has when it proceeds on the written record of the trial</w:t>
      </w:r>
      <w:r w:rsidRPr="00FC7E3C">
        <w:rPr>
          <w:rStyle w:val="FootnoteReference"/>
          <w:rFonts w:ascii="Times New Roman" w:hAnsi="Times New Roman"/>
          <w:sz w:val="24"/>
        </w:rPr>
        <w:footnoteReference w:id="181"/>
      </w:r>
      <w:r w:rsidRPr="00FC7E3C">
        <w:rPr>
          <w:rFonts w:ascii="Times New Roman" w:hAnsi="Times New Roman"/>
        </w:rPr>
        <w:t xml:space="preserve">. More recently, in </w:t>
      </w:r>
      <w:proofErr w:type="spellStart"/>
      <w:r w:rsidRPr="00FC7E3C">
        <w:rPr>
          <w:rFonts w:ascii="Times New Roman" w:hAnsi="Times New Roman"/>
          <w:i/>
        </w:rPr>
        <w:t>Kalbasi</w:t>
      </w:r>
      <w:proofErr w:type="spellEnd"/>
      <w:r w:rsidRPr="00FC7E3C">
        <w:rPr>
          <w:rFonts w:ascii="Times New Roman" w:hAnsi="Times New Roman"/>
          <w:i/>
        </w:rPr>
        <w:t xml:space="preserve"> v Western Australia</w:t>
      </w:r>
      <w:r w:rsidRPr="00FC7E3C">
        <w:rPr>
          <w:rStyle w:val="FootnoteReference"/>
          <w:rFonts w:ascii="Times New Roman" w:hAnsi="Times New Roman"/>
          <w:sz w:val="24"/>
        </w:rPr>
        <w:footnoteReference w:id="182"/>
      </w:r>
      <w:r w:rsidRPr="00FC7E3C">
        <w:rPr>
          <w:rFonts w:ascii="Times New Roman" w:hAnsi="Times New Roman"/>
        </w:rPr>
        <w:t>, Kiefel CJ, Bell, Keane</w:t>
      </w:r>
      <w:r w:rsidR="00EA5644">
        <w:rPr>
          <w:rFonts w:ascii="Times New Roman" w:hAnsi="Times New Roman"/>
        </w:rPr>
        <w:t> </w:t>
      </w:r>
      <w:r w:rsidRPr="00FC7E3C">
        <w:rPr>
          <w:rFonts w:ascii="Times New Roman" w:hAnsi="Times New Roman"/>
        </w:rPr>
        <w:t xml:space="preserve">and </w:t>
      </w:r>
      <w:r w:rsidRPr="00FC7E3C" w:rsidDel="001A3CBA">
        <w:rPr>
          <w:rFonts w:ascii="Times New Roman" w:hAnsi="Times New Roman"/>
        </w:rPr>
        <w:t>Gordon</w:t>
      </w:r>
      <w:r w:rsidRPr="00FC7E3C">
        <w:rPr>
          <w:rFonts w:ascii="Times New Roman" w:hAnsi="Times New Roman"/>
        </w:rPr>
        <w:t xml:space="preserve"> JJ said that in "cases which turn on issues of contested </w:t>
      </w:r>
      <w:r w:rsidRPr="00FC7E3C">
        <w:rPr>
          <w:rFonts w:ascii="Times New Roman" w:hAnsi="Times New Roman"/>
        </w:rPr>
        <w:lastRenderedPageBreak/>
        <w:t>credibility" an</w:t>
      </w:r>
      <w:r>
        <w:rPr>
          <w:rFonts w:ascii="Times New Roman" w:hAnsi="Times New Roman"/>
        </w:rPr>
        <w:t> </w:t>
      </w:r>
      <w:r w:rsidRPr="00FC7E3C">
        <w:rPr>
          <w:rFonts w:ascii="Times New Roman" w:hAnsi="Times New Roman"/>
        </w:rPr>
        <w:t>appellate court may be prevented "from being able to assess whether guilt was proved to the criminal standard". This is such a case.</w:t>
      </w:r>
    </w:p>
    <w:p w14:paraId="0334552E" w14:textId="5EAD6DF6"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There were two issues in this case. First, what acts of sexual intercourse</w:t>
      </w:r>
      <w:r w:rsidRPr="00FC7E3C">
        <w:rPr>
          <w:rStyle w:val="FootnoteReference"/>
          <w:rFonts w:ascii="Times New Roman" w:hAnsi="Times New Roman"/>
          <w:sz w:val="24"/>
        </w:rPr>
        <w:footnoteReference w:id="183"/>
      </w:r>
      <w:r w:rsidRPr="00FC7E3C">
        <w:rPr>
          <w:rFonts w:ascii="Times New Roman" w:hAnsi="Times New Roman"/>
        </w:rPr>
        <w:t xml:space="preserve"> did the appellant commit? The appellant denied the acts alleged in counts 1, 6, 7</w:t>
      </w:r>
      <w:r w:rsidR="009C0BC7">
        <w:rPr>
          <w:rFonts w:ascii="Times New Roman" w:hAnsi="Times New Roman"/>
        </w:rPr>
        <w:t> </w:t>
      </w:r>
      <w:r w:rsidRPr="00FC7E3C">
        <w:rPr>
          <w:rFonts w:ascii="Times New Roman" w:hAnsi="Times New Roman"/>
        </w:rPr>
        <w:t>and 8, against the first complainant. Second, did the Crown establish beyond reasonable doubt that the appellant knew that the complainants were not consenting or that, realising the possibility that each complainant was not, he went ahead regardless? The appellant swore he believed they were consenting. The jury acquitted the appellant on counts 1 and 8.</w:t>
      </w:r>
    </w:p>
    <w:p w14:paraId="09B471B3"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I do not accept that the Court can conclude from the written record made available to it that the evidence properly admitted at trial proved, beyond reasonable doubt, the appellant's guilt of the offences on which the jury returned its verdicts of guilt</w:t>
      </w:r>
      <w:r w:rsidRPr="00FC7E3C">
        <w:rPr>
          <w:rStyle w:val="FootnoteReference"/>
          <w:rFonts w:ascii="Times New Roman" w:hAnsi="Times New Roman"/>
          <w:sz w:val="24"/>
        </w:rPr>
        <w:footnoteReference w:id="184"/>
      </w:r>
      <w:r w:rsidRPr="00FC7E3C">
        <w:rPr>
          <w:rFonts w:ascii="Times New Roman" w:hAnsi="Times New Roman"/>
        </w:rPr>
        <w:t>. That is, not having seen and heard the evidence given at trial by the complainants and the appellant, the Court cannot say that the evidence established beyond reasonable doubt that the appellant engaged in the acts which he denied or that, despite his evidence that he believed the complainants consented, he either knew that the complainants did not consent or, realising that it was possible that the complainants were not consenting, went ahead regardless.</w:t>
      </w:r>
    </w:p>
    <w:p w14:paraId="6A7A850B"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 xml:space="preserve">And, where, as here, it was for the prosecution to establish the accused's state of mind and the accused chose to give evidence about his state of mind, it is not a matter of choosing which witness to believe. As this Court made clear in </w:t>
      </w:r>
      <w:r w:rsidRPr="00FC7E3C">
        <w:rPr>
          <w:rFonts w:ascii="Times New Roman" w:hAnsi="Times New Roman"/>
          <w:i/>
        </w:rPr>
        <w:t>De Silva v The Queen</w:t>
      </w:r>
      <w:r w:rsidRPr="00FC7E3C">
        <w:rPr>
          <w:rStyle w:val="FootnoteReference"/>
          <w:rFonts w:ascii="Times New Roman" w:hAnsi="Times New Roman"/>
          <w:sz w:val="24"/>
        </w:rPr>
        <w:footnoteReference w:id="185"/>
      </w:r>
      <w:r w:rsidRPr="00FC7E3C">
        <w:rPr>
          <w:rFonts w:ascii="Times New Roman" w:hAnsi="Times New Roman"/>
        </w:rPr>
        <w:t>, "the issue is always whether the prosecution has proved the elements of the offence beyond reasonable doubt".</w:t>
      </w:r>
    </w:p>
    <w:p w14:paraId="794EDD7C"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 xml:space="preserve">Put in different terms, the conclusion from the written record that the appellant was guilty beyond reasonable doubt of the offences on which the jury returned its verdicts of guilt is not open in this case because it could be reached </w:t>
      </w:r>
      <w:r w:rsidRPr="00FC7E3C">
        <w:rPr>
          <w:rFonts w:ascii="Times New Roman" w:hAnsi="Times New Roman"/>
          <w:i/>
        </w:rPr>
        <w:t>only</w:t>
      </w:r>
      <w:r w:rsidRPr="00FC7E3C">
        <w:rPr>
          <w:rFonts w:ascii="Times New Roman" w:hAnsi="Times New Roman"/>
        </w:rPr>
        <w:t xml:space="preserve"> by assessing the </w:t>
      </w:r>
      <w:r w:rsidRPr="00FC7E3C">
        <w:rPr>
          <w:rFonts w:ascii="Times New Roman" w:hAnsi="Times New Roman"/>
          <w:i/>
        </w:rPr>
        <w:t>whole</w:t>
      </w:r>
      <w:r w:rsidRPr="00FC7E3C">
        <w:rPr>
          <w:rFonts w:ascii="Times New Roman" w:hAnsi="Times New Roman"/>
        </w:rPr>
        <w:t xml:space="preserve"> of the admissible evidence at trial</w:t>
      </w:r>
      <w:r w:rsidRPr="00FC7E3C">
        <w:rPr>
          <w:rStyle w:val="FootnoteReference"/>
          <w:rFonts w:ascii="Times New Roman" w:hAnsi="Times New Roman"/>
          <w:sz w:val="24"/>
        </w:rPr>
        <w:footnoteReference w:id="186"/>
      </w:r>
      <w:r w:rsidRPr="00FC7E3C">
        <w:rPr>
          <w:rFonts w:ascii="Times New Roman" w:hAnsi="Times New Roman"/>
        </w:rPr>
        <w:t xml:space="preserve"> – in particular, the</w:t>
      </w:r>
      <w:r>
        <w:rPr>
          <w:rFonts w:ascii="Times New Roman" w:hAnsi="Times New Roman"/>
        </w:rPr>
        <w:t> </w:t>
      </w:r>
      <w:r w:rsidRPr="00FC7E3C">
        <w:rPr>
          <w:rFonts w:ascii="Times New Roman" w:hAnsi="Times New Roman"/>
        </w:rPr>
        <w:t xml:space="preserve">evidence the complainants gave and the evidence the appellant gave. The credibility of those witnesses (the complainants and the appellant) was and </w:t>
      </w:r>
      <w:r w:rsidRPr="00FC7E3C">
        <w:rPr>
          <w:rFonts w:ascii="Times New Roman" w:hAnsi="Times New Roman"/>
        </w:rPr>
        <w:lastRenderedPageBreak/>
        <w:t>had to be an important part of that assessment</w:t>
      </w:r>
      <w:r w:rsidRPr="00FC7E3C">
        <w:rPr>
          <w:rStyle w:val="FootnoteReference"/>
          <w:rFonts w:ascii="Times New Roman" w:hAnsi="Times New Roman"/>
          <w:sz w:val="24"/>
        </w:rPr>
        <w:footnoteReference w:id="187"/>
      </w:r>
      <w:r w:rsidRPr="00FC7E3C">
        <w:rPr>
          <w:rFonts w:ascii="Times New Roman" w:hAnsi="Times New Roman"/>
        </w:rPr>
        <w:t>. The</w:t>
      </w:r>
      <w:r>
        <w:rPr>
          <w:rFonts w:ascii="Times New Roman" w:hAnsi="Times New Roman"/>
        </w:rPr>
        <w:t xml:space="preserve"> </w:t>
      </w:r>
      <w:r w:rsidRPr="00FC7E3C">
        <w:rPr>
          <w:rFonts w:ascii="Times New Roman" w:hAnsi="Times New Roman"/>
        </w:rPr>
        <w:t>evidence of the appellant, particularly his evidence about his state of mind, cannot be dismissed from consideration as contrary to some objective fact.</w:t>
      </w:r>
    </w:p>
    <w:p w14:paraId="6193E18B"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Thus, as the Crown properly accepted in argument in this Court, if the Court concluded that "the jury must have been relevantly misled by the impugned questioning in a material matter ... then there may be little scope for the proviso to operate". If there was an error of that kind, the Crown did not seek to discharge the onus of establishing, or satisfying the Court of, the appellant's guilt beyond reasonable doubt; in addressing the proviso, the Crown did not seek to show that an error of that kind would have had no significance.</w:t>
      </w:r>
    </w:p>
    <w:p w14:paraId="01408950"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The questions asked of the appellant in cross</w:t>
      </w:r>
      <w:r w:rsidRPr="00FC7E3C">
        <w:rPr>
          <w:rFonts w:ascii="Times New Roman" w:hAnsi="Times New Roman"/>
        </w:rPr>
        <w:noBreakHyphen/>
        <w:t>examination by the prosecutor departed from the standards of a trial to which the appellant was entitled; the questioning was highly prejudicial and attacked the appellant's credit, a central issue at trial. (Even so, the jury acquitted the appellant on two counts.) But regardless of that fact, it is a case where there was conflicting sworn evidence given on issues central to the trial; that is, what acts were committed and did the prosecution prove the appellant's state of mind. It is impermissible to apply the proviso.</w:t>
      </w:r>
    </w:p>
    <w:p w14:paraId="23E06030"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It is not enough to say that the appellant's evidence as a whole was "glaringly improbable"</w:t>
      </w:r>
      <w:r w:rsidRPr="00FC7E3C">
        <w:rPr>
          <w:rStyle w:val="FootnoteReference"/>
          <w:rFonts w:ascii="Times New Roman" w:hAnsi="Times New Roman"/>
          <w:sz w:val="24"/>
        </w:rPr>
        <w:footnoteReference w:id="188"/>
      </w:r>
      <w:r w:rsidRPr="00FC7E3C">
        <w:rPr>
          <w:rFonts w:ascii="Times New Roman" w:hAnsi="Times New Roman"/>
        </w:rPr>
        <w:t>. First, the issue is not an issue about probabilities</w:t>
      </w:r>
      <w:r w:rsidRPr="00FC7E3C">
        <w:rPr>
          <w:rStyle w:val="FootnoteReference"/>
          <w:rFonts w:ascii="Times New Roman" w:hAnsi="Times New Roman"/>
          <w:sz w:val="24"/>
        </w:rPr>
        <w:footnoteReference w:id="189"/>
      </w:r>
      <w:r w:rsidRPr="00FC7E3C">
        <w:rPr>
          <w:rFonts w:ascii="Times New Roman" w:hAnsi="Times New Roman"/>
        </w:rPr>
        <w:t>. The standard is beyond reasonable doubt. The</w:t>
      </w:r>
      <w:r>
        <w:rPr>
          <w:rFonts w:ascii="Times New Roman" w:hAnsi="Times New Roman"/>
        </w:rPr>
        <w:t xml:space="preserve"> </w:t>
      </w:r>
      <w:r w:rsidRPr="00FC7E3C">
        <w:rPr>
          <w:rFonts w:ascii="Times New Roman" w:hAnsi="Times New Roman"/>
        </w:rPr>
        <w:t>question is, as explained, whether</w:t>
      </w:r>
      <w:r>
        <w:rPr>
          <w:rFonts w:ascii="Times New Roman" w:hAnsi="Times New Roman"/>
        </w:rPr>
        <w:t> </w:t>
      </w:r>
      <w:r w:rsidRPr="00FC7E3C">
        <w:rPr>
          <w:rFonts w:ascii="Times New Roman" w:hAnsi="Times New Roman"/>
        </w:rPr>
        <w:t>the Court can conclude that the evidence as a whole proved, to</w:t>
      </w:r>
      <w:r w:rsidRPr="00FC7E3C">
        <w:rPr>
          <w:rFonts w:ascii="Times New Roman" w:hAnsi="Times New Roman"/>
          <w:i/>
        </w:rPr>
        <w:t xml:space="preserve"> that</w:t>
      </w:r>
      <w:r w:rsidRPr="00FC7E3C">
        <w:rPr>
          <w:rFonts w:ascii="Times New Roman" w:hAnsi="Times New Roman"/>
        </w:rPr>
        <w:t xml:space="preserve"> standard, the appellant's guilt of the offences on which the jury returned its verdicts of guilt. In that context, it is not enough simply to say that the appellant's evidence </w:t>
      </w:r>
      <w:r w:rsidRPr="00FC7E3C">
        <w:rPr>
          <w:rFonts w:ascii="Times New Roman" w:hAnsi="Times New Roman"/>
          <w:i/>
        </w:rPr>
        <w:t>should be</w:t>
      </w:r>
      <w:r w:rsidRPr="00FC7E3C" w:rsidDel="00074FDC">
        <w:rPr>
          <w:rFonts w:ascii="Times New Roman" w:hAnsi="Times New Roman"/>
        </w:rPr>
        <w:t xml:space="preserve"> </w:t>
      </w:r>
      <w:r w:rsidRPr="00FC7E3C">
        <w:rPr>
          <w:rFonts w:ascii="Times New Roman" w:hAnsi="Times New Roman"/>
        </w:rPr>
        <w:t>rejected (because it is "glaringly improbable")</w:t>
      </w:r>
      <w:r w:rsidRPr="00FC7E3C">
        <w:rPr>
          <w:rStyle w:val="FootnoteReference"/>
          <w:rFonts w:ascii="Times New Roman" w:hAnsi="Times New Roman"/>
          <w:sz w:val="24"/>
        </w:rPr>
        <w:footnoteReference w:id="190"/>
      </w:r>
      <w:r w:rsidRPr="00FC7E3C">
        <w:rPr>
          <w:rFonts w:ascii="Times New Roman" w:hAnsi="Times New Roman"/>
        </w:rPr>
        <w:t xml:space="preserve">. It would need to be said that the appellant's evidence </w:t>
      </w:r>
      <w:r w:rsidRPr="00FC7E3C">
        <w:rPr>
          <w:rFonts w:ascii="Times New Roman" w:hAnsi="Times New Roman"/>
          <w:i/>
        </w:rPr>
        <w:t>must be</w:t>
      </w:r>
      <w:r w:rsidRPr="00FC7E3C">
        <w:rPr>
          <w:rFonts w:ascii="Times New Roman" w:hAnsi="Times New Roman"/>
        </w:rPr>
        <w:t xml:space="preserve"> rejected (or is incapable of being accepted), and even then it does not necessarily follow that the Court could be satisfied that the </w:t>
      </w:r>
      <w:r w:rsidRPr="00FC7E3C">
        <w:rPr>
          <w:rFonts w:ascii="Times New Roman" w:hAnsi="Times New Roman"/>
          <w:i/>
        </w:rPr>
        <w:t>whole</w:t>
      </w:r>
      <w:r w:rsidRPr="00FC7E3C">
        <w:rPr>
          <w:rFonts w:ascii="Times New Roman" w:hAnsi="Times New Roman"/>
        </w:rPr>
        <w:t xml:space="preserve"> of the admissible evidence at trial proved beyond reasonable doubt the appellant's guilt. The appellate court's task must be </w:t>
      </w:r>
      <w:r w:rsidRPr="00FC7E3C">
        <w:rPr>
          <w:rFonts w:ascii="Times New Roman" w:hAnsi="Times New Roman"/>
        </w:rPr>
        <w:lastRenderedPageBreak/>
        <w:t>undertaken on the whole of the record of the trial, including entry of convictions and acquittals</w:t>
      </w:r>
      <w:r w:rsidRPr="00FC7E3C">
        <w:rPr>
          <w:rStyle w:val="FootnoteReference"/>
          <w:rFonts w:ascii="Times New Roman" w:hAnsi="Times New Roman"/>
          <w:sz w:val="24"/>
        </w:rPr>
        <w:footnoteReference w:id="191"/>
      </w:r>
      <w:r w:rsidRPr="00FC7E3C">
        <w:rPr>
          <w:rFonts w:ascii="Times New Roman" w:hAnsi="Times New Roman"/>
        </w:rPr>
        <w:t xml:space="preserve">. </w:t>
      </w:r>
    </w:p>
    <w:p w14:paraId="71D6C5A9" w14:textId="77777777"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Second,</w:t>
      </w:r>
      <w:r>
        <w:rPr>
          <w:rFonts w:ascii="Times New Roman" w:hAnsi="Times New Roman"/>
        </w:rPr>
        <w:t xml:space="preserve"> </w:t>
      </w:r>
      <w:r w:rsidRPr="00FC7E3C">
        <w:rPr>
          <w:rFonts w:ascii="Times New Roman" w:hAnsi="Times New Roman"/>
        </w:rPr>
        <w:t>and no less importantly, a conclusion that the appellant's evidence was glaringly improbable is too generally expressed. It</w:t>
      </w:r>
      <w:r>
        <w:rPr>
          <w:rFonts w:ascii="Times New Roman" w:hAnsi="Times New Roman"/>
        </w:rPr>
        <w:t xml:space="preserve"> </w:t>
      </w:r>
      <w:r w:rsidRPr="00FC7E3C">
        <w:rPr>
          <w:rFonts w:ascii="Times New Roman" w:hAnsi="Times New Roman"/>
        </w:rPr>
        <w:t>is a conclusion that treats the appellant's evidence and his credibility as a single, undifferentiated whole when the inquiry must be about individual, separate counts and about the elements of each count. It</w:t>
      </w:r>
      <w:r>
        <w:rPr>
          <w:rFonts w:ascii="Times New Roman" w:hAnsi="Times New Roman"/>
        </w:rPr>
        <w:t xml:space="preserve"> </w:t>
      </w:r>
      <w:r w:rsidRPr="00FC7E3C">
        <w:rPr>
          <w:rFonts w:ascii="Times New Roman" w:hAnsi="Times New Roman"/>
        </w:rPr>
        <w:t xml:space="preserve">is a conclusion that seeks to proceed from a proposition that the appellant intended to have sex to the conclusion that the appellant intended to have sex regardless of consent and then to the conclusion that he committed all of the acts alleged against him. That conclusion depends upon treating nothing the appellant said in evidence that was inconsistent with his guilt as capable of raising a reasonable doubt about his guilt. And, critically in this case, that is necessarily a conclusion about the credibility of what the appellant said in evidence. It is </w:t>
      </w:r>
      <w:r w:rsidRPr="00FC7E3C">
        <w:rPr>
          <w:rFonts w:ascii="Times New Roman" w:hAnsi="Times New Roman"/>
          <w:i/>
        </w:rPr>
        <w:t>not</w:t>
      </w:r>
      <w:r w:rsidRPr="00FC7E3C">
        <w:rPr>
          <w:rFonts w:ascii="Times New Roman" w:hAnsi="Times New Roman"/>
        </w:rPr>
        <w:t xml:space="preserve"> a conclusion based on rejecting some or all of the appellant's evidence as inconsistent with some demonstrated objective fact.</w:t>
      </w:r>
    </w:p>
    <w:p w14:paraId="5769E0E3" w14:textId="77777777" w:rsidR="00357618" w:rsidRPr="00FC7E3C" w:rsidRDefault="00357618" w:rsidP="00FC7E3C">
      <w:pPr>
        <w:pStyle w:val="HeadingL1"/>
        <w:spacing w:after="260" w:line="280" w:lineRule="exact"/>
        <w:ind w:right="0"/>
        <w:jc w:val="both"/>
        <w:rPr>
          <w:rFonts w:ascii="Times New Roman" w:hAnsi="Times New Roman"/>
        </w:rPr>
      </w:pPr>
      <w:r w:rsidRPr="00FC7E3C">
        <w:rPr>
          <w:rFonts w:ascii="Times New Roman" w:hAnsi="Times New Roman"/>
        </w:rPr>
        <w:t>Conclusion and orders</w:t>
      </w:r>
    </w:p>
    <w:p w14:paraId="13E549B2" w14:textId="26A15FF5" w:rsidR="00357618" w:rsidRPr="00FC7E3C" w:rsidRDefault="00357618" w:rsidP="00357618">
      <w:pPr>
        <w:pStyle w:val="FixListStyle"/>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left="0" w:right="0" w:hanging="720"/>
        <w:jc w:val="both"/>
        <w:rPr>
          <w:rFonts w:ascii="Times New Roman" w:hAnsi="Times New Roman"/>
        </w:rPr>
      </w:pPr>
      <w:r w:rsidRPr="00FC7E3C">
        <w:rPr>
          <w:rFonts w:ascii="Times New Roman" w:hAnsi="Times New Roman"/>
        </w:rPr>
        <w:tab/>
        <w:t>The appeal should be allowed. Order 3 made by the Court of Criminal Appeal of the Supreme Court of New South Wales on 18 October 2019 should be set aside and, in its place, it should be ordered that the appeal be allowed, the</w:t>
      </w:r>
      <w:r w:rsidR="002F19A6">
        <w:rPr>
          <w:rFonts w:ascii="Times New Roman" w:hAnsi="Times New Roman"/>
        </w:rPr>
        <w:t> </w:t>
      </w:r>
      <w:r w:rsidRPr="00FC7E3C">
        <w:rPr>
          <w:rFonts w:ascii="Times New Roman" w:hAnsi="Times New Roman"/>
        </w:rPr>
        <w:t>appellant's convictions be quashed, and there be a retrial.</w:t>
      </w:r>
    </w:p>
    <w:p w14:paraId="59B37301" w14:textId="77777777" w:rsidR="00357618" w:rsidRDefault="00357618" w:rsidP="00357618">
      <w:pPr>
        <w:pStyle w:val="FixListStyle"/>
        <w:numPr>
          <w:ilvl w:val="0"/>
          <w:numId w:val="0"/>
        </w:numPr>
        <w:spacing w:after="260" w:line="280" w:lineRule="exact"/>
        <w:ind w:right="0"/>
        <w:jc w:val="both"/>
        <w:rPr>
          <w:rFonts w:ascii="Times New Roman" w:hAnsi="Times New Roman"/>
        </w:rPr>
        <w:sectPr w:rsidR="00357618" w:rsidSect="00357618">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64718AD2" w14:textId="7C5811E5" w:rsidR="00C149C3" w:rsidRPr="008C2D33" w:rsidRDefault="00C149C3" w:rsidP="00357618">
      <w:pPr>
        <w:pStyle w:val="FixListStyle"/>
        <w:numPr>
          <w:ilvl w:val="0"/>
          <w:numId w:val="0"/>
        </w:numPr>
        <w:spacing w:after="260" w:line="280" w:lineRule="exact"/>
        <w:ind w:right="0"/>
        <w:jc w:val="both"/>
        <w:rPr>
          <w:rFonts w:ascii="Times New Roman" w:hAnsi="Times New Roman"/>
        </w:rPr>
      </w:pPr>
    </w:p>
    <w:sectPr w:rsidR="00C149C3" w:rsidRPr="008C2D33" w:rsidSect="00357618">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CA93" w14:textId="77777777" w:rsidR="00ED739B" w:rsidRDefault="00ED739B">
      <w:pPr>
        <w:spacing w:line="240" w:lineRule="auto"/>
      </w:pPr>
      <w:r>
        <w:separator/>
      </w:r>
    </w:p>
  </w:endnote>
  <w:endnote w:type="continuationSeparator" w:id="0">
    <w:p w14:paraId="18C580B4" w14:textId="77777777" w:rsidR="00ED739B" w:rsidRDefault="00ED739B">
      <w:pPr>
        <w:spacing w:line="240" w:lineRule="auto"/>
      </w:pPr>
      <w:r>
        <w:continuationSeparator/>
      </w:r>
    </w:p>
  </w:endnote>
  <w:endnote w:type="continuationNotice" w:id="1">
    <w:p w14:paraId="224BC8CF" w14:textId="77777777" w:rsidR="00ED739B" w:rsidRDefault="00ED73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E5CC" w14:textId="77777777" w:rsidR="00597444" w:rsidRDefault="00597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D228" w14:textId="77777777" w:rsidR="00597444" w:rsidRDefault="00597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E06D" w14:textId="77777777" w:rsidR="00597444" w:rsidRDefault="005974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F8F9" w14:textId="77777777" w:rsidR="00597444" w:rsidRDefault="005974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CF0B" w14:textId="77777777" w:rsidR="00597444" w:rsidRDefault="005974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33AF" w14:textId="77777777" w:rsidR="00597444" w:rsidRDefault="00597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CF526" w14:textId="77777777" w:rsidR="00ED739B" w:rsidRPr="008C2D33" w:rsidRDefault="00ED739B" w:rsidP="008C2D33">
      <w:pPr>
        <w:pStyle w:val="Footer"/>
        <w:spacing w:before="120" w:after="20"/>
        <w:ind w:right="0"/>
        <w:rPr>
          <w:rFonts w:ascii="Times New Roman" w:hAnsi="Times New Roman"/>
        </w:rPr>
      </w:pPr>
      <w:r>
        <w:continuationSeparator/>
      </w:r>
    </w:p>
  </w:footnote>
  <w:footnote w:type="continuationSeparator" w:id="0">
    <w:p w14:paraId="79E3C4F3" w14:textId="77777777" w:rsidR="00ED739B" w:rsidRPr="008C2D33" w:rsidRDefault="00ED739B" w:rsidP="008C2D33">
      <w:pPr>
        <w:pStyle w:val="Footer"/>
        <w:spacing w:before="120" w:after="20"/>
        <w:ind w:right="0"/>
        <w:rPr>
          <w:rFonts w:ascii="Times New Roman" w:hAnsi="Times New Roman"/>
        </w:rPr>
      </w:pPr>
      <w:r w:rsidRPr="008C2D33">
        <w:rPr>
          <w:rFonts w:ascii="Times New Roman" w:hAnsi="Times New Roman"/>
        </w:rPr>
        <w:continuationSeparator/>
      </w:r>
    </w:p>
  </w:footnote>
  <w:footnote w:type="continuationNotice" w:id="1">
    <w:p w14:paraId="6A7CD93D" w14:textId="77777777" w:rsidR="00ED739B" w:rsidRPr="00357618" w:rsidRDefault="00ED739B">
      <w:pPr>
        <w:jc w:val="right"/>
        <w:rPr>
          <w:rFonts w:ascii="Times New Roman" w:hAnsi="Times New Roman"/>
          <w:sz w:val="24"/>
        </w:rPr>
      </w:pPr>
    </w:p>
  </w:footnote>
  <w:footnote w:id="2">
    <w:p w14:paraId="0E86FB63" w14:textId="2AFB067F"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Browne v Dunn</w:t>
      </w:r>
      <w:r w:rsidRPr="008C2D33">
        <w:rPr>
          <w:rFonts w:ascii="Times New Roman" w:hAnsi="Times New Roman"/>
          <w:sz w:val="24"/>
        </w:rPr>
        <w:t xml:space="preserve"> (1893) 6 R 67</w:t>
      </w:r>
      <w:r w:rsidR="00796920" w:rsidRPr="008C2D33">
        <w:rPr>
          <w:rFonts w:ascii="Times New Roman" w:hAnsi="Times New Roman"/>
          <w:sz w:val="24"/>
        </w:rPr>
        <w:t xml:space="preserve"> at 70-71</w:t>
      </w:r>
      <w:r w:rsidRPr="008C2D33">
        <w:rPr>
          <w:rFonts w:ascii="Times New Roman" w:hAnsi="Times New Roman"/>
          <w:sz w:val="24"/>
        </w:rPr>
        <w:t>.</w:t>
      </w:r>
    </w:p>
  </w:footnote>
  <w:footnote w:id="3">
    <w:p w14:paraId="6B66BA50" w14:textId="25F0813A"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(1893) 6 R 67 at 70-71.</w:t>
      </w:r>
    </w:p>
  </w:footnote>
  <w:footnote w:id="4">
    <w:p w14:paraId="5F06757D" w14:textId="6A2FB22A"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Browne v </w:t>
      </w:r>
      <w:r w:rsidRPr="008C2D33">
        <w:rPr>
          <w:rFonts w:ascii="Times New Roman" w:hAnsi="Times New Roman"/>
          <w:i/>
          <w:sz w:val="24"/>
        </w:rPr>
        <w:t>Dunn</w:t>
      </w:r>
      <w:r w:rsidRPr="008C2D33">
        <w:rPr>
          <w:rFonts w:ascii="Times New Roman" w:hAnsi="Times New Roman"/>
          <w:sz w:val="24"/>
        </w:rPr>
        <w:t xml:space="preserve"> </w:t>
      </w:r>
      <w:r w:rsidR="007D1D53" w:rsidRPr="008C2D33">
        <w:rPr>
          <w:rFonts w:ascii="Times New Roman" w:hAnsi="Times New Roman"/>
          <w:sz w:val="24"/>
        </w:rPr>
        <w:t xml:space="preserve">(1893) 6 R 67 </w:t>
      </w:r>
      <w:r w:rsidRPr="008C2D33">
        <w:rPr>
          <w:rFonts w:ascii="Times New Roman" w:hAnsi="Times New Roman"/>
          <w:sz w:val="24"/>
        </w:rPr>
        <w:t>at 71</w:t>
      </w:r>
      <w:r w:rsidR="00D27083" w:rsidRPr="008C2D33">
        <w:rPr>
          <w:rFonts w:ascii="Times New Roman" w:hAnsi="Times New Roman"/>
          <w:sz w:val="24"/>
        </w:rPr>
        <w:t>.</w:t>
      </w:r>
      <w:r w:rsidRPr="008C2D33">
        <w:rPr>
          <w:rFonts w:ascii="Times New Roman" w:hAnsi="Times New Roman"/>
          <w:sz w:val="24"/>
        </w:rPr>
        <w:t xml:space="preserve"> </w:t>
      </w:r>
      <w:r w:rsidR="00D27083" w:rsidRPr="008C2D33">
        <w:rPr>
          <w:rFonts w:ascii="Times New Roman" w:hAnsi="Times New Roman"/>
          <w:sz w:val="24"/>
        </w:rPr>
        <w:t xml:space="preserve">See </w:t>
      </w:r>
      <w:r w:rsidRPr="008C2D33">
        <w:rPr>
          <w:rFonts w:ascii="Times New Roman" w:hAnsi="Times New Roman"/>
          <w:sz w:val="24"/>
        </w:rPr>
        <w:t xml:space="preserve">also </w:t>
      </w:r>
      <w:r w:rsidRPr="008C2D33">
        <w:rPr>
          <w:rFonts w:ascii="Times New Roman" w:hAnsi="Times New Roman"/>
          <w:i/>
          <w:sz w:val="24"/>
        </w:rPr>
        <w:t>R v Birks</w:t>
      </w:r>
      <w:r w:rsidRPr="008C2D33">
        <w:rPr>
          <w:rFonts w:ascii="Times New Roman" w:hAnsi="Times New Roman"/>
          <w:sz w:val="24"/>
        </w:rPr>
        <w:t xml:space="preserve"> (1990)</w:t>
      </w:r>
      <w:r w:rsidR="00B45392" w:rsidRPr="008C2D33">
        <w:rPr>
          <w:rFonts w:ascii="Times New Roman" w:hAnsi="Times New Roman"/>
          <w:sz w:val="24"/>
        </w:rPr>
        <w:t xml:space="preserve"> 19</w:t>
      </w:r>
      <w:r w:rsidRPr="008C2D33">
        <w:rPr>
          <w:rFonts w:ascii="Times New Roman" w:hAnsi="Times New Roman"/>
          <w:sz w:val="24"/>
        </w:rPr>
        <w:t xml:space="preserve"> NSWLR 677</w:t>
      </w:r>
      <w:r w:rsidR="00C34C7D" w:rsidRPr="008C2D33">
        <w:rPr>
          <w:rFonts w:ascii="Times New Roman" w:hAnsi="Times New Roman"/>
          <w:sz w:val="24"/>
        </w:rPr>
        <w:t xml:space="preserve"> at 688</w:t>
      </w:r>
      <w:r w:rsidRPr="008C2D33">
        <w:rPr>
          <w:rFonts w:ascii="Times New Roman" w:hAnsi="Times New Roman"/>
          <w:sz w:val="24"/>
        </w:rPr>
        <w:t xml:space="preserve">; </w:t>
      </w:r>
      <w:r w:rsidRPr="008C2D33">
        <w:rPr>
          <w:rFonts w:ascii="Times New Roman" w:hAnsi="Times New Roman"/>
          <w:i/>
          <w:sz w:val="24"/>
        </w:rPr>
        <w:t>MWJ v The Queen</w:t>
      </w:r>
      <w:r w:rsidRPr="008C2D33">
        <w:rPr>
          <w:rFonts w:ascii="Times New Roman" w:hAnsi="Times New Roman"/>
          <w:sz w:val="24"/>
        </w:rPr>
        <w:t xml:space="preserve"> (2005) 80 ALJR 329 at </w:t>
      </w:r>
      <w:r w:rsidR="00731F99" w:rsidRPr="008C2D33">
        <w:rPr>
          <w:rFonts w:ascii="Times New Roman" w:hAnsi="Times New Roman"/>
          <w:sz w:val="24"/>
        </w:rPr>
        <w:t xml:space="preserve">333 </w:t>
      </w:r>
      <w:r w:rsidRPr="008C2D33">
        <w:rPr>
          <w:rFonts w:ascii="Times New Roman" w:hAnsi="Times New Roman"/>
          <w:sz w:val="24"/>
        </w:rPr>
        <w:t>[18]</w:t>
      </w:r>
      <w:r w:rsidR="001A227C" w:rsidRPr="008C2D33">
        <w:rPr>
          <w:rFonts w:ascii="Times New Roman" w:hAnsi="Times New Roman"/>
          <w:sz w:val="24"/>
        </w:rPr>
        <w:t>; 222</w:t>
      </w:r>
      <w:r w:rsidR="00C218CD" w:rsidRPr="008C2D33">
        <w:rPr>
          <w:rFonts w:ascii="Times New Roman" w:hAnsi="Times New Roman"/>
          <w:sz w:val="24"/>
        </w:rPr>
        <w:t xml:space="preserve"> ALR </w:t>
      </w:r>
      <w:r w:rsidR="00C005C8" w:rsidRPr="008C2D33">
        <w:rPr>
          <w:rFonts w:ascii="Times New Roman" w:hAnsi="Times New Roman"/>
          <w:sz w:val="24"/>
        </w:rPr>
        <w:t>436 at 440-441</w:t>
      </w:r>
      <w:r w:rsidRPr="008C2D33">
        <w:rPr>
          <w:rFonts w:ascii="Times New Roman" w:hAnsi="Times New Roman"/>
          <w:sz w:val="24"/>
        </w:rPr>
        <w:t>.</w:t>
      </w:r>
    </w:p>
  </w:footnote>
  <w:footnote w:id="5">
    <w:p w14:paraId="15D621F1" w14:textId="0F4660EE"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MWJ</w:t>
      </w:r>
      <w:r w:rsidR="00660D61" w:rsidRPr="008C2D33">
        <w:rPr>
          <w:rFonts w:ascii="Times New Roman" w:hAnsi="Times New Roman"/>
          <w:i/>
          <w:sz w:val="24"/>
        </w:rPr>
        <w:t xml:space="preserve"> v The Queen</w:t>
      </w:r>
      <w:r w:rsidRPr="008C2D33">
        <w:rPr>
          <w:rFonts w:ascii="Times New Roman" w:hAnsi="Times New Roman"/>
          <w:sz w:val="24"/>
        </w:rPr>
        <w:t xml:space="preserve"> </w:t>
      </w:r>
      <w:r w:rsidR="00644913" w:rsidRPr="008C2D33">
        <w:rPr>
          <w:rFonts w:ascii="Times New Roman" w:hAnsi="Times New Roman"/>
          <w:sz w:val="24"/>
        </w:rPr>
        <w:t xml:space="preserve">(2005) 80 ALJR 329 </w:t>
      </w:r>
      <w:r w:rsidRPr="008C2D33">
        <w:rPr>
          <w:rFonts w:ascii="Times New Roman" w:hAnsi="Times New Roman"/>
          <w:sz w:val="24"/>
        </w:rPr>
        <w:t>at 333 [18]</w:t>
      </w:r>
      <w:r w:rsidR="00C005C8" w:rsidRPr="008C2D33">
        <w:rPr>
          <w:rFonts w:ascii="Times New Roman" w:hAnsi="Times New Roman"/>
          <w:sz w:val="24"/>
        </w:rPr>
        <w:t>;</w:t>
      </w:r>
      <w:r w:rsidR="00D702BA" w:rsidRPr="008C2D33">
        <w:rPr>
          <w:rFonts w:ascii="Times New Roman" w:hAnsi="Times New Roman"/>
          <w:sz w:val="24"/>
        </w:rPr>
        <w:t xml:space="preserve"> </w:t>
      </w:r>
      <w:r w:rsidR="00C005C8" w:rsidRPr="008C2D33">
        <w:rPr>
          <w:rFonts w:ascii="Times New Roman" w:hAnsi="Times New Roman"/>
          <w:sz w:val="24"/>
        </w:rPr>
        <w:t>222 ALR 436 at 440-441</w:t>
      </w:r>
      <w:r w:rsidRPr="008C2D33">
        <w:rPr>
          <w:rFonts w:ascii="Times New Roman" w:hAnsi="Times New Roman"/>
          <w:sz w:val="24"/>
        </w:rPr>
        <w:t>.</w:t>
      </w:r>
    </w:p>
  </w:footnote>
  <w:footnote w:id="6">
    <w:p w14:paraId="52E0D2BF" w14:textId="36951746"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660D61" w:rsidRPr="008C2D33">
        <w:rPr>
          <w:rFonts w:ascii="Times New Roman" w:hAnsi="Times New Roman"/>
          <w:sz w:val="24"/>
        </w:rPr>
        <w:t xml:space="preserve">(2005) 80 ALJR 329 </w:t>
      </w:r>
      <w:r w:rsidRPr="008C2D33">
        <w:rPr>
          <w:rFonts w:ascii="Times New Roman" w:hAnsi="Times New Roman"/>
          <w:sz w:val="24"/>
        </w:rPr>
        <w:t>at 333 [18]</w:t>
      </w:r>
      <w:r w:rsidR="00C005C8" w:rsidRPr="008C2D33">
        <w:rPr>
          <w:rFonts w:ascii="Times New Roman" w:hAnsi="Times New Roman"/>
          <w:sz w:val="24"/>
        </w:rPr>
        <w:t>;</w:t>
      </w:r>
      <w:r w:rsidR="00D702BA" w:rsidRPr="008C2D33">
        <w:rPr>
          <w:rFonts w:ascii="Times New Roman" w:hAnsi="Times New Roman"/>
          <w:sz w:val="24"/>
        </w:rPr>
        <w:t xml:space="preserve"> </w:t>
      </w:r>
      <w:r w:rsidR="00C005C8" w:rsidRPr="008C2D33">
        <w:rPr>
          <w:rFonts w:ascii="Times New Roman" w:hAnsi="Times New Roman"/>
          <w:sz w:val="24"/>
        </w:rPr>
        <w:t>222 ALR 436 at 440-441</w:t>
      </w:r>
      <w:r w:rsidRPr="008C2D33">
        <w:rPr>
          <w:rFonts w:ascii="Times New Roman" w:hAnsi="Times New Roman"/>
          <w:sz w:val="24"/>
        </w:rPr>
        <w:t>.</w:t>
      </w:r>
    </w:p>
  </w:footnote>
  <w:footnote w:id="7">
    <w:p w14:paraId="1601CC12" w14:textId="79FB46D2"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X7 v Australian Crime Commission</w:t>
      </w:r>
      <w:r w:rsidRPr="008C2D33">
        <w:rPr>
          <w:rFonts w:ascii="Times New Roman" w:hAnsi="Times New Roman"/>
          <w:sz w:val="24"/>
        </w:rPr>
        <w:t xml:space="preserve"> (2013) 248 CLR 92</w:t>
      </w:r>
      <w:r w:rsidR="004E3EDE" w:rsidRPr="008C2D33">
        <w:rPr>
          <w:rFonts w:ascii="Times New Roman" w:hAnsi="Times New Roman"/>
          <w:sz w:val="24"/>
        </w:rPr>
        <w:t xml:space="preserve"> at </w:t>
      </w:r>
      <w:r w:rsidR="008503FB" w:rsidRPr="008C2D33">
        <w:rPr>
          <w:rFonts w:ascii="Times New Roman" w:hAnsi="Times New Roman"/>
          <w:sz w:val="24"/>
        </w:rPr>
        <w:t>136 [101]</w:t>
      </w:r>
      <w:r w:rsidR="00F474E4" w:rsidRPr="008C2D33">
        <w:rPr>
          <w:rFonts w:ascii="Times New Roman" w:hAnsi="Times New Roman"/>
          <w:sz w:val="24"/>
        </w:rPr>
        <w:t>, 153 [159]</w:t>
      </w:r>
      <w:r w:rsidRPr="008C2D33">
        <w:rPr>
          <w:rFonts w:ascii="Times New Roman" w:hAnsi="Times New Roman"/>
          <w:sz w:val="24"/>
        </w:rPr>
        <w:t xml:space="preserve">; </w:t>
      </w:r>
      <w:r w:rsidRPr="008C2D33">
        <w:rPr>
          <w:rFonts w:ascii="Times New Roman" w:hAnsi="Times New Roman"/>
          <w:i/>
          <w:sz w:val="24"/>
        </w:rPr>
        <w:t xml:space="preserve">Lee v New South Wales Crime Commission </w:t>
      </w:r>
      <w:r w:rsidRPr="008C2D33">
        <w:rPr>
          <w:rFonts w:ascii="Times New Roman" w:hAnsi="Times New Roman"/>
          <w:sz w:val="24"/>
        </w:rPr>
        <w:t xml:space="preserve">(2013) 251 CLR </w:t>
      </w:r>
      <w:r w:rsidR="0085658F" w:rsidRPr="008C2D33">
        <w:rPr>
          <w:rFonts w:ascii="Times New Roman" w:hAnsi="Times New Roman"/>
          <w:sz w:val="24"/>
        </w:rPr>
        <w:t>1</w:t>
      </w:r>
      <w:r w:rsidRPr="008C2D33">
        <w:rPr>
          <w:rFonts w:ascii="Times New Roman" w:hAnsi="Times New Roman"/>
          <w:sz w:val="24"/>
        </w:rPr>
        <w:t>96</w:t>
      </w:r>
      <w:r w:rsidR="002649F2" w:rsidRPr="008C2D33">
        <w:rPr>
          <w:rFonts w:ascii="Times New Roman" w:hAnsi="Times New Roman"/>
          <w:sz w:val="24"/>
        </w:rPr>
        <w:t xml:space="preserve"> at 212-213 [20]</w:t>
      </w:r>
      <w:r w:rsidR="004E4146" w:rsidRPr="008C2D33">
        <w:rPr>
          <w:rFonts w:ascii="Times New Roman" w:hAnsi="Times New Roman"/>
          <w:sz w:val="24"/>
        </w:rPr>
        <w:t xml:space="preserve">, 249 [125], </w:t>
      </w:r>
      <w:r w:rsidR="004C5CE2" w:rsidRPr="008C2D33">
        <w:rPr>
          <w:rFonts w:ascii="Times New Roman" w:hAnsi="Times New Roman"/>
          <w:sz w:val="24"/>
        </w:rPr>
        <w:t>261 [159]</w:t>
      </w:r>
      <w:r w:rsidRPr="008C2D33">
        <w:rPr>
          <w:rFonts w:ascii="Times New Roman" w:hAnsi="Times New Roman"/>
          <w:sz w:val="24"/>
        </w:rPr>
        <w:t>.</w:t>
      </w:r>
    </w:p>
  </w:footnote>
  <w:footnote w:id="8">
    <w:p w14:paraId="5DFE8A7B" w14:textId="44B45ED2"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MWJ</w:t>
      </w:r>
      <w:r w:rsidR="0019148E" w:rsidRPr="008C2D33">
        <w:rPr>
          <w:rFonts w:ascii="Times New Roman" w:hAnsi="Times New Roman"/>
          <w:i/>
          <w:sz w:val="24"/>
        </w:rPr>
        <w:t xml:space="preserve"> v The Queen</w:t>
      </w:r>
      <w:r w:rsidR="0019148E" w:rsidRPr="008C2D33">
        <w:rPr>
          <w:rFonts w:ascii="Times New Roman" w:hAnsi="Times New Roman"/>
          <w:sz w:val="24"/>
        </w:rPr>
        <w:t xml:space="preserve"> (2005) 80 ALJR 329</w:t>
      </w:r>
      <w:r w:rsidRPr="008C2D33">
        <w:rPr>
          <w:rFonts w:ascii="Times New Roman" w:hAnsi="Times New Roman"/>
          <w:sz w:val="24"/>
        </w:rPr>
        <w:t xml:space="preserve"> at 340 [41]</w:t>
      </w:r>
      <w:r w:rsidR="00D702BA" w:rsidRPr="008C2D33">
        <w:rPr>
          <w:rFonts w:ascii="Times New Roman" w:hAnsi="Times New Roman"/>
          <w:sz w:val="24"/>
        </w:rPr>
        <w:t>; 222 ALR 436 at 44</w:t>
      </w:r>
      <w:r w:rsidR="009E1368" w:rsidRPr="008C2D33">
        <w:rPr>
          <w:rFonts w:ascii="Times New Roman" w:hAnsi="Times New Roman"/>
          <w:sz w:val="24"/>
        </w:rPr>
        <w:t>9</w:t>
      </w:r>
      <w:r w:rsidRPr="008C2D33">
        <w:rPr>
          <w:rFonts w:ascii="Times New Roman" w:hAnsi="Times New Roman"/>
          <w:sz w:val="24"/>
        </w:rPr>
        <w:t>.</w:t>
      </w:r>
    </w:p>
  </w:footnote>
  <w:footnote w:id="9">
    <w:p w14:paraId="09137684" w14:textId="01686962"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A667F3" w:rsidRPr="008C2D33">
        <w:rPr>
          <w:rFonts w:ascii="Times New Roman" w:hAnsi="Times New Roman"/>
          <w:i/>
          <w:sz w:val="24"/>
        </w:rPr>
        <w:t xml:space="preserve">R v </w:t>
      </w:r>
      <w:r w:rsidR="0019148E" w:rsidRPr="008C2D33">
        <w:rPr>
          <w:rFonts w:ascii="Times New Roman" w:hAnsi="Times New Roman"/>
          <w:i/>
          <w:sz w:val="24"/>
        </w:rPr>
        <w:t>Birks</w:t>
      </w:r>
      <w:r w:rsidR="00A667F3" w:rsidRPr="008C2D33">
        <w:rPr>
          <w:rFonts w:ascii="Times New Roman" w:hAnsi="Times New Roman"/>
          <w:i/>
          <w:sz w:val="24"/>
        </w:rPr>
        <w:t xml:space="preserve"> </w:t>
      </w:r>
      <w:r w:rsidR="00A667F3" w:rsidRPr="008C2D33">
        <w:rPr>
          <w:rFonts w:ascii="Times New Roman" w:hAnsi="Times New Roman"/>
          <w:sz w:val="24"/>
        </w:rPr>
        <w:t xml:space="preserve">(1990) </w:t>
      </w:r>
      <w:r w:rsidR="00E837D6" w:rsidRPr="008C2D33">
        <w:rPr>
          <w:rFonts w:ascii="Times New Roman" w:hAnsi="Times New Roman"/>
          <w:sz w:val="24"/>
        </w:rPr>
        <w:t xml:space="preserve">19 </w:t>
      </w:r>
      <w:r w:rsidR="00A667F3" w:rsidRPr="008C2D33">
        <w:rPr>
          <w:rFonts w:ascii="Times New Roman" w:hAnsi="Times New Roman"/>
          <w:sz w:val="24"/>
        </w:rPr>
        <w:t xml:space="preserve">NSWLR 677 </w:t>
      </w:r>
      <w:r w:rsidRPr="008C2D33">
        <w:rPr>
          <w:rFonts w:ascii="Times New Roman" w:hAnsi="Times New Roman"/>
          <w:sz w:val="24"/>
        </w:rPr>
        <w:t>at 688.</w:t>
      </w:r>
    </w:p>
  </w:footnote>
  <w:footnote w:id="10">
    <w:p w14:paraId="4AB653A9" w14:textId="5252FE8C"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A667F3" w:rsidRPr="008C2D33">
        <w:rPr>
          <w:rFonts w:ascii="Times New Roman" w:hAnsi="Times New Roman"/>
          <w:i/>
          <w:sz w:val="24"/>
        </w:rPr>
        <w:t>R v</w:t>
      </w:r>
      <w:r w:rsidR="00A667F3" w:rsidRPr="008C2D33">
        <w:rPr>
          <w:rFonts w:ascii="Times New Roman" w:hAnsi="Times New Roman"/>
          <w:sz w:val="24"/>
        </w:rPr>
        <w:t xml:space="preserve"> </w:t>
      </w:r>
      <w:r w:rsidRPr="008C2D33">
        <w:rPr>
          <w:rFonts w:ascii="Times New Roman" w:hAnsi="Times New Roman"/>
          <w:i/>
          <w:sz w:val="24"/>
        </w:rPr>
        <w:t>Birks</w:t>
      </w:r>
      <w:r w:rsidR="00A667F3" w:rsidRPr="008C2D33">
        <w:rPr>
          <w:rFonts w:ascii="Times New Roman" w:hAnsi="Times New Roman"/>
          <w:i/>
          <w:sz w:val="24"/>
        </w:rPr>
        <w:t xml:space="preserve"> </w:t>
      </w:r>
      <w:r w:rsidR="00A667F3" w:rsidRPr="008C2D33">
        <w:rPr>
          <w:rFonts w:ascii="Times New Roman" w:hAnsi="Times New Roman"/>
          <w:sz w:val="24"/>
        </w:rPr>
        <w:t xml:space="preserve">(1990) </w:t>
      </w:r>
      <w:r w:rsidR="00E837D6" w:rsidRPr="008C2D33">
        <w:rPr>
          <w:rFonts w:ascii="Times New Roman" w:hAnsi="Times New Roman"/>
          <w:sz w:val="24"/>
        </w:rPr>
        <w:t xml:space="preserve">19 </w:t>
      </w:r>
      <w:r w:rsidR="00A667F3" w:rsidRPr="008C2D33">
        <w:rPr>
          <w:rFonts w:ascii="Times New Roman" w:hAnsi="Times New Roman"/>
          <w:sz w:val="24"/>
        </w:rPr>
        <w:t>NSWLR 677</w:t>
      </w:r>
      <w:r w:rsidRPr="008C2D33">
        <w:rPr>
          <w:rFonts w:ascii="Times New Roman" w:hAnsi="Times New Roman"/>
          <w:sz w:val="24"/>
        </w:rPr>
        <w:t xml:space="preserve"> at 688.</w:t>
      </w:r>
    </w:p>
  </w:footnote>
  <w:footnote w:id="11">
    <w:p w14:paraId="4FB44C97" w14:textId="5FCBDD69"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MWJ</w:t>
      </w:r>
      <w:r w:rsidRPr="008C2D33">
        <w:rPr>
          <w:rFonts w:ascii="Times New Roman" w:hAnsi="Times New Roman"/>
          <w:sz w:val="24"/>
        </w:rPr>
        <w:t xml:space="preserve"> </w:t>
      </w:r>
      <w:r w:rsidR="00193F9A" w:rsidRPr="008C2D33">
        <w:rPr>
          <w:rFonts w:ascii="Times New Roman" w:hAnsi="Times New Roman"/>
          <w:i/>
          <w:sz w:val="24"/>
        </w:rPr>
        <w:t>v The Queen</w:t>
      </w:r>
      <w:r w:rsidR="00193F9A" w:rsidRPr="008C2D33">
        <w:rPr>
          <w:rFonts w:ascii="Times New Roman" w:hAnsi="Times New Roman"/>
          <w:sz w:val="24"/>
        </w:rPr>
        <w:t xml:space="preserve"> (2005) 80 ALJR 329 at </w:t>
      </w:r>
      <w:r w:rsidRPr="008C2D33">
        <w:rPr>
          <w:rFonts w:ascii="Times New Roman" w:hAnsi="Times New Roman"/>
          <w:sz w:val="24"/>
        </w:rPr>
        <w:t>339 [40]</w:t>
      </w:r>
      <w:r w:rsidR="005D18CD" w:rsidRPr="008C2D33">
        <w:rPr>
          <w:rFonts w:ascii="Times New Roman" w:hAnsi="Times New Roman"/>
          <w:sz w:val="24"/>
        </w:rPr>
        <w:t xml:space="preserve">; 222 ALR 436 at </w:t>
      </w:r>
      <w:r w:rsidR="00BC5469" w:rsidRPr="008C2D33">
        <w:rPr>
          <w:rFonts w:ascii="Times New Roman" w:hAnsi="Times New Roman"/>
          <w:sz w:val="24"/>
        </w:rPr>
        <w:t>448</w:t>
      </w:r>
      <w:r w:rsidR="003A5B76" w:rsidRPr="008C2D33">
        <w:rPr>
          <w:rFonts w:ascii="Times New Roman" w:hAnsi="Times New Roman"/>
          <w:sz w:val="24"/>
        </w:rPr>
        <w:t>-</w:t>
      </w:r>
      <w:r w:rsidR="000F69C4" w:rsidRPr="008C2D33">
        <w:rPr>
          <w:rFonts w:ascii="Times New Roman" w:hAnsi="Times New Roman"/>
          <w:sz w:val="24"/>
        </w:rPr>
        <w:t>44</w:t>
      </w:r>
      <w:r w:rsidR="003A5B76" w:rsidRPr="008C2D33">
        <w:rPr>
          <w:rFonts w:ascii="Times New Roman" w:hAnsi="Times New Roman"/>
          <w:sz w:val="24"/>
        </w:rPr>
        <w:t>9</w:t>
      </w:r>
      <w:r w:rsidRPr="008C2D33">
        <w:rPr>
          <w:rFonts w:ascii="Times New Roman" w:hAnsi="Times New Roman"/>
          <w:sz w:val="24"/>
        </w:rPr>
        <w:t>.</w:t>
      </w:r>
    </w:p>
  </w:footnote>
  <w:footnote w:id="12">
    <w:p w14:paraId="52EB20A9" w14:textId="094F38CE"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E5380E" w:rsidRPr="008C2D33">
        <w:rPr>
          <w:rFonts w:ascii="Times New Roman" w:hAnsi="Times New Roman"/>
          <w:i/>
          <w:sz w:val="24"/>
        </w:rPr>
        <w:t xml:space="preserve">R v Birks </w:t>
      </w:r>
      <w:r w:rsidR="00E5380E" w:rsidRPr="008C2D33">
        <w:rPr>
          <w:rFonts w:ascii="Times New Roman" w:hAnsi="Times New Roman"/>
          <w:sz w:val="24"/>
        </w:rPr>
        <w:t xml:space="preserve">(1990) </w:t>
      </w:r>
      <w:r w:rsidR="00E837D6" w:rsidRPr="008C2D33">
        <w:rPr>
          <w:rFonts w:ascii="Times New Roman" w:hAnsi="Times New Roman"/>
          <w:sz w:val="24"/>
        </w:rPr>
        <w:t xml:space="preserve">19 </w:t>
      </w:r>
      <w:r w:rsidR="00E5380E" w:rsidRPr="008C2D33">
        <w:rPr>
          <w:rFonts w:ascii="Times New Roman" w:hAnsi="Times New Roman"/>
          <w:sz w:val="24"/>
        </w:rPr>
        <w:t>NSWLR 677</w:t>
      </w:r>
      <w:r w:rsidRPr="008C2D33">
        <w:rPr>
          <w:rFonts w:ascii="Times New Roman" w:hAnsi="Times New Roman"/>
          <w:sz w:val="24"/>
        </w:rPr>
        <w:t xml:space="preserve">; </w:t>
      </w:r>
      <w:r w:rsidRPr="008C2D33">
        <w:rPr>
          <w:rFonts w:ascii="Times New Roman" w:hAnsi="Times New Roman"/>
          <w:i/>
          <w:sz w:val="24"/>
        </w:rPr>
        <w:t xml:space="preserve">R v Dennis </w:t>
      </w:r>
      <w:r w:rsidR="00E5380E" w:rsidRPr="008C2D33">
        <w:rPr>
          <w:rFonts w:ascii="Times New Roman" w:hAnsi="Times New Roman"/>
          <w:sz w:val="24"/>
        </w:rPr>
        <w:t>[</w:t>
      </w:r>
      <w:r w:rsidRPr="008C2D33">
        <w:rPr>
          <w:rFonts w:ascii="Times New Roman" w:hAnsi="Times New Roman"/>
          <w:sz w:val="24"/>
        </w:rPr>
        <w:t>1999</w:t>
      </w:r>
      <w:r w:rsidR="00CA4C26" w:rsidRPr="008C2D33">
        <w:rPr>
          <w:rFonts w:ascii="Times New Roman" w:hAnsi="Times New Roman"/>
          <w:sz w:val="24"/>
        </w:rPr>
        <w:t>]</w:t>
      </w:r>
      <w:r w:rsidRPr="008C2D33">
        <w:rPr>
          <w:rFonts w:ascii="Times New Roman" w:hAnsi="Times New Roman"/>
          <w:sz w:val="24"/>
        </w:rPr>
        <w:t xml:space="preserve"> NSWCCA 23; </w:t>
      </w:r>
      <w:r w:rsidRPr="008C2D33">
        <w:rPr>
          <w:rFonts w:ascii="Times New Roman" w:hAnsi="Times New Roman"/>
          <w:i/>
          <w:sz w:val="24"/>
        </w:rPr>
        <w:t>Picker v The Queen</w:t>
      </w:r>
      <w:r w:rsidRPr="008C2D33">
        <w:rPr>
          <w:rFonts w:ascii="Times New Roman" w:hAnsi="Times New Roman"/>
          <w:sz w:val="24"/>
        </w:rPr>
        <w:t xml:space="preserve"> </w:t>
      </w:r>
      <w:r w:rsidR="00CA4C26" w:rsidRPr="008C2D33">
        <w:rPr>
          <w:rFonts w:ascii="Times New Roman" w:hAnsi="Times New Roman"/>
          <w:sz w:val="24"/>
        </w:rPr>
        <w:t>[</w:t>
      </w:r>
      <w:r w:rsidRPr="008C2D33">
        <w:rPr>
          <w:rFonts w:ascii="Times New Roman" w:hAnsi="Times New Roman"/>
          <w:sz w:val="24"/>
        </w:rPr>
        <w:t>2002</w:t>
      </w:r>
      <w:r w:rsidR="00CA4C26" w:rsidRPr="008C2D33">
        <w:rPr>
          <w:rFonts w:ascii="Times New Roman" w:hAnsi="Times New Roman"/>
          <w:sz w:val="24"/>
        </w:rPr>
        <w:t>]</w:t>
      </w:r>
      <w:r w:rsidRPr="008C2D33">
        <w:rPr>
          <w:rFonts w:ascii="Times New Roman" w:hAnsi="Times New Roman"/>
          <w:sz w:val="24"/>
        </w:rPr>
        <w:t xml:space="preserve"> NSWCCA 78; </w:t>
      </w:r>
      <w:r w:rsidRPr="008C2D33">
        <w:rPr>
          <w:rFonts w:ascii="Times New Roman" w:hAnsi="Times New Roman"/>
          <w:i/>
          <w:sz w:val="24"/>
        </w:rPr>
        <w:t>Llewel</w:t>
      </w:r>
      <w:r w:rsidR="00FB41BF" w:rsidRPr="008C2D33">
        <w:rPr>
          <w:rFonts w:ascii="Times New Roman" w:hAnsi="Times New Roman"/>
          <w:i/>
          <w:sz w:val="24"/>
        </w:rPr>
        <w:t>l</w:t>
      </w:r>
      <w:r w:rsidRPr="008C2D33">
        <w:rPr>
          <w:rFonts w:ascii="Times New Roman" w:hAnsi="Times New Roman"/>
          <w:i/>
          <w:sz w:val="24"/>
        </w:rPr>
        <w:t>yn v The Queen</w:t>
      </w:r>
      <w:r w:rsidRPr="008C2D33">
        <w:rPr>
          <w:rFonts w:ascii="Times New Roman" w:hAnsi="Times New Roman"/>
          <w:sz w:val="24"/>
        </w:rPr>
        <w:t xml:space="preserve"> </w:t>
      </w:r>
      <w:r w:rsidR="00CA4C26" w:rsidRPr="008C2D33">
        <w:rPr>
          <w:rFonts w:ascii="Times New Roman" w:hAnsi="Times New Roman"/>
          <w:sz w:val="24"/>
        </w:rPr>
        <w:t>[</w:t>
      </w:r>
      <w:r w:rsidRPr="008C2D33">
        <w:rPr>
          <w:rFonts w:ascii="Times New Roman" w:hAnsi="Times New Roman"/>
          <w:sz w:val="24"/>
        </w:rPr>
        <w:t>2011</w:t>
      </w:r>
      <w:r w:rsidR="00CA4C26" w:rsidRPr="008C2D33">
        <w:rPr>
          <w:rFonts w:ascii="Times New Roman" w:hAnsi="Times New Roman"/>
          <w:sz w:val="24"/>
        </w:rPr>
        <w:t>]</w:t>
      </w:r>
      <w:r w:rsidRPr="008C2D33">
        <w:rPr>
          <w:rFonts w:ascii="Times New Roman" w:hAnsi="Times New Roman"/>
          <w:sz w:val="24"/>
        </w:rPr>
        <w:t xml:space="preserve"> NSWCCA 66.</w:t>
      </w:r>
    </w:p>
  </w:footnote>
  <w:footnote w:id="13">
    <w:p w14:paraId="2150CB23" w14:textId="42D2E32E"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 xml:space="preserve">(1990) </w:t>
      </w:r>
      <w:r w:rsidR="004E62F2" w:rsidRPr="008C2D33">
        <w:rPr>
          <w:rFonts w:ascii="Times New Roman" w:hAnsi="Times New Roman"/>
          <w:sz w:val="24"/>
        </w:rPr>
        <w:t xml:space="preserve">19 </w:t>
      </w:r>
      <w:r w:rsidRPr="008C2D33">
        <w:rPr>
          <w:rFonts w:ascii="Times New Roman" w:hAnsi="Times New Roman"/>
          <w:sz w:val="24"/>
        </w:rPr>
        <w:t>NSWLR 677</w:t>
      </w:r>
      <w:r w:rsidR="003418FA" w:rsidRPr="008C2D33">
        <w:rPr>
          <w:rFonts w:ascii="Times New Roman" w:hAnsi="Times New Roman"/>
          <w:sz w:val="24"/>
        </w:rPr>
        <w:t xml:space="preserve"> at 690</w:t>
      </w:r>
      <w:r w:rsidRPr="008C2D33">
        <w:rPr>
          <w:rFonts w:ascii="Times New Roman" w:hAnsi="Times New Roman"/>
          <w:sz w:val="24"/>
        </w:rPr>
        <w:t>.</w:t>
      </w:r>
    </w:p>
  </w:footnote>
  <w:footnote w:id="14">
    <w:p w14:paraId="338DCC17" w14:textId="2F622119"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(1989) 54 SASR 17</w:t>
      </w:r>
      <w:r w:rsidR="003F484D" w:rsidRPr="008C2D33">
        <w:rPr>
          <w:rFonts w:ascii="Times New Roman" w:hAnsi="Times New Roman"/>
          <w:sz w:val="24"/>
        </w:rPr>
        <w:t xml:space="preserve"> at 23</w:t>
      </w:r>
      <w:r w:rsidRPr="008C2D33">
        <w:rPr>
          <w:rFonts w:ascii="Times New Roman" w:hAnsi="Times New Roman"/>
          <w:sz w:val="24"/>
        </w:rPr>
        <w:t>.</w:t>
      </w:r>
    </w:p>
  </w:footnote>
  <w:footnote w:id="15">
    <w:p w14:paraId="39335818" w14:textId="629C7733"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F0460C" w:rsidRPr="008C2D33">
        <w:rPr>
          <w:rFonts w:ascii="Times New Roman" w:hAnsi="Times New Roman"/>
          <w:sz w:val="24"/>
        </w:rPr>
        <w:t>S</w:t>
      </w:r>
      <w:r w:rsidRPr="008C2D33">
        <w:rPr>
          <w:rFonts w:ascii="Times New Roman" w:hAnsi="Times New Roman"/>
          <w:sz w:val="24"/>
        </w:rPr>
        <w:t xml:space="preserve">ee </w:t>
      </w:r>
      <w:r w:rsidR="00537478" w:rsidRPr="008C2D33">
        <w:rPr>
          <w:rFonts w:ascii="Times New Roman" w:hAnsi="Times New Roman"/>
          <w:sz w:val="24"/>
        </w:rPr>
        <w:t xml:space="preserve">for example </w:t>
      </w:r>
      <w:r w:rsidRPr="008C2D33">
        <w:rPr>
          <w:rFonts w:ascii="Times New Roman" w:hAnsi="Times New Roman"/>
          <w:i/>
          <w:sz w:val="24"/>
        </w:rPr>
        <w:t>R v Birks</w:t>
      </w:r>
      <w:r w:rsidR="005B7F46" w:rsidRPr="008C2D33">
        <w:rPr>
          <w:rFonts w:ascii="Times New Roman" w:hAnsi="Times New Roman"/>
          <w:i/>
          <w:sz w:val="24"/>
        </w:rPr>
        <w:t xml:space="preserve"> </w:t>
      </w:r>
      <w:r w:rsidR="005B7F46" w:rsidRPr="008C2D33">
        <w:rPr>
          <w:rFonts w:ascii="Times New Roman" w:hAnsi="Times New Roman"/>
          <w:sz w:val="24"/>
        </w:rPr>
        <w:t xml:space="preserve">(1990) </w:t>
      </w:r>
      <w:r w:rsidR="00E837D6" w:rsidRPr="008C2D33">
        <w:rPr>
          <w:rFonts w:ascii="Times New Roman" w:hAnsi="Times New Roman"/>
          <w:sz w:val="24"/>
        </w:rPr>
        <w:t xml:space="preserve">19 </w:t>
      </w:r>
      <w:r w:rsidR="005B7F46" w:rsidRPr="008C2D33">
        <w:rPr>
          <w:rFonts w:ascii="Times New Roman" w:hAnsi="Times New Roman"/>
          <w:sz w:val="24"/>
        </w:rPr>
        <w:t>NSWLR 677</w:t>
      </w:r>
      <w:r w:rsidRPr="008C2D33">
        <w:rPr>
          <w:rFonts w:ascii="Times New Roman" w:hAnsi="Times New Roman"/>
          <w:sz w:val="24"/>
        </w:rPr>
        <w:t>.</w:t>
      </w:r>
    </w:p>
  </w:footnote>
  <w:footnote w:id="16">
    <w:p w14:paraId="01C7725B" w14:textId="77777777"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Evidence Act 1995 </w:t>
      </w:r>
      <w:r w:rsidRPr="008C2D33">
        <w:rPr>
          <w:rFonts w:ascii="Times New Roman" w:hAnsi="Times New Roman"/>
          <w:sz w:val="24"/>
        </w:rPr>
        <w:t>(NSW), s 106.</w:t>
      </w:r>
    </w:p>
  </w:footnote>
  <w:footnote w:id="17">
    <w:p w14:paraId="5B7AB42B" w14:textId="49EAEA52"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9E63B4" w:rsidRPr="008C2D33">
        <w:rPr>
          <w:rFonts w:ascii="Times New Roman" w:hAnsi="Times New Roman"/>
          <w:i/>
          <w:sz w:val="24"/>
        </w:rPr>
        <w:t>The Queen</w:t>
      </w:r>
      <w:r w:rsidR="009E63B4" w:rsidRPr="008C2D33">
        <w:rPr>
          <w:rFonts w:ascii="Times New Roman" w:hAnsi="Times New Roman"/>
          <w:sz w:val="24"/>
        </w:rPr>
        <w:t xml:space="preserve"> </w:t>
      </w:r>
      <w:r w:rsidR="00330625" w:rsidRPr="008C2D33">
        <w:rPr>
          <w:rFonts w:ascii="Times New Roman" w:hAnsi="Times New Roman"/>
          <w:sz w:val="24"/>
        </w:rPr>
        <w:t>[</w:t>
      </w:r>
      <w:r w:rsidRPr="008C2D33">
        <w:rPr>
          <w:rFonts w:ascii="Times New Roman" w:hAnsi="Times New Roman"/>
          <w:sz w:val="24"/>
        </w:rPr>
        <w:t>2019</w:t>
      </w:r>
      <w:r w:rsidR="00330625" w:rsidRPr="008C2D33">
        <w:rPr>
          <w:rFonts w:ascii="Times New Roman" w:hAnsi="Times New Roman"/>
          <w:sz w:val="24"/>
        </w:rPr>
        <w:t>]</w:t>
      </w:r>
      <w:r w:rsidRPr="008C2D33">
        <w:rPr>
          <w:rFonts w:ascii="Times New Roman" w:hAnsi="Times New Roman"/>
          <w:sz w:val="24"/>
        </w:rPr>
        <w:t xml:space="preserve"> NSWCCA 244 at </w:t>
      </w:r>
      <w:r w:rsidR="00EC2680" w:rsidRPr="008C2D33">
        <w:rPr>
          <w:rFonts w:ascii="Times New Roman" w:hAnsi="Times New Roman"/>
          <w:sz w:val="24"/>
        </w:rPr>
        <w:t xml:space="preserve">[110] per Fullerton J, </w:t>
      </w:r>
      <w:r w:rsidRPr="008C2D33">
        <w:rPr>
          <w:rFonts w:ascii="Times New Roman" w:hAnsi="Times New Roman"/>
          <w:sz w:val="24"/>
        </w:rPr>
        <w:t>[126]</w:t>
      </w:r>
      <w:r w:rsidR="00A603BB" w:rsidRPr="008C2D33">
        <w:rPr>
          <w:rFonts w:ascii="Times New Roman" w:hAnsi="Times New Roman"/>
          <w:sz w:val="24"/>
        </w:rPr>
        <w:t xml:space="preserve"> per Fagan</w:t>
      </w:r>
      <w:r w:rsidR="009936BA">
        <w:rPr>
          <w:rFonts w:ascii="Times New Roman" w:hAnsi="Times New Roman"/>
          <w:sz w:val="24"/>
        </w:rPr>
        <w:t> </w:t>
      </w:r>
      <w:r w:rsidR="00A603BB" w:rsidRPr="008C2D33">
        <w:rPr>
          <w:rFonts w:ascii="Times New Roman" w:hAnsi="Times New Roman"/>
          <w:sz w:val="24"/>
        </w:rPr>
        <w:t>J</w:t>
      </w:r>
      <w:r w:rsidRPr="008C2D33">
        <w:rPr>
          <w:rFonts w:ascii="Times New Roman" w:hAnsi="Times New Roman"/>
          <w:sz w:val="24"/>
        </w:rPr>
        <w:t>.</w:t>
      </w:r>
    </w:p>
  </w:footnote>
  <w:footnote w:id="18">
    <w:p w14:paraId="0D5ECEC9" w14:textId="542C1E5C"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330625" w:rsidRPr="008C2D33">
        <w:rPr>
          <w:rFonts w:ascii="Times New Roman" w:hAnsi="Times New Roman"/>
          <w:i/>
          <w:sz w:val="24"/>
        </w:rPr>
        <w:t xml:space="preserve">Hofer v </w:t>
      </w:r>
      <w:r w:rsidR="009E63B4" w:rsidRPr="008C2D33">
        <w:rPr>
          <w:rFonts w:ascii="Times New Roman" w:hAnsi="Times New Roman"/>
          <w:i/>
          <w:sz w:val="24"/>
        </w:rPr>
        <w:t>The Queen</w:t>
      </w:r>
      <w:r w:rsidR="00330625" w:rsidRPr="008C2D33">
        <w:rPr>
          <w:rFonts w:ascii="Times New Roman" w:hAnsi="Times New Roman"/>
          <w:sz w:val="24"/>
        </w:rPr>
        <w:t xml:space="preserve"> [2019] NSWCCA 244 </w:t>
      </w:r>
      <w:r w:rsidRPr="008C2D33">
        <w:rPr>
          <w:rFonts w:ascii="Times New Roman" w:hAnsi="Times New Roman"/>
          <w:sz w:val="24"/>
        </w:rPr>
        <w:t>at [130].</w:t>
      </w:r>
      <w:r w:rsidR="00264CE4" w:rsidRPr="008C2D33">
        <w:rPr>
          <w:rFonts w:ascii="Times New Roman" w:hAnsi="Times New Roman"/>
          <w:sz w:val="24"/>
        </w:rPr>
        <w:t xml:space="preserve"> See also </w:t>
      </w:r>
      <w:r w:rsidR="007A5F3B" w:rsidRPr="008C2D33">
        <w:rPr>
          <w:rFonts w:ascii="Times New Roman" w:hAnsi="Times New Roman"/>
          <w:sz w:val="24"/>
        </w:rPr>
        <w:t xml:space="preserve">at </w:t>
      </w:r>
      <w:r w:rsidR="00571CE5" w:rsidRPr="008C2D33">
        <w:rPr>
          <w:rFonts w:ascii="Times New Roman" w:hAnsi="Times New Roman"/>
          <w:sz w:val="24"/>
        </w:rPr>
        <w:t>[117] per Fullerton</w:t>
      </w:r>
      <w:r w:rsidR="009936BA">
        <w:rPr>
          <w:rFonts w:ascii="Times New Roman" w:hAnsi="Times New Roman"/>
          <w:sz w:val="24"/>
        </w:rPr>
        <w:t> </w:t>
      </w:r>
      <w:r w:rsidR="00571CE5" w:rsidRPr="008C2D33">
        <w:rPr>
          <w:rFonts w:ascii="Times New Roman" w:hAnsi="Times New Roman"/>
          <w:sz w:val="24"/>
        </w:rPr>
        <w:t>J.</w:t>
      </w:r>
    </w:p>
  </w:footnote>
  <w:footnote w:id="19">
    <w:p w14:paraId="092FB47D" w14:textId="3B958FB5"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9A7D3F" w:rsidRPr="008C2D33">
        <w:rPr>
          <w:rFonts w:ascii="Times New Roman" w:hAnsi="Times New Roman"/>
          <w:i/>
          <w:sz w:val="24"/>
        </w:rPr>
        <w:t xml:space="preserve">Hofer v </w:t>
      </w:r>
      <w:r w:rsidR="009E63B4" w:rsidRPr="008C2D33">
        <w:rPr>
          <w:rFonts w:ascii="Times New Roman" w:hAnsi="Times New Roman"/>
          <w:i/>
          <w:sz w:val="24"/>
        </w:rPr>
        <w:t>The Queen</w:t>
      </w:r>
      <w:r w:rsidR="009A7D3F" w:rsidRPr="008C2D33">
        <w:rPr>
          <w:rFonts w:ascii="Times New Roman" w:hAnsi="Times New Roman"/>
          <w:sz w:val="24"/>
        </w:rPr>
        <w:t xml:space="preserve"> [2019] NSWCCA 244 </w:t>
      </w:r>
      <w:r w:rsidRPr="008C2D33">
        <w:rPr>
          <w:rFonts w:ascii="Times New Roman" w:hAnsi="Times New Roman"/>
          <w:sz w:val="24"/>
        </w:rPr>
        <w:t xml:space="preserve">at </w:t>
      </w:r>
      <w:r w:rsidR="00E36CE9" w:rsidRPr="008C2D33">
        <w:rPr>
          <w:rFonts w:ascii="Times New Roman" w:hAnsi="Times New Roman"/>
          <w:sz w:val="24"/>
        </w:rPr>
        <w:t xml:space="preserve">[117] per Fullerton J, </w:t>
      </w:r>
      <w:r w:rsidRPr="008C2D33">
        <w:rPr>
          <w:rFonts w:ascii="Times New Roman" w:hAnsi="Times New Roman"/>
          <w:sz w:val="24"/>
        </w:rPr>
        <w:t>[188]</w:t>
      </w:r>
      <w:r w:rsidR="00141943" w:rsidRPr="008C2D33">
        <w:rPr>
          <w:rFonts w:ascii="Times New Roman" w:hAnsi="Times New Roman"/>
          <w:sz w:val="24"/>
        </w:rPr>
        <w:t xml:space="preserve"> per Fagan</w:t>
      </w:r>
      <w:r w:rsidR="009936BA">
        <w:rPr>
          <w:rFonts w:ascii="Times New Roman" w:hAnsi="Times New Roman"/>
          <w:sz w:val="24"/>
        </w:rPr>
        <w:t> </w:t>
      </w:r>
      <w:r w:rsidR="00141943" w:rsidRPr="008C2D33">
        <w:rPr>
          <w:rFonts w:ascii="Times New Roman" w:hAnsi="Times New Roman"/>
          <w:sz w:val="24"/>
        </w:rPr>
        <w:t>J</w:t>
      </w:r>
      <w:r w:rsidR="002A74D1" w:rsidRPr="008C2D33">
        <w:rPr>
          <w:rFonts w:ascii="Times New Roman" w:hAnsi="Times New Roman"/>
          <w:sz w:val="24"/>
        </w:rPr>
        <w:t>.</w:t>
      </w:r>
    </w:p>
  </w:footnote>
  <w:footnote w:id="20">
    <w:p w14:paraId="062BCD1F" w14:textId="64CE4730"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9A7D3F" w:rsidRPr="008C2D33">
        <w:rPr>
          <w:rFonts w:ascii="Times New Roman" w:hAnsi="Times New Roman"/>
          <w:i/>
          <w:sz w:val="24"/>
        </w:rPr>
        <w:t xml:space="preserve">Hofer v </w:t>
      </w:r>
      <w:r w:rsidR="009E63B4" w:rsidRPr="008C2D33">
        <w:rPr>
          <w:rFonts w:ascii="Times New Roman" w:hAnsi="Times New Roman"/>
          <w:i/>
          <w:sz w:val="24"/>
        </w:rPr>
        <w:t>The Queen</w:t>
      </w:r>
      <w:r w:rsidR="009A7D3F" w:rsidRPr="008C2D33">
        <w:rPr>
          <w:rFonts w:ascii="Times New Roman" w:hAnsi="Times New Roman"/>
          <w:sz w:val="24"/>
        </w:rPr>
        <w:t xml:space="preserve"> [2019] NSWCCA 244 </w:t>
      </w:r>
      <w:r w:rsidRPr="008C2D33">
        <w:rPr>
          <w:rFonts w:ascii="Times New Roman" w:hAnsi="Times New Roman"/>
          <w:sz w:val="24"/>
        </w:rPr>
        <w:t>at [45]-[49].</w:t>
      </w:r>
    </w:p>
  </w:footnote>
  <w:footnote w:id="21">
    <w:p w14:paraId="6799C5D6" w14:textId="73B6D5E3" w:rsidR="00365091" w:rsidRPr="008C2D33" w:rsidRDefault="00365091"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Hofer v The Queen</w:t>
      </w:r>
      <w:r w:rsidRPr="008C2D33">
        <w:rPr>
          <w:rFonts w:ascii="Times New Roman" w:hAnsi="Times New Roman"/>
          <w:sz w:val="24"/>
        </w:rPr>
        <w:t xml:space="preserve"> [2019] NSWCCA 244 at [118] per Fullerton J, [207] per Fagan</w:t>
      </w:r>
      <w:r w:rsidR="009936BA">
        <w:rPr>
          <w:rFonts w:ascii="Times New Roman" w:hAnsi="Times New Roman"/>
          <w:sz w:val="24"/>
        </w:rPr>
        <w:t> </w:t>
      </w:r>
      <w:r w:rsidRPr="008C2D33">
        <w:rPr>
          <w:rFonts w:ascii="Times New Roman" w:hAnsi="Times New Roman"/>
          <w:sz w:val="24"/>
        </w:rPr>
        <w:t>J.</w:t>
      </w:r>
    </w:p>
  </w:footnote>
  <w:footnote w:id="22">
    <w:p w14:paraId="5968CA18" w14:textId="77777777"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Weiss v The Queen</w:t>
      </w:r>
      <w:r w:rsidRPr="008C2D33">
        <w:rPr>
          <w:rFonts w:ascii="Times New Roman" w:hAnsi="Times New Roman"/>
          <w:sz w:val="24"/>
        </w:rPr>
        <w:t xml:space="preserve"> (2005) 224 CLR 300 at 308 [18].</w:t>
      </w:r>
    </w:p>
  </w:footnote>
  <w:footnote w:id="23">
    <w:p w14:paraId="241DDE86" w14:textId="48385C13"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Mraz v The Queen</w:t>
      </w:r>
      <w:r w:rsidRPr="008C2D33">
        <w:rPr>
          <w:rFonts w:ascii="Times New Roman" w:hAnsi="Times New Roman"/>
          <w:sz w:val="24"/>
        </w:rPr>
        <w:t xml:space="preserve"> (1955) 93 CLR 493 at 514; </w:t>
      </w:r>
      <w:r w:rsidRPr="008C2D33">
        <w:rPr>
          <w:rFonts w:ascii="Times New Roman" w:hAnsi="Times New Roman"/>
          <w:i/>
          <w:sz w:val="24"/>
        </w:rPr>
        <w:t>Kalbasi v Western Australia</w:t>
      </w:r>
      <w:r w:rsidRPr="008C2D33">
        <w:rPr>
          <w:rFonts w:ascii="Times New Roman" w:hAnsi="Times New Roman"/>
          <w:sz w:val="24"/>
        </w:rPr>
        <w:t xml:space="preserve"> (2018) 264 CLR 62 at </w:t>
      </w:r>
      <w:r w:rsidR="001900D6" w:rsidRPr="008C2D33">
        <w:rPr>
          <w:rFonts w:ascii="Times New Roman" w:hAnsi="Times New Roman"/>
          <w:sz w:val="24"/>
        </w:rPr>
        <w:t xml:space="preserve">69 </w:t>
      </w:r>
      <w:r w:rsidRPr="008C2D33">
        <w:rPr>
          <w:rFonts w:ascii="Times New Roman" w:hAnsi="Times New Roman"/>
          <w:sz w:val="24"/>
        </w:rPr>
        <w:t>[1</w:t>
      </w:r>
      <w:r w:rsidR="000D6EE2" w:rsidRPr="008C2D33">
        <w:rPr>
          <w:rFonts w:ascii="Times New Roman" w:hAnsi="Times New Roman"/>
          <w:sz w:val="24"/>
        </w:rPr>
        <w:t>2</w:t>
      </w:r>
      <w:r w:rsidRPr="008C2D33">
        <w:rPr>
          <w:rFonts w:ascii="Times New Roman" w:hAnsi="Times New Roman"/>
          <w:sz w:val="24"/>
        </w:rPr>
        <w:t>].</w:t>
      </w:r>
    </w:p>
  </w:footnote>
  <w:footnote w:id="24">
    <w:p w14:paraId="28EE926C" w14:textId="34FE5611"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Kalbasi v </w:t>
      </w:r>
      <w:r w:rsidR="00074847" w:rsidRPr="008C2D33">
        <w:rPr>
          <w:rFonts w:ascii="Times New Roman" w:hAnsi="Times New Roman"/>
          <w:i/>
          <w:sz w:val="24"/>
        </w:rPr>
        <w:t>Western Australia</w:t>
      </w:r>
      <w:r w:rsidRPr="008C2D33">
        <w:rPr>
          <w:rFonts w:ascii="Times New Roman" w:hAnsi="Times New Roman"/>
          <w:sz w:val="24"/>
        </w:rPr>
        <w:t xml:space="preserve"> (2018) 264 CLR 62 at </w:t>
      </w:r>
      <w:r w:rsidR="001900D6" w:rsidRPr="008C2D33">
        <w:rPr>
          <w:rFonts w:ascii="Times New Roman" w:hAnsi="Times New Roman"/>
          <w:sz w:val="24"/>
        </w:rPr>
        <w:t>71</w:t>
      </w:r>
      <w:r w:rsidR="00074847" w:rsidRPr="008C2D33">
        <w:rPr>
          <w:rFonts w:ascii="Times New Roman" w:hAnsi="Times New Roman"/>
          <w:sz w:val="24"/>
        </w:rPr>
        <w:t xml:space="preserve"> </w:t>
      </w:r>
      <w:r w:rsidRPr="008C2D33">
        <w:rPr>
          <w:rFonts w:ascii="Times New Roman" w:hAnsi="Times New Roman"/>
          <w:sz w:val="24"/>
        </w:rPr>
        <w:t>[1</w:t>
      </w:r>
      <w:r w:rsidR="000D6EE2" w:rsidRPr="008C2D33">
        <w:rPr>
          <w:rFonts w:ascii="Times New Roman" w:hAnsi="Times New Roman"/>
          <w:sz w:val="24"/>
        </w:rPr>
        <w:t>5</w:t>
      </w:r>
      <w:r w:rsidRPr="008C2D33">
        <w:rPr>
          <w:rFonts w:ascii="Times New Roman" w:hAnsi="Times New Roman"/>
          <w:sz w:val="24"/>
        </w:rPr>
        <w:t>].</w:t>
      </w:r>
    </w:p>
  </w:footnote>
  <w:footnote w:id="25">
    <w:p w14:paraId="05E2441B" w14:textId="16B59CD3" w:rsidR="00F563FD" w:rsidRPr="008C2D33" w:rsidRDefault="00F563FD"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FC2455" w:rsidRPr="008C2D33">
        <w:rPr>
          <w:rFonts w:ascii="Times New Roman" w:hAnsi="Times New Roman"/>
          <w:sz w:val="24"/>
        </w:rPr>
        <w:t xml:space="preserve">As to the prosecutorial obligation to afford fairness see </w:t>
      </w:r>
      <w:r w:rsidR="00FC2455" w:rsidRPr="008C2D33">
        <w:rPr>
          <w:rFonts w:ascii="Times New Roman" w:hAnsi="Times New Roman"/>
          <w:i/>
          <w:sz w:val="24"/>
        </w:rPr>
        <w:t xml:space="preserve">Libke </w:t>
      </w:r>
      <w:r w:rsidR="009013A2" w:rsidRPr="008C2D33">
        <w:rPr>
          <w:rFonts w:ascii="Times New Roman" w:hAnsi="Times New Roman"/>
          <w:i/>
          <w:sz w:val="24"/>
        </w:rPr>
        <w:t xml:space="preserve">v The Queen </w:t>
      </w:r>
      <w:r w:rsidR="00FC2455" w:rsidRPr="008C2D33">
        <w:rPr>
          <w:rFonts w:ascii="Times New Roman" w:hAnsi="Times New Roman"/>
          <w:sz w:val="24"/>
        </w:rPr>
        <w:t>(2007) 230 CLR 559 at</w:t>
      </w:r>
      <w:r w:rsidR="00C13DB8" w:rsidRPr="008C2D33">
        <w:rPr>
          <w:rFonts w:ascii="Times New Roman" w:hAnsi="Times New Roman"/>
          <w:sz w:val="24"/>
        </w:rPr>
        <w:t xml:space="preserve"> 586</w:t>
      </w:r>
      <w:r w:rsidR="00FC2455" w:rsidRPr="008C2D33">
        <w:rPr>
          <w:rFonts w:ascii="Times New Roman" w:hAnsi="Times New Roman"/>
          <w:sz w:val="24"/>
        </w:rPr>
        <w:t xml:space="preserve"> [71]</w:t>
      </w:r>
      <w:r w:rsidRPr="008C2D33">
        <w:rPr>
          <w:rFonts w:ascii="Times New Roman" w:hAnsi="Times New Roman"/>
          <w:sz w:val="24"/>
        </w:rPr>
        <w:t>.</w:t>
      </w:r>
    </w:p>
  </w:footnote>
  <w:footnote w:id="26">
    <w:p w14:paraId="3F3979FA" w14:textId="0DBDE1FC" w:rsidR="00487F0D" w:rsidRPr="008C2D33" w:rsidRDefault="00487F0D"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A35360" w:rsidRPr="008C2D33">
        <w:rPr>
          <w:rFonts w:ascii="Times New Roman" w:hAnsi="Times New Roman"/>
          <w:sz w:val="24"/>
        </w:rPr>
        <w:t>(1989) 54 SASR 17 at 23.</w:t>
      </w:r>
    </w:p>
  </w:footnote>
  <w:footnote w:id="27">
    <w:p w14:paraId="788DD16A" w14:textId="1AAA90DE" w:rsidR="00CD385F" w:rsidRPr="008C2D33" w:rsidRDefault="00CD385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9E63B4" w:rsidRPr="008C2D33">
        <w:rPr>
          <w:rFonts w:ascii="Times New Roman" w:hAnsi="Times New Roman"/>
          <w:i/>
          <w:sz w:val="24"/>
        </w:rPr>
        <w:t>The Queen</w:t>
      </w:r>
      <w:r w:rsidRPr="008C2D33">
        <w:rPr>
          <w:rFonts w:ascii="Times New Roman" w:hAnsi="Times New Roman"/>
          <w:sz w:val="24"/>
        </w:rPr>
        <w:t xml:space="preserve"> [2019] NSWCCA 244 at [97] per Macfarlan</w:t>
      </w:r>
      <w:r w:rsidR="00442A47" w:rsidRPr="008C2D33">
        <w:rPr>
          <w:rFonts w:ascii="Times New Roman" w:hAnsi="Times New Roman"/>
          <w:sz w:val="24"/>
        </w:rPr>
        <w:t> </w:t>
      </w:r>
      <w:r w:rsidRPr="008C2D33">
        <w:rPr>
          <w:rFonts w:ascii="Times New Roman" w:hAnsi="Times New Roman"/>
          <w:sz w:val="24"/>
        </w:rPr>
        <w:t xml:space="preserve">JA. </w:t>
      </w:r>
    </w:p>
  </w:footnote>
  <w:footnote w:id="28">
    <w:p w14:paraId="6374079C" w14:textId="169A59D3"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(1990) 19 NSWLR 677</w:t>
      </w:r>
      <w:r w:rsidR="0049596A" w:rsidRPr="008C2D33">
        <w:rPr>
          <w:rFonts w:ascii="Times New Roman" w:hAnsi="Times New Roman"/>
          <w:sz w:val="24"/>
        </w:rPr>
        <w:t xml:space="preserve"> at 681-683</w:t>
      </w:r>
      <w:r w:rsidR="00BC43A9" w:rsidRPr="008C2D33">
        <w:rPr>
          <w:rFonts w:ascii="Times New Roman" w:hAnsi="Times New Roman"/>
          <w:sz w:val="24"/>
        </w:rPr>
        <w:t>,</w:t>
      </w:r>
      <w:r w:rsidR="009F67DA" w:rsidRPr="008C2D33">
        <w:rPr>
          <w:rFonts w:ascii="Times New Roman" w:hAnsi="Times New Roman"/>
          <w:sz w:val="24"/>
        </w:rPr>
        <w:t xml:space="preserve"> 692</w:t>
      </w:r>
      <w:r w:rsidRPr="008C2D33">
        <w:rPr>
          <w:rFonts w:ascii="Times New Roman" w:hAnsi="Times New Roman"/>
          <w:sz w:val="24"/>
        </w:rPr>
        <w:t>.</w:t>
      </w:r>
    </w:p>
  </w:footnote>
  <w:footnote w:id="29">
    <w:p w14:paraId="7554C55C" w14:textId="59061249"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134B9A" w:rsidRPr="008C2D33">
        <w:rPr>
          <w:rFonts w:ascii="Times New Roman" w:hAnsi="Times New Roman"/>
          <w:sz w:val="24"/>
        </w:rPr>
        <w:t>[</w:t>
      </w:r>
      <w:r w:rsidRPr="008C2D33">
        <w:rPr>
          <w:rFonts w:ascii="Times New Roman" w:hAnsi="Times New Roman"/>
          <w:sz w:val="24"/>
        </w:rPr>
        <w:t>2002</w:t>
      </w:r>
      <w:r w:rsidR="00134B9A" w:rsidRPr="008C2D33">
        <w:rPr>
          <w:rFonts w:ascii="Times New Roman" w:hAnsi="Times New Roman"/>
          <w:sz w:val="24"/>
        </w:rPr>
        <w:t>]</w:t>
      </w:r>
      <w:r w:rsidRPr="008C2D33">
        <w:rPr>
          <w:rFonts w:ascii="Times New Roman" w:hAnsi="Times New Roman"/>
          <w:sz w:val="24"/>
        </w:rPr>
        <w:t xml:space="preserve"> NSWCCA 78</w:t>
      </w:r>
      <w:r w:rsidR="001F7E59" w:rsidRPr="008C2D33">
        <w:rPr>
          <w:rFonts w:ascii="Times New Roman" w:hAnsi="Times New Roman"/>
          <w:sz w:val="24"/>
        </w:rPr>
        <w:t xml:space="preserve"> at </w:t>
      </w:r>
      <w:r w:rsidR="00A826E2" w:rsidRPr="008C2D33">
        <w:rPr>
          <w:rFonts w:ascii="Times New Roman" w:hAnsi="Times New Roman"/>
          <w:sz w:val="24"/>
        </w:rPr>
        <w:t>[40]</w:t>
      </w:r>
      <w:r w:rsidR="00AF26D8" w:rsidRPr="008C2D33">
        <w:rPr>
          <w:rFonts w:ascii="Times New Roman" w:hAnsi="Times New Roman"/>
          <w:sz w:val="24"/>
        </w:rPr>
        <w:t>.</w:t>
      </w:r>
    </w:p>
  </w:footnote>
  <w:footnote w:id="30">
    <w:p w14:paraId="50244485" w14:textId="76AAFA5D"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134B9A" w:rsidRPr="008C2D33">
        <w:rPr>
          <w:rFonts w:ascii="Times New Roman" w:hAnsi="Times New Roman"/>
          <w:i/>
          <w:sz w:val="24"/>
        </w:rPr>
        <w:t>Picker v The Queen</w:t>
      </w:r>
      <w:r w:rsidR="00134B9A" w:rsidRPr="008C2D33">
        <w:rPr>
          <w:rFonts w:ascii="Times New Roman" w:hAnsi="Times New Roman"/>
          <w:sz w:val="24"/>
        </w:rPr>
        <w:t xml:space="preserve"> [2002] NSWCCA 78 </w:t>
      </w:r>
      <w:r w:rsidRPr="008C2D33">
        <w:rPr>
          <w:rFonts w:ascii="Times New Roman" w:hAnsi="Times New Roman"/>
          <w:sz w:val="24"/>
        </w:rPr>
        <w:t>at [41].</w:t>
      </w:r>
    </w:p>
  </w:footnote>
  <w:footnote w:id="31">
    <w:p w14:paraId="1A6583F3" w14:textId="46A4EA17" w:rsidR="002E1E2F" w:rsidRPr="008C2D33" w:rsidRDefault="002E1E2F"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F272C0" w:rsidRPr="008C2D33">
        <w:rPr>
          <w:rFonts w:ascii="Times New Roman" w:hAnsi="Times New Roman"/>
          <w:i/>
          <w:sz w:val="24"/>
        </w:rPr>
        <w:t>R v Manunta</w:t>
      </w:r>
      <w:r w:rsidR="00F272C0" w:rsidRPr="008C2D33">
        <w:rPr>
          <w:rFonts w:ascii="Times New Roman" w:hAnsi="Times New Roman"/>
          <w:sz w:val="24"/>
        </w:rPr>
        <w:t xml:space="preserve"> (1989) 54 SASR 17 at 26; </w:t>
      </w:r>
      <w:r w:rsidR="00134B9A" w:rsidRPr="008C2D33">
        <w:rPr>
          <w:rFonts w:ascii="Times New Roman" w:hAnsi="Times New Roman"/>
          <w:i/>
          <w:sz w:val="24"/>
        </w:rPr>
        <w:t>R v</w:t>
      </w:r>
      <w:r w:rsidR="00134B9A" w:rsidRPr="008C2D33">
        <w:rPr>
          <w:rFonts w:ascii="Times New Roman" w:hAnsi="Times New Roman"/>
          <w:sz w:val="24"/>
        </w:rPr>
        <w:t xml:space="preserve"> </w:t>
      </w:r>
      <w:r w:rsidRPr="008C2D33">
        <w:rPr>
          <w:rFonts w:ascii="Times New Roman" w:hAnsi="Times New Roman"/>
          <w:i/>
          <w:sz w:val="24"/>
        </w:rPr>
        <w:t>Birks</w:t>
      </w:r>
      <w:r w:rsidRPr="008C2D33">
        <w:rPr>
          <w:rFonts w:ascii="Times New Roman" w:hAnsi="Times New Roman"/>
          <w:sz w:val="24"/>
        </w:rPr>
        <w:t xml:space="preserve"> </w:t>
      </w:r>
      <w:r w:rsidR="00134B9A" w:rsidRPr="008C2D33">
        <w:rPr>
          <w:rFonts w:ascii="Times New Roman" w:hAnsi="Times New Roman"/>
          <w:sz w:val="24"/>
        </w:rPr>
        <w:t xml:space="preserve">(1990) 19 NSWLR 677 </w:t>
      </w:r>
      <w:r w:rsidRPr="008C2D33">
        <w:rPr>
          <w:rFonts w:ascii="Times New Roman" w:hAnsi="Times New Roman"/>
          <w:sz w:val="24"/>
        </w:rPr>
        <w:t xml:space="preserve">at </w:t>
      </w:r>
      <w:r w:rsidR="0014544B" w:rsidRPr="008C2D33">
        <w:rPr>
          <w:rFonts w:ascii="Times New Roman" w:hAnsi="Times New Roman"/>
          <w:sz w:val="24"/>
        </w:rPr>
        <w:t>691-</w:t>
      </w:r>
      <w:r w:rsidR="00261831" w:rsidRPr="008C2D33">
        <w:rPr>
          <w:rFonts w:ascii="Times New Roman" w:hAnsi="Times New Roman"/>
          <w:sz w:val="24"/>
        </w:rPr>
        <w:t>69</w:t>
      </w:r>
      <w:r w:rsidR="0014544B" w:rsidRPr="008C2D33">
        <w:rPr>
          <w:rFonts w:ascii="Times New Roman" w:hAnsi="Times New Roman"/>
          <w:sz w:val="24"/>
        </w:rPr>
        <w:t>2</w:t>
      </w:r>
      <w:r w:rsidRPr="008C2D33">
        <w:rPr>
          <w:rFonts w:ascii="Times New Roman" w:hAnsi="Times New Roman"/>
          <w:sz w:val="24"/>
        </w:rPr>
        <w:t xml:space="preserve">; </w:t>
      </w:r>
      <w:r w:rsidRPr="008C2D33">
        <w:rPr>
          <w:rFonts w:ascii="Times New Roman" w:hAnsi="Times New Roman"/>
          <w:i/>
          <w:sz w:val="24"/>
        </w:rPr>
        <w:t>Abdallah</w:t>
      </w:r>
      <w:r w:rsidRPr="008C2D33">
        <w:rPr>
          <w:rFonts w:ascii="Times New Roman" w:hAnsi="Times New Roman"/>
          <w:sz w:val="24"/>
        </w:rPr>
        <w:t xml:space="preserve"> </w:t>
      </w:r>
      <w:r w:rsidRPr="008C2D33" w:rsidDel="00036350">
        <w:rPr>
          <w:rFonts w:ascii="Times New Roman" w:hAnsi="Times New Roman"/>
          <w:sz w:val="24"/>
        </w:rPr>
        <w:t>(</w:t>
      </w:r>
      <w:r w:rsidRPr="008C2D33">
        <w:rPr>
          <w:rFonts w:ascii="Times New Roman" w:hAnsi="Times New Roman"/>
          <w:sz w:val="24"/>
        </w:rPr>
        <w:t>2001</w:t>
      </w:r>
      <w:r w:rsidRPr="008C2D33" w:rsidDel="00036350">
        <w:rPr>
          <w:rFonts w:ascii="Times New Roman" w:hAnsi="Times New Roman"/>
          <w:sz w:val="24"/>
        </w:rPr>
        <w:t>)</w:t>
      </w:r>
      <w:r w:rsidR="00153682" w:rsidRPr="008C2D33">
        <w:rPr>
          <w:rFonts w:ascii="Times New Roman" w:hAnsi="Times New Roman"/>
          <w:sz w:val="24"/>
        </w:rPr>
        <w:t xml:space="preserve"> 127 A Crim R 46 </w:t>
      </w:r>
      <w:r w:rsidRPr="008C2D33">
        <w:rPr>
          <w:rFonts w:ascii="Times New Roman" w:hAnsi="Times New Roman"/>
          <w:sz w:val="24"/>
        </w:rPr>
        <w:t xml:space="preserve">at </w:t>
      </w:r>
      <w:r w:rsidR="00126E55" w:rsidRPr="008C2D33">
        <w:rPr>
          <w:rFonts w:ascii="Times New Roman" w:hAnsi="Times New Roman"/>
          <w:sz w:val="24"/>
        </w:rPr>
        <w:t xml:space="preserve">52 </w:t>
      </w:r>
      <w:r w:rsidRPr="008C2D33">
        <w:rPr>
          <w:rFonts w:ascii="Times New Roman" w:hAnsi="Times New Roman"/>
          <w:sz w:val="24"/>
        </w:rPr>
        <w:t>[24].</w:t>
      </w:r>
    </w:p>
  </w:footnote>
  <w:footnote w:id="32">
    <w:p w14:paraId="1AC93016" w14:textId="3A74BFA1"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D12331" w:rsidRPr="008C2D33">
        <w:rPr>
          <w:rFonts w:ascii="Times New Roman" w:hAnsi="Times New Roman"/>
          <w:i/>
          <w:sz w:val="24"/>
        </w:rPr>
        <w:t xml:space="preserve">The Queen </w:t>
      </w:r>
      <w:r w:rsidRPr="008C2D33">
        <w:rPr>
          <w:rFonts w:ascii="Times New Roman" w:hAnsi="Times New Roman"/>
          <w:sz w:val="24"/>
        </w:rPr>
        <w:t>[2019] NSWCCA 244 at [189].</w:t>
      </w:r>
    </w:p>
  </w:footnote>
  <w:footnote w:id="33">
    <w:p w14:paraId="3346711E" w14:textId="2BE8645F"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DE5587" w:rsidRPr="008C2D33">
        <w:rPr>
          <w:rFonts w:ascii="Times New Roman" w:hAnsi="Times New Roman"/>
          <w:i/>
          <w:sz w:val="24"/>
        </w:rPr>
        <w:t xml:space="preserve">The Queen </w:t>
      </w:r>
      <w:r w:rsidRPr="008C2D33">
        <w:rPr>
          <w:rFonts w:ascii="Times New Roman" w:hAnsi="Times New Roman"/>
          <w:sz w:val="24"/>
        </w:rPr>
        <w:t>[2019] NSWCCA 244 at [103].</w:t>
      </w:r>
    </w:p>
  </w:footnote>
  <w:footnote w:id="34">
    <w:p w14:paraId="306E5D6C" w14:textId="1FB3B98D"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DE5587" w:rsidRPr="008C2D33">
        <w:rPr>
          <w:rFonts w:ascii="Times New Roman" w:hAnsi="Times New Roman"/>
          <w:i/>
          <w:sz w:val="24"/>
        </w:rPr>
        <w:t xml:space="preserve">The Queen </w:t>
      </w:r>
      <w:r w:rsidRPr="008C2D33">
        <w:rPr>
          <w:rFonts w:ascii="Times New Roman" w:hAnsi="Times New Roman"/>
          <w:sz w:val="24"/>
        </w:rPr>
        <w:t>[2019] NSWCCA 244 at [192].</w:t>
      </w:r>
    </w:p>
  </w:footnote>
  <w:footnote w:id="35">
    <w:p w14:paraId="1502C3B1" w14:textId="3FB55E9B"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DE5587" w:rsidRPr="008C2D33">
        <w:rPr>
          <w:rFonts w:ascii="Times New Roman" w:hAnsi="Times New Roman"/>
          <w:i/>
          <w:sz w:val="24"/>
        </w:rPr>
        <w:t xml:space="preserve">The Queen </w:t>
      </w:r>
      <w:r w:rsidRPr="008C2D33">
        <w:rPr>
          <w:rFonts w:ascii="Times New Roman" w:hAnsi="Times New Roman"/>
          <w:sz w:val="24"/>
        </w:rPr>
        <w:t>[2019] NSWCCA 244 at [189]-[201]</w:t>
      </w:r>
      <w:r w:rsidR="007C3817" w:rsidRPr="008C2D33">
        <w:rPr>
          <w:rFonts w:ascii="Times New Roman" w:hAnsi="Times New Roman"/>
          <w:sz w:val="24"/>
        </w:rPr>
        <w:t>.</w:t>
      </w:r>
      <w:r w:rsidRPr="008C2D33">
        <w:rPr>
          <w:rFonts w:ascii="Times New Roman" w:hAnsi="Times New Roman"/>
          <w:sz w:val="24"/>
        </w:rPr>
        <w:t xml:space="preserve"> </w:t>
      </w:r>
      <w:r w:rsidR="007C3817" w:rsidRPr="008C2D33">
        <w:rPr>
          <w:rFonts w:ascii="Times New Roman" w:hAnsi="Times New Roman"/>
          <w:sz w:val="24"/>
        </w:rPr>
        <w:t xml:space="preserve">See </w:t>
      </w:r>
      <w:r w:rsidRPr="008C2D33">
        <w:rPr>
          <w:rFonts w:ascii="Times New Roman" w:hAnsi="Times New Roman"/>
          <w:i/>
          <w:sz w:val="24"/>
        </w:rPr>
        <w:t xml:space="preserve">Weiss v The Queen </w:t>
      </w:r>
      <w:r w:rsidRPr="008C2D33">
        <w:rPr>
          <w:rFonts w:ascii="Times New Roman" w:hAnsi="Times New Roman"/>
          <w:sz w:val="24"/>
        </w:rPr>
        <w:t>(2005) 224 CLR 300 at 314 [35].</w:t>
      </w:r>
    </w:p>
  </w:footnote>
  <w:footnote w:id="36">
    <w:p w14:paraId="261A0D68"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(1988) 164 CLR 365 at 373.</w:t>
      </w:r>
    </w:p>
  </w:footnote>
  <w:footnote w:id="37">
    <w:p w14:paraId="508119C9"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(2005) 224 CLR 300 at 317 [44]</w:t>
      </w:r>
      <w:r w:rsidRPr="008C2D33">
        <w:rPr>
          <w:rFonts w:ascii="Times New Roman" w:hAnsi="Times New Roman"/>
          <w:sz w:val="24"/>
        </w:rPr>
        <w:noBreakHyphen/>
        <w:t>[45].</w:t>
      </w:r>
    </w:p>
  </w:footnote>
  <w:footnote w:id="38">
    <w:p w14:paraId="0565EE5E" w14:textId="1A2460F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DE5587" w:rsidRPr="008C2D33">
        <w:rPr>
          <w:rFonts w:ascii="Times New Roman" w:hAnsi="Times New Roman"/>
          <w:i/>
          <w:sz w:val="24"/>
        </w:rPr>
        <w:t xml:space="preserve">The Queen </w:t>
      </w:r>
      <w:r w:rsidRPr="008C2D33">
        <w:rPr>
          <w:rFonts w:ascii="Times New Roman" w:hAnsi="Times New Roman"/>
          <w:sz w:val="24"/>
        </w:rPr>
        <w:t>[2019] NSWCCA 244 at [61], [63].</w:t>
      </w:r>
    </w:p>
  </w:footnote>
  <w:footnote w:id="39">
    <w:p w14:paraId="3276368F" w14:textId="00A89CFB"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sz w:val="24"/>
        </w:rPr>
        <w:t xml:space="preserve">Hofer v </w:t>
      </w:r>
      <w:r w:rsidR="00DE5587" w:rsidRPr="008C2D33">
        <w:rPr>
          <w:rFonts w:ascii="Times New Roman" w:hAnsi="Times New Roman"/>
          <w:i/>
          <w:sz w:val="24"/>
        </w:rPr>
        <w:t xml:space="preserve">The Queen </w:t>
      </w:r>
      <w:r w:rsidRPr="008C2D33">
        <w:rPr>
          <w:rFonts w:ascii="Times New Roman" w:hAnsi="Times New Roman"/>
          <w:sz w:val="24"/>
        </w:rPr>
        <w:t>[2019] NSWCCA 244 at [60]</w:t>
      </w:r>
      <w:r w:rsidRPr="008C2D33">
        <w:rPr>
          <w:rFonts w:ascii="Times New Roman" w:hAnsi="Times New Roman"/>
          <w:sz w:val="24"/>
        </w:rPr>
        <w:noBreakHyphen/>
        <w:t>[61].</w:t>
      </w:r>
    </w:p>
  </w:footnote>
  <w:footnote w:id="40">
    <w:p w14:paraId="7C17DE71"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Weiss v The Queen </w:t>
      </w:r>
      <w:r w:rsidRPr="008C2D33">
        <w:rPr>
          <w:rFonts w:ascii="Times New Roman" w:hAnsi="Times New Roman"/>
          <w:sz w:val="24"/>
        </w:rPr>
        <w:t xml:space="preserve">(2005) 224 CLR 300 at 317 [44]; </w:t>
      </w:r>
      <w:r w:rsidRPr="008C2D33">
        <w:rPr>
          <w:rFonts w:ascii="Times New Roman" w:hAnsi="Times New Roman"/>
          <w:i/>
          <w:iCs/>
          <w:sz w:val="24"/>
        </w:rPr>
        <w:t xml:space="preserve">Baini v The Queen </w:t>
      </w:r>
      <w:r w:rsidRPr="008C2D33">
        <w:rPr>
          <w:rFonts w:ascii="Times New Roman" w:hAnsi="Times New Roman"/>
          <w:sz w:val="24"/>
        </w:rPr>
        <w:t>(2012) 246 CLR 469 at 480 [28]</w:t>
      </w:r>
      <w:r w:rsidRPr="008C2D33">
        <w:rPr>
          <w:rFonts w:ascii="Times New Roman" w:hAnsi="Times New Roman"/>
          <w:sz w:val="24"/>
        </w:rPr>
        <w:noBreakHyphen/>
        <w:t xml:space="preserve">[30]; </w:t>
      </w:r>
      <w:r w:rsidRPr="008C2D33">
        <w:rPr>
          <w:rFonts w:ascii="Times New Roman" w:hAnsi="Times New Roman"/>
          <w:i/>
          <w:iCs/>
          <w:sz w:val="24"/>
        </w:rPr>
        <w:t xml:space="preserve">Lane v The Queen </w:t>
      </w:r>
      <w:r w:rsidRPr="008C2D33">
        <w:rPr>
          <w:rFonts w:ascii="Times New Roman" w:hAnsi="Times New Roman"/>
          <w:sz w:val="24"/>
        </w:rPr>
        <w:t>(2018) 265 CLR 196 at 206</w:t>
      </w:r>
      <w:r w:rsidRPr="008C2D33">
        <w:rPr>
          <w:rFonts w:ascii="Times New Roman" w:hAnsi="Times New Roman"/>
          <w:sz w:val="24"/>
        </w:rPr>
        <w:noBreakHyphen/>
        <w:t>207 [38].</w:t>
      </w:r>
    </w:p>
  </w:footnote>
  <w:footnote w:id="41">
    <w:p w14:paraId="3ABD94BB" w14:textId="5F9AF3F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 xml:space="preserve">The Queen </w:t>
      </w:r>
      <w:r w:rsidRPr="008C2D33">
        <w:rPr>
          <w:rFonts w:ascii="Times New Roman" w:hAnsi="Times New Roman"/>
          <w:sz w:val="24"/>
        </w:rPr>
        <w:t xml:space="preserve">[2019] NSWCCA 244 at [189], citing </w:t>
      </w:r>
      <w:r w:rsidRPr="008C2D33">
        <w:rPr>
          <w:rFonts w:ascii="Times New Roman" w:hAnsi="Times New Roman"/>
          <w:i/>
          <w:iCs/>
          <w:sz w:val="24"/>
        </w:rPr>
        <w:t xml:space="preserve">Weiss v The Queen </w:t>
      </w:r>
      <w:r w:rsidRPr="008C2D33">
        <w:rPr>
          <w:rFonts w:ascii="Times New Roman" w:hAnsi="Times New Roman"/>
          <w:sz w:val="24"/>
        </w:rPr>
        <w:t>(2005) 224 CLR 300.</w:t>
      </w:r>
    </w:p>
  </w:footnote>
  <w:footnote w:id="42">
    <w:p w14:paraId="15FF9131"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 xml:space="preserve">See and compare </w:t>
      </w:r>
      <w:r w:rsidRPr="008C2D33">
        <w:rPr>
          <w:rFonts w:ascii="Times New Roman" w:hAnsi="Times New Roman"/>
          <w:i/>
          <w:iCs/>
          <w:sz w:val="24"/>
        </w:rPr>
        <w:t xml:space="preserve">Castle v The Queen </w:t>
      </w:r>
      <w:r w:rsidRPr="008C2D33">
        <w:rPr>
          <w:rFonts w:ascii="Times New Roman" w:hAnsi="Times New Roman"/>
          <w:sz w:val="24"/>
        </w:rPr>
        <w:t>(2016) 259 CLR 449 at 468 [52], 472 [66].</w:t>
      </w:r>
    </w:p>
  </w:footnote>
  <w:footnote w:id="43">
    <w:p w14:paraId="0871D4AE" w14:textId="48717CC6"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X7 v Australian Crime Commission </w:t>
      </w:r>
      <w:r w:rsidRPr="008C2D33">
        <w:rPr>
          <w:rFonts w:ascii="Times New Roman" w:hAnsi="Times New Roman"/>
          <w:sz w:val="24"/>
        </w:rPr>
        <w:t xml:space="preserve">(2013) 248 CLR 92; </w:t>
      </w:r>
      <w:r w:rsidRPr="008C2D33">
        <w:rPr>
          <w:rFonts w:ascii="Times New Roman" w:hAnsi="Times New Roman"/>
          <w:i/>
          <w:iCs/>
          <w:sz w:val="24"/>
        </w:rPr>
        <w:t xml:space="preserve">Lee v New South Wales Crime Commission </w:t>
      </w:r>
      <w:r w:rsidRPr="008C2D33">
        <w:rPr>
          <w:rFonts w:ascii="Times New Roman" w:hAnsi="Times New Roman"/>
          <w:sz w:val="24"/>
        </w:rPr>
        <w:t xml:space="preserve">(2013) 251 CLR </w:t>
      </w:r>
      <w:r w:rsidR="00995DB0" w:rsidRPr="008C2D33">
        <w:rPr>
          <w:rFonts w:ascii="Times New Roman" w:hAnsi="Times New Roman"/>
          <w:sz w:val="24"/>
        </w:rPr>
        <w:t>1</w:t>
      </w:r>
      <w:r w:rsidRPr="008C2D33">
        <w:rPr>
          <w:rFonts w:ascii="Times New Roman" w:hAnsi="Times New Roman"/>
          <w:sz w:val="24"/>
        </w:rPr>
        <w:t>9</w:t>
      </w:r>
      <w:r w:rsidR="00995DB0" w:rsidRPr="008C2D33">
        <w:rPr>
          <w:rFonts w:ascii="Times New Roman" w:hAnsi="Times New Roman"/>
          <w:sz w:val="24"/>
        </w:rPr>
        <w:t>6</w:t>
      </w:r>
      <w:r w:rsidRPr="008C2D33">
        <w:rPr>
          <w:rFonts w:ascii="Times New Roman" w:hAnsi="Times New Roman"/>
          <w:sz w:val="24"/>
        </w:rPr>
        <w:t>.</w:t>
      </w:r>
    </w:p>
  </w:footnote>
  <w:footnote w:id="44">
    <w:p w14:paraId="11F8BC74"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Douglass v The Queen </w:t>
      </w:r>
      <w:r w:rsidRPr="008C2D33">
        <w:rPr>
          <w:rFonts w:ascii="Times New Roman" w:hAnsi="Times New Roman"/>
          <w:sz w:val="24"/>
        </w:rPr>
        <w:t xml:space="preserve">(2012) 86 ALJR 1086 at 1090 [13]; 290 ALR 699 at 703, citing </w:t>
      </w:r>
      <w:r w:rsidRPr="008C2D33">
        <w:rPr>
          <w:rFonts w:ascii="Times New Roman" w:hAnsi="Times New Roman"/>
          <w:i/>
          <w:iCs/>
          <w:sz w:val="24"/>
        </w:rPr>
        <w:t xml:space="preserve">Liberato v The Queen </w:t>
      </w:r>
      <w:r w:rsidRPr="008C2D33">
        <w:rPr>
          <w:rFonts w:ascii="Times New Roman" w:hAnsi="Times New Roman"/>
          <w:sz w:val="24"/>
        </w:rPr>
        <w:t>(1985) 159 CLR 507 at 515.</w:t>
      </w:r>
    </w:p>
  </w:footnote>
  <w:footnote w:id="45">
    <w:p w14:paraId="0E626C2F" w14:textId="2411A533"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(2005) 224 CLR 300 at 314 [35]</w:t>
      </w:r>
      <w:r w:rsidR="006B03BF" w:rsidRPr="008C2D33">
        <w:rPr>
          <w:rFonts w:ascii="Times New Roman" w:hAnsi="Times New Roman"/>
          <w:sz w:val="24"/>
        </w:rPr>
        <w:t xml:space="preserve">, </w:t>
      </w:r>
      <w:r w:rsidR="003611D2" w:rsidRPr="008C2D33">
        <w:rPr>
          <w:rFonts w:ascii="Times New Roman" w:hAnsi="Times New Roman"/>
          <w:sz w:val="24"/>
        </w:rPr>
        <w:t>317 [44]</w:t>
      </w:r>
      <w:r w:rsidRPr="008C2D33">
        <w:rPr>
          <w:rFonts w:ascii="Times New Roman" w:hAnsi="Times New Roman"/>
          <w:sz w:val="24"/>
        </w:rPr>
        <w:t>.</w:t>
      </w:r>
    </w:p>
  </w:footnote>
  <w:footnote w:id="46">
    <w:p w14:paraId="70DD09D5"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(2018) 264 CLR 62 at 70 [12].</w:t>
      </w:r>
    </w:p>
  </w:footnote>
  <w:footnote w:id="47">
    <w:p w14:paraId="6ACF2A82"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(2018) 264 CLR 62 at 71 [15].</w:t>
      </w:r>
    </w:p>
  </w:footnote>
  <w:footnote w:id="48">
    <w:p w14:paraId="289EC06E"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Weiss v The Queen</w:t>
      </w:r>
      <w:r w:rsidRPr="008C2D33">
        <w:rPr>
          <w:rFonts w:ascii="Times New Roman" w:hAnsi="Times New Roman"/>
          <w:sz w:val="24"/>
        </w:rPr>
        <w:t xml:space="preserve"> (2005) 224 CLR 300 at 317 [44]; </w:t>
      </w:r>
      <w:r w:rsidRPr="008C2D33">
        <w:rPr>
          <w:rFonts w:ascii="Times New Roman" w:hAnsi="Times New Roman"/>
          <w:i/>
          <w:iCs/>
          <w:sz w:val="24"/>
        </w:rPr>
        <w:t xml:space="preserve">AK v Western Australia </w:t>
      </w:r>
      <w:r w:rsidRPr="008C2D33">
        <w:rPr>
          <w:rFonts w:ascii="Times New Roman" w:hAnsi="Times New Roman"/>
          <w:sz w:val="24"/>
        </w:rPr>
        <w:t>(2008) 232 CLR 438 at 455</w:t>
      </w:r>
      <w:r w:rsidRPr="008C2D33">
        <w:rPr>
          <w:rFonts w:ascii="Times New Roman" w:hAnsi="Times New Roman"/>
          <w:sz w:val="24"/>
        </w:rPr>
        <w:noBreakHyphen/>
        <w:t>456 [53]</w:t>
      </w:r>
      <w:r w:rsidRPr="008C2D33">
        <w:rPr>
          <w:rFonts w:ascii="Times New Roman" w:hAnsi="Times New Roman"/>
          <w:sz w:val="24"/>
        </w:rPr>
        <w:noBreakHyphen/>
        <w:t>[55].</w:t>
      </w:r>
    </w:p>
  </w:footnote>
  <w:footnote w:id="49">
    <w:p w14:paraId="6D48F188"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Castle v The Queen</w:t>
      </w:r>
      <w:r w:rsidRPr="008C2D33">
        <w:rPr>
          <w:rFonts w:ascii="Times New Roman" w:hAnsi="Times New Roman"/>
          <w:sz w:val="24"/>
        </w:rPr>
        <w:t xml:space="preserve"> (2016) 259 CLR 449.</w:t>
      </w:r>
    </w:p>
  </w:footnote>
  <w:footnote w:id="50">
    <w:p w14:paraId="2266E9BE"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Baiada Poultry Pty Ltd v The Queen</w:t>
      </w:r>
      <w:r w:rsidRPr="008C2D33">
        <w:rPr>
          <w:rFonts w:ascii="Times New Roman" w:hAnsi="Times New Roman"/>
          <w:sz w:val="24"/>
        </w:rPr>
        <w:t xml:space="preserve"> (2012) 246 CLR 92; </w:t>
      </w:r>
      <w:r w:rsidRPr="008C2D33">
        <w:rPr>
          <w:rFonts w:ascii="Times New Roman" w:hAnsi="Times New Roman"/>
          <w:i/>
          <w:iCs/>
          <w:sz w:val="24"/>
        </w:rPr>
        <w:t>Lindsay v The Queen</w:t>
      </w:r>
      <w:r w:rsidRPr="008C2D33">
        <w:rPr>
          <w:rFonts w:ascii="Times New Roman" w:hAnsi="Times New Roman"/>
          <w:sz w:val="24"/>
        </w:rPr>
        <w:t xml:space="preserve"> (2015) 255 CLR 272. See also </w:t>
      </w:r>
      <w:r w:rsidRPr="008C2D33">
        <w:rPr>
          <w:rFonts w:ascii="Times New Roman" w:hAnsi="Times New Roman"/>
          <w:i/>
          <w:iCs/>
          <w:sz w:val="24"/>
        </w:rPr>
        <w:t>Filippou v The Queen</w:t>
      </w:r>
      <w:r w:rsidRPr="008C2D33">
        <w:rPr>
          <w:rFonts w:ascii="Times New Roman" w:hAnsi="Times New Roman"/>
          <w:sz w:val="24"/>
        </w:rPr>
        <w:t xml:space="preserve"> (2015) 256 CLR 47.</w:t>
      </w:r>
    </w:p>
  </w:footnote>
  <w:footnote w:id="51">
    <w:p w14:paraId="6121D0E6"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Pollock v The Queen</w:t>
      </w:r>
      <w:r w:rsidRPr="008C2D33">
        <w:rPr>
          <w:rFonts w:ascii="Times New Roman" w:hAnsi="Times New Roman"/>
          <w:sz w:val="24"/>
        </w:rPr>
        <w:t xml:space="preserve"> (2010) 242 CLR 233; and see </w:t>
      </w:r>
      <w:r w:rsidRPr="008C2D33">
        <w:rPr>
          <w:rFonts w:ascii="Times New Roman" w:hAnsi="Times New Roman"/>
          <w:i/>
          <w:iCs/>
          <w:sz w:val="24"/>
        </w:rPr>
        <w:t>Reeves v The Queen</w:t>
      </w:r>
      <w:r w:rsidRPr="008C2D33">
        <w:rPr>
          <w:rFonts w:ascii="Times New Roman" w:hAnsi="Times New Roman"/>
          <w:sz w:val="24"/>
        </w:rPr>
        <w:t xml:space="preserve"> (2013) 88 ALJR 215 at 223</w:t>
      </w:r>
      <w:r w:rsidRPr="008C2D33">
        <w:rPr>
          <w:rFonts w:ascii="Times New Roman" w:hAnsi="Times New Roman"/>
          <w:sz w:val="24"/>
        </w:rPr>
        <w:noBreakHyphen/>
        <w:t>224 [50]; 304 ALR 251 at 261.</w:t>
      </w:r>
    </w:p>
  </w:footnote>
  <w:footnote w:id="52">
    <w:p w14:paraId="6957EE34"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Nudd v The Queen</w:t>
      </w:r>
      <w:r w:rsidRPr="008C2D33">
        <w:rPr>
          <w:rFonts w:ascii="Times New Roman" w:hAnsi="Times New Roman"/>
          <w:sz w:val="24"/>
        </w:rPr>
        <w:t xml:space="preserve"> (2006) 80 ALJR 614 at 618 [6]; 225 ALR 161 at 163.</w:t>
      </w:r>
    </w:p>
  </w:footnote>
  <w:footnote w:id="53">
    <w:p w14:paraId="6D5A3B3F" w14:textId="568E4011"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 xml:space="preserve">The Queen </w:t>
      </w:r>
      <w:r w:rsidRPr="008C2D33">
        <w:rPr>
          <w:rFonts w:ascii="Times New Roman" w:hAnsi="Times New Roman"/>
          <w:sz w:val="24"/>
        </w:rPr>
        <w:t>[2019] NSWCCA 244 at [60].</w:t>
      </w:r>
    </w:p>
  </w:footnote>
  <w:footnote w:id="54">
    <w:p w14:paraId="399FD17B"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(2016) 259 CLR 449 esp at 472 [66].</w:t>
      </w:r>
    </w:p>
  </w:footnote>
  <w:footnote w:id="55">
    <w:p w14:paraId="43341D3F" w14:textId="7076B758"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 xml:space="preserve">Compare </w:t>
      </w:r>
      <w:r w:rsidRPr="008C2D33">
        <w:rPr>
          <w:rFonts w:ascii="Times New Roman" w:hAnsi="Times New Roman"/>
          <w:i/>
          <w:iCs/>
          <w:sz w:val="24"/>
        </w:rPr>
        <w:t>R v Baden</w:t>
      </w:r>
      <w:r w:rsidRPr="008C2D33">
        <w:rPr>
          <w:rFonts w:ascii="Times New Roman" w:hAnsi="Times New Roman"/>
          <w:i/>
          <w:iCs/>
          <w:sz w:val="24"/>
        </w:rPr>
        <w:noBreakHyphen/>
        <w:t xml:space="preserve">Clay </w:t>
      </w:r>
      <w:r w:rsidRPr="008C2D33">
        <w:rPr>
          <w:rFonts w:ascii="Times New Roman" w:hAnsi="Times New Roman"/>
          <w:sz w:val="24"/>
        </w:rPr>
        <w:t>(2016) 258 CLR 308 at</w:t>
      </w:r>
      <w:r w:rsidR="00973758" w:rsidRPr="008C2D33">
        <w:rPr>
          <w:rFonts w:ascii="Times New Roman" w:hAnsi="Times New Roman"/>
          <w:sz w:val="24"/>
        </w:rPr>
        <w:t xml:space="preserve"> </w:t>
      </w:r>
      <w:r w:rsidRPr="008C2D33">
        <w:rPr>
          <w:rFonts w:ascii="Times New Roman" w:hAnsi="Times New Roman"/>
          <w:sz w:val="24"/>
        </w:rPr>
        <w:t>329</w:t>
      </w:r>
      <w:r w:rsidRPr="008C2D33">
        <w:rPr>
          <w:rFonts w:ascii="Times New Roman" w:hAnsi="Times New Roman"/>
          <w:sz w:val="24"/>
        </w:rPr>
        <w:noBreakHyphen/>
        <w:t>330 [65]</w:t>
      </w:r>
      <w:r w:rsidRPr="008C2D33">
        <w:rPr>
          <w:rFonts w:ascii="Times New Roman" w:hAnsi="Times New Roman"/>
          <w:sz w:val="24"/>
        </w:rPr>
        <w:noBreakHyphen/>
        <w:t>[66].</w:t>
      </w:r>
    </w:p>
  </w:footnote>
  <w:footnote w:id="56">
    <w:p w14:paraId="4B33AF76" w14:textId="52A27BEC" w:rsidR="001171B1" w:rsidRPr="008C2D33" w:rsidRDefault="001171B1"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Style w:val="FootnoteReference"/>
          <w:rFonts w:ascii="Times New Roman" w:hAnsi="Times New Roman"/>
          <w:sz w:val="22"/>
          <w:vertAlign w:val="baseline"/>
        </w:rPr>
        <w:t xml:space="preserve"> </w:t>
      </w:r>
      <w:r w:rsidRPr="008C2D33">
        <w:rPr>
          <w:rFonts w:ascii="Times New Roman" w:hAnsi="Times New Roman"/>
          <w:sz w:val="24"/>
        </w:rPr>
        <w:tab/>
        <w:t>(2016) 259 CLR 449 at 472 [66].</w:t>
      </w:r>
    </w:p>
  </w:footnote>
  <w:footnote w:id="57">
    <w:p w14:paraId="18DF20CE" w14:textId="3E78F58F" w:rsidR="001171B1" w:rsidRPr="008C2D33" w:rsidRDefault="001171B1"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Castle v The Queen </w:t>
      </w:r>
      <w:r w:rsidRPr="008C2D33">
        <w:rPr>
          <w:rFonts w:ascii="Times New Roman" w:hAnsi="Times New Roman"/>
          <w:sz w:val="24"/>
        </w:rPr>
        <w:t xml:space="preserve">(2016) 259 CLR 449 at 461 [19]. </w:t>
      </w:r>
    </w:p>
  </w:footnote>
  <w:footnote w:id="58">
    <w:p w14:paraId="42FA37A2" w14:textId="4A7A8C4A" w:rsidR="001171B1" w:rsidRPr="008C2D33" w:rsidRDefault="001171B1"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Weiss v The Queen </w:t>
      </w:r>
      <w:r w:rsidRPr="008C2D33">
        <w:rPr>
          <w:rFonts w:ascii="Times New Roman" w:hAnsi="Times New Roman"/>
          <w:sz w:val="24"/>
        </w:rPr>
        <w:t>(2005) 224 CLR 300 at 316 [41]</w:t>
      </w:r>
      <w:r w:rsidR="00BB3BBA" w:rsidRPr="008C2D33">
        <w:rPr>
          <w:rFonts w:ascii="Times New Roman" w:hAnsi="Times New Roman"/>
          <w:sz w:val="24"/>
        </w:rPr>
        <w:t>.</w:t>
      </w:r>
      <w:r w:rsidRPr="008C2D33">
        <w:rPr>
          <w:rFonts w:ascii="Times New Roman" w:hAnsi="Times New Roman"/>
          <w:sz w:val="24"/>
        </w:rPr>
        <w:t xml:space="preserve"> </w:t>
      </w:r>
      <w:r w:rsidR="00BB3BBA" w:rsidRPr="008C2D33">
        <w:rPr>
          <w:rFonts w:ascii="Times New Roman" w:hAnsi="Times New Roman"/>
          <w:sz w:val="24"/>
        </w:rPr>
        <w:t xml:space="preserve">See also </w:t>
      </w:r>
      <w:r w:rsidRPr="008C2D33">
        <w:rPr>
          <w:rFonts w:ascii="Times New Roman" w:hAnsi="Times New Roman"/>
          <w:i/>
          <w:iCs/>
          <w:sz w:val="24"/>
        </w:rPr>
        <w:t xml:space="preserve">Kalbasi v </w:t>
      </w:r>
      <w:r w:rsidR="00BB3BBA" w:rsidRPr="008C2D33">
        <w:rPr>
          <w:rFonts w:ascii="Times New Roman" w:hAnsi="Times New Roman"/>
          <w:i/>
          <w:iCs/>
          <w:sz w:val="24"/>
        </w:rPr>
        <w:t xml:space="preserve">Western Australia </w:t>
      </w:r>
      <w:r w:rsidRPr="008C2D33">
        <w:rPr>
          <w:rFonts w:ascii="Times New Roman" w:hAnsi="Times New Roman"/>
          <w:sz w:val="24"/>
        </w:rPr>
        <w:t>(2018) 264 CLR 62 at 69</w:t>
      </w:r>
      <w:r w:rsidRPr="008C2D33">
        <w:rPr>
          <w:rFonts w:ascii="Times New Roman" w:hAnsi="Times New Roman"/>
          <w:sz w:val="24"/>
        </w:rPr>
        <w:noBreakHyphen/>
        <w:t>70 [12].</w:t>
      </w:r>
    </w:p>
  </w:footnote>
  <w:footnote w:id="59">
    <w:p w14:paraId="4152D141" w14:textId="7806A79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 xml:space="preserve">The Queen </w:t>
      </w:r>
      <w:r w:rsidRPr="008C2D33">
        <w:rPr>
          <w:rFonts w:ascii="Times New Roman" w:hAnsi="Times New Roman"/>
          <w:sz w:val="24"/>
        </w:rPr>
        <w:t>[2019] NSWCCA 244 at [190].</w:t>
      </w:r>
    </w:p>
  </w:footnote>
  <w:footnote w:id="60">
    <w:p w14:paraId="21327C83" w14:textId="32584624"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The Queen</w:t>
      </w:r>
      <w:r w:rsidRPr="008C2D33">
        <w:rPr>
          <w:rFonts w:ascii="Times New Roman" w:hAnsi="Times New Roman"/>
          <w:i/>
          <w:iCs/>
          <w:sz w:val="24"/>
        </w:rPr>
        <w:t xml:space="preserve"> </w:t>
      </w:r>
      <w:r w:rsidRPr="008C2D33">
        <w:rPr>
          <w:rFonts w:ascii="Times New Roman" w:hAnsi="Times New Roman"/>
          <w:sz w:val="24"/>
        </w:rPr>
        <w:t>[2019] NSWCCA 244 at [191].</w:t>
      </w:r>
    </w:p>
  </w:footnote>
  <w:footnote w:id="61">
    <w:p w14:paraId="28DF7586" w14:textId="7F879756"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 xml:space="preserve">The Queen </w:t>
      </w:r>
      <w:r w:rsidRPr="008C2D33">
        <w:rPr>
          <w:rFonts w:ascii="Times New Roman" w:hAnsi="Times New Roman"/>
          <w:sz w:val="24"/>
        </w:rPr>
        <w:t>[2019] NSWCCA 244 at [190].</w:t>
      </w:r>
    </w:p>
  </w:footnote>
  <w:footnote w:id="62">
    <w:p w14:paraId="1FAC578B" w14:textId="0FC5AA4B"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 xml:space="preserve">The Queen </w:t>
      </w:r>
      <w:r w:rsidRPr="008C2D33">
        <w:rPr>
          <w:rFonts w:ascii="Times New Roman" w:hAnsi="Times New Roman"/>
          <w:sz w:val="24"/>
        </w:rPr>
        <w:t>[2019] NSWCCA 244 at [190].</w:t>
      </w:r>
    </w:p>
  </w:footnote>
  <w:footnote w:id="63">
    <w:p w14:paraId="31A73C60" w14:textId="2D22B00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 xml:space="preserve">Hofer v </w:t>
      </w:r>
      <w:r w:rsidR="001D7429" w:rsidRPr="008C2D33">
        <w:rPr>
          <w:rFonts w:ascii="Times New Roman" w:hAnsi="Times New Roman"/>
          <w:i/>
          <w:iCs/>
          <w:sz w:val="24"/>
        </w:rPr>
        <w:t xml:space="preserve">The Queen </w:t>
      </w:r>
      <w:r w:rsidRPr="008C2D33">
        <w:rPr>
          <w:rFonts w:ascii="Times New Roman" w:hAnsi="Times New Roman"/>
          <w:sz w:val="24"/>
        </w:rPr>
        <w:t>[2019] NSWCCA 244 at [191].</w:t>
      </w:r>
    </w:p>
  </w:footnote>
  <w:footnote w:id="64">
    <w:p w14:paraId="77C3F049"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Pr="008C2D33">
        <w:rPr>
          <w:rFonts w:ascii="Times New Roman" w:hAnsi="Times New Roman"/>
          <w:i/>
          <w:iCs/>
          <w:sz w:val="24"/>
        </w:rPr>
        <w:t>Weiss v The Queen</w:t>
      </w:r>
      <w:r w:rsidRPr="008C2D33">
        <w:rPr>
          <w:rFonts w:ascii="Times New Roman" w:hAnsi="Times New Roman"/>
          <w:sz w:val="24"/>
        </w:rPr>
        <w:t xml:space="preserve"> (2005) 224 CLR 300 at 317 [46].</w:t>
      </w:r>
    </w:p>
  </w:footnote>
  <w:footnote w:id="65">
    <w:p w14:paraId="32E61050" w14:textId="26C7B989"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 xml:space="preserve">(2006) 80 ALJR 614 at </w:t>
      </w:r>
      <w:r w:rsidR="00371CEA" w:rsidRPr="008C2D33">
        <w:rPr>
          <w:rFonts w:ascii="Times New Roman" w:hAnsi="Times New Roman"/>
          <w:sz w:val="24"/>
        </w:rPr>
        <w:t>621-</w:t>
      </w:r>
      <w:r w:rsidRPr="008C2D33">
        <w:rPr>
          <w:rFonts w:ascii="Times New Roman" w:hAnsi="Times New Roman"/>
          <w:sz w:val="24"/>
        </w:rPr>
        <w:t xml:space="preserve">622 [19]; 225 ALR 161 at 169. </w:t>
      </w:r>
    </w:p>
  </w:footnote>
  <w:footnote w:id="66">
    <w:p w14:paraId="3F0CA734"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(2002) 212 CLR 124 at 148 [76].</w:t>
      </w:r>
    </w:p>
  </w:footnote>
  <w:footnote w:id="67">
    <w:p w14:paraId="63773D12" w14:textId="57259110"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(2005) 80 ALJR 329 at 340 [42]</w:t>
      </w:r>
      <w:r w:rsidRPr="008C2D33">
        <w:rPr>
          <w:rFonts w:ascii="Times New Roman" w:hAnsi="Times New Roman"/>
          <w:sz w:val="24"/>
        </w:rPr>
        <w:noBreakHyphen/>
        <w:t>[43]; 222 ALR 436 at 449.</w:t>
      </w:r>
    </w:p>
  </w:footnote>
  <w:footnote w:id="68">
    <w:p w14:paraId="656736EC" w14:textId="67A7F55C"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5A3F58" w:rsidRPr="008C2D33">
        <w:rPr>
          <w:rFonts w:ascii="Times New Roman" w:hAnsi="Times New Roman"/>
          <w:i/>
          <w:sz w:val="24"/>
        </w:rPr>
        <w:t>Kalbasi v Western Australia</w:t>
      </w:r>
      <w:r w:rsidR="005A3F58" w:rsidRPr="008C2D33">
        <w:rPr>
          <w:rFonts w:ascii="Times New Roman" w:hAnsi="Times New Roman"/>
          <w:sz w:val="24"/>
        </w:rPr>
        <w:t xml:space="preserve"> </w:t>
      </w:r>
      <w:r w:rsidRPr="008C2D33">
        <w:rPr>
          <w:rFonts w:ascii="Times New Roman" w:hAnsi="Times New Roman"/>
          <w:sz w:val="24"/>
        </w:rPr>
        <w:t>(2018) 264 CLR 62 at 82</w:t>
      </w:r>
      <w:r w:rsidRPr="008C2D33">
        <w:rPr>
          <w:rFonts w:ascii="Times New Roman" w:hAnsi="Times New Roman"/>
          <w:sz w:val="24"/>
        </w:rPr>
        <w:noBreakHyphen/>
        <w:t>83 [55]</w:t>
      </w:r>
      <w:r w:rsidRPr="008C2D33">
        <w:rPr>
          <w:rFonts w:ascii="Times New Roman" w:hAnsi="Times New Roman"/>
          <w:sz w:val="24"/>
        </w:rPr>
        <w:noBreakHyphen/>
        <w:t>[</w:t>
      </w:r>
      <w:r w:rsidR="00826DE8" w:rsidRPr="008C2D33">
        <w:rPr>
          <w:rFonts w:ascii="Times New Roman" w:hAnsi="Times New Roman"/>
          <w:sz w:val="24"/>
        </w:rPr>
        <w:t>58</w:t>
      </w:r>
      <w:r w:rsidRPr="008C2D33">
        <w:rPr>
          <w:rFonts w:ascii="Times New Roman" w:hAnsi="Times New Roman"/>
          <w:sz w:val="24"/>
        </w:rPr>
        <w:t>].</w:t>
      </w:r>
    </w:p>
  </w:footnote>
  <w:footnote w:id="69">
    <w:p w14:paraId="43B2DFC4" w14:textId="1734BED0"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r>
      <w:r w:rsidR="005A3F58" w:rsidRPr="008C2D33">
        <w:rPr>
          <w:rFonts w:ascii="Times New Roman" w:hAnsi="Times New Roman"/>
          <w:i/>
          <w:sz w:val="24"/>
        </w:rPr>
        <w:t>Kalbasi v Western Australia</w:t>
      </w:r>
      <w:r w:rsidR="005A3F58" w:rsidRPr="008C2D33">
        <w:rPr>
          <w:rFonts w:ascii="Times New Roman" w:hAnsi="Times New Roman"/>
          <w:sz w:val="24"/>
        </w:rPr>
        <w:t xml:space="preserve"> </w:t>
      </w:r>
      <w:r w:rsidRPr="008C2D33">
        <w:rPr>
          <w:rFonts w:ascii="Times New Roman" w:hAnsi="Times New Roman"/>
          <w:sz w:val="24"/>
        </w:rPr>
        <w:t>(2018) 264 CLR 62 at 84 [60].</w:t>
      </w:r>
    </w:p>
  </w:footnote>
  <w:footnote w:id="70">
    <w:p w14:paraId="403F287C" w14:textId="77777777" w:rsidR="00C149C3" w:rsidRPr="008C2D33" w:rsidRDefault="00C149C3" w:rsidP="008C2D33">
      <w:pPr>
        <w:pStyle w:val="FootnoteText"/>
        <w:spacing w:line="280" w:lineRule="exact"/>
        <w:ind w:right="0"/>
        <w:jc w:val="both"/>
        <w:rPr>
          <w:rFonts w:ascii="Times New Roman" w:hAnsi="Times New Roman"/>
          <w:sz w:val="24"/>
        </w:rPr>
      </w:pPr>
      <w:r w:rsidRPr="008C2D33">
        <w:rPr>
          <w:rStyle w:val="FootnoteReference"/>
          <w:rFonts w:ascii="Times New Roman" w:hAnsi="Times New Roman"/>
          <w:sz w:val="22"/>
          <w:vertAlign w:val="baseline"/>
        </w:rPr>
        <w:footnoteRef/>
      </w:r>
      <w:r w:rsidRPr="008C2D33">
        <w:rPr>
          <w:rFonts w:ascii="Times New Roman" w:hAnsi="Times New Roman"/>
          <w:sz w:val="24"/>
        </w:rPr>
        <w:t xml:space="preserve"> </w:t>
      </w:r>
      <w:r w:rsidRPr="008C2D33">
        <w:rPr>
          <w:rFonts w:ascii="Times New Roman" w:hAnsi="Times New Roman"/>
          <w:sz w:val="24"/>
        </w:rPr>
        <w:tab/>
        <w:t xml:space="preserve">See and compare </w:t>
      </w:r>
      <w:r w:rsidRPr="008C2D33">
        <w:rPr>
          <w:rFonts w:ascii="Times New Roman" w:hAnsi="Times New Roman"/>
          <w:i/>
          <w:iCs/>
          <w:sz w:val="24"/>
        </w:rPr>
        <w:t xml:space="preserve">Lane v The Queen </w:t>
      </w:r>
      <w:r w:rsidRPr="008C2D33">
        <w:rPr>
          <w:rFonts w:ascii="Times New Roman" w:hAnsi="Times New Roman"/>
          <w:sz w:val="24"/>
        </w:rPr>
        <w:t>(2018) 265 CLR 196 at 210 [48].</w:t>
      </w:r>
    </w:p>
  </w:footnote>
  <w:footnote w:id="71">
    <w:p w14:paraId="48A20B9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Section 6(1) of the </w:t>
      </w:r>
      <w:r w:rsidRPr="00727042">
        <w:rPr>
          <w:rFonts w:ascii="Times New Roman" w:hAnsi="Times New Roman"/>
          <w:i/>
          <w:sz w:val="24"/>
        </w:rPr>
        <w:t>Criminal Appeal Act 1912</w:t>
      </w:r>
      <w:r w:rsidRPr="00727042">
        <w:rPr>
          <w:rFonts w:ascii="Times New Roman" w:hAnsi="Times New Roman"/>
          <w:sz w:val="24"/>
        </w:rPr>
        <w:t xml:space="preserve"> (NSW) (emphasis added).</w:t>
      </w:r>
    </w:p>
  </w:footnote>
  <w:footnote w:id="72">
    <w:p w14:paraId="0BA318B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w:t>
      </w:r>
      <w:r w:rsidRPr="00727042">
        <w:rPr>
          <w:rFonts w:ascii="Times New Roman" w:hAnsi="Times New Roman"/>
          <w:i/>
          <w:sz w:val="24"/>
        </w:rPr>
        <w:t>Baini v The Queen</w:t>
      </w:r>
      <w:r w:rsidRPr="00727042">
        <w:rPr>
          <w:rFonts w:ascii="Times New Roman" w:hAnsi="Times New Roman"/>
          <w:sz w:val="24"/>
        </w:rPr>
        <w:t xml:space="preserve"> (2012) 246 CLR 469 at 487-488 [50]-[52]; </w:t>
      </w:r>
      <w:r w:rsidRPr="00727042">
        <w:rPr>
          <w:rFonts w:ascii="Times New Roman" w:hAnsi="Times New Roman"/>
          <w:i/>
          <w:sz w:val="24"/>
        </w:rPr>
        <w:t xml:space="preserve">Reeves v The Queen </w:t>
      </w:r>
      <w:r w:rsidRPr="00727042">
        <w:rPr>
          <w:rFonts w:ascii="Times New Roman" w:hAnsi="Times New Roman"/>
          <w:sz w:val="24"/>
        </w:rPr>
        <w:t xml:space="preserve">(2013) 88 ALJR 215 at 226 [64]-[66]; 304 ALR 251 at 264-265; </w:t>
      </w:r>
      <w:r w:rsidRPr="00727042">
        <w:rPr>
          <w:rFonts w:ascii="Times New Roman" w:hAnsi="Times New Roman"/>
          <w:i/>
          <w:sz w:val="24"/>
        </w:rPr>
        <w:t>Filippou v The Queen</w:t>
      </w:r>
      <w:r w:rsidRPr="00727042">
        <w:rPr>
          <w:rFonts w:ascii="Times New Roman" w:hAnsi="Times New Roman"/>
          <w:sz w:val="24"/>
        </w:rPr>
        <w:t xml:space="preserve"> (2015) 256 CLR 47 at 74 [78]; </w:t>
      </w:r>
      <w:r w:rsidRPr="00727042">
        <w:rPr>
          <w:rFonts w:ascii="Times New Roman" w:hAnsi="Times New Roman"/>
          <w:i/>
          <w:sz w:val="24"/>
        </w:rPr>
        <w:t>Castle v The Queen</w:t>
      </w:r>
      <w:r w:rsidRPr="00727042">
        <w:rPr>
          <w:rFonts w:ascii="Times New Roman" w:hAnsi="Times New Roman"/>
          <w:sz w:val="24"/>
        </w:rPr>
        <w:t xml:space="preserve"> (2016) 259 CLR 449 at 476-477 [80]-[81]; </w:t>
      </w:r>
      <w:r w:rsidRPr="00727042">
        <w:rPr>
          <w:rFonts w:ascii="Times New Roman" w:hAnsi="Times New Roman"/>
          <w:i/>
          <w:sz w:val="24"/>
        </w:rPr>
        <w:t>Kalbasi v Western Australia</w:t>
      </w:r>
      <w:r w:rsidRPr="00727042">
        <w:rPr>
          <w:rFonts w:ascii="Times New Roman" w:hAnsi="Times New Roman"/>
          <w:sz w:val="24"/>
        </w:rPr>
        <w:t xml:space="preserve"> (2018) 264 CLR 62 at 84-88 [62]-[71]; </w:t>
      </w:r>
      <w:r w:rsidRPr="00727042">
        <w:rPr>
          <w:rFonts w:ascii="Times New Roman" w:hAnsi="Times New Roman"/>
          <w:i/>
          <w:sz w:val="24"/>
        </w:rPr>
        <w:t xml:space="preserve">Lane v The Queen </w:t>
      </w:r>
      <w:r w:rsidRPr="00727042">
        <w:rPr>
          <w:rFonts w:ascii="Times New Roman" w:hAnsi="Times New Roman"/>
          <w:sz w:val="24"/>
        </w:rPr>
        <w:t>(2018) 265 CLR 196 at 211-212 [52]-[56].</w:t>
      </w:r>
    </w:p>
  </w:footnote>
  <w:footnote w:id="73">
    <w:p w14:paraId="0AF8DAB0"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(2005) 224 CLR 300.</w:t>
      </w:r>
    </w:p>
  </w:footnote>
  <w:footnote w:id="74">
    <w:p w14:paraId="07EA451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R v Gallagher</w:t>
      </w:r>
      <w:r w:rsidRPr="00727042">
        <w:rPr>
          <w:rFonts w:ascii="Times New Roman" w:hAnsi="Times New Roman"/>
          <w:sz w:val="24"/>
        </w:rPr>
        <w:t xml:space="preserve"> [1998] 2 VR 671 at 679. See also </w:t>
      </w:r>
      <w:r w:rsidRPr="00727042">
        <w:rPr>
          <w:rFonts w:ascii="Times New Roman" w:hAnsi="Times New Roman"/>
          <w:i/>
          <w:sz w:val="24"/>
        </w:rPr>
        <w:t>Soma</w:t>
      </w:r>
      <w:r w:rsidRPr="00727042">
        <w:rPr>
          <w:rFonts w:ascii="Times New Roman" w:hAnsi="Times New Roman"/>
          <w:sz w:val="24"/>
        </w:rPr>
        <w:t xml:space="preserve"> (2001) 122 A Crim R 537 at 540 as considered on appeal in </w:t>
      </w:r>
      <w:r w:rsidRPr="00727042">
        <w:rPr>
          <w:rFonts w:ascii="Times New Roman" w:hAnsi="Times New Roman"/>
          <w:i/>
          <w:sz w:val="24"/>
        </w:rPr>
        <w:t>R v Soma</w:t>
      </w:r>
      <w:r w:rsidRPr="00727042">
        <w:rPr>
          <w:rFonts w:ascii="Times New Roman" w:hAnsi="Times New Roman"/>
          <w:sz w:val="24"/>
        </w:rPr>
        <w:t xml:space="preserve"> (2003) 212 CLR 299 at 304-305 [14]-[15], 312-313 [42]-[44].</w:t>
      </w:r>
    </w:p>
  </w:footnote>
  <w:footnote w:id="75">
    <w:p w14:paraId="416A45B2"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Mraz v The Queen</w:t>
      </w:r>
      <w:r w:rsidRPr="00727042">
        <w:rPr>
          <w:rFonts w:ascii="Times New Roman" w:hAnsi="Times New Roman"/>
          <w:sz w:val="24"/>
        </w:rPr>
        <w:t xml:space="preserve"> (1955) 93 CLR 493 at 514; </w:t>
      </w:r>
      <w:r w:rsidRPr="00727042">
        <w:rPr>
          <w:rFonts w:ascii="Times New Roman" w:hAnsi="Times New Roman"/>
          <w:i/>
          <w:sz w:val="24"/>
        </w:rPr>
        <w:t>Driscoll v The Queen</w:t>
      </w:r>
      <w:r w:rsidRPr="00727042">
        <w:rPr>
          <w:rFonts w:ascii="Times New Roman" w:hAnsi="Times New Roman"/>
          <w:sz w:val="24"/>
        </w:rPr>
        <w:t xml:space="preserve"> (1977) 137 CLR 517 at 524-525.</w:t>
      </w:r>
    </w:p>
  </w:footnote>
  <w:footnote w:id="76">
    <w:p w14:paraId="2500A78A"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TKWJ v The Queen</w:t>
      </w:r>
      <w:r w:rsidRPr="00727042">
        <w:rPr>
          <w:rFonts w:ascii="Times New Roman" w:hAnsi="Times New Roman"/>
          <w:sz w:val="24"/>
        </w:rPr>
        <w:t xml:space="preserve"> (2002) 212 CLR 124 at 145-146 [71].</w:t>
      </w:r>
    </w:p>
  </w:footnote>
  <w:footnote w:id="77">
    <w:p w14:paraId="252825DD"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w:t>
      </w:r>
      <w:r w:rsidRPr="00727042">
        <w:rPr>
          <w:rFonts w:ascii="Times New Roman" w:hAnsi="Times New Roman"/>
          <w:i/>
          <w:sz w:val="24"/>
        </w:rPr>
        <w:t>M v The Queen</w:t>
      </w:r>
      <w:r w:rsidRPr="00727042">
        <w:rPr>
          <w:rFonts w:ascii="Times New Roman" w:hAnsi="Times New Roman"/>
          <w:sz w:val="24"/>
        </w:rPr>
        <w:t xml:space="preserve"> (1994) 181 CLR 487 at 494; </w:t>
      </w:r>
      <w:r w:rsidRPr="00727042">
        <w:rPr>
          <w:rFonts w:ascii="Times New Roman" w:hAnsi="Times New Roman"/>
          <w:i/>
          <w:sz w:val="24"/>
        </w:rPr>
        <w:t>Baini v The Queen</w:t>
      </w:r>
      <w:r w:rsidRPr="00727042">
        <w:rPr>
          <w:rFonts w:ascii="Times New Roman" w:hAnsi="Times New Roman"/>
          <w:sz w:val="24"/>
        </w:rPr>
        <w:t xml:space="preserve"> (2012) 246 CLR 469 at 486 [48].</w:t>
      </w:r>
    </w:p>
  </w:footnote>
  <w:footnote w:id="78">
    <w:p w14:paraId="104142C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Ross, </w:t>
      </w:r>
      <w:r w:rsidRPr="00727042">
        <w:rPr>
          <w:rFonts w:ascii="Times New Roman" w:hAnsi="Times New Roman"/>
          <w:i/>
          <w:sz w:val="24"/>
        </w:rPr>
        <w:t xml:space="preserve">The Court of Criminal Appeal </w:t>
      </w:r>
      <w:r w:rsidRPr="00727042">
        <w:rPr>
          <w:rFonts w:ascii="Times New Roman" w:hAnsi="Times New Roman"/>
          <w:sz w:val="24"/>
        </w:rPr>
        <w:t>(1911) at 121-122.</w:t>
      </w:r>
    </w:p>
  </w:footnote>
  <w:footnote w:id="79">
    <w:p w14:paraId="32AB0483"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Simic v The Queen</w:t>
      </w:r>
      <w:r w:rsidRPr="00727042">
        <w:rPr>
          <w:rFonts w:ascii="Times New Roman" w:hAnsi="Times New Roman"/>
          <w:sz w:val="24"/>
        </w:rPr>
        <w:t xml:space="preserve"> (1980) 144 CLR 319 at 332. </w:t>
      </w:r>
    </w:p>
  </w:footnote>
  <w:footnote w:id="80">
    <w:p w14:paraId="65D8EEFA"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Wilde v The Queen</w:t>
      </w:r>
      <w:r w:rsidRPr="00727042">
        <w:rPr>
          <w:rFonts w:ascii="Times New Roman" w:hAnsi="Times New Roman"/>
          <w:sz w:val="24"/>
        </w:rPr>
        <w:t xml:space="preserve"> (1988) 164 CLR 365 at 371-372. See </w:t>
      </w:r>
      <w:r w:rsidRPr="00727042">
        <w:rPr>
          <w:rFonts w:ascii="Times New Roman" w:hAnsi="Times New Roman"/>
          <w:i/>
          <w:sz w:val="24"/>
        </w:rPr>
        <w:t>Conway v The Queen</w:t>
      </w:r>
      <w:r w:rsidRPr="00727042">
        <w:rPr>
          <w:rFonts w:ascii="Times New Roman" w:hAnsi="Times New Roman"/>
          <w:sz w:val="24"/>
        </w:rPr>
        <w:t xml:space="preserve"> (2002) 209 CLR 203 at 226 [63].</w:t>
      </w:r>
    </w:p>
  </w:footnote>
  <w:footnote w:id="81">
    <w:p w14:paraId="4E54E168"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(2005) </w:t>
      </w:r>
      <w:bookmarkStart w:id="2" w:name="_Hlk81301263"/>
      <w:r w:rsidRPr="00727042">
        <w:rPr>
          <w:rFonts w:ascii="Times New Roman" w:hAnsi="Times New Roman"/>
          <w:sz w:val="24"/>
        </w:rPr>
        <w:t xml:space="preserve">224 CLR 300 </w:t>
      </w:r>
      <w:bookmarkEnd w:id="2"/>
      <w:r w:rsidRPr="00727042">
        <w:rPr>
          <w:rFonts w:ascii="Times New Roman" w:hAnsi="Times New Roman"/>
          <w:sz w:val="24"/>
        </w:rPr>
        <w:t>at 315-316 [39]-[41].</w:t>
      </w:r>
    </w:p>
  </w:footnote>
  <w:footnote w:id="82">
    <w:p w14:paraId="295844E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(2005) 224 CLR 300 at 317 [44].</w:t>
      </w:r>
    </w:p>
  </w:footnote>
  <w:footnote w:id="83">
    <w:p w14:paraId="3A57F788"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cf Edwards, "To Err is Human, But Not Always Harmless: When Should Legal Error be Tolerated?" (1995) 70 </w:t>
      </w:r>
      <w:r w:rsidRPr="00727042">
        <w:rPr>
          <w:rFonts w:ascii="Times New Roman" w:hAnsi="Times New Roman"/>
          <w:i/>
          <w:sz w:val="24"/>
        </w:rPr>
        <w:t>New York University Law Review</w:t>
      </w:r>
      <w:r w:rsidRPr="00727042">
        <w:rPr>
          <w:rFonts w:ascii="Times New Roman" w:hAnsi="Times New Roman"/>
          <w:sz w:val="24"/>
        </w:rPr>
        <w:t xml:space="preserve"> 1167 at 1171.</w:t>
      </w:r>
    </w:p>
  </w:footnote>
  <w:footnote w:id="84">
    <w:p w14:paraId="5BBFFD4A"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"Farewell Speech by The Honourable Justice Callaway" (2007) 140 </w:t>
      </w:r>
      <w:r w:rsidRPr="00727042">
        <w:rPr>
          <w:rFonts w:ascii="Times New Roman" w:hAnsi="Times New Roman"/>
          <w:i/>
          <w:sz w:val="24"/>
        </w:rPr>
        <w:t xml:space="preserve">Victorian Bar News </w:t>
      </w:r>
      <w:r w:rsidRPr="00727042">
        <w:rPr>
          <w:rFonts w:ascii="Times New Roman" w:hAnsi="Times New Roman"/>
          <w:sz w:val="24"/>
        </w:rPr>
        <w:t>28 at 29.</w:t>
      </w:r>
    </w:p>
  </w:footnote>
  <w:footnote w:id="85">
    <w:p w14:paraId="6F64D46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[1894] AC 57 at 69-70.</w:t>
      </w:r>
    </w:p>
  </w:footnote>
  <w:footnote w:id="86">
    <w:p w14:paraId="0A354911"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(1988) 164 CLR 365 at 375.</w:t>
      </w:r>
    </w:p>
  </w:footnote>
  <w:footnote w:id="87">
    <w:p w14:paraId="3940B5F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Bollenbach v United States </w:t>
      </w:r>
      <w:r w:rsidRPr="00727042">
        <w:rPr>
          <w:rFonts w:ascii="Times New Roman" w:hAnsi="Times New Roman"/>
          <w:sz w:val="24"/>
        </w:rPr>
        <w:t>(1946) 326 US 607 at 614.</w:t>
      </w:r>
    </w:p>
  </w:footnote>
  <w:footnote w:id="88">
    <w:p w14:paraId="0291A5B1"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Wilde v The Queen </w:t>
      </w:r>
      <w:r w:rsidRPr="00727042">
        <w:rPr>
          <w:rFonts w:ascii="Times New Roman" w:hAnsi="Times New Roman"/>
          <w:sz w:val="24"/>
        </w:rPr>
        <w:t xml:space="preserve">(1988) 164 CLR 365 at 375, quoted in </w:t>
      </w:r>
      <w:r w:rsidRPr="00727042">
        <w:rPr>
          <w:rFonts w:ascii="Times New Roman" w:hAnsi="Times New Roman"/>
          <w:i/>
          <w:sz w:val="24"/>
        </w:rPr>
        <w:t>Grey v The Queen</w:t>
      </w:r>
      <w:r w:rsidRPr="00727042">
        <w:rPr>
          <w:rFonts w:ascii="Times New Roman" w:hAnsi="Times New Roman"/>
          <w:sz w:val="24"/>
        </w:rPr>
        <w:t xml:space="preserve"> (2001) 75 ALJR 1708 at 1719 [53]; 184 ALR 593 at 608.</w:t>
      </w:r>
    </w:p>
  </w:footnote>
  <w:footnote w:id="89">
    <w:p w14:paraId="288E2C6D"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w:t>
      </w:r>
      <w:r w:rsidRPr="00727042">
        <w:rPr>
          <w:rFonts w:ascii="Times New Roman" w:hAnsi="Times New Roman"/>
          <w:i/>
          <w:sz w:val="24"/>
        </w:rPr>
        <w:t>Libke v The Queen</w:t>
      </w:r>
      <w:r w:rsidRPr="00727042">
        <w:rPr>
          <w:rFonts w:ascii="Times New Roman" w:hAnsi="Times New Roman"/>
          <w:sz w:val="24"/>
        </w:rPr>
        <w:t xml:space="preserve"> (2007) 230 CLR 559 at 579-582 [41]-[52].</w:t>
      </w:r>
    </w:p>
  </w:footnote>
  <w:footnote w:id="90">
    <w:p w14:paraId="714B231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Filippou v The Queen</w:t>
      </w:r>
      <w:r w:rsidRPr="00727042">
        <w:rPr>
          <w:rFonts w:ascii="Times New Roman" w:hAnsi="Times New Roman"/>
          <w:sz w:val="24"/>
        </w:rPr>
        <w:t xml:space="preserve"> (2015) 256 CLR 47 at 55 [15]; </w:t>
      </w:r>
      <w:r w:rsidRPr="00727042">
        <w:rPr>
          <w:rFonts w:ascii="Times New Roman" w:hAnsi="Times New Roman"/>
          <w:i/>
          <w:sz w:val="24"/>
        </w:rPr>
        <w:t>R v Dickman</w:t>
      </w:r>
      <w:r w:rsidRPr="00727042">
        <w:rPr>
          <w:rFonts w:ascii="Times New Roman" w:hAnsi="Times New Roman"/>
          <w:sz w:val="24"/>
        </w:rPr>
        <w:t xml:space="preserve"> (2017) 261 CLR 601 at 619 [58], 620 [63]. See also the decisions noted in </w:t>
      </w:r>
      <w:r w:rsidRPr="00727042">
        <w:rPr>
          <w:rFonts w:ascii="Times New Roman" w:hAnsi="Times New Roman"/>
          <w:i/>
          <w:sz w:val="24"/>
        </w:rPr>
        <w:t xml:space="preserve">Collins v The Queen </w:t>
      </w:r>
      <w:r w:rsidRPr="00727042">
        <w:rPr>
          <w:rFonts w:ascii="Times New Roman" w:hAnsi="Times New Roman"/>
          <w:sz w:val="24"/>
        </w:rPr>
        <w:t>(2018) 265 CLR 178 at 193-194 [41] (footnote 36).</w:t>
      </w:r>
    </w:p>
  </w:footnote>
  <w:footnote w:id="91">
    <w:p w14:paraId="6A8F3EB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Ratten v The Queen</w:t>
      </w:r>
      <w:r w:rsidRPr="00727042">
        <w:rPr>
          <w:rFonts w:ascii="Times New Roman" w:hAnsi="Times New Roman"/>
          <w:sz w:val="24"/>
        </w:rPr>
        <w:t xml:space="preserve"> (1974) 131 CLR 510 at 516; </w:t>
      </w:r>
      <w:r w:rsidRPr="00727042">
        <w:rPr>
          <w:rFonts w:ascii="Times New Roman" w:hAnsi="Times New Roman"/>
          <w:i/>
          <w:sz w:val="24"/>
        </w:rPr>
        <w:t xml:space="preserve">Festa v The Queen </w:t>
      </w:r>
      <w:r w:rsidRPr="00727042">
        <w:rPr>
          <w:rFonts w:ascii="Times New Roman" w:hAnsi="Times New Roman"/>
          <w:sz w:val="24"/>
        </w:rPr>
        <w:t xml:space="preserve">(2001) 208 CLR 593 at 632-633 [123]; </w:t>
      </w:r>
      <w:r w:rsidRPr="00727042">
        <w:rPr>
          <w:rFonts w:ascii="Times New Roman" w:hAnsi="Times New Roman"/>
          <w:i/>
          <w:sz w:val="24"/>
        </w:rPr>
        <w:t>Heron v The Queen</w:t>
      </w:r>
      <w:r w:rsidRPr="00727042">
        <w:rPr>
          <w:rFonts w:ascii="Times New Roman" w:hAnsi="Times New Roman"/>
          <w:sz w:val="24"/>
        </w:rPr>
        <w:t xml:space="preserve"> (2003) 77 ALJR 908 at 917 [50]; 197 ALR 81 at 93-94.</w:t>
      </w:r>
    </w:p>
  </w:footnote>
  <w:footnote w:id="92">
    <w:p w14:paraId="1465E66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(2018) 264 CLR 62 at 85-88 [64]-[71]. See to similar effect the views expressed by Edelman J in </w:t>
      </w:r>
      <w:r w:rsidRPr="00727042">
        <w:rPr>
          <w:rFonts w:ascii="Times New Roman" w:hAnsi="Times New Roman"/>
          <w:i/>
          <w:sz w:val="24"/>
        </w:rPr>
        <w:t>Kalbasi v Western Australia</w:t>
      </w:r>
      <w:r w:rsidRPr="00727042">
        <w:rPr>
          <w:rFonts w:ascii="Times New Roman" w:hAnsi="Times New Roman"/>
          <w:sz w:val="24"/>
        </w:rPr>
        <w:t xml:space="preserve"> (2018) 264 CLR 62 at 121 [159]-[160] and </w:t>
      </w:r>
      <w:r w:rsidRPr="00727042">
        <w:rPr>
          <w:rFonts w:ascii="Times New Roman" w:hAnsi="Times New Roman"/>
          <w:i/>
          <w:sz w:val="24"/>
        </w:rPr>
        <w:t xml:space="preserve">Collins v The Queen </w:t>
      </w:r>
      <w:r w:rsidRPr="00727042">
        <w:rPr>
          <w:rFonts w:ascii="Times New Roman" w:hAnsi="Times New Roman"/>
          <w:sz w:val="24"/>
        </w:rPr>
        <w:t>(2018) 265 CLR 178 at 193-194 [41]-[42].</w:t>
      </w:r>
    </w:p>
  </w:footnote>
  <w:footnote w:id="93">
    <w:p w14:paraId="24448A75"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Reeves v The Queen </w:t>
      </w:r>
      <w:r w:rsidRPr="00727042">
        <w:rPr>
          <w:rFonts w:ascii="Times New Roman" w:hAnsi="Times New Roman"/>
          <w:sz w:val="24"/>
        </w:rPr>
        <w:t xml:space="preserve">(2013) 88 ALJR 215 at 226 [64]-[66]; 304 ALR 251 at 264-265; </w:t>
      </w:r>
      <w:r w:rsidRPr="00727042">
        <w:rPr>
          <w:rFonts w:ascii="Times New Roman" w:hAnsi="Times New Roman"/>
          <w:i/>
          <w:sz w:val="24"/>
        </w:rPr>
        <w:t>Castle v The Queen</w:t>
      </w:r>
      <w:r w:rsidRPr="00727042">
        <w:rPr>
          <w:rFonts w:ascii="Times New Roman" w:hAnsi="Times New Roman"/>
          <w:sz w:val="24"/>
        </w:rPr>
        <w:t xml:space="preserve"> (2016) 259 CLR 449 at 476-477 [80]-[81]; </w:t>
      </w:r>
      <w:r w:rsidRPr="00727042">
        <w:rPr>
          <w:rFonts w:ascii="Times New Roman" w:hAnsi="Times New Roman"/>
          <w:i/>
          <w:sz w:val="24"/>
        </w:rPr>
        <w:t xml:space="preserve">Lane v The Queen </w:t>
      </w:r>
      <w:r w:rsidRPr="00727042">
        <w:rPr>
          <w:rFonts w:ascii="Times New Roman" w:hAnsi="Times New Roman"/>
          <w:sz w:val="24"/>
        </w:rPr>
        <w:t>(2018) 265 CLR 196 at 211 [53], 213-214 [63].</w:t>
      </w:r>
    </w:p>
  </w:footnote>
  <w:footnote w:id="94">
    <w:p w14:paraId="7480753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R v Weiss</w:t>
      </w:r>
      <w:r w:rsidRPr="00727042">
        <w:rPr>
          <w:rFonts w:ascii="Times New Roman" w:hAnsi="Times New Roman"/>
          <w:sz w:val="24"/>
        </w:rPr>
        <w:t xml:space="preserve"> (2004) 8 VR 388 at 400-401 [70].</w:t>
      </w:r>
    </w:p>
  </w:footnote>
  <w:footnote w:id="95">
    <w:p w14:paraId="7F1D4FC3"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(2005) 224 CLR 300 at 314 [35]. See also at 315-316 [40].</w:t>
      </w:r>
    </w:p>
  </w:footnote>
  <w:footnote w:id="96">
    <w:p w14:paraId="2289E00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R v Weiss</w:t>
      </w:r>
      <w:r w:rsidRPr="00727042">
        <w:rPr>
          <w:rFonts w:ascii="Times New Roman" w:hAnsi="Times New Roman"/>
          <w:sz w:val="24"/>
        </w:rPr>
        <w:t xml:space="preserve"> </w:t>
      </w:r>
      <w:r w:rsidRPr="00727042">
        <w:rPr>
          <w:rFonts w:ascii="Times New Roman" w:hAnsi="Times New Roman"/>
          <w:i/>
          <w:sz w:val="24"/>
        </w:rPr>
        <w:t>[No 2]</w:t>
      </w:r>
      <w:r w:rsidRPr="00727042">
        <w:rPr>
          <w:rFonts w:ascii="Times New Roman" w:hAnsi="Times New Roman"/>
          <w:sz w:val="24"/>
        </w:rPr>
        <w:t xml:space="preserve"> (2006) 164 A Crim R 454 at 479 [137]-[138].</w:t>
      </w:r>
    </w:p>
  </w:footnote>
  <w:footnote w:id="97">
    <w:p w14:paraId="1E654870"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Cooper v The Queen</w:t>
      </w:r>
      <w:r w:rsidRPr="00727042">
        <w:rPr>
          <w:rFonts w:ascii="Times New Roman" w:hAnsi="Times New Roman"/>
          <w:sz w:val="24"/>
        </w:rPr>
        <w:t xml:space="preserve"> (2012) 87 ALJR 32 at 43 [61]; 293 ALR 17 at 30 (footnote omitted).</w:t>
      </w:r>
    </w:p>
  </w:footnote>
  <w:footnote w:id="98">
    <w:p w14:paraId="2E98B1E0"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Weiss v The Queen</w:t>
      </w:r>
      <w:r w:rsidRPr="00727042">
        <w:rPr>
          <w:rFonts w:ascii="Times New Roman" w:hAnsi="Times New Roman"/>
          <w:sz w:val="24"/>
        </w:rPr>
        <w:t xml:space="preserve"> (2005) 224 CLR 300 at 316 [41].</w:t>
      </w:r>
    </w:p>
  </w:footnote>
  <w:footnote w:id="99">
    <w:p w14:paraId="32ECB94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(2018) 264 CLR 62 at 69-70 [12].</w:t>
      </w:r>
    </w:p>
  </w:footnote>
  <w:footnote w:id="100">
    <w:p w14:paraId="3E8C25D8"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(2016) 259 CLR 449 at 472-473 [66]-[68].</w:t>
      </w:r>
    </w:p>
  </w:footnote>
  <w:footnote w:id="101">
    <w:p w14:paraId="2194958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cf </w:t>
      </w:r>
      <w:r w:rsidRPr="00727042">
        <w:rPr>
          <w:rFonts w:ascii="Times New Roman" w:hAnsi="Times New Roman"/>
          <w:i/>
          <w:sz w:val="24"/>
        </w:rPr>
        <w:t>John v Federal Commissioner of Taxation</w:t>
      </w:r>
      <w:r w:rsidRPr="00727042">
        <w:rPr>
          <w:rFonts w:ascii="Times New Roman" w:hAnsi="Times New Roman"/>
          <w:sz w:val="24"/>
        </w:rPr>
        <w:t xml:space="preserve"> (1989) 166 CLR 417 at 438-439; </w:t>
      </w:r>
      <w:r w:rsidRPr="00727042">
        <w:rPr>
          <w:rFonts w:ascii="Times New Roman" w:hAnsi="Times New Roman"/>
          <w:i/>
          <w:sz w:val="24"/>
        </w:rPr>
        <w:t xml:space="preserve">Miller v The Queen </w:t>
      </w:r>
      <w:r w:rsidRPr="00727042">
        <w:rPr>
          <w:rFonts w:ascii="Times New Roman" w:hAnsi="Times New Roman"/>
          <w:sz w:val="24"/>
        </w:rPr>
        <w:t xml:space="preserve">(2016) 259 CLR 380 at 399-400 [39]. </w:t>
      </w:r>
    </w:p>
  </w:footnote>
  <w:footnote w:id="102">
    <w:p w14:paraId="5C392F83"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McCleskey v </w:t>
      </w:r>
      <w:r w:rsidRPr="00727042">
        <w:rPr>
          <w:rFonts w:ascii="Times New Roman" w:hAnsi="Times New Roman"/>
          <w:i/>
          <w:sz w:val="24"/>
        </w:rPr>
        <w:t>Zant</w:t>
      </w:r>
      <w:r w:rsidRPr="00727042">
        <w:rPr>
          <w:rFonts w:ascii="Times New Roman" w:hAnsi="Times New Roman"/>
          <w:sz w:val="24"/>
        </w:rPr>
        <w:t xml:space="preserve"> (1991) 499 US 467 at 529 (emphasis in original).</w:t>
      </w:r>
    </w:p>
  </w:footnote>
  <w:footnote w:id="103">
    <w:p w14:paraId="18E09BC5"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Vickers Cockatoo Dockyard Pty Ltd v El Ali </w:t>
      </w:r>
      <w:r w:rsidRPr="00727042">
        <w:rPr>
          <w:rFonts w:ascii="Times New Roman" w:hAnsi="Times New Roman"/>
          <w:sz w:val="24"/>
        </w:rPr>
        <w:t xml:space="preserve">(unreported, New South Wales Court of Appeal, 17 December 1987). </w:t>
      </w:r>
    </w:p>
  </w:footnote>
  <w:footnote w:id="104">
    <w:p w14:paraId="7BC48C9C" w14:textId="77777777" w:rsidR="00357618" w:rsidRPr="00727042" w:rsidRDefault="00357618" w:rsidP="00727042">
      <w:pPr>
        <w:pStyle w:val="FootnoteText"/>
        <w:spacing w:line="280" w:lineRule="exact"/>
        <w:ind w:right="0"/>
        <w:jc w:val="both"/>
        <w:rPr>
          <w:rFonts w:ascii="Times New Roman" w:hAnsi="Times New Roman"/>
          <w:i/>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Section 71 of the </w:t>
      </w:r>
      <w:r w:rsidRPr="00727042">
        <w:rPr>
          <w:rFonts w:ascii="Times New Roman" w:hAnsi="Times New Roman"/>
          <w:i/>
          <w:sz w:val="24"/>
        </w:rPr>
        <w:t>Constitution</w:t>
      </w:r>
      <w:r w:rsidRPr="00727042">
        <w:rPr>
          <w:rFonts w:ascii="Times New Roman" w:hAnsi="Times New Roman"/>
          <w:sz w:val="24"/>
        </w:rPr>
        <w:t>.</w:t>
      </w:r>
    </w:p>
  </w:footnote>
  <w:footnote w:id="105">
    <w:p w14:paraId="3E5337C8"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Style w:val="FootnoteReference"/>
          <w:rFonts w:ascii="Times New Roman" w:hAnsi="Times New Roman"/>
          <w:sz w:val="22"/>
          <w:vertAlign w:val="baseline"/>
        </w:rPr>
        <w:t xml:space="preserve"> </w:t>
      </w:r>
      <w:r w:rsidRPr="00727042">
        <w:rPr>
          <w:rFonts w:ascii="Times New Roman" w:hAnsi="Times New Roman"/>
          <w:sz w:val="24"/>
        </w:rPr>
        <w:tab/>
      </w:r>
      <w:r w:rsidRPr="00727042">
        <w:rPr>
          <w:rFonts w:ascii="Times New Roman" w:hAnsi="Times New Roman"/>
          <w:i/>
          <w:sz w:val="24"/>
        </w:rPr>
        <w:t>Baker v Campbell</w:t>
      </w:r>
      <w:r w:rsidRPr="00727042">
        <w:rPr>
          <w:rFonts w:ascii="Times New Roman" w:hAnsi="Times New Roman"/>
          <w:sz w:val="24"/>
        </w:rPr>
        <w:t xml:space="preserve"> (1983) 153 CLR 52 at 103.</w:t>
      </w:r>
    </w:p>
  </w:footnote>
  <w:footnote w:id="106">
    <w:p w14:paraId="198FB7EB"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Trident General Insurance Co Ltd v </w:t>
      </w:r>
      <w:r w:rsidRPr="00727042">
        <w:rPr>
          <w:rFonts w:ascii="Times New Roman" w:hAnsi="Times New Roman"/>
          <w:i/>
          <w:sz w:val="24"/>
        </w:rPr>
        <w:t>McNiece Bros Pty Ltd</w:t>
      </w:r>
      <w:r w:rsidRPr="00727042">
        <w:rPr>
          <w:rFonts w:ascii="Times New Roman" w:hAnsi="Times New Roman"/>
          <w:sz w:val="24"/>
        </w:rPr>
        <w:t xml:space="preserve"> (1988) 165 CLR 107 at 130. </w:t>
      </w:r>
    </w:p>
  </w:footnote>
  <w:footnote w:id="107">
    <w:p w14:paraId="398F780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Australian Crime Commission v Stoddart</w:t>
      </w:r>
      <w:r w:rsidRPr="00727042">
        <w:rPr>
          <w:rFonts w:ascii="Times New Roman" w:hAnsi="Times New Roman"/>
          <w:sz w:val="24"/>
        </w:rPr>
        <w:t xml:space="preserve"> (2011) 244 CLR 554 at 574-575 [57], quoting </w:t>
      </w:r>
      <w:r w:rsidRPr="00727042">
        <w:rPr>
          <w:rFonts w:ascii="Times New Roman" w:hAnsi="Times New Roman"/>
          <w:sz w:val="24"/>
        </w:rPr>
        <w:t xml:space="preserve">Radin, </w:t>
      </w:r>
      <w:r w:rsidRPr="00727042">
        <w:rPr>
          <w:rFonts w:ascii="Times New Roman" w:hAnsi="Times New Roman"/>
          <w:color w:val="000000"/>
          <w:sz w:val="24"/>
          <w:szCs w:val="27"/>
          <w:shd w:val="clear" w:color="auto" w:fill="FFFFFF"/>
        </w:rPr>
        <w:t>"Case Law and Stare Decisis: Concerning</w:t>
      </w:r>
      <w:r w:rsidRPr="00727042">
        <w:rPr>
          <w:rFonts w:ascii="Times New Roman" w:hAnsi="Times New Roman"/>
          <w:i/>
          <w:color w:val="000000"/>
          <w:sz w:val="24"/>
          <w:szCs w:val="27"/>
          <w:shd w:val="clear" w:color="auto" w:fill="FFFFFF"/>
        </w:rPr>
        <w:t> Präjudizienrecht in Amerika</w:t>
      </w:r>
      <w:r w:rsidRPr="00727042">
        <w:rPr>
          <w:rFonts w:ascii="Times New Roman" w:hAnsi="Times New Roman"/>
          <w:color w:val="000000"/>
          <w:sz w:val="24"/>
          <w:szCs w:val="27"/>
          <w:shd w:val="clear" w:color="auto" w:fill="FFFFFF"/>
        </w:rPr>
        <w:t xml:space="preserve">" (1933) 33 </w:t>
      </w:r>
      <w:r w:rsidRPr="00727042">
        <w:rPr>
          <w:rFonts w:ascii="Times New Roman" w:hAnsi="Times New Roman"/>
          <w:i/>
          <w:color w:val="000000"/>
          <w:sz w:val="24"/>
          <w:szCs w:val="27"/>
          <w:shd w:val="clear" w:color="auto" w:fill="FFFFFF"/>
        </w:rPr>
        <w:t>Columbia Law Review</w:t>
      </w:r>
      <w:r w:rsidRPr="00727042">
        <w:rPr>
          <w:rFonts w:ascii="Times New Roman" w:hAnsi="Times New Roman"/>
          <w:color w:val="000000"/>
          <w:sz w:val="24"/>
          <w:szCs w:val="27"/>
          <w:shd w:val="clear" w:color="auto" w:fill="FFFFFF"/>
        </w:rPr>
        <w:t xml:space="preserve"> 199 at 200.</w:t>
      </w:r>
    </w:p>
  </w:footnote>
  <w:footnote w:id="108">
    <w:p w14:paraId="4FFD881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(2005) 224 CLR 300 at 308 [18] (emphasis in original).</w:t>
      </w:r>
    </w:p>
  </w:footnote>
  <w:footnote w:id="109">
    <w:p w14:paraId="4C5A3CA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 xml:space="preserve">King v The Queen </w:t>
      </w:r>
      <w:r w:rsidRPr="00727042">
        <w:rPr>
          <w:rFonts w:ascii="Times New Roman" w:hAnsi="Times New Roman"/>
          <w:sz w:val="24"/>
        </w:rPr>
        <w:t xml:space="preserve">(2012) 245 CLR 588 at 611 [53]-[55]; </w:t>
      </w:r>
      <w:r w:rsidRPr="00727042">
        <w:rPr>
          <w:rFonts w:ascii="Times New Roman" w:hAnsi="Times New Roman"/>
          <w:i/>
          <w:sz w:val="24"/>
        </w:rPr>
        <w:t>GBF v The Queen</w:t>
      </w:r>
      <w:r w:rsidRPr="00727042">
        <w:rPr>
          <w:rFonts w:ascii="Times New Roman" w:hAnsi="Times New Roman"/>
          <w:sz w:val="24"/>
        </w:rPr>
        <w:t xml:space="preserve"> (2020) 94 ALJR 1037 at 1042 [24]; 384 ALR 569 at 575.</w:t>
      </w:r>
    </w:p>
  </w:footnote>
  <w:footnote w:id="110">
    <w:p w14:paraId="3CD6E21C"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w:t>
      </w:r>
      <w:r w:rsidRPr="00727042">
        <w:rPr>
          <w:rFonts w:ascii="Times New Roman" w:hAnsi="Times New Roman"/>
          <w:i/>
          <w:sz w:val="24"/>
        </w:rPr>
        <w:t>Hamide v The Queen</w:t>
      </w:r>
      <w:r w:rsidRPr="00727042">
        <w:rPr>
          <w:rFonts w:ascii="Times New Roman" w:hAnsi="Times New Roman"/>
          <w:sz w:val="24"/>
        </w:rPr>
        <w:t xml:space="preserve"> (2019) 101 NSWLR 455 at 473-484 [75]-[129] (special leave to appeal refused: </w:t>
      </w:r>
      <w:r w:rsidRPr="00727042">
        <w:rPr>
          <w:rFonts w:ascii="Times New Roman" w:hAnsi="Times New Roman"/>
          <w:i/>
          <w:sz w:val="24"/>
        </w:rPr>
        <w:t xml:space="preserve">Hamide v The Queen </w:t>
      </w:r>
      <w:r w:rsidRPr="00727042">
        <w:rPr>
          <w:rFonts w:ascii="Times New Roman" w:hAnsi="Times New Roman"/>
          <w:sz w:val="24"/>
        </w:rPr>
        <w:t xml:space="preserve">[2020] HCATrans 085); </w:t>
      </w:r>
      <w:r w:rsidRPr="00727042">
        <w:rPr>
          <w:rFonts w:ascii="Times New Roman" w:hAnsi="Times New Roman"/>
          <w:i/>
          <w:sz w:val="24"/>
        </w:rPr>
        <w:t>Caleo v The Queen</w:t>
      </w:r>
      <w:r w:rsidRPr="00727042">
        <w:rPr>
          <w:rFonts w:ascii="Times New Roman" w:hAnsi="Times New Roman"/>
          <w:sz w:val="24"/>
        </w:rPr>
        <w:t xml:space="preserve"> [2021] NSWCCA 179 at [154]-[167].</w:t>
      </w:r>
    </w:p>
  </w:footnote>
  <w:footnote w:id="111">
    <w:p w14:paraId="1AAD328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[2009] 3 NZLR 145.</w:t>
      </w:r>
    </w:p>
  </w:footnote>
  <w:footnote w:id="112">
    <w:p w14:paraId="01781D2B"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[2009] 3 NZLR 145 at 157 [30]. Section 385(1)(c) of the </w:t>
      </w:r>
      <w:r w:rsidRPr="00727042">
        <w:rPr>
          <w:rFonts w:ascii="Times New Roman" w:hAnsi="Times New Roman"/>
          <w:i/>
          <w:sz w:val="24"/>
        </w:rPr>
        <w:t>Crimes Act 1961</w:t>
      </w:r>
      <w:r w:rsidRPr="00727042">
        <w:rPr>
          <w:rFonts w:ascii="Times New Roman" w:hAnsi="Times New Roman"/>
          <w:sz w:val="24"/>
        </w:rPr>
        <w:t xml:space="preserve"> (NZ) required a court to allow an appeal against conviction if "on any ground there was a miscarriage of justice".</w:t>
      </w:r>
    </w:p>
  </w:footnote>
  <w:footnote w:id="113">
    <w:p w14:paraId="7803AFF8" w14:textId="77777777" w:rsidR="00357618" w:rsidRPr="00727042" w:rsidRDefault="00357618" w:rsidP="00727042">
      <w:pPr>
        <w:pStyle w:val="FootnoteText"/>
        <w:spacing w:line="280" w:lineRule="exact"/>
        <w:ind w:right="0"/>
        <w:jc w:val="both"/>
        <w:rPr>
          <w:rFonts w:ascii="Times New Roman" w:hAnsi="Times New Roman"/>
          <w:i/>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Wigmore, "New Trials for Erroneous Rulings upon Evidence; a Practical Problem for American Justice" (1903) 3 </w:t>
      </w:r>
      <w:r w:rsidRPr="00727042">
        <w:rPr>
          <w:rFonts w:ascii="Times New Roman" w:hAnsi="Times New Roman"/>
          <w:i/>
          <w:sz w:val="24"/>
        </w:rPr>
        <w:t>Columbia Law Review</w:t>
      </w:r>
      <w:r w:rsidRPr="00727042">
        <w:rPr>
          <w:rFonts w:ascii="Times New Roman" w:hAnsi="Times New Roman"/>
          <w:sz w:val="24"/>
        </w:rPr>
        <w:t xml:space="preserve"> 433. See also Wigmore, </w:t>
      </w:r>
      <w:r w:rsidRPr="00727042">
        <w:rPr>
          <w:rFonts w:ascii="Times New Roman" w:hAnsi="Times New Roman"/>
          <w:i/>
          <w:sz w:val="24"/>
        </w:rPr>
        <w:t xml:space="preserve">A Treatise on the System of Evidence in Trials at Common Law </w:t>
      </w:r>
      <w:r w:rsidRPr="00727042">
        <w:rPr>
          <w:rFonts w:ascii="Times New Roman" w:hAnsi="Times New Roman"/>
          <w:sz w:val="24"/>
        </w:rPr>
        <w:t>(1904), vol I at 69-79.</w:t>
      </w:r>
    </w:p>
  </w:footnote>
  <w:footnote w:id="114">
    <w:p w14:paraId="4082A38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Compare </w:t>
      </w:r>
      <w:r w:rsidRPr="00727042">
        <w:rPr>
          <w:rFonts w:ascii="Times New Roman" w:hAnsi="Times New Roman"/>
          <w:i/>
          <w:sz w:val="24"/>
        </w:rPr>
        <w:t>Robinson &amp; Vincent Ltd v Rice</w:t>
      </w:r>
      <w:r w:rsidRPr="00727042">
        <w:rPr>
          <w:rFonts w:ascii="Times New Roman" w:hAnsi="Times New Roman"/>
          <w:sz w:val="24"/>
        </w:rPr>
        <w:t xml:space="preserve"> (1926) 38 CLR 1 at 10; </w:t>
      </w:r>
      <w:r w:rsidRPr="00727042">
        <w:rPr>
          <w:rFonts w:ascii="Times New Roman" w:hAnsi="Times New Roman"/>
          <w:i/>
          <w:sz w:val="24"/>
        </w:rPr>
        <w:t>MZAPC v Minister for Immigration and Border Protection</w:t>
      </w:r>
      <w:r w:rsidRPr="00727042">
        <w:rPr>
          <w:rFonts w:ascii="Times New Roman" w:hAnsi="Times New Roman"/>
          <w:sz w:val="24"/>
        </w:rPr>
        <w:t xml:space="preserve"> (2021) 95 ALJR 441 at 455 [44]; 390 ALR 590 at 601.</w:t>
      </w:r>
    </w:p>
  </w:footnote>
  <w:footnote w:id="115">
    <w:p w14:paraId="6EC81661"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Crease v Barrett</w:t>
      </w:r>
      <w:r w:rsidRPr="00727042">
        <w:rPr>
          <w:rFonts w:ascii="Times New Roman" w:hAnsi="Times New Roman"/>
          <w:color w:val="000000"/>
          <w:sz w:val="24"/>
          <w:shd w:val="clear" w:color="auto" w:fill="FFFFFF"/>
        </w:rPr>
        <w:t xml:space="preserve"> (1835) 1 C M &amp; R 919 [149 ER 1353].</w:t>
      </w:r>
    </w:p>
  </w:footnote>
  <w:footnote w:id="116">
    <w:p w14:paraId="0D0F8B1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color w:val="000000"/>
          <w:sz w:val="24"/>
          <w:shd w:val="clear" w:color="auto" w:fill="FFFFFF"/>
        </w:rPr>
        <w:t>Wright v Doe dem Tatham </w:t>
      </w:r>
      <w:r w:rsidRPr="00727042">
        <w:rPr>
          <w:rFonts w:ascii="Times New Roman" w:hAnsi="Times New Roman"/>
          <w:color w:val="000000"/>
          <w:sz w:val="24"/>
          <w:shd w:val="clear" w:color="auto" w:fill="FFFFFF"/>
        </w:rPr>
        <w:t xml:space="preserve">(1837) 7 A &amp; E 313 at 330 [112 ER 488 at 495], quoted with the emphasis added in </w:t>
      </w:r>
      <w:r w:rsidRPr="00727042">
        <w:rPr>
          <w:rFonts w:ascii="Times New Roman" w:hAnsi="Times New Roman"/>
          <w:i/>
          <w:color w:val="000000"/>
          <w:sz w:val="24"/>
          <w:shd w:val="clear" w:color="auto" w:fill="FFFFFF"/>
        </w:rPr>
        <w:t xml:space="preserve">Weiss v The Queen </w:t>
      </w:r>
      <w:r w:rsidRPr="00727042">
        <w:rPr>
          <w:rFonts w:ascii="Times New Roman" w:hAnsi="Times New Roman"/>
          <w:color w:val="000000"/>
          <w:sz w:val="24"/>
          <w:shd w:val="clear" w:color="auto" w:fill="FFFFFF"/>
        </w:rPr>
        <w:t>(2005) 224 CLR 300 at 307 [13].</w:t>
      </w:r>
    </w:p>
  </w:footnote>
  <w:footnote w:id="117">
    <w:p w14:paraId="2858A563"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The American and English Encyclopaedia of Law and Practice</w:t>
      </w:r>
      <w:r w:rsidRPr="00727042">
        <w:rPr>
          <w:rFonts w:ascii="Times New Roman" w:hAnsi="Times New Roman"/>
          <w:sz w:val="24"/>
        </w:rPr>
        <w:t xml:space="preserve"> (1910), vol 4 at 433-437. </w:t>
      </w:r>
    </w:p>
  </w:footnote>
  <w:footnote w:id="118">
    <w:p w14:paraId="6BCD963D"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Amidon, "The Quest for Error and the Doing of Justice" (1906) 5 </w:t>
      </w:r>
      <w:r w:rsidRPr="00727042">
        <w:rPr>
          <w:rFonts w:ascii="Times New Roman" w:hAnsi="Times New Roman"/>
          <w:i/>
          <w:sz w:val="24"/>
        </w:rPr>
        <w:t>Canadian Law Review</w:t>
      </w:r>
      <w:r w:rsidRPr="00727042">
        <w:rPr>
          <w:rFonts w:ascii="Times New Roman" w:hAnsi="Times New Roman"/>
          <w:sz w:val="24"/>
        </w:rPr>
        <w:t xml:space="preserve"> 364 at 364-366, 372; Committee on Judicial Administration and Remedial Procedure, </w:t>
      </w:r>
      <w:r w:rsidRPr="00727042">
        <w:rPr>
          <w:rFonts w:ascii="Times New Roman" w:hAnsi="Times New Roman"/>
          <w:i/>
          <w:sz w:val="24"/>
        </w:rPr>
        <w:t xml:space="preserve">Orthodox English Rule vs Exchequer Rule of Evidence: report of Committee on Judicial Administration and Remedial Procedure, before Alabama State Bar Association, June 28, 1907 </w:t>
      </w:r>
      <w:r w:rsidRPr="00727042">
        <w:rPr>
          <w:rFonts w:ascii="Times New Roman" w:hAnsi="Times New Roman"/>
          <w:sz w:val="24"/>
        </w:rPr>
        <w:t>(1907) at 15, 17.</w:t>
      </w:r>
    </w:p>
  </w:footnote>
  <w:footnote w:id="119">
    <w:p w14:paraId="490982B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Pound, "The Causes of Popular Dissatisfaction with the Administration of Justice" (1906) 40 </w:t>
      </w:r>
      <w:r w:rsidRPr="00727042">
        <w:rPr>
          <w:rFonts w:ascii="Times New Roman" w:hAnsi="Times New Roman"/>
          <w:i/>
          <w:sz w:val="24"/>
        </w:rPr>
        <w:t>American Law Review</w:t>
      </w:r>
      <w:r w:rsidRPr="00727042">
        <w:rPr>
          <w:rFonts w:ascii="Times New Roman" w:hAnsi="Times New Roman"/>
          <w:sz w:val="24"/>
        </w:rPr>
        <w:t xml:space="preserve"> 729 at 739.</w:t>
      </w:r>
    </w:p>
  </w:footnote>
  <w:footnote w:id="120">
    <w:p w14:paraId="0CE9921C"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Taft, "The Administration of Criminal Law" (1905) 15 </w:t>
      </w:r>
      <w:r w:rsidRPr="00727042">
        <w:rPr>
          <w:rFonts w:ascii="Times New Roman" w:hAnsi="Times New Roman"/>
          <w:i/>
          <w:sz w:val="24"/>
        </w:rPr>
        <w:t>Yale Law Journal</w:t>
      </w:r>
      <w:r w:rsidRPr="00727042">
        <w:rPr>
          <w:rFonts w:ascii="Times New Roman" w:hAnsi="Times New Roman"/>
          <w:sz w:val="24"/>
        </w:rPr>
        <w:t xml:space="preserve"> 1 at 16-17.</w:t>
      </w:r>
    </w:p>
  </w:footnote>
  <w:footnote w:id="121">
    <w:p w14:paraId="779702E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Act of 26 February 1919, </w:t>
      </w:r>
      <w:r w:rsidRPr="00727042">
        <w:rPr>
          <w:rFonts w:ascii="Times New Roman" w:hAnsi="Times New Roman"/>
          <w:sz w:val="24"/>
        </w:rPr>
        <w:t xml:space="preserve">ch 48, 40 Stat 1181. See also Wigmore, </w:t>
      </w:r>
      <w:r w:rsidRPr="00727042">
        <w:rPr>
          <w:rFonts w:ascii="Times New Roman" w:hAnsi="Times New Roman"/>
          <w:i/>
          <w:sz w:val="24"/>
        </w:rPr>
        <w:t>A Treatise on the Anglo-American System of Evidence in Trials at Common Law</w:t>
      </w:r>
      <w:r w:rsidRPr="00727042">
        <w:rPr>
          <w:rFonts w:ascii="Times New Roman" w:hAnsi="Times New Roman"/>
          <w:sz w:val="24"/>
        </w:rPr>
        <w:t>,</w:t>
      </w:r>
      <w:r w:rsidRPr="00727042">
        <w:rPr>
          <w:rFonts w:ascii="Times New Roman" w:hAnsi="Times New Roman"/>
          <w:i/>
          <w:sz w:val="24"/>
        </w:rPr>
        <w:t xml:space="preserve"> </w:t>
      </w:r>
      <w:r w:rsidRPr="00727042">
        <w:rPr>
          <w:rFonts w:ascii="Times New Roman" w:hAnsi="Times New Roman"/>
          <w:sz w:val="24"/>
        </w:rPr>
        <w:t>3rd ed (1940), vol</w:t>
      </w:r>
      <w:r>
        <w:rPr>
          <w:rFonts w:ascii="Times New Roman" w:hAnsi="Times New Roman"/>
          <w:sz w:val="24"/>
        </w:rPr>
        <w:t> </w:t>
      </w:r>
      <w:r w:rsidRPr="00727042">
        <w:rPr>
          <w:rFonts w:ascii="Times New Roman" w:hAnsi="Times New Roman"/>
          <w:sz w:val="24"/>
        </w:rPr>
        <w:t>1 at 377-379.</w:t>
      </w:r>
    </w:p>
  </w:footnote>
  <w:footnote w:id="122">
    <w:p w14:paraId="775743BD"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American Law Institute, </w:t>
      </w:r>
      <w:r w:rsidRPr="00727042">
        <w:rPr>
          <w:rFonts w:ascii="Times New Roman" w:hAnsi="Times New Roman"/>
          <w:i/>
          <w:sz w:val="24"/>
        </w:rPr>
        <w:t xml:space="preserve">Code of Criminal Procedure: Official Draft </w:t>
      </w:r>
      <w:r w:rsidRPr="00727042">
        <w:rPr>
          <w:rFonts w:ascii="Times New Roman" w:hAnsi="Times New Roman"/>
          <w:sz w:val="24"/>
        </w:rPr>
        <w:t xml:space="preserve">(1930) at 1302-1304. </w:t>
      </w:r>
    </w:p>
  </w:footnote>
  <w:footnote w:id="123">
    <w:p w14:paraId="69CE922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Fairfax, "A Fair Trial, Not a Perfect One: The Early Twentieth-Century Campaign for the Harmless Error Rule" (2009) 93 </w:t>
      </w:r>
      <w:r w:rsidRPr="00727042">
        <w:rPr>
          <w:rFonts w:ascii="Times New Roman" w:hAnsi="Times New Roman"/>
          <w:i/>
          <w:sz w:val="24"/>
        </w:rPr>
        <w:t>Marquette Law Review</w:t>
      </w:r>
      <w:r w:rsidRPr="00727042">
        <w:rPr>
          <w:rFonts w:ascii="Times New Roman" w:hAnsi="Times New Roman"/>
          <w:sz w:val="24"/>
        </w:rPr>
        <w:t xml:space="preserve"> 433. </w:t>
      </w:r>
    </w:p>
  </w:footnote>
  <w:footnote w:id="124">
    <w:p w14:paraId="34CAFDE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(1887) 18 QBD 537 at 540-541, quoted </w:t>
      </w:r>
      <w:r w:rsidRPr="00727042">
        <w:rPr>
          <w:rFonts w:ascii="Times New Roman" w:hAnsi="Times New Roman"/>
          <w:color w:val="000000"/>
          <w:sz w:val="24"/>
          <w:shd w:val="clear" w:color="auto" w:fill="FFFFFF"/>
        </w:rPr>
        <w:t xml:space="preserve">in </w:t>
      </w:r>
      <w:r w:rsidRPr="00727042">
        <w:rPr>
          <w:rFonts w:ascii="Times New Roman" w:hAnsi="Times New Roman"/>
          <w:i/>
          <w:color w:val="000000"/>
          <w:sz w:val="24"/>
          <w:shd w:val="clear" w:color="auto" w:fill="FFFFFF"/>
        </w:rPr>
        <w:t xml:space="preserve">Weiss v The Queen </w:t>
      </w:r>
      <w:r w:rsidRPr="00727042">
        <w:rPr>
          <w:rFonts w:ascii="Times New Roman" w:hAnsi="Times New Roman"/>
          <w:color w:val="000000"/>
          <w:sz w:val="24"/>
          <w:shd w:val="clear" w:color="auto" w:fill="FFFFFF"/>
        </w:rPr>
        <w:t>(2005) 224 CLR 300 at 307 [16] (emphasis added).</w:t>
      </w:r>
    </w:p>
  </w:footnote>
  <w:footnote w:id="125">
    <w:p w14:paraId="6A7B3ED0"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Style w:val="FootnoteReference"/>
          <w:rFonts w:ascii="Times New Roman" w:hAnsi="Times New Roman"/>
          <w:sz w:val="22"/>
          <w:vertAlign w:val="baseline"/>
        </w:rPr>
        <w:t xml:space="preserve"> </w:t>
      </w:r>
      <w:r w:rsidRPr="00727042">
        <w:rPr>
          <w:rFonts w:ascii="Times New Roman" w:hAnsi="Times New Roman"/>
          <w:sz w:val="24"/>
        </w:rPr>
        <w:tab/>
      </w:r>
      <w:r w:rsidRPr="00727042">
        <w:rPr>
          <w:rFonts w:ascii="Times New Roman" w:hAnsi="Times New Roman"/>
          <w:i/>
          <w:sz w:val="24"/>
        </w:rPr>
        <w:t>Trimble v Hill</w:t>
      </w:r>
      <w:r w:rsidRPr="00727042">
        <w:rPr>
          <w:rFonts w:ascii="Times New Roman" w:hAnsi="Times New Roman"/>
          <w:sz w:val="24"/>
        </w:rPr>
        <w:t xml:space="preserve"> (1879) 5 App Cas 342 at 345.</w:t>
      </w:r>
    </w:p>
  </w:footnote>
  <w:footnote w:id="126">
    <w:p w14:paraId="15259EBC"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Style w:val="FootnoteReference"/>
          <w:rFonts w:ascii="Times New Roman" w:hAnsi="Times New Roman"/>
          <w:sz w:val="22"/>
          <w:vertAlign w:val="baseline"/>
        </w:rPr>
        <w:t xml:space="preserve"> </w:t>
      </w:r>
      <w:r w:rsidRPr="00727042">
        <w:rPr>
          <w:rFonts w:ascii="Times New Roman" w:hAnsi="Times New Roman"/>
          <w:sz w:val="24"/>
        </w:rPr>
        <w:tab/>
      </w:r>
      <w:r w:rsidRPr="00727042">
        <w:rPr>
          <w:rFonts w:ascii="Times New Roman" w:hAnsi="Times New Roman"/>
          <w:i/>
          <w:sz w:val="24"/>
        </w:rPr>
        <w:t xml:space="preserve">Knox v Bible </w:t>
      </w:r>
      <w:r w:rsidRPr="00727042">
        <w:rPr>
          <w:rFonts w:ascii="Times New Roman" w:hAnsi="Times New Roman"/>
          <w:sz w:val="24"/>
        </w:rPr>
        <w:t xml:space="preserve">[1907] VLR 485 at 495-496, citing </w:t>
      </w:r>
      <w:r w:rsidRPr="00727042">
        <w:rPr>
          <w:rFonts w:ascii="Times New Roman" w:hAnsi="Times New Roman"/>
          <w:i/>
          <w:sz w:val="24"/>
        </w:rPr>
        <w:t>R v Gibson</w:t>
      </w:r>
      <w:r w:rsidRPr="00727042">
        <w:rPr>
          <w:rFonts w:ascii="Times New Roman" w:hAnsi="Times New Roman"/>
          <w:sz w:val="24"/>
        </w:rPr>
        <w:t xml:space="preserve"> (1887) 18 QBD 537 as explained in </w:t>
      </w:r>
      <w:r w:rsidRPr="00727042">
        <w:rPr>
          <w:rFonts w:ascii="Times New Roman" w:hAnsi="Times New Roman"/>
          <w:i/>
          <w:sz w:val="24"/>
        </w:rPr>
        <w:t>R v Ludlow</w:t>
      </w:r>
      <w:r w:rsidRPr="00727042">
        <w:rPr>
          <w:rFonts w:ascii="Times New Roman" w:hAnsi="Times New Roman"/>
          <w:sz w:val="24"/>
        </w:rPr>
        <w:t xml:space="preserve"> (1898) 24 VLR 93 at </w:t>
      </w:r>
      <w:r w:rsidRPr="00727042" w:rsidDel="000253AF">
        <w:rPr>
          <w:rFonts w:ascii="Times New Roman" w:hAnsi="Times New Roman"/>
          <w:sz w:val="24"/>
        </w:rPr>
        <w:t>98-</w:t>
      </w:r>
      <w:r w:rsidRPr="00727042">
        <w:rPr>
          <w:rFonts w:ascii="Times New Roman" w:hAnsi="Times New Roman"/>
          <w:sz w:val="24"/>
        </w:rPr>
        <w:t>99.</w:t>
      </w:r>
    </w:p>
  </w:footnote>
  <w:footnote w:id="127">
    <w:p w14:paraId="5F475EB9"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(1910) 11 CLR 400 at 410.</w:t>
      </w:r>
    </w:p>
  </w:footnote>
  <w:footnote w:id="128">
    <w:p w14:paraId="5009C389"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(2005) 224 CLR 300 at 308 [17]. </w:t>
      </w:r>
    </w:p>
  </w:footnote>
  <w:footnote w:id="129">
    <w:p w14:paraId="219F40E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(2005) 224 CLR 300 at 308 [18], quoted above at [</w:t>
      </w:r>
      <w:r>
        <w:rPr>
          <w:rFonts w:ascii="Times New Roman" w:hAnsi="Times New Roman"/>
          <w:sz w:val="24"/>
        </w:rPr>
        <w:t>99</w:t>
      </w:r>
      <w:r w:rsidRPr="00727042">
        <w:rPr>
          <w:rFonts w:ascii="Times New Roman" w:hAnsi="Times New Roman"/>
          <w:sz w:val="24"/>
        </w:rPr>
        <w:t>].</w:t>
      </w:r>
    </w:p>
  </w:footnote>
  <w:footnote w:id="130">
    <w:p w14:paraId="758A9BFC"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(2005) 224 CLR 300 at 304 [5].</w:t>
      </w:r>
    </w:p>
  </w:footnote>
  <w:footnote w:id="131">
    <w:p w14:paraId="618F1538"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cf </w:t>
      </w:r>
      <w:r w:rsidRPr="00727042">
        <w:rPr>
          <w:rFonts w:ascii="Times New Roman" w:hAnsi="Times New Roman"/>
          <w:i/>
          <w:sz w:val="24"/>
        </w:rPr>
        <w:t>Fleming v The Queen</w:t>
      </w:r>
      <w:r w:rsidRPr="00727042">
        <w:rPr>
          <w:rFonts w:ascii="Times New Roman" w:hAnsi="Times New Roman"/>
          <w:sz w:val="24"/>
        </w:rPr>
        <w:t xml:space="preserve"> (1998) 197 CLR 250 at 262 [27].</w:t>
      </w:r>
    </w:p>
  </w:footnote>
  <w:footnote w:id="132">
    <w:p w14:paraId="492DFD2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(2005) 224 CLR 300 at 304 [5]. See also </w:t>
      </w:r>
      <w:r w:rsidRPr="00727042">
        <w:rPr>
          <w:rFonts w:ascii="Times New Roman" w:hAnsi="Times New Roman"/>
          <w:i/>
          <w:sz w:val="24"/>
        </w:rPr>
        <w:t xml:space="preserve">Cesan v The Queen </w:t>
      </w:r>
      <w:r w:rsidRPr="00727042">
        <w:rPr>
          <w:rFonts w:ascii="Times New Roman" w:hAnsi="Times New Roman"/>
          <w:sz w:val="24"/>
        </w:rPr>
        <w:t>(2008) 236 CLR 358 at 383 [81].</w:t>
      </w:r>
    </w:p>
  </w:footnote>
  <w:footnote w:id="133">
    <w:p w14:paraId="0455AC05"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(1919) 27 CLR 13 at 23.</w:t>
      </w:r>
    </w:p>
  </w:footnote>
  <w:footnote w:id="134">
    <w:p w14:paraId="65B4F00A"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(1937) 57 CLR 170 at 180.</w:t>
      </w:r>
    </w:p>
  </w:footnote>
  <w:footnote w:id="135">
    <w:p w14:paraId="6969A09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generally </w:t>
      </w:r>
      <w:r w:rsidRPr="00727042">
        <w:rPr>
          <w:rFonts w:ascii="Times New Roman" w:hAnsi="Times New Roman"/>
          <w:sz w:val="24"/>
        </w:rPr>
        <w:t xml:space="preserve">Spigelman, "The truth can cost too much: The principle of a fair trial" (2004) 78 </w:t>
      </w:r>
      <w:r w:rsidRPr="00727042">
        <w:rPr>
          <w:rFonts w:ascii="Times New Roman" w:hAnsi="Times New Roman"/>
          <w:i/>
          <w:sz w:val="24"/>
        </w:rPr>
        <w:t xml:space="preserve">Australian Law Journal </w:t>
      </w:r>
      <w:r w:rsidRPr="00727042">
        <w:rPr>
          <w:rFonts w:ascii="Times New Roman" w:hAnsi="Times New Roman"/>
          <w:sz w:val="24"/>
        </w:rPr>
        <w:t>29.</w:t>
      </w:r>
    </w:p>
  </w:footnote>
  <w:footnote w:id="136">
    <w:p w14:paraId="1443F0AC"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McKinney v The Queen</w:t>
      </w:r>
      <w:r w:rsidRPr="00727042">
        <w:rPr>
          <w:rFonts w:ascii="Times New Roman" w:hAnsi="Times New Roman"/>
          <w:sz w:val="24"/>
        </w:rPr>
        <w:t xml:space="preserve"> (1991) 171 CLR 468 at 478 (emphasis added).</w:t>
      </w:r>
    </w:p>
  </w:footnote>
  <w:footnote w:id="137">
    <w:p w14:paraId="0D74A219"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Jones v The Queen</w:t>
      </w:r>
      <w:r w:rsidRPr="00727042">
        <w:rPr>
          <w:rFonts w:ascii="Times New Roman" w:hAnsi="Times New Roman"/>
          <w:sz w:val="24"/>
        </w:rPr>
        <w:t xml:space="preserve"> (1997) 191 CLR 439 at 450 (emphasis added).</w:t>
      </w:r>
    </w:p>
  </w:footnote>
  <w:footnote w:id="138">
    <w:p w14:paraId="4E7B419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color w:val="000000"/>
          <w:sz w:val="24"/>
          <w:shd w:val="clear" w:color="auto" w:fill="FFFFFF"/>
        </w:rPr>
        <w:t>(1989) 168 CLR 23 at 57.</w:t>
      </w:r>
      <w:r w:rsidRPr="00727042">
        <w:rPr>
          <w:rFonts w:ascii="Times New Roman" w:hAnsi="Times New Roman"/>
          <w:sz w:val="24"/>
        </w:rPr>
        <w:t xml:space="preserve"> See also </w:t>
      </w:r>
      <w:r w:rsidRPr="00727042">
        <w:rPr>
          <w:rFonts w:ascii="Times New Roman" w:hAnsi="Times New Roman"/>
          <w:i/>
          <w:sz w:val="24"/>
        </w:rPr>
        <w:t>Penney v The Queen</w:t>
      </w:r>
      <w:r w:rsidRPr="00727042">
        <w:rPr>
          <w:rFonts w:ascii="Times New Roman" w:hAnsi="Times New Roman"/>
          <w:sz w:val="24"/>
        </w:rPr>
        <w:t xml:space="preserve"> (1998) 72 ALJR 1316 at 1320-1321 [22]; 155 ALR 605 at 611.</w:t>
      </w:r>
    </w:p>
  </w:footnote>
  <w:footnote w:id="139">
    <w:p w14:paraId="69912E80"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(1992) 177 CLR 292 at 300 (footnote omitted).</w:t>
      </w:r>
    </w:p>
  </w:footnote>
  <w:footnote w:id="140">
    <w:p w14:paraId="01B1D81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Bromley v The Queen </w:t>
      </w:r>
      <w:r w:rsidRPr="00727042">
        <w:rPr>
          <w:rFonts w:ascii="Times New Roman" w:hAnsi="Times New Roman"/>
          <w:sz w:val="24"/>
        </w:rPr>
        <w:t xml:space="preserve">(1986) 161 CLR 315 at 324-325; </w:t>
      </w:r>
      <w:r w:rsidRPr="00727042">
        <w:rPr>
          <w:rFonts w:ascii="Times New Roman" w:hAnsi="Times New Roman"/>
          <w:i/>
          <w:sz w:val="24"/>
        </w:rPr>
        <w:t xml:space="preserve">Longman v The Queen </w:t>
      </w:r>
      <w:r w:rsidRPr="00727042">
        <w:rPr>
          <w:rFonts w:ascii="Times New Roman" w:hAnsi="Times New Roman"/>
          <w:sz w:val="24"/>
        </w:rPr>
        <w:t>(1989) 168 CLR 79 at 86.</w:t>
      </w:r>
    </w:p>
  </w:footnote>
  <w:footnote w:id="141">
    <w:p w14:paraId="1EBCB4CB"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 xml:space="preserve">RPS v The Queen </w:t>
      </w:r>
      <w:r w:rsidRPr="00727042">
        <w:rPr>
          <w:rFonts w:ascii="Times New Roman" w:hAnsi="Times New Roman"/>
          <w:sz w:val="24"/>
        </w:rPr>
        <w:t>(2000) 199 CLR 620 at 637 [41].</w:t>
      </w:r>
    </w:p>
  </w:footnote>
  <w:footnote w:id="142">
    <w:p w14:paraId="48708493"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(2006) 80 ALJR 614 at 622 [24]; 225 ALR 161 at 170, referring to </w:t>
      </w:r>
      <w:r w:rsidRPr="00727042">
        <w:rPr>
          <w:rFonts w:ascii="Times New Roman" w:hAnsi="Times New Roman"/>
          <w:i/>
          <w:sz w:val="24"/>
        </w:rPr>
        <w:t>TKWJ v The Queen</w:t>
      </w:r>
      <w:r w:rsidRPr="00727042">
        <w:rPr>
          <w:rFonts w:ascii="Times New Roman" w:hAnsi="Times New Roman"/>
          <w:sz w:val="24"/>
        </w:rPr>
        <w:t xml:space="preserve"> (2002) 212 CLR 124 at 134 [31], 148 [75], 149-150 [79], 157 [101], [104] (footnotes omitted).</w:t>
      </w:r>
    </w:p>
  </w:footnote>
  <w:footnote w:id="143">
    <w:p w14:paraId="1F9AC80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(2007) 230 CLR 559 at 589 [81]-[83], 605 [134].</w:t>
      </w:r>
    </w:p>
  </w:footnote>
  <w:footnote w:id="144">
    <w:p w14:paraId="0FF993F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(2008) 236 CLR 358 at 387-388 [93]-[96], 390-391 [105]-[106], 393 [119].</w:t>
      </w:r>
    </w:p>
  </w:footnote>
  <w:footnote w:id="145">
    <w:p w14:paraId="74ADF3CB"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(2009) 83 ALJR 671 at 678 [30]; 254 ALR 626 at 634, affirming </w:t>
      </w:r>
      <w:r w:rsidRPr="00727042">
        <w:rPr>
          <w:rFonts w:ascii="Times New Roman" w:hAnsi="Times New Roman"/>
          <w:i/>
          <w:sz w:val="24"/>
        </w:rPr>
        <w:t xml:space="preserve">R v </w:t>
      </w:r>
      <w:r w:rsidRPr="00727042">
        <w:rPr>
          <w:rFonts w:ascii="Times New Roman" w:hAnsi="Times New Roman"/>
          <w:i/>
          <w:sz w:val="24"/>
        </w:rPr>
        <w:t>Roughan</w:t>
      </w:r>
      <w:r w:rsidRPr="00727042">
        <w:rPr>
          <w:rFonts w:ascii="Times New Roman" w:hAnsi="Times New Roman"/>
          <w:sz w:val="24"/>
        </w:rPr>
        <w:t xml:space="preserve"> (2007) 179 A Crim R 389 at 406 [83].</w:t>
      </w:r>
    </w:p>
  </w:footnote>
  <w:footnote w:id="146">
    <w:p w14:paraId="506EB220"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(2010) 242 CLR 233 at 252 [69]-[70].</w:t>
      </w:r>
    </w:p>
  </w:footnote>
  <w:footnote w:id="147">
    <w:p w14:paraId="41B4475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(2011) 245 CLR 257 at 277-278 [47]-[50].</w:t>
      </w:r>
    </w:p>
  </w:footnote>
  <w:footnote w:id="148">
    <w:p w14:paraId="3C22E7D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(2012) 247 CLR 531 at 564 [118].</w:t>
      </w:r>
    </w:p>
  </w:footnote>
  <w:footnote w:id="149">
    <w:p w14:paraId="2226201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(2016) 259 CLR 449 at 471-472 [63]-[65], 477 [81].</w:t>
      </w:r>
    </w:p>
  </w:footnote>
  <w:footnote w:id="150">
    <w:p w14:paraId="2BAAEB0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(2018) 264 CLR 202 at 215-216 [36]-[37]. </w:t>
      </w:r>
    </w:p>
  </w:footnote>
  <w:footnote w:id="151">
    <w:p w14:paraId="570733F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(2018) 265 CLR 254 at 262 [26], 265 [34].</w:t>
      </w:r>
    </w:p>
  </w:footnote>
  <w:footnote w:id="152">
    <w:p w14:paraId="4A62B04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(2019) 268 CLR 57 at 68-70 [30]-[36].</w:t>
      </w:r>
    </w:p>
  </w:footnote>
  <w:footnote w:id="153">
    <w:p w14:paraId="47116A2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(2019) 264 CLR 307 at 320-323 [39], [42]-[45].</w:t>
      </w:r>
    </w:p>
  </w:footnote>
  <w:footnote w:id="154">
    <w:p w14:paraId="0223777A"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(2020) 94 ALJR 981 at 1001 [77]; 384 ALR 1 at 26.</w:t>
      </w:r>
    </w:p>
  </w:footnote>
  <w:footnote w:id="155">
    <w:p w14:paraId="25AB341A"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See </w:t>
      </w:r>
      <w:r w:rsidRPr="00727042">
        <w:rPr>
          <w:rFonts w:ascii="Times New Roman" w:hAnsi="Times New Roman"/>
          <w:i/>
          <w:sz w:val="24"/>
        </w:rPr>
        <w:t>Nudd v The Queen</w:t>
      </w:r>
      <w:r w:rsidRPr="00727042">
        <w:rPr>
          <w:rFonts w:ascii="Times New Roman" w:hAnsi="Times New Roman"/>
          <w:sz w:val="24"/>
        </w:rPr>
        <w:t xml:space="preserve"> (2006) 80 ALJR 614 at 621 [18]; 225 ALR 161 at 168-169, explaining </w:t>
      </w:r>
      <w:r w:rsidRPr="00727042">
        <w:rPr>
          <w:rFonts w:ascii="Times New Roman" w:hAnsi="Times New Roman"/>
          <w:i/>
          <w:sz w:val="24"/>
        </w:rPr>
        <w:t>R v Birks</w:t>
      </w:r>
      <w:r w:rsidRPr="00727042">
        <w:rPr>
          <w:rFonts w:ascii="Times New Roman" w:hAnsi="Times New Roman"/>
          <w:sz w:val="24"/>
        </w:rPr>
        <w:t xml:space="preserve"> (1990) 19 NSWLR 677.</w:t>
      </w:r>
    </w:p>
  </w:footnote>
  <w:footnote w:id="156">
    <w:p w14:paraId="33FA8671"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Evans v The Queen</w:t>
      </w:r>
      <w:r w:rsidRPr="00727042">
        <w:rPr>
          <w:rFonts w:ascii="Times New Roman" w:hAnsi="Times New Roman"/>
          <w:sz w:val="24"/>
        </w:rPr>
        <w:t xml:space="preserve"> (2007) 235 CLR 521 at 532-533 [37].</w:t>
      </w:r>
    </w:p>
  </w:footnote>
  <w:footnote w:id="157">
    <w:p w14:paraId="2D0461FC"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R v Birks</w:t>
      </w:r>
      <w:r w:rsidRPr="00727042">
        <w:rPr>
          <w:rFonts w:ascii="Times New Roman" w:hAnsi="Times New Roman"/>
          <w:sz w:val="24"/>
        </w:rPr>
        <w:t xml:space="preserve"> (1990) 19 NSWLR 677 at 702; </w:t>
      </w:r>
      <w:r w:rsidRPr="00727042">
        <w:rPr>
          <w:rFonts w:ascii="Times New Roman" w:hAnsi="Times New Roman"/>
          <w:i/>
          <w:sz w:val="24"/>
        </w:rPr>
        <w:t>Llewellyn v The Queen</w:t>
      </w:r>
      <w:r w:rsidRPr="00727042">
        <w:rPr>
          <w:rFonts w:ascii="Times New Roman" w:hAnsi="Times New Roman"/>
          <w:sz w:val="24"/>
        </w:rPr>
        <w:t xml:space="preserve"> [2011] NSWCCA 66 at [140].</w:t>
      </w:r>
    </w:p>
  </w:footnote>
  <w:footnote w:id="158">
    <w:p w14:paraId="1C2FDE96"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Sections 102 and 104 of the </w:t>
      </w:r>
      <w:r w:rsidRPr="00727042">
        <w:rPr>
          <w:rFonts w:ascii="Times New Roman" w:hAnsi="Times New Roman"/>
          <w:i/>
          <w:sz w:val="24"/>
        </w:rPr>
        <w:t>Evidence Act 1995</w:t>
      </w:r>
      <w:r w:rsidRPr="00727042">
        <w:rPr>
          <w:rFonts w:ascii="Times New Roman" w:hAnsi="Times New Roman"/>
          <w:sz w:val="24"/>
        </w:rPr>
        <w:t xml:space="preserve"> (NSW). </w:t>
      </w:r>
    </w:p>
  </w:footnote>
  <w:footnote w:id="159">
    <w:p w14:paraId="737AD26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t xml:space="preserve">Sections 55 and 56 of the </w:t>
      </w:r>
      <w:r w:rsidRPr="00727042">
        <w:rPr>
          <w:rFonts w:ascii="Times New Roman" w:hAnsi="Times New Roman"/>
          <w:i/>
          <w:sz w:val="24"/>
        </w:rPr>
        <w:t>Evidence Act 1995</w:t>
      </w:r>
      <w:r w:rsidRPr="00727042">
        <w:rPr>
          <w:rFonts w:ascii="Times New Roman" w:hAnsi="Times New Roman"/>
          <w:sz w:val="24"/>
        </w:rPr>
        <w:t xml:space="preserve"> (NSW). </w:t>
      </w:r>
    </w:p>
  </w:footnote>
  <w:footnote w:id="160">
    <w:p w14:paraId="49E6457B"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R v Soma</w:t>
      </w:r>
      <w:r w:rsidRPr="00727042">
        <w:rPr>
          <w:rFonts w:ascii="Times New Roman" w:hAnsi="Times New Roman"/>
          <w:sz w:val="24"/>
        </w:rPr>
        <w:t xml:space="preserve"> (2003) 212 CLR 299 at 304 [11], 324 [79]; </w:t>
      </w:r>
      <w:r w:rsidRPr="00727042">
        <w:rPr>
          <w:rFonts w:ascii="Times New Roman" w:hAnsi="Times New Roman"/>
          <w:i/>
          <w:sz w:val="24"/>
        </w:rPr>
        <w:t xml:space="preserve">Johnson v The Queen </w:t>
      </w:r>
      <w:r w:rsidRPr="00727042">
        <w:rPr>
          <w:rFonts w:ascii="Times New Roman" w:hAnsi="Times New Roman"/>
          <w:sz w:val="24"/>
        </w:rPr>
        <w:t>(2018) 266 CLR 106 at 125 [52].</w:t>
      </w:r>
    </w:p>
  </w:footnote>
  <w:footnote w:id="161">
    <w:p w14:paraId="220462F7"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 xml:space="preserve">Nudd v The Queen </w:t>
      </w:r>
      <w:r w:rsidRPr="00727042">
        <w:rPr>
          <w:rFonts w:ascii="Times New Roman" w:hAnsi="Times New Roman"/>
          <w:sz w:val="24"/>
        </w:rPr>
        <w:t>(2006) 80 ALJR 614 at 622 [24]; 225 ALR 161 at 170.</w:t>
      </w:r>
    </w:p>
  </w:footnote>
  <w:footnote w:id="162">
    <w:p w14:paraId="1D556B0F"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Castle v The Queen</w:t>
      </w:r>
      <w:r w:rsidRPr="00727042">
        <w:rPr>
          <w:rFonts w:ascii="Times New Roman" w:hAnsi="Times New Roman"/>
          <w:sz w:val="24"/>
        </w:rPr>
        <w:t xml:space="preserve"> (2016) 259 CLR 449 at 471 [64].</w:t>
      </w:r>
    </w:p>
  </w:footnote>
  <w:footnote w:id="163">
    <w:p w14:paraId="70F8E34E"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McKell v The Queen</w:t>
      </w:r>
      <w:r w:rsidRPr="00727042">
        <w:rPr>
          <w:rFonts w:ascii="Times New Roman" w:hAnsi="Times New Roman"/>
          <w:sz w:val="24"/>
        </w:rPr>
        <w:t xml:space="preserve"> (2019) 264 CLR 307 at 321 [42], 327 [58].</w:t>
      </w:r>
    </w:p>
  </w:footnote>
  <w:footnote w:id="164">
    <w:p w14:paraId="173524C5"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 xml:space="preserve">Patel v The Queen </w:t>
      </w:r>
      <w:r w:rsidRPr="00727042">
        <w:rPr>
          <w:rFonts w:ascii="Times New Roman" w:hAnsi="Times New Roman"/>
          <w:sz w:val="24"/>
        </w:rPr>
        <w:t>(2012) 247 CLR 531 at 562 [113].</w:t>
      </w:r>
    </w:p>
  </w:footnote>
  <w:footnote w:id="165">
    <w:p w14:paraId="6CD04FBD"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R v Roughan</w:t>
      </w:r>
      <w:r w:rsidRPr="00727042">
        <w:rPr>
          <w:rFonts w:ascii="Times New Roman" w:hAnsi="Times New Roman"/>
          <w:sz w:val="24"/>
        </w:rPr>
        <w:t xml:space="preserve"> (2007) 179 A Crim R 389 at 406 [83], affirmed in </w:t>
      </w:r>
      <w:r w:rsidRPr="00727042">
        <w:rPr>
          <w:rFonts w:ascii="Times New Roman" w:hAnsi="Times New Roman"/>
          <w:i/>
          <w:sz w:val="24"/>
        </w:rPr>
        <w:t>Jones v The Queen</w:t>
      </w:r>
      <w:r w:rsidRPr="00727042">
        <w:rPr>
          <w:rFonts w:ascii="Times New Roman" w:hAnsi="Times New Roman"/>
          <w:sz w:val="24"/>
        </w:rPr>
        <w:t xml:space="preserve"> (2009) 83 ALJR 671 at 678 [30]; 254 ALR 626 at 634.</w:t>
      </w:r>
    </w:p>
  </w:footnote>
  <w:footnote w:id="166">
    <w:p w14:paraId="0E8FEC04"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 xml:space="preserve">R v Storey </w:t>
      </w:r>
      <w:r w:rsidRPr="00727042">
        <w:rPr>
          <w:rFonts w:ascii="Times New Roman" w:hAnsi="Times New Roman"/>
          <w:sz w:val="24"/>
        </w:rPr>
        <w:t>(1978) 140 CLR 364 at 376.</w:t>
      </w:r>
    </w:p>
  </w:footnote>
  <w:footnote w:id="167">
    <w:p w14:paraId="425E0DB9"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sz w:val="24"/>
        </w:rPr>
        <w:t xml:space="preserve">eg, </w:t>
      </w:r>
      <w:r w:rsidRPr="00727042">
        <w:rPr>
          <w:rFonts w:ascii="Times New Roman" w:hAnsi="Times New Roman"/>
          <w:i/>
          <w:sz w:val="24"/>
        </w:rPr>
        <w:t>Mraz v The Queen</w:t>
      </w:r>
      <w:r w:rsidRPr="00727042">
        <w:rPr>
          <w:rFonts w:ascii="Times New Roman" w:hAnsi="Times New Roman"/>
          <w:sz w:val="24"/>
        </w:rPr>
        <w:t xml:space="preserve"> (1955) 93 CLR 493 at 514.</w:t>
      </w:r>
    </w:p>
  </w:footnote>
  <w:footnote w:id="168">
    <w:p w14:paraId="2D415BDB" w14:textId="77777777" w:rsidR="00357618" w:rsidRPr="00727042" w:rsidRDefault="00357618" w:rsidP="00727042">
      <w:pPr>
        <w:pStyle w:val="FootnoteText"/>
        <w:spacing w:line="280" w:lineRule="exact"/>
        <w:ind w:right="0"/>
        <w:jc w:val="both"/>
        <w:rPr>
          <w:rFonts w:ascii="Times New Roman" w:hAnsi="Times New Roman"/>
          <w:sz w:val="24"/>
        </w:rPr>
      </w:pPr>
      <w:r w:rsidRPr="00727042">
        <w:rPr>
          <w:rStyle w:val="FootnoteReference"/>
          <w:rFonts w:ascii="Times New Roman" w:hAnsi="Times New Roman"/>
          <w:sz w:val="22"/>
          <w:vertAlign w:val="baseline"/>
        </w:rPr>
        <w:footnoteRef/>
      </w:r>
      <w:r w:rsidRPr="00727042">
        <w:rPr>
          <w:rFonts w:ascii="Times New Roman" w:hAnsi="Times New Roman"/>
          <w:sz w:val="24"/>
        </w:rPr>
        <w:t xml:space="preserve"> </w:t>
      </w:r>
      <w:r w:rsidRPr="00727042">
        <w:rPr>
          <w:rFonts w:ascii="Times New Roman" w:hAnsi="Times New Roman"/>
          <w:sz w:val="24"/>
        </w:rPr>
        <w:tab/>
      </w:r>
      <w:r w:rsidRPr="00727042">
        <w:rPr>
          <w:rFonts w:ascii="Times New Roman" w:hAnsi="Times New Roman"/>
          <w:i/>
          <w:sz w:val="24"/>
        </w:rPr>
        <w:t>Maher v The Queen</w:t>
      </w:r>
      <w:r w:rsidRPr="00727042">
        <w:rPr>
          <w:rFonts w:ascii="Times New Roman" w:hAnsi="Times New Roman"/>
          <w:sz w:val="24"/>
        </w:rPr>
        <w:t xml:space="preserve"> (1987) 163 CLR 221 at 234, quoted and applied in </w:t>
      </w:r>
      <w:r w:rsidRPr="00727042">
        <w:rPr>
          <w:rFonts w:ascii="Times New Roman" w:hAnsi="Times New Roman"/>
          <w:i/>
          <w:color w:val="000000"/>
          <w:sz w:val="24"/>
          <w:shd w:val="clear" w:color="auto" w:fill="FFFFFF"/>
        </w:rPr>
        <w:t xml:space="preserve">Katsuno v The Queen </w:t>
      </w:r>
      <w:r w:rsidRPr="00727042">
        <w:rPr>
          <w:rFonts w:ascii="Times New Roman" w:hAnsi="Times New Roman"/>
          <w:color w:val="000000"/>
          <w:sz w:val="24"/>
          <w:shd w:val="clear" w:color="auto" w:fill="FFFFFF"/>
        </w:rPr>
        <w:t xml:space="preserve">(1999) 199 CLR 40 at 60 [35] and </w:t>
      </w:r>
      <w:r w:rsidRPr="00727042">
        <w:rPr>
          <w:rFonts w:ascii="Times New Roman" w:hAnsi="Times New Roman"/>
          <w:sz w:val="24"/>
        </w:rPr>
        <w:t xml:space="preserve">in </w:t>
      </w:r>
      <w:r w:rsidRPr="00727042">
        <w:rPr>
          <w:rFonts w:ascii="Times New Roman" w:hAnsi="Times New Roman"/>
          <w:i/>
          <w:sz w:val="24"/>
        </w:rPr>
        <w:t>Lee v The Queen</w:t>
      </w:r>
      <w:r w:rsidRPr="00727042">
        <w:rPr>
          <w:rFonts w:ascii="Times New Roman" w:hAnsi="Times New Roman"/>
          <w:sz w:val="24"/>
        </w:rPr>
        <w:t xml:space="preserve"> (2014) 253 CLR 455 at 472 [48].</w:t>
      </w:r>
    </w:p>
  </w:footnote>
  <w:footnote w:id="169">
    <w:p w14:paraId="5E48F459"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 xml:space="preserve">Criminal Appeal Act 1912 </w:t>
      </w:r>
      <w:r w:rsidRPr="00FC7E3C">
        <w:rPr>
          <w:rFonts w:ascii="Times New Roman" w:hAnsi="Times New Roman"/>
          <w:sz w:val="24"/>
        </w:rPr>
        <w:t>(NSW), s 6(1).</w:t>
      </w:r>
    </w:p>
  </w:footnote>
  <w:footnote w:id="170">
    <w:p w14:paraId="2FD2ED80"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Criminal Appeal Act</w:t>
      </w:r>
      <w:r w:rsidRPr="00FC7E3C">
        <w:rPr>
          <w:rFonts w:ascii="Times New Roman" w:hAnsi="Times New Roman"/>
          <w:sz w:val="24"/>
        </w:rPr>
        <w:t>, s 6(1).</w:t>
      </w:r>
    </w:p>
  </w:footnote>
  <w:footnote w:id="171">
    <w:p w14:paraId="49EE01F2"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[2011] NSWCCA 66 at [137], citing </w:t>
      </w:r>
      <w:r w:rsidRPr="00FC7E3C">
        <w:rPr>
          <w:rFonts w:ascii="Times New Roman" w:hAnsi="Times New Roman"/>
          <w:i/>
          <w:sz w:val="24"/>
        </w:rPr>
        <w:t xml:space="preserve">Whitehorn v The Queen </w:t>
      </w:r>
      <w:r w:rsidRPr="00FC7E3C">
        <w:rPr>
          <w:rFonts w:ascii="Times New Roman" w:hAnsi="Times New Roman"/>
          <w:sz w:val="24"/>
        </w:rPr>
        <w:t xml:space="preserve">(1983) 152 CLR 657 at 663-664; </w:t>
      </w:r>
      <w:r w:rsidRPr="00FC7E3C">
        <w:rPr>
          <w:rFonts w:ascii="Times New Roman" w:hAnsi="Times New Roman"/>
          <w:i/>
          <w:sz w:val="24"/>
        </w:rPr>
        <w:t xml:space="preserve">R v </w:t>
      </w:r>
      <w:r w:rsidRPr="00FC7E3C">
        <w:rPr>
          <w:rFonts w:ascii="Times New Roman" w:hAnsi="Times New Roman"/>
          <w:i/>
          <w:sz w:val="24"/>
        </w:rPr>
        <w:t xml:space="preserve">Manunta </w:t>
      </w:r>
      <w:r w:rsidRPr="00FC7E3C">
        <w:rPr>
          <w:rFonts w:ascii="Times New Roman" w:hAnsi="Times New Roman"/>
          <w:sz w:val="24"/>
        </w:rPr>
        <w:t xml:space="preserve">(1989) 54 SASR 17; </w:t>
      </w:r>
      <w:r w:rsidRPr="00FC7E3C">
        <w:rPr>
          <w:rFonts w:ascii="Times New Roman" w:hAnsi="Times New Roman"/>
          <w:i/>
          <w:sz w:val="24"/>
        </w:rPr>
        <w:t xml:space="preserve">R v Birks </w:t>
      </w:r>
      <w:r w:rsidRPr="00FC7E3C">
        <w:rPr>
          <w:rFonts w:ascii="Times New Roman" w:hAnsi="Times New Roman"/>
          <w:sz w:val="24"/>
        </w:rPr>
        <w:t>(1990) 19 NSWLR 677 at</w:t>
      </w:r>
      <w:r>
        <w:rPr>
          <w:rFonts w:ascii="Times New Roman" w:hAnsi="Times New Roman"/>
          <w:sz w:val="24"/>
        </w:rPr>
        <w:t> </w:t>
      </w:r>
      <w:r w:rsidRPr="00FC7E3C">
        <w:rPr>
          <w:rFonts w:ascii="Times New Roman" w:hAnsi="Times New Roman"/>
          <w:sz w:val="24"/>
        </w:rPr>
        <w:t xml:space="preserve">690-692, 703; </w:t>
      </w:r>
      <w:r w:rsidRPr="00FC7E3C">
        <w:rPr>
          <w:rFonts w:ascii="Times New Roman" w:hAnsi="Times New Roman"/>
          <w:i/>
          <w:sz w:val="24"/>
        </w:rPr>
        <w:t xml:space="preserve">R v Dennis </w:t>
      </w:r>
      <w:r w:rsidRPr="00FC7E3C">
        <w:rPr>
          <w:rFonts w:ascii="Times New Roman" w:hAnsi="Times New Roman"/>
          <w:sz w:val="24"/>
        </w:rPr>
        <w:t xml:space="preserve">[1999] NSWCCA 23 at [45]-[46]; </w:t>
      </w:r>
      <w:r w:rsidRPr="00FC7E3C">
        <w:rPr>
          <w:rFonts w:ascii="Times New Roman" w:hAnsi="Times New Roman"/>
          <w:i/>
          <w:sz w:val="24"/>
        </w:rPr>
        <w:t xml:space="preserve">Abdallah </w:t>
      </w:r>
      <w:r w:rsidRPr="00FC7E3C">
        <w:rPr>
          <w:rFonts w:ascii="Times New Roman" w:hAnsi="Times New Roman"/>
          <w:sz w:val="24"/>
        </w:rPr>
        <w:t>(2001) 127</w:t>
      </w:r>
      <w:r>
        <w:rPr>
          <w:rFonts w:ascii="Times New Roman" w:hAnsi="Times New Roman"/>
          <w:sz w:val="24"/>
        </w:rPr>
        <w:t> </w:t>
      </w:r>
      <w:r w:rsidRPr="00FC7E3C">
        <w:rPr>
          <w:rFonts w:ascii="Times New Roman" w:hAnsi="Times New Roman"/>
          <w:sz w:val="24"/>
        </w:rPr>
        <w:t xml:space="preserve">A Crim R 46 at 52 [24]; </w:t>
      </w:r>
      <w:r w:rsidRPr="00FC7E3C">
        <w:rPr>
          <w:rFonts w:ascii="Times New Roman" w:hAnsi="Times New Roman"/>
          <w:i/>
          <w:sz w:val="24"/>
        </w:rPr>
        <w:t xml:space="preserve">Picker v The Queen </w:t>
      </w:r>
      <w:r w:rsidRPr="00FC7E3C">
        <w:rPr>
          <w:rFonts w:ascii="Times New Roman" w:hAnsi="Times New Roman"/>
          <w:sz w:val="24"/>
        </w:rPr>
        <w:t xml:space="preserve">[2002] NSWCCA 78 at [41]-[42], [47]-[62]; </w:t>
      </w:r>
      <w:r w:rsidRPr="00FC7E3C">
        <w:rPr>
          <w:rFonts w:ascii="Times New Roman" w:hAnsi="Times New Roman"/>
          <w:i/>
          <w:sz w:val="24"/>
        </w:rPr>
        <w:t>R v Scott</w:t>
      </w:r>
      <w:r w:rsidRPr="00FC7E3C">
        <w:rPr>
          <w:rFonts w:ascii="Times New Roman" w:hAnsi="Times New Roman"/>
          <w:sz w:val="24"/>
        </w:rPr>
        <w:t xml:space="preserve"> [2004] NSWCCA 254 at [41]-[63]; </w:t>
      </w:r>
      <w:r w:rsidRPr="00FC7E3C">
        <w:rPr>
          <w:rFonts w:ascii="Times New Roman" w:hAnsi="Times New Roman"/>
          <w:i/>
          <w:sz w:val="24"/>
        </w:rPr>
        <w:t xml:space="preserve">RWB v The Queen </w:t>
      </w:r>
      <w:r w:rsidRPr="00FC7E3C">
        <w:rPr>
          <w:rFonts w:ascii="Times New Roman" w:hAnsi="Times New Roman"/>
          <w:sz w:val="24"/>
        </w:rPr>
        <w:t>(2010) 202 A Crim R 209 at 225 [101].</w:t>
      </w:r>
    </w:p>
  </w:footnote>
  <w:footnote w:id="172">
    <w:p w14:paraId="4ACD6E77"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Criminal Appeal Act</w:t>
      </w:r>
      <w:r w:rsidRPr="00FC7E3C">
        <w:rPr>
          <w:rFonts w:ascii="Times New Roman" w:hAnsi="Times New Roman"/>
          <w:sz w:val="24"/>
        </w:rPr>
        <w:t xml:space="preserve">, s 6(1). See also </w:t>
      </w:r>
      <w:r w:rsidRPr="00FC7E3C">
        <w:rPr>
          <w:rFonts w:ascii="Times New Roman" w:hAnsi="Times New Roman"/>
          <w:i/>
          <w:sz w:val="24"/>
        </w:rPr>
        <w:t>Weiss v The Queen</w:t>
      </w:r>
      <w:r w:rsidRPr="00FC7E3C">
        <w:rPr>
          <w:rFonts w:ascii="Times New Roman" w:hAnsi="Times New Roman"/>
          <w:sz w:val="24"/>
        </w:rPr>
        <w:t xml:space="preserve"> (2005) 224 CLR 300 at</w:t>
      </w:r>
      <w:r>
        <w:rPr>
          <w:rFonts w:ascii="Times New Roman" w:hAnsi="Times New Roman"/>
          <w:sz w:val="24"/>
        </w:rPr>
        <w:t> </w:t>
      </w:r>
      <w:r w:rsidRPr="00FC7E3C">
        <w:rPr>
          <w:rFonts w:ascii="Times New Roman" w:hAnsi="Times New Roman"/>
          <w:sz w:val="24"/>
        </w:rPr>
        <w:t>317</w:t>
      </w:r>
      <w:r>
        <w:rPr>
          <w:rFonts w:ascii="Times New Roman" w:hAnsi="Times New Roman"/>
          <w:sz w:val="24"/>
        </w:rPr>
        <w:t> </w:t>
      </w:r>
      <w:r w:rsidRPr="00FC7E3C">
        <w:rPr>
          <w:rFonts w:ascii="Times New Roman" w:hAnsi="Times New Roman"/>
          <w:sz w:val="24"/>
        </w:rPr>
        <w:t>[44].</w:t>
      </w:r>
    </w:p>
  </w:footnote>
  <w:footnote w:id="173">
    <w:p w14:paraId="4613A4FF"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(2005) 224 CLR 300.</w:t>
      </w:r>
    </w:p>
  </w:footnote>
  <w:footnote w:id="174">
    <w:p w14:paraId="7AAD9556"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Weiss</w:t>
      </w:r>
      <w:r w:rsidRPr="00FC7E3C">
        <w:rPr>
          <w:rFonts w:ascii="Times New Roman" w:hAnsi="Times New Roman"/>
          <w:sz w:val="24"/>
        </w:rPr>
        <w:t xml:space="preserve"> (2005) 224 CLR 300 at 306 [12].</w:t>
      </w:r>
    </w:p>
  </w:footnote>
  <w:footnote w:id="175">
    <w:p w14:paraId="7047081D"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Weiss</w:t>
      </w:r>
      <w:r w:rsidRPr="00FC7E3C">
        <w:rPr>
          <w:rFonts w:ascii="Times New Roman" w:hAnsi="Times New Roman"/>
          <w:sz w:val="24"/>
        </w:rPr>
        <w:t xml:space="preserve"> (2005) 224 CLR 300 at 315 [39].</w:t>
      </w:r>
    </w:p>
  </w:footnote>
  <w:footnote w:id="176">
    <w:p w14:paraId="700F34BF"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 xml:space="preserve">Weiss </w:t>
      </w:r>
      <w:r w:rsidRPr="00FC7E3C">
        <w:rPr>
          <w:rFonts w:ascii="Times New Roman" w:hAnsi="Times New Roman"/>
          <w:sz w:val="24"/>
        </w:rPr>
        <w:t>(2005) 224 CLR 300 at 315 [39]; see also 315-316 [40].</w:t>
      </w:r>
    </w:p>
  </w:footnote>
  <w:footnote w:id="177">
    <w:p w14:paraId="1267791A" w14:textId="05E7DB68"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iCs/>
          <w:sz w:val="24"/>
          <w:szCs w:val="16"/>
        </w:rPr>
        <w:t xml:space="preserve">Driscoll v The Queen </w:t>
      </w:r>
      <w:r w:rsidRPr="00FC7E3C">
        <w:rPr>
          <w:rFonts w:ascii="Times New Roman" w:hAnsi="Times New Roman"/>
          <w:sz w:val="24"/>
          <w:szCs w:val="16"/>
        </w:rPr>
        <w:t xml:space="preserve">(1977) 137 CLR 517 at 524-525; </w:t>
      </w:r>
      <w:r w:rsidRPr="00FC7E3C">
        <w:rPr>
          <w:rFonts w:ascii="Times New Roman" w:hAnsi="Times New Roman"/>
          <w:i/>
          <w:sz w:val="24"/>
          <w:szCs w:val="16"/>
        </w:rPr>
        <w:t xml:space="preserve">R v </w:t>
      </w:r>
      <w:r w:rsidRPr="00FC7E3C">
        <w:rPr>
          <w:rFonts w:ascii="Times New Roman" w:hAnsi="Times New Roman"/>
          <w:i/>
          <w:iCs/>
          <w:sz w:val="24"/>
          <w:szCs w:val="16"/>
        </w:rPr>
        <w:t xml:space="preserve">Storey </w:t>
      </w:r>
      <w:r w:rsidRPr="00FC7E3C">
        <w:rPr>
          <w:rFonts w:ascii="Times New Roman" w:hAnsi="Times New Roman"/>
          <w:sz w:val="24"/>
          <w:szCs w:val="16"/>
        </w:rPr>
        <w:t xml:space="preserve">(1978) 140 CLR 364 at 376; </w:t>
      </w:r>
      <w:r w:rsidRPr="00FC7E3C">
        <w:rPr>
          <w:rFonts w:ascii="Times New Roman" w:hAnsi="Times New Roman"/>
          <w:i/>
          <w:iCs/>
          <w:sz w:val="24"/>
          <w:szCs w:val="16"/>
        </w:rPr>
        <w:t xml:space="preserve">Morris v The Queen </w:t>
      </w:r>
      <w:r w:rsidRPr="00FC7E3C">
        <w:rPr>
          <w:rFonts w:ascii="Times New Roman" w:hAnsi="Times New Roman"/>
          <w:sz w:val="24"/>
          <w:szCs w:val="16"/>
        </w:rPr>
        <w:t xml:space="preserve">(1987) 163 CLR 454; </w:t>
      </w:r>
      <w:r w:rsidRPr="00FC7E3C">
        <w:rPr>
          <w:rFonts w:ascii="Times New Roman" w:hAnsi="Times New Roman"/>
          <w:i/>
          <w:iCs/>
          <w:sz w:val="24"/>
          <w:szCs w:val="16"/>
        </w:rPr>
        <w:t xml:space="preserve">M v </w:t>
      </w:r>
      <w:r w:rsidRPr="00FC7E3C">
        <w:rPr>
          <w:rFonts w:ascii="Times New Roman" w:hAnsi="Times New Roman"/>
          <w:i/>
          <w:iCs/>
          <w:sz w:val="24"/>
          <w:szCs w:val="16"/>
        </w:rPr>
        <w:t xml:space="preserve">The Queen </w:t>
      </w:r>
      <w:r w:rsidRPr="00FC7E3C">
        <w:rPr>
          <w:rFonts w:ascii="Times New Roman" w:hAnsi="Times New Roman"/>
          <w:sz w:val="24"/>
          <w:szCs w:val="16"/>
        </w:rPr>
        <w:t>(1994) 181</w:t>
      </w:r>
      <w:r w:rsidR="009C0BC7">
        <w:rPr>
          <w:rFonts w:ascii="Times New Roman" w:hAnsi="Times New Roman"/>
          <w:sz w:val="24"/>
          <w:szCs w:val="16"/>
        </w:rPr>
        <w:t> </w:t>
      </w:r>
      <w:r w:rsidRPr="00FC7E3C">
        <w:rPr>
          <w:rFonts w:ascii="Times New Roman" w:hAnsi="Times New Roman"/>
          <w:sz w:val="24"/>
          <w:szCs w:val="16"/>
        </w:rPr>
        <w:t xml:space="preserve">CLR 487; </w:t>
      </w:r>
      <w:r w:rsidRPr="00FC7E3C">
        <w:rPr>
          <w:rFonts w:ascii="Times New Roman" w:hAnsi="Times New Roman"/>
          <w:i/>
          <w:iCs/>
          <w:sz w:val="24"/>
          <w:szCs w:val="16"/>
        </w:rPr>
        <w:t xml:space="preserve">Festa v The Queen </w:t>
      </w:r>
      <w:r w:rsidRPr="00FC7E3C">
        <w:rPr>
          <w:rFonts w:ascii="Times New Roman" w:hAnsi="Times New Roman"/>
          <w:sz w:val="24"/>
          <w:szCs w:val="16"/>
        </w:rPr>
        <w:t>(2001) 208 CLR 593 at 631-633 [121]-[123].</w:t>
      </w:r>
    </w:p>
  </w:footnote>
  <w:footnote w:id="178">
    <w:p w14:paraId="269D9BB6"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Fox v Percy</w:t>
      </w:r>
      <w:r w:rsidRPr="00FC7E3C">
        <w:rPr>
          <w:rFonts w:ascii="Times New Roman" w:hAnsi="Times New Roman"/>
          <w:sz w:val="24"/>
        </w:rPr>
        <w:t xml:space="preserve"> (2003) 214 CLR </w:t>
      </w:r>
      <w:r w:rsidRPr="00FC7E3C">
        <w:rPr>
          <w:rFonts w:ascii="Times New Roman" w:hAnsi="Times New Roman"/>
          <w:sz w:val="24"/>
          <w:szCs w:val="16"/>
        </w:rPr>
        <w:t>118</w:t>
      </w:r>
      <w:r w:rsidRPr="00FC7E3C">
        <w:rPr>
          <w:rFonts w:ascii="Times New Roman" w:hAnsi="Times New Roman"/>
          <w:sz w:val="24"/>
        </w:rPr>
        <w:t xml:space="preserve"> at 125</w:t>
      </w:r>
      <w:r w:rsidRPr="00FC7E3C">
        <w:rPr>
          <w:rFonts w:ascii="Times New Roman" w:hAnsi="Times New Roman"/>
          <w:sz w:val="24"/>
        </w:rPr>
        <w:noBreakHyphen/>
        <w:t xml:space="preserve">126 [23]. See also </w:t>
      </w:r>
      <w:r w:rsidRPr="00FC7E3C">
        <w:rPr>
          <w:rFonts w:ascii="Times New Roman" w:hAnsi="Times New Roman"/>
          <w:i/>
          <w:sz w:val="24"/>
        </w:rPr>
        <w:t>Baini v The Queen</w:t>
      </w:r>
      <w:r w:rsidRPr="00FC7E3C">
        <w:rPr>
          <w:rFonts w:ascii="Times New Roman" w:hAnsi="Times New Roman"/>
          <w:sz w:val="24"/>
        </w:rPr>
        <w:t xml:space="preserve"> (2012) 246 CLR 469 at 480 [29].</w:t>
      </w:r>
    </w:p>
  </w:footnote>
  <w:footnote w:id="179">
    <w:p w14:paraId="076B509D"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Weiss</w:t>
      </w:r>
      <w:r w:rsidRPr="00FC7E3C">
        <w:rPr>
          <w:rFonts w:ascii="Times New Roman" w:hAnsi="Times New Roman"/>
          <w:sz w:val="24"/>
        </w:rPr>
        <w:t xml:space="preserve"> (2005) 224 CLR 300 at 316 [41].</w:t>
      </w:r>
    </w:p>
  </w:footnote>
  <w:footnote w:id="180">
    <w:p w14:paraId="3B00530E"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(2003) 214 CLR 118 at 125-126 [23].</w:t>
      </w:r>
    </w:p>
  </w:footnote>
  <w:footnote w:id="181">
    <w:p w14:paraId="167F0685"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Dearman v Dearman</w:t>
      </w:r>
      <w:r w:rsidRPr="00FC7E3C">
        <w:rPr>
          <w:rFonts w:ascii="Times New Roman" w:hAnsi="Times New Roman"/>
          <w:sz w:val="24"/>
        </w:rPr>
        <w:t xml:space="preserve"> (1908) 7 CLR 549 at 561; </w:t>
      </w:r>
      <w:r w:rsidRPr="00FC7E3C">
        <w:rPr>
          <w:rFonts w:ascii="Times New Roman" w:hAnsi="Times New Roman"/>
          <w:i/>
          <w:sz w:val="24"/>
        </w:rPr>
        <w:t>Scott v Pauly</w:t>
      </w:r>
      <w:r w:rsidRPr="00FC7E3C">
        <w:rPr>
          <w:rFonts w:ascii="Times New Roman" w:hAnsi="Times New Roman"/>
          <w:sz w:val="24"/>
        </w:rPr>
        <w:t xml:space="preserve"> (1917) 24 CLR 274 at 278-281; </w:t>
      </w:r>
      <w:r w:rsidRPr="00FC7E3C">
        <w:rPr>
          <w:rFonts w:ascii="Times New Roman" w:hAnsi="Times New Roman"/>
          <w:i/>
          <w:sz w:val="24"/>
        </w:rPr>
        <w:t>Jones v Hyde</w:t>
      </w:r>
      <w:r w:rsidRPr="00FC7E3C">
        <w:rPr>
          <w:rFonts w:ascii="Times New Roman" w:hAnsi="Times New Roman"/>
          <w:sz w:val="24"/>
        </w:rPr>
        <w:t xml:space="preserve"> (1989) 63 ALJR 349 at 351-352; 85 ALR 23 at 27-28; </w:t>
      </w:r>
      <w:r w:rsidRPr="00FC7E3C">
        <w:rPr>
          <w:rFonts w:ascii="Times New Roman" w:hAnsi="Times New Roman"/>
          <w:i/>
          <w:sz w:val="24"/>
        </w:rPr>
        <w:t xml:space="preserve">Abalos v Australian Postal Commission </w:t>
      </w:r>
      <w:r w:rsidRPr="00FC7E3C">
        <w:rPr>
          <w:rFonts w:ascii="Times New Roman" w:hAnsi="Times New Roman"/>
          <w:sz w:val="24"/>
        </w:rPr>
        <w:t xml:space="preserve">(1990) 171 CLR 167 at 179; </w:t>
      </w:r>
      <w:r w:rsidRPr="00FC7E3C">
        <w:rPr>
          <w:rFonts w:ascii="Times New Roman" w:hAnsi="Times New Roman"/>
          <w:i/>
          <w:sz w:val="24"/>
        </w:rPr>
        <w:t>Devries v Australian National Railways Commission</w:t>
      </w:r>
      <w:r w:rsidRPr="00FC7E3C">
        <w:rPr>
          <w:rFonts w:ascii="Times New Roman" w:hAnsi="Times New Roman"/>
          <w:sz w:val="24"/>
        </w:rPr>
        <w:t xml:space="preserve"> (1993) 177 CLR 472 at 479, 482-483.</w:t>
      </w:r>
    </w:p>
  </w:footnote>
  <w:footnote w:id="182">
    <w:p w14:paraId="2229EC44"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(2018) 264 CLR 62 at 71 [15]. See also </w:t>
      </w:r>
      <w:r w:rsidRPr="00FC7E3C">
        <w:rPr>
          <w:rFonts w:ascii="Times New Roman" w:hAnsi="Times New Roman"/>
          <w:i/>
          <w:sz w:val="24"/>
        </w:rPr>
        <w:t>Weiss</w:t>
      </w:r>
      <w:r w:rsidRPr="00FC7E3C">
        <w:rPr>
          <w:rFonts w:ascii="Times New Roman" w:hAnsi="Times New Roman"/>
          <w:sz w:val="24"/>
        </w:rPr>
        <w:t xml:space="preserve"> (2005) 224 CLR 300 at 316 [41], 317</w:t>
      </w:r>
      <w:r>
        <w:rPr>
          <w:rFonts w:ascii="Times New Roman" w:hAnsi="Times New Roman"/>
          <w:sz w:val="24"/>
        </w:rPr>
        <w:t> </w:t>
      </w:r>
      <w:r w:rsidRPr="00FC7E3C">
        <w:rPr>
          <w:rFonts w:ascii="Times New Roman" w:hAnsi="Times New Roman"/>
          <w:sz w:val="24"/>
        </w:rPr>
        <w:t xml:space="preserve">[44]; </w:t>
      </w:r>
      <w:r w:rsidRPr="00FC7E3C">
        <w:rPr>
          <w:rFonts w:ascii="Times New Roman" w:hAnsi="Times New Roman"/>
          <w:i/>
          <w:sz w:val="24"/>
        </w:rPr>
        <w:t xml:space="preserve">Perara-Cathcart v The Queen </w:t>
      </w:r>
      <w:r w:rsidRPr="00FC7E3C">
        <w:rPr>
          <w:rFonts w:ascii="Times New Roman" w:hAnsi="Times New Roman"/>
          <w:sz w:val="24"/>
        </w:rPr>
        <w:t xml:space="preserve">(2017) 260 CLR 595 at 639 [126]; </w:t>
      </w:r>
      <w:r w:rsidRPr="00FC7E3C">
        <w:rPr>
          <w:rFonts w:ascii="Times New Roman" w:hAnsi="Times New Roman"/>
          <w:i/>
          <w:sz w:val="24"/>
        </w:rPr>
        <w:t>Collins</w:t>
      </w:r>
      <w:r>
        <w:rPr>
          <w:rFonts w:ascii="Times New Roman" w:hAnsi="Times New Roman"/>
          <w:i/>
          <w:sz w:val="24"/>
        </w:rPr>
        <w:t> </w:t>
      </w:r>
      <w:r w:rsidRPr="00FC7E3C">
        <w:rPr>
          <w:rFonts w:ascii="Times New Roman" w:hAnsi="Times New Roman"/>
          <w:i/>
          <w:sz w:val="24"/>
        </w:rPr>
        <w:t>v The</w:t>
      </w:r>
      <w:r>
        <w:rPr>
          <w:rFonts w:ascii="Times New Roman" w:hAnsi="Times New Roman"/>
          <w:i/>
          <w:sz w:val="24"/>
        </w:rPr>
        <w:t xml:space="preserve"> </w:t>
      </w:r>
      <w:r w:rsidRPr="00FC7E3C">
        <w:rPr>
          <w:rFonts w:ascii="Times New Roman" w:hAnsi="Times New Roman"/>
          <w:i/>
          <w:sz w:val="24"/>
        </w:rPr>
        <w:t xml:space="preserve">Queen </w:t>
      </w:r>
      <w:r w:rsidRPr="00FC7E3C">
        <w:rPr>
          <w:rFonts w:ascii="Times New Roman" w:hAnsi="Times New Roman"/>
          <w:sz w:val="24"/>
        </w:rPr>
        <w:t xml:space="preserve">(2018) 265 CLR 178 at 191-192 [36]-[37]; </w:t>
      </w:r>
      <w:r w:rsidRPr="00FC7E3C">
        <w:rPr>
          <w:rFonts w:ascii="Times New Roman" w:hAnsi="Times New Roman"/>
          <w:i/>
          <w:sz w:val="24"/>
        </w:rPr>
        <w:t xml:space="preserve">OKS v Western Australia </w:t>
      </w:r>
      <w:r w:rsidRPr="00FC7E3C">
        <w:rPr>
          <w:rFonts w:ascii="Times New Roman" w:hAnsi="Times New Roman"/>
          <w:sz w:val="24"/>
        </w:rPr>
        <w:t xml:space="preserve">(2019) 265 CLR 268 at 279-280 [31]; </w:t>
      </w:r>
      <w:r w:rsidRPr="00FC7E3C">
        <w:rPr>
          <w:rFonts w:ascii="Times New Roman" w:hAnsi="Times New Roman"/>
          <w:i/>
          <w:sz w:val="24"/>
        </w:rPr>
        <w:t>GBF v The Queen</w:t>
      </w:r>
      <w:r w:rsidRPr="00FC7E3C">
        <w:rPr>
          <w:rFonts w:ascii="Times New Roman" w:hAnsi="Times New Roman"/>
          <w:sz w:val="24"/>
        </w:rPr>
        <w:t xml:space="preserve"> (2020) 94 ALJR 1037 at</w:t>
      </w:r>
      <w:r>
        <w:rPr>
          <w:rFonts w:ascii="Times New Roman" w:hAnsi="Times New Roman"/>
          <w:sz w:val="24"/>
        </w:rPr>
        <w:t> </w:t>
      </w:r>
      <w:r w:rsidRPr="00FC7E3C">
        <w:rPr>
          <w:rFonts w:ascii="Times New Roman" w:hAnsi="Times New Roman"/>
          <w:sz w:val="24"/>
        </w:rPr>
        <w:t>1043</w:t>
      </w:r>
      <w:r>
        <w:rPr>
          <w:rFonts w:ascii="Times New Roman" w:hAnsi="Times New Roman"/>
          <w:sz w:val="24"/>
        </w:rPr>
        <w:t xml:space="preserve"> </w:t>
      </w:r>
      <w:r w:rsidRPr="00FC7E3C">
        <w:rPr>
          <w:rFonts w:ascii="Times New Roman" w:hAnsi="Times New Roman"/>
          <w:sz w:val="24"/>
        </w:rPr>
        <w:t>[27]; 384 ALR 569 at 576.</w:t>
      </w:r>
    </w:p>
  </w:footnote>
  <w:footnote w:id="183">
    <w:p w14:paraId="3D59BF46"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r>
      <w:r w:rsidRPr="00FC7E3C">
        <w:rPr>
          <w:rFonts w:ascii="Times New Roman" w:hAnsi="Times New Roman"/>
          <w:i/>
          <w:sz w:val="24"/>
        </w:rPr>
        <w:t xml:space="preserve">Crimes Act 1900 </w:t>
      </w:r>
      <w:r w:rsidRPr="00FC7E3C">
        <w:rPr>
          <w:rFonts w:ascii="Times New Roman" w:hAnsi="Times New Roman"/>
          <w:sz w:val="24"/>
        </w:rPr>
        <w:t>(NSW), s 61I read with s 61H(1) definition of "sexual intercourse".</w:t>
      </w:r>
    </w:p>
  </w:footnote>
  <w:footnote w:id="184">
    <w:p w14:paraId="370BC0B7"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cf </w:t>
      </w:r>
      <w:r w:rsidRPr="00FC7E3C">
        <w:rPr>
          <w:rFonts w:ascii="Times New Roman" w:hAnsi="Times New Roman"/>
          <w:i/>
          <w:sz w:val="24"/>
        </w:rPr>
        <w:t xml:space="preserve">Weiss </w:t>
      </w:r>
      <w:r w:rsidRPr="00FC7E3C">
        <w:rPr>
          <w:rFonts w:ascii="Times New Roman" w:hAnsi="Times New Roman"/>
          <w:sz w:val="24"/>
        </w:rPr>
        <w:t>(2005) 224 CLR 300 at 317 [44].</w:t>
      </w:r>
    </w:p>
  </w:footnote>
  <w:footnote w:id="185">
    <w:p w14:paraId="58ECEF9D"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(2019) 268 CLR 57 at 62 [9], citing </w:t>
      </w:r>
      <w:r w:rsidRPr="00FC7E3C">
        <w:rPr>
          <w:rFonts w:ascii="Times New Roman" w:hAnsi="Times New Roman"/>
          <w:i/>
          <w:sz w:val="24"/>
        </w:rPr>
        <w:t xml:space="preserve">Murray v The Queen </w:t>
      </w:r>
      <w:r w:rsidRPr="00FC7E3C">
        <w:rPr>
          <w:rFonts w:ascii="Times New Roman" w:hAnsi="Times New Roman"/>
          <w:sz w:val="24"/>
        </w:rPr>
        <w:t>(2002) 211 CLR 193 at</w:t>
      </w:r>
      <w:r>
        <w:rPr>
          <w:rFonts w:ascii="Times New Roman" w:hAnsi="Times New Roman"/>
          <w:sz w:val="24"/>
        </w:rPr>
        <w:t> </w:t>
      </w:r>
      <w:r w:rsidRPr="00FC7E3C">
        <w:rPr>
          <w:rFonts w:ascii="Times New Roman" w:hAnsi="Times New Roman"/>
          <w:sz w:val="24"/>
        </w:rPr>
        <w:t xml:space="preserve">201-202 [23], 213 [57]. See also </w:t>
      </w:r>
      <w:r w:rsidRPr="00FC7E3C">
        <w:rPr>
          <w:rFonts w:ascii="Times New Roman" w:hAnsi="Times New Roman"/>
          <w:i/>
          <w:sz w:val="24"/>
        </w:rPr>
        <w:t>Liberato v The Queen</w:t>
      </w:r>
      <w:r w:rsidRPr="00FC7E3C">
        <w:rPr>
          <w:rFonts w:ascii="Times New Roman" w:hAnsi="Times New Roman"/>
          <w:sz w:val="24"/>
        </w:rPr>
        <w:t xml:space="preserve"> (1985) 159 CLR 507 at</w:t>
      </w:r>
      <w:r>
        <w:rPr>
          <w:rFonts w:ascii="Times New Roman" w:hAnsi="Times New Roman"/>
          <w:sz w:val="24"/>
        </w:rPr>
        <w:t> </w:t>
      </w:r>
      <w:r w:rsidRPr="00FC7E3C">
        <w:rPr>
          <w:rFonts w:ascii="Times New Roman" w:hAnsi="Times New Roman"/>
          <w:sz w:val="24"/>
        </w:rPr>
        <w:t>515.</w:t>
      </w:r>
    </w:p>
  </w:footnote>
  <w:footnote w:id="186">
    <w:p w14:paraId="14B150A6"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See </w:t>
      </w:r>
      <w:r w:rsidRPr="00FC7E3C">
        <w:rPr>
          <w:rFonts w:ascii="Times New Roman" w:hAnsi="Times New Roman"/>
          <w:i/>
          <w:sz w:val="24"/>
        </w:rPr>
        <w:t xml:space="preserve">Weiss </w:t>
      </w:r>
      <w:r w:rsidRPr="00FC7E3C">
        <w:rPr>
          <w:rFonts w:ascii="Times New Roman" w:hAnsi="Times New Roman"/>
          <w:sz w:val="24"/>
        </w:rPr>
        <w:t>(2005) 224 CLR 300 at 317 [43].</w:t>
      </w:r>
    </w:p>
  </w:footnote>
  <w:footnote w:id="187">
    <w:p w14:paraId="716FB862"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See </w:t>
      </w:r>
      <w:r w:rsidRPr="00FC7E3C">
        <w:rPr>
          <w:rFonts w:ascii="Times New Roman" w:hAnsi="Times New Roman"/>
          <w:i/>
          <w:sz w:val="24"/>
        </w:rPr>
        <w:t>Perara-Cathcart</w:t>
      </w:r>
      <w:r w:rsidRPr="00FC7E3C" w:rsidDel="00267765">
        <w:rPr>
          <w:rFonts w:ascii="Times New Roman" w:hAnsi="Times New Roman"/>
          <w:i/>
          <w:sz w:val="24"/>
        </w:rPr>
        <w:t xml:space="preserve"> </w:t>
      </w:r>
      <w:r w:rsidRPr="00FC7E3C">
        <w:rPr>
          <w:rFonts w:ascii="Times New Roman" w:hAnsi="Times New Roman"/>
          <w:sz w:val="24"/>
        </w:rPr>
        <w:t xml:space="preserve">(2017) 260 CLR 595 at 639 [126]; </w:t>
      </w:r>
      <w:r w:rsidRPr="00FC7E3C">
        <w:rPr>
          <w:rFonts w:ascii="Times New Roman" w:hAnsi="Times New Roman"/>
          <w:i/>
          <w:sz w:val="24"/>
        </w:rPr>
        <w:t>OKS </w:t>
      </w:r>
      <w:r w:rsidRPr="00FC7E3C">
        <w:rPr>
          <w:rFonts w:ascii="Times New Roman" w:hAnsi="Times New Roman"/>
          <w:sz w:val="24"/>
        </w:rPr>
        <w:t xml:space="preserve">(2019) 265 CLR 268 at 279-280 [31]. See also </w:t>
      </w:r>
      <w:r w:rsidRPr="00FC7E3C">
        <w:rPr>
          <w:rFonts w:ascii="Times New Roman" w:hAnsi="Times New Roman"/>
          <w:i/>
          <w:sz w:val="24"/>
        </w:rPr>
        <w:t>Louth v Diprose</w:t>
      </w:r>
      <w:r w:rsidRPr="00FC7E3C">
        <w:rPr>
          <w:rFonts w:ascii="Times New Roman" w:hAnsi="Times New Roman"/>
          <w:sz w:val="24"/>
        </w:rPr>
        <w:t xml:space="preserve"> (1992) 175 CLR 621 at 639-640.</w:t>
      </w:r>
    </w:p>
  </w:footnote>
  <w:footnote w:id="188">
    <w:p w14:paraId="66017DC3"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cf </w:t>
      </w:r>
      <w:r w:rsidRPr="00FC7E3C">
        <w:rPr>
          <w:rFonts w:ascii="Times New Roman" w:hAnsi="Times New Roman"/>
          <w:i/>
          <w:sz w:val="24"/>
        </w:rPr>
        <w:t xml:space="preserve">Castle v The Queen </w:t>
      </w:r>
      <w:r w:rsidRPr="00FC7E3C">
        <w:rPr>
          <w:rFonts w:ascii="Times New Roman" w:hAnsi="Times New Roman"/>
          <w:sz w:val="24"/>
        </w:rPr>
        <w:t>(2016) 259 CLR 449 at 472 [66].</w:t>
      </w:r>
    </w:p>
  </w:footnote>
  <w:footnote w:id="189">
    <w:p w14:paraId="62428CE9"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cf </w:t>
      </w:r>
      <w:r w:rsidRPr="00FC7E3C">
        <w:rPr>
          <w:rFonts w:ascii="Times New Roman" w:hAnsi="Times New Roman"/>
          <w:i/>
          <w:sz w:val="24"/>
        </w:rPr>
        <w:t>ABT17 v Minister for Immigration and Border Protection</w:t>
      </w:r>
      <w:r w:rsidRPr="00FC7E3C">
        <w:rPr>
          <w:rFonts w:ascii="Times New Roman" w:hAnsi="Times New Roman"/>
          <w:sz w:val="24"/>
        </w:rPr>
        <w:t xml:space="preserve"> (2020)</w:t>
      </w:r>
      <w:r>
        <w:rPr>
          <w:rFonts w:ascii="Times New Roman" w:hAnsi="Times New Roman"/>
          <w:sz w:val="24"/>
        </w:rPr>
        <w:t xml:space="preserve"> </w:t>
      </w:r>
      <w:r w:rsidRPr="00FC7E3C">
        <w:rPr>
          <w:rFonts w:ascii="Times New Roman" w:hAnsi="Times New Roman"/>
          <w:sz w:val="24"/>
        </w:rPr>
        <w:t>269 CLR 439 at 452 [24]-[25], 466-468 [62]-[63], 477-478 [87], 485 [112].</w:t>
      </w:r>
    </w:p>
  </w:footnote>
  <w:footnote w:id="190">
    <w:p w14:paraId="2E24B624"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cf </w:t>
      </w:r>
      <w:r w:rsidRPr="00FC7E3C">
        <w:rPr>
          <w:rFonts w:ascii="Times New Roman" w:hAnsi="Times New Roman"/>
          <w:i/>
          <w:sz w:val="24"/>
        </w:rPr>
        <w:t>Fennell v The Queen</w:t>
      </w:r>
      <w:r w:rsidRPr="00FC7E3C">
        <w:rPr>
          <w:rFonts w:ascii="Times New Roman" w:hAnsi="Times New Roman"/>
          <w:sz w:val="24"/>
        </w:rPr>
        <w:t xml:space="preserve"> (2019) 93 ALJR 1219 at 1233 [78]-[81]; 373 ALR 433 at</w:t>
      </w:r>
      <w:r>
        <w:rPr>
          <w:rFonts w:ascii="Times New Roman" w:hAnsi="Times New Roman"/>
          <w:sz w:val="24"/>
        </w:rPr>
        <w:t> </w:t>
      </w:r>
      <w:r w:rsidRPr="00FC7E3C">
        <w:rPr>
          <w:rFonts w:ascii="Times New Roman" w:hAnsi="Times New Roman"/>
          <w:sz w:val="24"/>
        </w:rPr>
        <w:t>451-452.</w:t>
      </w:r>
    </w:p>
  </w:footnote>
  <w:footnote w:id="191">
    <w:p w14:paraId="516C4158" w14:textId="77777777" w:rsidR="00357618" w:rsidRPr="00FC7E3C" w:rsidRDefault="00357618" w:rsidP="00FC7E3C">
      <w:pPr>
        <w:pStyle w:val="FootnoteText"/>
        <w:spacing w:line="280" w:lineRule="exact"/>
        <w:jc w:val="both"/>
        <w:rPr>
          <w:rFonts w:ascii="Times New Roman" w:hAnsi="Times New Roman"/>
          <w:sz w:val="24"/>
        </w:rPr>
      </w:pPr>
      <w:r w:rsidRPr="00FC7E3C">
        <w:rPr>
          <w:rStyle w:val="FootnoteReference"/>
          <w:rFonts w:ascii="Times New Roman" w:hAnsi="Times New Roman"/>
          <w:sz w:val="22"/>
          <w:vertAlign w:val="baseline"/>
        </w:rPr>
        <w:footnoteRef/>
      </w:r>
      <w:r w:rsidRPr="00FC7E3C">
        <w:rPr>
          <w:rFonts w:ascii="Times New Roman" w:hAnsi="Times New Roman"/>
          <w:sz w:val="24"/>
        </w:rPr>
        <w:t xml:space="preserve"> </w:t>
      </w:r>
      <w:r w:rsidRPr="00FC7E3C">
        <w:rPr>
          <w:rFonts w:ascii="Times New Roman" w:hAnsi="Times New Roman"/>
          <w:sz w:val="24"/>
        </w:rPr>
        <w:tab/>
        <w:t xml:space="preserve">See </w:t>
      </w:r>
      <w:r w:rsidRPr="00FC7E3C">
        <w:rPr>
          <w:rFonts w:ascii="Times New Roman" w:hAnsi="Times New Roman"/>
          <w:i/>
          <w:sz w:val="24"/>
        </w:rPr>
        <w:t xml:space="preserve">Weiss </w:t>
      </w:r>
      <w:r w:rsidRPr="00FC7E3C">
        <w:rPr>
          <w:rFonts w:ascii="Times New Roman" w:hAnsi="Times New Roman"/>
          <w:sz w:val="24"/>
        </w:rPr>
        <w:t>(2005) 224 CLR 300 at 317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411B" w14:textId="77777777" w:rsidR="008C2D33" w:rsidRPr="00597444" w:rsidRDefault="008C2D33" w:rsidP="005974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4A3" w14:textId="77777777" w:rsidR="00FC7E3C" w:rsidRDefault="00357618" w:rsidP="00FC7E3C">
    <w:pPr>
      <w:pStyle w:val="Header"/>
      <w:tabs>
        <w:tab w:val="clear" w:pos="4153"/>
        <w:tab w:val="clear" w:pos="8306"/>
        <w:tab w:val="right" w:pos="1304"/>
      </w:tabs>
      <w:spacing w:line="280" w:lineRule="exact"/>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99FC8A0" w14:textId="77777777" w:rsidR="00FC7E3C" w:rsidRDefault="00597444" w:rsidP="00FC7E3C">
    <w:pPr>
      <w:pStyle w:val="Header"/>
      <w:tabs>
        <w:tab w:val="clear" w:pos="4153"/>
        <w:tab w:val="clear" w:pos="8306"/>
        <w:tab w:val="right" w:pos="1304"/>
      </w:tabs>
      <w:spacing w:line="280" w:lineRule="exact"/>
      <w:rPr>
        <w:rFonts w:ascii="Times New Roman" w:hAnsi="Times New Roman"/>
        <w:i/>
        <w:sz w:val="22"/>
      </w:rPr>
    </w:pPr>
  </w:p>
  <w:p w14:paraId="71E05992" w14:textId="77777777" w:rsidR="00FC7E3C" w:rsidRDefault="00357618" w:rsidP="00FC7E3C">
    <w:pPr>
      <w:pStyle w:val="Header"/>
      <w:tabs>
        <w:tab w:val="clear" w:pos="4153"/>
        <w:tab w:val="clear" w:pos="8306"/>
        <w:tab w:val="right" w:pos="13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6D91FC3" w14:textId="77777777" w:rsidR="00FC7E3C" w:rsidRPr="00FC7E3C" w:rsidRDefault="00597444" w:rsidP="00FC7E3C">
    <w:pPr>
      <w:pStyle w:val="Header"/>
      <w:tabs>
        <w:tab w:val="clear" w:pos="4153"/>
        <w:tab w:val="clear" w:pos="8306"/>
        <w:tab w:val="right" w:pos="1304"/>
      </w:tabs>
      <w:spacing w:line="280" w:lineRule="exact"/>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B23A" w14:textId="77777777" w:rsidR="00FC7E3C" w:rsidRDefault="00357618" w:rsidP="00FC7E3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18BE27E0" w14:textId="77777777" w:rsidR="00FC7E3C" w:rsidRDefault="00597444" w:rsidP="00FC7E3C">
    <w:pPr>
      <w:pStyle w:val="Header"/>
      <w:tabs>
        <w:tab w:val="clear" w:pos="4153"/>
        <w:tab w:val="clear" w:pos="8306"/>
        <w:tab w:val="left" w:pos="7200"/>
        <w:tab w:val="right" w:pos="8504"/>
      </w:tabs>
      <w:spacing w:line="280" w:lineRule="exact"/>
      <w:jc w:val="right"/>
      <w:rPr>
        <w:rFonts w:ascii="Times New Roman" w:hAnsi="Times New Roman"/>
        <w:i/>
        <w:sz w:val="22"/>
      </w:rPr>
    </w:pPr>
  </w:p>
  <w:p w14:paraId="520C76D1" w14:textId="77777777" w:rsidR="00FC7E3C" w:rsidRDefault="00357618" w:rsidP="00FC7E3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33723D7" w14:textId="77777777" w:rsidR="00FC7E3C" w:rsidRPr="00FC7E3C" w:rsidRDefault="00597444" w:rsidP="00FC7E3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DDB7" w14:textId="77777777" w:rsidR="00FC7E3C" w:rsidRDefault="00597444" w:rsidP="00FC7E3C">
    <w:pPr>
      <w:pStyle w:val="Header"/>
      <w:tabs>
        <w:tab w:val="clear" w:pos="4153"/>
        <w:tab w:val="clear" w:pos="8306"/>
        <w:tab w:val="center" w:pos="1134"/>
      </w:tabs>
      <w:spacing w:line="280" w:lineRule="exact"/>
      <w:rPr>
        <w:rFonts w:ascii="Times New Roman" w:hAnsi="Times New Roman"/>
        <w:i/>
        <w:sz w:val="22"/>
      </w:rPr>
    </w:pPr>
  </w:p>
  <w:p w14:paraId="5E2A92FD" w14:textId="77777777" w:rsidR="00FC7E3C" w:rsidRDefault="00597444" w:rsidP="00FC7E3C">
    <w:pPr>
      <w:pStyle w:val="Header"/>
      <w:tabs>
        <w:tab w:val="clear" w:pos="4153"/>
        <w:tab w:val="clear" w:pos="8306"/>
        <w:tab w:val="center" w:pos="1134"/>
      </w:tabs>
      <w:spacing w:line="280" w:lineRule="exact"/>
      <w:rPr>
        <w:rFonts w:ascii="Times New Roman" w:hAnsi="Times New Roman"/>
        <w:i/>
        <w:sz w:val="22"/>
      </w:rPr>
    </w:pPr>
  </w:p>
  <w:p w14:paraId="2255E820" w14:textId="77777777" w:rsidR="00FC7E3C" w:rsidRDefault="00597444" w:rsidP="00FC7E3C">
    <w:pPr>
      <w:pStyle w:val="Header"/>
      <w:tabs>
        <w:tab w:val="clear" w:pos="4153"/>
        <w:tab w:val="clear" w:pos="8306"/>
        <w:tab w:val="center" w:pos="1134"/>
      </w:tabs>
      <w:spacing w:line="280" w:lineRule="exact"/>
      <w:rPr>
        <w:rFonts w:ascii="Times New Roman" w:hAnsi="Times New Roman"/>
        <w:i/>
        <w:sz w:val="22"/>
      </w:rPr>
    </w:pPr>
  </w:p>
  <w:p w14:paraId="54B6E2E6" w14:textId="77777777" w:rsidR="009F7A6E" w:rsidRPr="00FC7E3C" w:rsidRDefault="00597444" w:rsidP="00FC7E3C">
    <w:pPr>
      <w:pStyle w:val="Header"/>
      <w:tabs>
        <w:tab w:val="clear" w:pos="4153"/>
        <w:tab w:val="clear" w:pos="8306"/>
        <w:tab w:val="center" w:pos="1134"/>
      </w:tabs>
      <w:spacing w:line="280" w:lineRule="exact"/>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FAE4" w14:textId="77777777" w:rsidR="00357618" w:rsidRPr="00FC7E3C" w:rsidRDefault="00357618" w:rsidP="00FC7E3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7585" w14:textId="76578160" w:rsidR="008C2D33" w:rsidRPr="00597444" w:rsidRDefault="00597444" w:rsidP="0059744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0A78" w14:textId="6FEC39EA" w:rsidR="00ED3E56" w:rsidRPr="00597444" w:rsidRDefault="00ED3E56" w:rsidP="00597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E101" w14:textId="77777777" w:rsidR="00597444" w:rsidRPr="008C2D33" w:rsidRDefault="00597444" w:rsidP="008C2D33">
    <w:pPr>
      <w:pStyle w:val="Header"/>
      <w:tabs>
        <w:tab w:val="clear" w:pos="4153"/>
        <w:tab w:val="clear" w:pos="8306"/>
        <w:tab w:val="right" w:pos="1304"/>
      </w:tabs>
      <w:spacing w:line="280" w:lineRule="exact"/>
      <w:ind w:firstLine="0"/>
      <w:rPr>
        <w:rFonts w:ascii="Times New Roman" w:hAnsi="Times New Roman"/>
        <w:i/>
        <w:sz w:val="22"/>
      </w:rPr>
    </w:pPr>
    <w:r w:rsidRPr="008C2D33">
      <w:rPr>
        <w:rFonts w:ascii="Times New Roman" w:hAnsi="Times New Roman"/>
        <w:i/>
        <w:sz w:val="22"/>
      </w:rPr>
      <w:t>Kiefel</w:t>
    </w:r>
    <w:r w:rsidRPr="008C2D33">
      <w:rPr>
        <w:rFonts w:ascii="Times New Roman" w:hAnsi="Times New Roman"/>
        <w:i/>
        <w:sz w:val="22"/>
      </w:rPr>
      <w:tab/>
      <w:t>CJ</w:t>
    </w:r>
  </w:p>
  <w:p w14:paraId="02C5CC91" w14:textId="77777777" w:rsidR="00597444" w:rsidRPr="008C2D33" w:rsidRDefault="00597444" w:rsidP="008C2D33">
    <w:pPr>
      <w:pStyle w:val="Header"/>
      <w:tabs>
        <w:tab w:val="clear" w:pos="4153"/>
        <w:tab w:val="clear" w:pos="8306"/>
        <w:tab w:val="right" w:pos="1304"/>
      </w:tabs>
      <w:spacing w:line="280" w:lineRule="exact"/>
      <w:ind w:firstLine="0"/>
      <w:rPr>
        <w:rFonts w:ascii="Times New Roman" w:hAnsi="Times New Roman"/>
        <w:i/>
        <w:sz w:val="22"/>
      </w:rPr>
    </w:pPr>
    <w:r w:rsidRPr="008C2D33">
      <w:rPr>
        <w:rFonts w:ascii="Times New Roman" w:hAnsi="Times New Roman"/>
        <w:i/>
        <w:sz w:val="22"/>
      </w:rPr>
      <w:t>Keane</w:t>
    </w:r>
    <w:r w:rsidRPr="008C2D33">
      <w:rPr>
        <w:rFonts w:ascii="Times New Roman" w:hAnsi="Times New Roman"/>
        <w:i/>
        <w:sz w:val="22"/>
      </w:rPr>
      <w:tab/>
      <w:t>J</w:t>
    </w:r>
  </w:p>
  <w:p w14:paraId="79458B0C" w14:textId="77777777" w:rsidR="00597444" w:rsidRDefault="00597444" w:rsidP="008C2D3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BF44A49" w14:textId="77777777" w:rsidR="00597444" w:rsidRDefault="00597444" w:rsidP="008C2D33">
    <w:pPr>
      <w:pStyle w:val="Header"/>
      <w:tabs>
        <w:tab w:val="clear" w:pos="4153"/>
        <w:tab w:val="clear" w:pos="8306"/>
        <w:tab w:val="right" w:pos="1304"/>
      </w:tabs>
      <w:spacing w:line="280" w:lineRule="exact"/>
      <w:ind w:firstLine="0"/>
      <w:rPr>
        <w:rFonts w:ascii="Times New Roman" w:hAnsi="Times New Roman"/>
        <w:i/>
        <w:sz w:val="22"/>
      </w:rPr>
    </w:pPr>
  </w:p>
  <w:p w14:paraId="65D2DE42" w14:textId="77777777" w:rsidR="00597444" w:rsidRDefault="00597444" w:rsidP="008C2D3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65A58109" w14:textId="77777777" w:rsidR="00597444" w:rsidRPr="008C2D33" w:rsidRDefault="00597444" w:rsidP="008C2D3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F806" w14:textId="77777777" w:rsidR="00597444" w:rsidRPr="008C2D33" w:rsidRDefault="00597444" w:rsidP="008C2D33">
    <w:pPr>
      <w:pStyle w:val="Header"/>
      <w:tabs>
        <w:tab w:val="clear" w:pos="4153"/>
        <w:tab w:val="clear" w:pos="8306"/>
        <w:tab w:val="left" w:pos="7200"/>
        <w:tab w:val="right" w:pos="8504"/>
      </w:tabs>
      <w:spacing w:line="280" w:lineRule="exact"/>
      <w:jc w:val="right"/>
      <w:rPr>
        <w:rFonts w:ascii="Times New Roman" w:hAnsi="Times New Roman"/>
        <w:i/>
        <w:sz w:val="22"/>
      </w:rPr>
    </w:pPr>
    <w:r w:rsidRPr="008C2D33">
      <w:rPr>
        <w:rFonts w:ascii="Times New Roman" w:hAnsi="Times New Roman"/>
        <w:i/>
        <w:sz w:val="22"/>
      </w:rPr>
      <w:tab/>
      <w:t>Kiefel</w:t>
    </w:r>
    <w:r w:rsidRPr="008C2D33">
      <w:rPr>
        <w:rFonts w:ascii="Times New Roman" w:hAnsi="Times New Roman"/>
        <w:i/>
        <w:sz w:val="22"/>
      </w:rPr>
      <w:tab/>
      <w:t>CJ</w:t>
    </w:r>
  </w:p>
  <w:p w14:paraId="53B8AB36" w14:textId="77777777" w:rsidR="00597444" w:rsidRPr="008C2D33" w:rsidRDefault="00597444" w:rsidP="008C2D33">
    <w:pPr>
      <w:pStyle w:val="Header"/>
      <w:tabs>
        <w:tab w:val="clear" w:pos="4153"/>
        <w:tab w:val="clear" w:pos="8306"/>
        <w:tab w:val="left" w:pos="7200"/>
        <w:tab w:val="right" w:pos="8504"/>
      </w:tabs>
      <w:spacing w:line="280" w:lineRule="exact"/>
      <w:jc w:val="right"/>
      <w:rPr>
        <w:rFonts w:ascii="Times New Roman" w:hAnsi="Times New Roman"/>
        <w:i/>
        <w:sz w:val="22"/>
      </w:rPr>
    </w:pPr>
    <w:r w:rsidRPr="008C2D33">
      <w:rPr>
        <w:rFonts w:ascii="Times New Roman" w:hAnsi="Times New Roman"/>
        <w:i/>
        <w:sz w:val="22"/>
      </w:rPr>
      <w:tab/>
      <w:t>Keane</w:t>
    </w:r>
    <w:r w:rsidRPr="008C2D33">
      <w:rPr>
        <w:rFonts w:ascii="Times New Roman" w:hAnsi="Times New Roman"/>
        <w:i/>
        <w:sz w:val="22"/>
      </w:rPr>
      <w:tab/>
      <w:t>J</w:t>
    </w:r>
  </w:p>
  <w:p w14:paraId="6E8D16D3" w14:textId="77777777" w:rsidR="00597444" w:rsidRDefault="00597444" w:rsidP="008C2D3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5B17F2F" w14:textId="77777777" w:rsidR="00597444" w:rsidRDefault="00597444" w:rsidP="008C2D33">
    <w:pPr>
      <w:pStyle w:val="Header"/>
      <w:tabs>
        <w:tab w:val="clear" w:pos="4153"/>
        <w:tab w:val="clear" w:pos="8306"/>
        <w:tab w:val="left" w:pos="7200"/>
        <w:tab w:val="right" w:pos="8504"/>
      </w:tabs>
      <w:spacing w:line="280" w:lineRule="exact"/>
      <w:jc w:val="right"/>
      <w:rPr>
        <w:rFonts w:ascii="Times New Roman" w:hAnsi="Times New Roman"/>
        <w:i/>
        <w:sz w:val="22"/>
      </w:rPr>
    </w:pPr>
  </w:p>
  <w:p w14:paraId="75690284" w14:textId="77777777" w:rsidR="00597444" w:rsidRDefault="00597444" w:rsidP="008C2D3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89276FD" w14:textId="77777777" w:rsidR="00597444" w:rsidRPr="008C2D33" w:rsidRDefault="00597444" w:rsidP="008C2D3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B94B" w14:textId="77777777" w:rsidR="00597444" w:rsidRDefault="00597444" w:rsidP="008C2D33">
    <w:pPr>
      <w:pStyle w:val="Header"/>
      <w:tabs>
        <w:tab w:val="clear" w:pos="4153"/>
        <w:tab w:val="clear" w:pos="8306"/>
        <w:tab w:val="center" w:pos="1134"/>
      </w:tabs>
      <w:spacing w:line="280" w:lineRule="exact"/>
      <w:ind w:firstLine="0"/>
      <w:rPr>
        <w:rFonts w:ascii="Times New Roman" w:hAnsi="Times New Roman"/>
        <w:i/>
        <w:sz w:val="22"/>
      </w:rPr>
    </w:pPr>
  </w:p>
  <w:p w14:paraId="37003EC0" w14:textId="77777777" w:rsidR="00597444" w:rsidRDefault="00597444" w:rsidP="008C2D33">
    <w:pPr>
      <w:pStyle w:val="Header"/>
      <w:tabs>
        <w:tab w:val="clear" w:pos="4153"/>
        <w:tab w:val="clear" w:pos="8306"/>
        <w:tab w:val="center" w:pos="1134"/>
      </w:tabs>
      <w:spacing w:line="280" w:lineRule="exact"/>
      <w:ind w:firstLine="0"/>
      <w:rPr>
        <w:rFonts w:ascii="Times New Roman" w:hAnsi="Times New Roman"/>
        <w:i/>
        <w:sz w:val="22"/>
      </w:rPr>
    </w:pPr>
  </w:p>
  <w:p w14:paraId="1F7410B0" w14:textId="77777777" w:rsidR="00597444" w:rsidRDefault="00597444" w:rsidP="008C2D33">
    <w:pPr>
      <w:pStyle w:val="Header"/>
      <w:tabs>
        <w:tab w:val="clear" w:pos="4153"/>
        <w:tab w:val="clear" w:pos="8306"/>
        <w:tab w:val="center" w:pos="1134"/>
      </w:tabs>
      <w:spacing w:line="280" w:lineRule="exact"/>
      <w:ind w:firstLine="0"/>
      <w:rPr>
        <w:rFonts w:ascii="Times New Roman" w:hAnsi="Times New Roman"/>
        <w:i/>
        <w:sz w:val="22"/>
      </w:rPr>
    </w:pPr>
  </w:p>
  <w:p w14:paraId="42B0E79C" w14:textId="77777777" w:rsidR="00597444" w:rsidRDefault="00597444" w:rsidP="008C2D33">
    <w:pPr>
      <w:pStyle w:val="Header"/>
      <w:tabs>
        <w:tab w:val="clear" w:pos="4153"/>
        <w:tab w:val="clear" w:pos="8306"/>
        <w:tab w:val="center" w:pos="1134"/>
      </w:tabs>
      <w:spacing w:line="280" w:lineRule="exact"/>
      <w:ind w:firstLine="0"/>
      <w:rPr>
        <w:rFonts w:ascii="Times New Roman" w:hAnsi="Times New Roman"/>
        <w:i/>
        <w:sz w:val="22"/>
      </w:rPr>
    </w:pPr>
  </w:p>
  <w:p w14:paraId="17B223F1" w14:textId="77777777" w:rsidR="00597444" w:rsidRDefault="00597444" w:rsidP="008C2D33">
    <w:pPr>
      <w:pStyle w:val="Header"/>
      <w:tabs>
        <w:tab w:val="clear" w:pos="4153"/>
        <w:tab w:val="clear" w:pos="8306"/>
        <w:tab w:val="center" w:pos="1134"/>
      </w:tabs>
      <w:spacing w:line="280" w:lineRule="exact"/>
      <w:ind w:firstLine="0"/>
      <w:rPr>
        <w:rFonts w:ascii="Times New Roman" w:hAnsi="Times New Roman"/>
        <w:i/>
        <w:sz w:val="22"/>
      </w:rPr>
    </w:pPr>
  </w:p>
  <w:p w14:paraId="281986FB" w14:textId="77777777" w:rsidR="00597444" w:rsidRPr="008C2D33" w:rsidRDefault="00597444" w:rsidP="008C2D3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BEBE" w14:textId="77777777" w:rsidR="00727042" w:rsidRDefault="00357618" w:rsidP="0072704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703B6539" w14:textId="77777777" w:rsidR="00727042" w:rsidRDefault="00597444" w:rsidP="00727042">
    <w:pPr>
      <w:pStyle w:val="Header"/>
      <w:tabs>
        <w:tab w:val="clear" w:pos="4153"/>
        <w:tab w:val="clear" w:pos="8306"/>
        <w:tab w:val="right" w:pos="1304"/>
      </w:tabs>
      <w:spacing w:line="280" w:lineRule="exact"/>
      <w:ind w:firstLine="0"/>
      <w:rPr>
        <w:rFonts w:ascii="Times New Roman" w:hAnsi="Times New Roman"/>
        <w:i/>
        <w:sz w:val="22"/>
      </w:rPr>
    </w:pPr>
  </w:p>
  <w:p w14:paraId="31A7329F" w14:textId="77777777" w:rsidR="00727042" w:rsidRDefault="00357618" w:rsidP="0072704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64DBB6D" w14:textId="77777777" w:rsidR="00727042" w:rsidRPr="00727042" w:rsidRDefault="00597444" w:rsidP="0072704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000D" w14:textId="77777777" w:rsidR="00727042" w:rsidRDefault="00357618" w:rsidP="0072704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0A00B51D" w14:textId="77777777" w:rsidR="00727042" w:rsidRDefault="00597444" w:rsidP="00727042">
    <w:pPr>
      <w:pStyle w:val="Header"/>
      <w:tabs>
        <w:tab w:val="clear" w:pos="4153"/>
        <w:tab w:val="clear" w:pos="8306"/>
        <w:tab w:val="left" w:pos="7200"/>
        <w:tab w:val="right" w:pos="8504"/>
      </w:tabs>
      <w:spacing w:line="280" w:lineRule="exact"/>
      <w:jc w:val="right"/>
      <w:rPr>
        <w:rFonts w:ascii="Times New Roman" w:hAnsi="Times New Roman"/>
        <w:i/>
        <w:sz w:val="22"/>
      </w:rPr>
    </w:pPr>
  </w:p>
  <w:p w14:paraId="5830CA76" w14:textId="77777777" w:rsidR="00727042" w:rsidRDefault="00357618" w:rsidP="0072704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2D40228" w14:textId="77777777" w:rsidR="00727042" w:rsidRPr="00727042" w:rsidRDefault="00597444" w:rsidP="0072704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EDC3" w14:textId="77777777" w:rsidR="00727042" w:rsidRDefault="00597444" w:rsidP="00727042">
    <w:pPr>
      <w:pStyle w:val="Header"/>
      <w:tabs>
        <w:tab w:val="clear" w:pos="4153"/>
        <w:tab w:val="clear" w:pos="8306"/>
        <w:tab w:val="center" w:pos="1134"/>
      </w:tabs>
      <w:spacing w:line="280" w:lineRule="exact"/>
      <w:ind w:firstLine="0"/>
      <w:rPr>
        <w:rFonts w:ascii="Times New Roman" w:hAnsi="Times New Roman"/>
        <w:i/>
        <w:sz w:val="22"/>
      </w:rPr>
    </w:pPr>
  </w:p>
  <w:p w14:paraId="4B2B48C0" w14:textId="77777777" w:rsidR="00727042" w:rsidRDefault="00597444" w:rsidP="00727042">
    <w:pPr>
      <w:pStyle w:val="Header"/>
      <w:tabs>
        <w:tab w:val="clear" w:pos="4153"/>
        <w:tab w:val="clear" w:pos="8306"/>
        <w:tab w:val="center" w:pos="1134"/>
      </w:tabs>
      <w:spacing w:line="280" w:lineRule="exact"/>
      <w:ind w:firstLine="0"/>
      <w:rPr>
        <w:rFonts w:ascii="Times New Roman" w:hAnsi="Times New Roman"/>
        <w:i/>
        <w:sz w:val="22"/>
      </w:rPr>
    </w:pPr>
  </w:p>
  <w:p w14:paraId="5692D1B4" w14:textId="77777777" w:rsidR="00727042" w:rsidRDefault="00597444" w:rsidP="00727042">
    <w:pPr>
      <w:pStyle w:val="Header"/>
      <w:tabs>
        <w:tab w:val="clear" w:pos="4153"/>
        <w:tab w:val="clear" w:pos="8306"/>
        <w:tab w:val="center" w:pos="1134"/>
      </w:tabs>
      <w:spacing w:line="280" w:lineRule="exact"/>
      <w:ind w:firstLine="0"/>
      <w:rPr>
        <w:rFonts w:ascii="Times New Roman" w:hAnsi="Times New Roman"/>
        <w:i/>
        <w:sz w:val="22"/>
      </w:rPr>
    </w:pPr>
  </w:p>
  <w:p w14:paraId="5983CC11" w14:textId="77777777" w:rsidR="005F588D" w:rsidRPr="00727042" w:rsidRDefault="00597444" w:rsidP="0072704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ECE6F41A"/>
    <w:lvl w:ilvl="0" w:tplc="1BC6C818">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05"/>
    <w:rsid w:val="000010E3"/>
    <w:rsid w:val="00001295"/>
    <w:rsid w:val="00001B7C"/>
    <w:rsid w:val="00002069"/>
    <w:rsid w:val="000026CD"/>
    <w:rsid w:val="00002CE6"/>
    <w:rsid w:val="00003054"/>
    <w:rsid w:val="0000316A"/>
    <w:rsid w:val="000032B3"/>
    <w:rsid w:val="000049B7"/>
    <w:rsid w:val="0000558B"/>
    <w:rsid w:val="000064A0"/>
    <w:rsid w:val="00006732"/>
    <w:rsid w:val="00012535"/>
    <w:rsid w:val="00013044"/>
    <w:rsid w:val="00013718"/>
    <w:rsid w:val="000145DF"/>
    <w:rsid w:val="00014B34"/>
    <w:rsid w:val="00014BDF"/>
    <w:rsid w:val="0001599C"/>
    <w:rsid w:val="00015E7E"/>
    <w:rsid w:val="000168C9"/>
    <w:rsid w:val="00016C20"/>
    <w:rsid w:val="00016CC8"/>
    <w:rsid w:val="00016DBB"/>
    <w:rsid w:val="00017144"/>
    <w:rsid w:val="0002023F"/>
    <w:rsid w:val="00022F3F"/>
    <w:rsid w:val="000236F2"/>
    <w:rsid w:val="00023A35"/>
    <w:rsid w:val="00023DCB"/>
    <w:rsid w:val="00023EF7"/>
    <w:rsid w:val="000240F4"/>
    <w:rsid w:val="000246E2"/>
    <w:rsid w:val="00024788"/>
    <w:rsid w:val="000250AF"/>
    <w:rsid w:val="00025490"/>
    <w:rsid w:val="0002561E"/>
    <w:rsid w:val="0002580B"/>
    <w:rsid w:val="0002585C"/>
    <w:rsid w:val="000258C0"/>
    <w:rsid w:val="00026797"/>
    <w:rsid w:val="000268E1"/>
    <w:rsid w:val="000275EB"/>
    <w:rsid w:val="00027C99"/>
    <w:rsid w:val="0003102C"/>
    <w:rsid w:val="0003116A"/>
    <w:rsid w:val="0003179C"/>
    <w:rsid w:val="0003210A"/>
    <w:rsid w:val="000324C9"/>
    <w:rsid w:val="00033495"/>
    <w:rsid w:val="00034970"/>
    <w:rsid w:val="00035078"/>
    <w:rsid w:val="0003533D"/>
    <w:rsid w:val="0003575A"/>
    <w:rsid w:val="000360EB"/>
    <w:rsid w:val="0003615C"/>
    <w:rsid w:val="00036350"/>
    <w:rsid w:val="000368ED"/>
    <w:rsid w:val="00036AC2"/>
    <w:rsid w:val="00037A5F"/>
    <w:rsid w:val="00037D87"/>
    <w:rsid w:val="00037DF4"/>
    <w:rsid w:val="00040E9E"/>
    <w:rsid w:val="000413D9"/>
    <w:rsid w:val="00041563"/>
    <w:rsid w:val="00043949"/>
    <w:rsid w:val="000439C6"/>
    <w:rsid w:val="00043B1B"/>
    <w:rsid w:val="00043D2C"/>
    <w:rsid w:val="000461B9"/>
    <w:rsid w:val="00046812"/>
    <w:rsid w:val="00047C7F"/>
    <w:rsid w:val="0005177C"/>
    <w:rsid w:val="00051C6B"/>
    <w:rsid w:val="00051DB2"/>
    <w:rsid w:val="00052D62"/>
    <w:rsid w:val="00052E82"/>
    <w:rsid w:val="00053364"/>
    <w:rsid w:val="0005336D"/>
    <w:rsid w:val="00053F65"/>
    <w:rsid w:val="000542B9"/>
    <w:rsid w:val="0005465B"/>
    <w:rsid w:val="000554CA"/>
    <w:rsid w:val="00055ACD"/>
    <w:rsid w:val="00056222"/>
    <w:rsid w:val="00056F27"/>
    <w:rsid w:val="000573AF"/>
    <w:rsid w:val="00060597"/>
    <w:rsid w:val="000614C1"/>
    <w:rsid w:val="000615C3"/>
    <w:rsid w:val="0006169E"/>
    <w:rsid w:val="00062124"/>
    <w:rsid w:val="0006263F"/>
    <w:rsid w:val="000626FD"/>
    <w:rsid w:val="00062F8B"/>
    <w:rsid w:val="00063413"/>
    <w:rsid w:val="00063557"/>
    <w:rsid w:val="000638C9"/>
    <w:rsid w:val="000640B7"/>
    <w:rsid w:val="0006432B"/>
    <w:rsid w:val="000647F5"/>
    <w:rsid w:val="000650D9"/>
    <w:rsid w:val="000653D4"/>
    <w:rsid w:val="00066521"/>
    <w:rsid w:val="0006740B"/>
    <w:rsid w:val="000679B6"/>
    <w:rsid w:val="00067A07"/>
    <w:rsid w:val="0007017D"/>
    <w:rsid w:val="0007047C"/>
    <w:rsid w:val="00070776"/>
    <w:rsid w:val="00070927"/>
    <w:rsid w:val="00071C35"/>
    <w:rsid w:val="00072EF8"/>
    <w:rsid w:val="00074847"/>
    <w:rsid w:val="00074FEE"/>
    <w:rsid w:val="0007549C"/>
    <w:rsid w:val="00075C54"/>
    <w:rsid w:val="00075DD8"/>
    <w:rsid w:val="00075F50"/>
    <w:rsid w:val="0007721C"/>
    <w:rsid w:val="000776DD"/>
    <w:rsid w:val="00080052"/>
    <w:rsid w:val="00080139"/>
    <w:rsid w:val="00080D77"/>
    <w:rsid w:val="00080DEE"/>
    <w:rsid w:val="00082DB0"/>
    <w:rsid w:val="00082F96"/>
    <w:rsid w:val="00083A59"/>
    <w:rsid w:val="00084124"/>
    <w:rsid w:val="0008435D"/>
    <w:rsid w:val="000844C7"/>
    <w:rsid w:val="000845AC"/>
    <w:rsid w:val="0008558C"/>
    <w:rsid w:val="00085F13"/>
    <w:rsid w:val="00085F86"/>
    <w:rsid w:val="000863A1"/>
    <w:rsid w:val="000878FC"/>
    <w:rsid w:val="00091E58"/>
    <w:rsid w:val="00093530"/>
    <w:rsid w:val="00094DBC"/>
    <w:rsid w:val="000958B3"/>
    <w:rsid w:val="00096687"/>
    <w:rsid w:val="0009788B"/>
    <w:rsid w:val="00097A86"/>
    <w:rsid w:val="00097D13"/>
    <w:rsid w:val="000A02DC"/>
    <w:rsid w:val="000A0B92"/>
    <w:rsid w:val="000A2801"/>
    <w:rsid w:val="000A28D4"/>
    <w:rsid w:val="000A2EB4"/>
    <w:rsid w:val="000A3DA3"/>
    <w:rsid w:val="000A41DF"/>
    <w:rsid w:val="000A5528"/>
    <w:rsid w:val="000A58DC"/>
    <w:rsid w:val="000A63C6"/>
    <w:rsid w:val="000A6EC6"/>
    <w:rsid w:val="000A73F5"/>
    <w:rsid w:val="000A782D"/>
    <w:rsid w:val="000B0E43"/>
    <w:rsid w:val="000B161D"/>
    <w:rsid w:val="000B216B"/>
    <w:rsid w:val="000B2761"/>
    <w:rsid w:val="000B3F8F"/>
    <w:rsid w:val="000B4630"/>
    <w:rsid w:val="000B497F"/>
    <w:rsid w:val="000B4E15"/>
    <w:rsid w:val="000B51FA"/>
    <w:rsid w:val="000B526B"/>
    <w:rsid w:val="000B5B34"/>
    <w:rsid w:val="000B6376"/>
    <w:rsid w:val="000B710D"/>
    <w:rsid w:val="000B7558"/>
    <w:rsid w:val="000B776C"/>
    <w:rsid w:val="000C04DC"/>
    <w:rsid w:val="000C0C80"/>
    <w:rsid w:val="000C0D98"/>
    <w:rsid w:val="000C1588"/>
    <w:rsid w:val="000C2A52"/>
    <w:rsid w:val="000C371F"/>
    <w:rsid w:val="000C4840"/>
    <w:rsid w:val="000C4EF0"/>
    <w:rsid w:val="000C5172"/>
    <w:rsid w:val="000C5DFF"/>
    <w:rsid w:val="000C6067"/>
    <w:rsid w:val="000C6955"/>
    <w:rsid w:val="000C6C92"/>
    <w:rsid w:val="000C7951"/>
    <w:rsid w:val="000C7977"/>
    <w:rsid w:val="000D05EA"/>
    <w:rsid w:val="000D0E8D"/>
    <w:rsid w:val="000D25E6"/>
    <w:rsid w:val="000D328C"/>
    <w:rsid w:val="000D3EE9"/>
    <w:rsid w:val="000D3FD5"/>
    <w:rsid w:val="000D524A"/>
    <w:rsid w:val="000D5C55"/>
    <w:rsid w:val="000D6EE2"/>
    <w:rsid w:val="000E1276"/>
    <w:rsid w:val="000E4C5B"/>
    <w:rsid w:val="000E52A1"/>
    <w:rsid w:val="000E52E0"/>
    <w:rsid w:val="000E55C7"/>
    <w:rsid w:val="000E61DA"/>
    <w:rsid w:val="000E65F7"/>
    <w:rsid w:val="000E702F"/>
    <w:rsid w:val="000E7427"/>
    <w:rsid w:val="000F0A8C"/>
    <w:rsid w:val="000F1345"/>
    <w:rsid w:val="000F2722"/>
    <w:rsid w:val="000F29BA"/>
    <w:rsid w:val="000F2FA7"/>
    <w:rsid w:val="000F3042"/>
    <w:rsid w:val="000F3110"/>
    <w:rsid w:val="000F3D77"/>
    <w:rsid w:val="000F49EC"/>
    <w:rsid w:val="000F52D0"/>
    <w:rsid w:val="000F569E"/>
    <w:rsid w:val="000F5C96"/>
    <w:rsid w:val="000F6098"/>
    <w:rsid w:val="000F69C4"/>
    <w:rsid w:val="000F7D9B"/>
    <w:rsid w:val="000F7F85"/>
    <w:rsid w:val="001001B9"/>
    <w:rsid w:val="00100219"/>
    <w:rsid w:val="0010037A"/>
    <w:rsid w:val="001003A9"/>
    <w:rsid w:val="00100E3D"/>
    <w:rsid w:val="00101146"/>
    <w:rsid w:val="00101FAE"/>
    <w:rsid w:val="00102254"/>
    <w:rsid w:val="001029F2"/>
    <w:rsid w:val="001030C9"/>
    <w:rsid w:val="001031A7"/>
    <w:rsid w:val="0010375A"/>
    <w:rsid w:val="00104028"/>
    <w:rsid w:val="00104088"/>
    <w:rsid w:val="0010702C"/>
    <w:rsid w:val="00107D82"/>
    <w:rsid w:val="00110970"/>
    <w:rsid w:val="00111568"/>
    <w:rsid w:val="00111B13"/>
    <w:rsid w:val="001120C0"/>
    <w:rsid w:val="0011299A"/>
    <w:rsid w:val="001130E2"/>
    <w:rsid w:val="001131A6"/>
    <w:rsid w:val="00113AEE"/>
    <w:rsid w:val="0011492B"/>
    <w:rsid w:val="00114DA6"/>
    <w:rsid w:val="001150BF"/>
    <w:rsid w:val="00115C38"/>
    <w:rsid w:val="00115EB0"/>
    <w:rsid w:val="001168F2"/>
    <w:rsid w:val="0011690A"/>
    <w:rsid w:val="00116E31"/>
    <w:rsid w:val="001171B1"/>
    <w:rsid w:val="001201E7"/>
    <w:rsid w:val="00120207"/>
    <w:rsid w:val="00122606"/>
    <w:rsid w:val="00122F0E"/>
    <w:rsid w:val="00123098"/>
    <w:rsid w:val="001239D4"/>
    <w:rsid w:val="00123C1B"/>
    <w:rsid w:val="00123E44"/>
    <w:rsid w:val="00123E9A"/>
    <w:rsid w:val="001248FC"/>
    <w:rsid w:val="00125259"/>
    <w:rsid w:val="001252D1"/>
    <w:rsid w:val="001254EF"/>
    <w:rsid w:val="00125E3C"/>
    <w:rsid w:val="00126336"/>
    <w:rsid w:val="00126E55"/>
    <w:rsid w:val="0013181F"/>
    <w:rsid w:val="00131C4C"/>
    <w:rsid w:val="00133C9E"/>
    <w:rsid w:val="00133E7E"/>
    <w:rsid w:val="00133F8B"/>
    <w:rsid w:val="001341F9"/>
    <w:rsid w:val="0013454D"/>
    <w:rsid w:val="0013456F"/>
    <w:rsid w:val="00134B9A"/>
    <w:rsid w:val="00135F26"/>
    <w:rsid w:val="001361DF"/>
    <w:rsid w:val="001361F3"/>
    <w:rsid w:val="001362A8"/>
    <w:rsid w:val="00140862"/>
    <w:rsid w:val="00141077"/>
    <w:rsid w:val="0014172E"/>
    <w:rsid w:val="00141943"/>
    <w:rsid w:val="00141C35"/>
    <w:rsid w:val="00142072"/>
    <w:rsid w:val="00142DB0"/>
    <w:rsid w:val="00143CD4"/>
    <w:rsid w:val="00143FCB"/>
    <w:rsid w:val="001446FE"/>
    <w:rsid w:val="0014544B"/>
    <w:rsid w:val="00145627"/>
    <w:rsid w:val="00145F88"/>
    <w:rsid w:val="00146041"/>
    <w:rsid w:val="0014607B"/>
    <w:rsid w:val="00146A41"/>
    <w:rsid w:val="00146E61"/>
    <w:rsid w:val="001472BC"/>
    <w:rsid w:val="0014763B"/>
    <w:rsid w:val="00150665"/>
    <w:rsid w:val="00150913"/>
    <w:rsid w:val="00150AE2"/>
    <w:rsid w:val="00151679"/>
    <w:rsid w:val="00151A0A"/>
    <w:rsid w:val="00151CD9"/>
    <w:rsid w:val="0015206D"/>
    <w:rsid w:val="00152C66"/>
    <w:rsid w:val="00152FEB"/>
    <w:rsid w:val="0015318E"/>
    <w:rsid w:val="00153682"/>
    <w:rsid w:val="00153CE6"/>
    <w:rsid w:val="001540D5"/>
    <w:rsid w:val="00154308"/>
    <w:rsid w:val="00154ABF"/>
    <w:rsid w:val="00155669"/>
    <w:rsid w:val="00156A0E"/>
    <w:rsid w:val="00156AA9"/>
    <w:rsid w:val="00157DEB"/>
    <w:rsid w:val="001601B3"/>
    <w:rsid w:val="00160919"/>
    <w:rsid w:val="00161AEF"/>
    <w:rsid w:val="001629F4"/>
    <w:rsid w:val="00163D92"/>
    <w:rsid w:val="00164144"/>
    <w:rsid w:val="0016687C"/>
    <w:rsid w:val="00166CCD"/>
    <w:rsid w:val="00166D73"/>
    <w:rsid w:val="00170831"/>
    <w:rsid w:val="00171A99"/>
    <w:rsid w:val="00172041"/>
    <w:rsid w:val="0017207E"/>
    <w:rsid w:val="0017265E"/>
    <w:rsid w:val="00172678"/>
    <w:rsid w:val="00172ADE"/>
    <w:rsid w:val="00172B54"/>
    <w:rsid w:val="00173F6A"/>
    <w:rsid w:val="001746CB"/>
    <w:rsid w:val="00175703"/>
    <w:rsid w:val="001758DE"/>
    <w:rsid w:val="001759CD"/>
    <w:rsid w:val="00175BDA"/>
    <w:rsid w:val="00176542"/>
    <w:rsid w:val="00176B31"/>
    <w:rsid w:val="00176D25"/>
    <w:rsid w:val="00177755"/>
    <w:rsid w:val="00177853"/>
    <w:rsid w:val="00181701"/>
    <w:rsid w:val="00181A59"/>
    <w:rsid w:val="00182108"/>
    <w:rsid w:val="001823D6"/>
    <w:rsid w:val="00182712"/>
    <w:rsid w:val="0018342E"/>
    <w:rsid w:val="001839A1"/>
    <w:rsid w:val="001840C2"/>
    <w:rsid w:val="00184434"/>
    <w:rsid w:val="00184B46"/>
    <w:rsid w:val="00185939"/>
    <w:rsid w:val="00186385"/>
    <w:rsid w:val="00186B98"/>
    <w:rsid w:val="00186EDC"/>
    <w:rsid w:val="001876F6"/>
    <w:rsid w:val="001900D6"/>
    <w:rsid w:val="0019010C"/>
    <w:rsid w:val="00190553"/>
    <w:rsid w:val="0019148E"/>
    <w:rsid w:val="00191CDC"/>
    <w:rsid w:val="00191CFF"/>
    <w:rsid w:val="00191E23"/>
    <w:rsid w:val="00193473"/>
    <w:rsid w:val="001939A1"/>
    <w:rsid w:val="00193D32"/>
    <w:rsid w:val="00193E2C"/>
    <w:rsid w:val="00193F9A"/>
    <w:rsid w:val="001945C1"/>
    <w:rsid w:val="0019537C"/>
    <w:rsid w:val="001953B1"/>
    <w:rsid w:val="001954FB"/>
    <w:rsid w:val="001963C0"/>
    <w:rsid w:val="00196835"/>
    <w:rsid w:val="00197956"/>
    <w:rsid w:val="001A098D"/>
    <w:rsid w:val="001A135F"/>
    <w:rsid w:val="001A1376"/>
    <w:rsid w:val="001A1AD3"/>
    <w:rsid w:val="001A227C"/>
    <w:rsid w:val="001A3460"/>
    <w:rsid w:val="001A3720"/>
    <w:rsid w:val="001A446E"/>
    <w:rsid w:val="001A4E7C"/>
    <w:rsid w:val="001A53A4"/>
    <w:rsid w:val="001A56C8"/>
    <w:rsid w:val="001A5DD3"/>
    <w:rsid w:val="001A6136"/>
    <w:rsid w:val="001A674A"/>
    <w:rsid w:val="001A6DCC"/>
    <w:rsid w:val="001A7F3D"/>
    <w:rsid w:val="001A7FC5"/>
    <w:rsid w:val="001B0D5C"/>
    <w:rsid w:val="001B17A8"/>
    <w:rsid w:val="001B2293"/>
    <w:rsid w:val="001B511F"/>
    <w:rsid w:val="001B63C6"/>
    <w:rsid w:val="001C0028"/>
    <w:rsid w:val="001C0AA0"/>
    <w:rsid w:val="001C0B72"/>
    <w:rsid w:val="001C28FC"/>
    <w:rsid w:val="001C2C90"/>
    <w:rsid w:val="001C38E3"/>
    <w:rsid w:val="001C48D4"/>
    <w:rsid w:val="001C5625"/>
    <w:rsid w:val="001C5DDE"/>
    <w:rsid w:val="001C64B6"/>
    <w:rsid w:val="001C6C21"/>
    <w:rsid w:val="001C6FAB"/>
    <w:rsid w:val="001C7C93"/>
    <w:rsid w:val="001D1BC0"/>
    <w:rsid w:val="001D21D3"/>
    <w:rsid w:val="001D309A"/>
    <w:rsid w:val="001D36CD"/>
    <w:rsid w:val="001D3E9F"/>
    <w:rsid w:val="001D4529"/>
    <w:rsid w:val="001D4F49"/>
    <w:rsid w:val="001D5DDF"/>
    <w:rsid w:val="001D5EB0"/>
    <w:rsid w:val="001D6370"/>
    <w:rsid w:val="001D6A1F"/>
    <w:rsid w:val="001D7429"/>
    <w:rsid w:val="001D7982"/>
    <w:rsid w:val="001E0477"/>
    <w:rsid w:val="001E0AF2"/>
    <w:rsid w:val="001E0D7E"/>
    <w:rsid w:val="001E1063"/>
    <w:rsid w:val="001E128E"/>
    <w:rsid w:val="001E1BC3"/>
    <w:rsid w:val="001E1C38"/>
    <w:rsid w:val="001E1D3D"/>
    <w:rsid w:val="001E207B"/>
    <w:rsid w:val="001E20FA"/>
    <w:rsid w:val="001E2407"/>
    <w:rsid w:val="001E26FD"/>
    <w:rsid w:val="001E2B95"/>
    <w:rsid w:val="001E47D1"/>
    <w:rsid w:val="001E49F9"/>
    <w:rsid w:val="001E6A64"/>
    <w:rsid w:val="001E6CBD"/>
    <w:rsid w:val="001E6F67"/>
    <w:rsid w:val="001E75C5"/>
    <w:rsid w:val="001E7E69"/>
    <w:rsid w:val="001F340A"/>
    <w:rsid w:val="001F38CA"/>
    <w:rsid w:val="001F3F2A"/>
    <w:rsid w:val="001F5DEE"/>
    <w:rsid w:val="001F69C2"/>
    <w:rsid w:val="001F6EA3"/>
    <w:rsid w:val="001F7E59"/>
    <w:rsid w:val="002007EB"/>
    <w:rsid w:val="002010E9"/>
    <w:rsid w:val="0020207E"/>
    <w:rsid w:val="00203077"/>
    <w:rsid w:val="002048D1"/>
    <w:rsid w:val="00204CC3"/>
    <w:rsid w:val="00204FE9"/>
    <w:rsid w:val="00206045"/>
    <w:rsid w:val="00206888"/>
    <w:rsid w:val="002074DA"/>
    <w:rsid w:val="0020767E"/>
    <w:rsid w:val="002079CB"/>
    <w:rsid w:val="00207EAB"/>
    <w:rsid w:val="002103CD"/>
    <w:rsid w:val="0021096E"/>
    <w:rsid w:val="00210DE8"/>
    <w:rsid w:val="00211D73"/>
    <w:rsid w:val="00211F70"/>
    <w:rsid w:val="002125F6"/>
    <w:rsid w:val="00212A13"/>
    <w:rsid w:val="00212A3E"/>
    <w:rsid w:val="002133E4"/>
    <w:rsid w:val="00214BF2"/>
    <w:rsid w:val="00214F1B"/>
    <w:rsid w:val="00215155"/>
    <w:rsid w:val="00215A7F"/>
    <w:rsid w:val="0021610F"/>
    <w:rsid w:val="00216522"/>
    <w:rsid w:val="0021774B"/>
    <w:rsid w:val="002210A6"/>
    <w:rsid w:val="002212DA"/>
    <w:rsid w:val="002217C9"/>
    <w:rsid w:val="00221D19"/>
    <w:rsid w:val="00222074"/>
    <w:rsid w:val="0022281E"/>
    <w:rsid w:val="00222A52"/>
    <w:rsid w:val="00223103"/>
    <w:rsid w:val="00225B9D"/>
    <w:rsid w:val="00226237"/>
    <w:rsid w:val="0022666B"/>
    <w:rsid w:val="00226678"/>
    <w:rsid w:val="0022734D"/>
    <w:rsid w:val="00227691"/>
    <w:rsid w:val="00227F73"/>
    <w:rsid w:val="0023074C"/>
    <w:rsid w:val="0023132E"/>
    <w:rsid w:val="0023187C"/>
    <w:rsid w:val="002326AD"/>
    <w:rsid w:val="00232BDA"/>
    <w:rsid w:val="0023329E"/>
    <w:rsid w:val="00234255"/>
    <w:rsid w:val="002343DE"/>
    <w:rsid w:val="0023447F"/>
    <w:rsid w:val="00234625"/>
    <w:rsid w:val="002350B3"/>
    <w:rsid w:val="0023557D"/>
    <w:rsid w:val="00235887"/>
    <w:rsid w:val="0023798E"/>
    <w:rsid w:val="002379E0"/>
    <w:rsid w:val="0024096F"/>
    <w:rsid w:val="002422F2"/>
    <w:rsid w:val="00242B7F"/>
    <w:rsid w:val="00242EE4"/>
    <w:rsid w:val="00243068"/>
    <w:rsid w:val="002438EC"/>
    <w:rsid w:val="002442D9"/>
    <w:rsid w:val="0024462E"/>
    <w:rsid w:val="002457CE"/>
    <w:rsid w:val="00245918"/>
    <w:rsid w:val="00245B98"/>
    <w:rsid w:val="002474FA"/>
    <w:rsid w:val="002523A4"/>
    <w:rsid w:val="00253092"/>
    <w:rsid w:val="00253493"/>
    <w:rsid w:val="00254C21"/>
    <w:rsid w:val="00254E17"/>
    <w:rsid w:val="00254E65"/>
    <w:rsid w:val="002566B6"/>
    <w:rsid w:val="00256975"/>
    <w:rsid w:val="00256D55"/>
    <w:rsid w:val="0025780D"/>
    <w:rsid w:val="00257AFB"/>
    <w:rsid w:val="00257F0E"/>
    <w:rsid w:val="002603BC"/>
    <w:rsid w:val="00260DF4"/>
    <w:rsid w:val="00261831"/>
    <w:rsid w:val="00262054"/>
    <w:rsid w:val="0026293D"/>
    <w:rsid w:val="00263870"/>
    <w:rsid w:val="00263C9A"/>
    <w:rsid w:val="0026426E"/>
    <w:rsid w:val="002649F2"/>
    <w:rsid w:val="00264CE4"/>
    <w:rsid w:val="0026557D"/>
    <w:rsid w:val="00265982"/>
    <w:rsid w:val="0026605F"/>
    <w:rsid w:val="0026770F"/>
    <w:rsid w:val="00267A51"/>
    <w:rsid w:val="002700E0"/>
    <w:rsid w:val="00270154"/>
    <w:rsid w:val="002702ED"/>
    <w:rsid w:val="00270722"/>
    <w:rsid w:val="00270C4C"/>
    <w:rsid w:val="00271F70"/>
    <w:rsid w:val="00272D99"/>
    <w:rsid w:val="00272EF7"/>
    <w:rsid w:val="00273080"/>
    <w:rsid w:val="002730FF"/>
    <w:rsid w:val="0027408B"/>
    <w:rsid w:val="00274221"/>
    <w:rsid w:val="00276B56"/>
    <w:rsid w:val="00276F9C"/>
    <w:rsid w:val="002776B5"/>
    <w:rsid w:val="00280CF5"/>
    <w:rsid w:val="00280DB6"/>
    <w:rsid w:val="00280F46"/>
    <w:rsid w:val="002819FD"/>
    <w:rsid w:val="00283C09"/>
    <w:rsid w:val="00284FB5"/>
    <w:rsid w:val="0028505A"/>
    <w:rsid w:val="0028583A"/>
    <w:rsid w:val="00286106"/>
    <w:rsid w:val="00286739"/>
    <w:rsid w:val="0028683E"/>
    <w:rsid w:val="00286A4F"/>
    <w:rsid w:val="00287368"/>
    <w:rsid w:val="00287873"/>
    <w:rsid w:val="00290437"/>
    <w:rsid w:val="002904FA"/>
    <w:rsid w:val="00290972"/>
    <w:rsid w:val="00291036"/>
    <w:rsid w:val="002916CC"/>
    <w:rsid w:val="002919BD"/>
    <w:rsid w:val="0029278C"/>
    <w:rsid w:val="00292E65"/>
    <w:rsid w:val="00293432"/>
    <w:rsid w:val="00293E0A"/>
    <w:rsid w:val="002950A0"/>
    <w:rsid w:val="00295934"/>
    <w:rsid w:val="0029697C"/>
    <w:rsid w:val="002974F9"/>
    <w:rsid w:val="0029757C"/>
    <w:rsid w:val="002977EC"/>
    <w:rsid w:val="002979D7"/>
    <w:rsid w:val="002979F1"/>
    <w:rsid w:val="002A0C41"/>
    <w:rsid w:val="002A13E1"/>
    <w:rsid w:val="002A2870"/>
    <w:rsid w:val="002A3248"/>
    <w:rsid w:val="002A3451"/>
    <w:rsid w:val="002A4634"/>
    <w:rsid w:val="002A4931"/>
    <w:rsid w:val="002A5361"/>
    <w:rsid w:val="002A5396"/>
    <w:rsid w:val="002A56E6"/>
    <w:rsid w:val="002A57FF"/>
    <w:rsid w:val="002A6029"/>
    <w:rsid w:val="002A6665"/>
    <w:rsid w:val="002A74D1"/>
    <w:rsid w:val="002A796C"/>
    <w:rsid w:val="002B0164"/>
    <w:rsid w:val="002B0846"/>
    <w:rsid w:val="002B0D29"/>
    <w:rsid w:val="002B1304"/>
    <w:rsid w:val="002B209B"/>
    <w:rsid w:val="002B3DAC"/>
    <w:rsid w:val="002B541D"/>
    <w:rsid w:val="002B5540"/>
    <w:rsid w:val="002B65C0"/>
    <w:rsid w:val="002B6CC2"/>
    <w:rsid w:val="002B73FF"/>
    <w:rsid w:val="002B7CBA"/>
    <w:rsid w:val="002C23A2"/>
    <w:rsid w:val="002C2450"/>
    <w:rsid w:val="002C259E"/>
    <w:rsid w:val="002C2F88"/>
    <w:rsid w:val="002C35A5"/>
    <w:rsid w:val="002C369C"/>
    <w:rsid w:val="002C5981"/>
    <w:rsid w:val="002C599B"/>
    <w:rsid w:val="002C6BE7"/>
    <w:rsid w:val="002C767E"/>
    <w:rsid w:val="002D0410"/>
    <w:rsid w:val="002D0899"/>
    <w:rsid w:val="002D1707"/>
    <w:rsid w:val="002D17E2"/>
    <w:rsid w:val="002D26AD"/>
    <w:rsid w:val="002D3F5B"/>
    <w:rsid w:val="002D4C7F"/>
    <w:rsid w:val="002D4F00"/>
    <w:rsid w:val="002D5C22"/>
    <w:rsid w:val="002D6B93"/>
    <w:rsid w:val="002D6BED"/>
    <w:rsid w:val="002D7163"/>
    <w:rsid w:val="002E0263"/>
    <w:rsid w:val="002E02D5"/>
    <w:rsid w:val="002E0702"/>
    <w:rsid w:val="002E0EC8"/>
    <w:rsid w:val="002E11A8"/>
    <w:rsid w:val="002E1405"/>
    <w:rsid w:val="002E1E2F"/>
    <w:rsid w:val="002E278F"/>
    <w:rsid w:val="002E3054"/>
    <w:rsid w:val="002E3B4D"/>
    <w:rsid w:val="002E423F"/>
    <w:rsid w:val="002E45EF"/>
    <w:rsid w:val="002E47D3"/>
    <w:rsid w:val="002E4AC9"/>
    <w:rsid w:val="002E7023"/>
    <w:rsid w:val="002E70CC"/>
    <w:rsid w:val="002E7429"/>
    <w:rsid w:val="002F0264"/>
    <w:rsid w:val="002F0522"/>
    <w:rsid w:val="002F0734"/>
    <w:rsid w:val="002F0A41"/>
    <w:rsid w:val="002F0F68"/>
    <w:rsid w:val="002F116A"/>
    <w:rsid w:val="002F1769"/>
    <w:rsid w:val="002F19A6"/>
    <w:rsid w:val="002F3DD6"/>
    <w:rsid w:val="002F44EB"/>
    <w:rsid w:val="002F4548"/>
    <w:rsid w:val="002F4833"/>
    <w:rsid w:val="002F5244"/>
    <w:rsid w:val="002F5462"/>
    <w:rsid w:val="002F57EB"/>
    <w:rsid w:val="002F599B"/>
    <w:rsid w:val="002F64C2"/>
    <w:rsid w:val="002F6C7A"/>
    <w:rsid w:val="002F7489"/>
    <w:rsid w:val="002F7972"/>
    <w:rsid w:val="00300257"/>
    <w:rsid w:val="00300D06"/>
    <w:rsid w:val="00301975"/>
    <w:rsid w:val="003021A5"/>
    <w:rsid w:val="00304618"/>
    <w:rsid w:val="0030542C"/>
    <w:rsid w:val="00305812"/>
    <w:rsid w:val="00305C2F"/>
    <w:rsid w:val="003064A5"/>
    <w:rsid w:val="00306ACB"/>
    <w:rsid w:val="00310028"/>
    <w:rsid w:val="00310418"/>
    <w:rsid w:val="003105F0"/>
    <w:rsid w:val="00310B47"/>
    <w:rsid w:val="00312FFC"/>
    <w:rsid w:val="00314286"/>
    <w:rsid w:val="00314AB2"/>
    <w:rsid w:val="00314B7D"/>
    <w:rsid w:val="00314FF7"/>
    <w:rsid w:val="003150BF"/>
    <w:rsid w:val="003150CE"/>
    <w:rsid w:val="00315D48"/>
    <w:rsid w:val="00315E92"/>
    <w:rsid w:val="00316762"/>
    <w:rsid w:val="00316F0C"/>
    <w:rsid w:val="00317DA6"/>
    <w:rsid w:val="00320721"/>
    <w:rsid w:val="00320B5A"/>
    <w:rsid w:val="00320ED6"/>
    <w:rsid w:val="00321FA7"/>
    <w:rsid w:val="00322509"/>
    <w:rsid w:val="0032254E"/>
    <w:rsid w:val="00323B9E"/>
    <w:rsid w:val="00324E9A"/>
    <w:rsid w:val="00324FD9"/>
    <w:rsid w:val="0032630A"/>
    <w:rsid w:val="0032635B"/>
    <w:rsid w:val="00327550"/>
    <w:rsid w:val="00327C98"/>
    <w:rsid w:val="00330625"/>
    <w:rsid w:val="00330804"/>
    <w:rsid w:val="00331A80"/>
    <w:rsid w:val="00332AEA"/>
    <w:rsid w:val="00334581"/>
    <w:rsid w:val="00334714"/>
    <w:rsid w:val="00334A6B"/>
    <w:rsid w:val="003353C6"/>
    <w:rsid w:val="003366B2"/>
    <w:rsid w:val="0033722B"/>
    <w:rsid w:val="003375FC"/>
    <w:rsid w:val="00337943"/>
    <w:rsid w:val="00340066"/>
    <w:rsid w:val="003400D3"/>
    <w:rsid w:val="003415DE"/>
    <w:rsid w:val="003418FA"/>
    <w:rsid w:val="00341D5E"/>
    <w:rsid w:val="00342300"/>
    <w:rsid w:val="0034288B"/>
    <w:rsid w:val="0034332B"/>
    <w:rsid w:val="00343EA6"/>
    <w:rsid w:val="0034403F"/>
    <w:rsid w:val="003446E6"/>
    <w:rsid w:val="00345D63"/>
    <w:rsid w:val="00346741"/>
    <w:rsid w:val="0034681C"/>
    <w:rsid w:val="0034697A"/>
    <w:rsid w:val="00346B0D"/>
    <w:rsid w:val="00346F32"/>
    <w:rsid w:val="0034751B"/>
    <w:rsid w:val="00350462"/>
    <w:rsid w:val="00350E12"/>
    <w:rsid w:val="00351323"/>
    <w:rsid w:val="00352749"/>
    <w:rsid w:val="003527DA"/>
    <w:rsid w:val="00352D18"/>
    <w:rsid w:val="00352D22"/>
    <w:rsid w:val="0035370B"/>
    <w:rsid w:val="00354BE4"/>
    <w:rsid w:val="003558C2"/>
    <w:rsid w:val="00357618"/>
    <w:rsid w:val="003600A8"/>
    <w:rsid w:val="0036028E"/>
    <w:rsid w:val="00360841"/>
    <w:rsid w:val="003611D2"/>
    <w:rsid w:val="00361EA1"/>
    <w:rsid w:val="003620F7"/>
    <w:rsid w:val="00362792"/>
    <w:rsid w:val="0036319B"/>
    <w:rsid w:val="003631BA"/>
    <w:rsid w:val="0036326F"/>
    <w:rsid w:val="00364679"/>
    <w:rsid w:val="00364D5D"/>
    <w:rsid w:val="00364DA1"/>
    <w:rsid w:val="00365091"/>
    <w:rsid w:val="003653D1"/>
    <w:rsid w:val="00365CDF"/>
    <w:rsid w:val="00366524"/>
    <w:rsid w:val="00366E24"/>
    <w:rsid w:val="003672F5"/>
    <w:rsid w:val="00367A66"/>
    <w:rsid w:val="00371295"/>
    <w:rsid w:val="00371CEA"/>
    <w:rsid w:val="00372FB0"/>
    <w:rsid w:val="00373D0A"/>
    <w:rsid w:val="00373E58"/>
    <w:rsid w:val="00374174"/>
    <w:rsid w:val="00374271"/>
    <w:rsid w:val="00375715"/>
    <w:rsid w:val="00375D87"/>
    <w:rsid w:val="00376073"/>
    <w:rsid w:val="00376385"/>
    <w:rsid w:val="003767C6"/>
    <w:rsid w:val="00377089"/>
    <w:rsid w:val="00377429"/>
    <w:rsid w:val="00377452"/>
    <w:rsid w:val="00377DE1"/>
    <w:rsid w:val="00380AF2"/>
    <w:rsid w:val="0038105A"/>
    <w:rsid w:val="00381086"/>
    <w:rsid w:val="00381223"/>
    <w:rsid w:val="00381849"/>
    <w:rsid w:val="003823A0"/>
    <w:rsid w:val="00382668"/>
    <w:rsid w:val="00382DD0"/>
    <w:rsid w:val="003838C2"/>
    <w:rsid w:val="003842E8"/>
    <w:rsid w:val="00384F36"/>
    <w:rsid w:val="00385271"/>
    <w:rsid w:val="003861AC"/>
    <w:rsid w:val="003917CE"/>
    <w:rsid w:val="0039226E"/>
    <w:rsid w:val="0039255D"/>
    <w:rsid w:val="00392CC8"/>
    <w:rsid w:val="00392E2E"/>
    <w:rsid w:val="00392ECF"/>
    <w:rsid w:val="00393705"/>
    <w:rsid w:val="00393905"/>
    <w:rsid w:val="00393DDD"/>
    <w:rsid w:val="00394562"/>
    <w:rsid w:val="00394C53"/>
    <w:rsid w:val="003966B7"/>
    <w:rsid w:val="00396D87"/>
    <w:rsid w:val="003970E0"/>
    <w:rsid w:val="00397B86"/>
    <w:rsid w:val="003A09BE"/>
    <w:rsid w:val="003A10FE"/>
    <w:rsid w:val="003A1620"/>
    <w:rsid w:val="003A1B90"/>
    <w:rsid w:val="003A1FA1"/>
    <w:rsid w:val="003A2017"/>
    <w:rsid w:val="003A2242"/>
    <w:rsid w:val="003A2845"/>
    <w:rsid w:val="003A310E"/>
    <w:rsid w:val="003A33C1"/>
    <w:rsid w:val="003A33F5"/>
    <w:rsid w:val="003A3FD9"/>
    <w:rsid w:val="003A44B6"/>
    <w:rsid w:val="003A48CC"/>
    <w:rsid w:val="003A5B76"/>
    <w:rsid w:val="003A5C37"/>
    <w:rsid w:val="003A5F54"/>
    <w:rsid w:val="003A6044"/>
    <w:rsid w:val="003A61B2"/>
    <w:rsid w:val="003A62A9"/>
    <w:rsid w:val="003A72EF"/>
    <w:rsid w:val="003A78BC"/>
    <w:rsid w:val="003A7BFB"/>
    <w:rsid w:val="003A7FB7"/>
    <w:rsid w:val="003B1B62"/>
    <w:rsid w:val="003B2631"/>
    <w:rsid w:val="003B30B4"/>
    <w:rsid w:val="003B4091"/>
    <w:rsid w:val="003B4C8C"/>
    <w:rsid w:val="003B4EED"/>
    <w:rsid w:val="003B530D"/>
    <w:rsid w:val="003B5320"/>
    <w:rsid w:val="003B6475"/>
    <w:rsid w:val="003B6B2C"/>
    <w:rsid w:val="003B6C74"/>
    <w:rsid w:val="003C19EB"/>
    <w:rsid w:val="003C1FB4"/>
    <w:rsid w:val="003C231D"/>
    <w:rsid w:val="003C266A"/>
    <w:rsid w:val="003C294A"/>
    <w:rsid w:val="003C3E88"/>
    <w:rsid w:val="003C4419"/>
    <w:rsid w:val="003C602A"/>
    <w:rsid w:val="003C6627"/>
    <w:rsid w:val="003C6EC7"/>
    <w:rsid w:val="003C78FB"/>
    <w:rsid w:val="003C794C"/>
    <w:rsid w:val="003D03D5"/>
    <w:rsid w:val="003D1759"/>
    <w:rsid w:val="003D1896"/>
    <w:rsid w:val="003D3055"/>
    <w:rsid w:val="003D3254"/>
    <w:rsid w:val="003D3B14"/>
    <w:rsid w:val="003D3ECF"/>
    <w:rsid w:val="003D462F"/>
    <w:rsid w:val="003D4654"/>
    <w:rsid w:val="003D62F7"/>
    <w:rsid w:val="003D682D"/>
    <w:rsid w:val="003D7228"/>
    <w:rsid w:val="003D7F88"/>
    <w:rsid w:val="003E04B2"/>
    <w:rsid w:val="003E0C6A"/>
    <w:rsid w:val="003E1022"/>
    <w:rsid w:val="003E1035"/>
    <w:rsid w:val="003E17F2"/>
    <w:rsid w:val="003E19F7"/>
    <w:rsid w:val="003E1BCA"/>
    <w:rsid w:val="003E1EB2"/>
    <w:rsid w:val="003E2DD2"/>
    <w:rsid w:val="003E2E8C"/>
    <w:rsid w:val="003E43EF"/>
    <w:rsid w:val="003E492C"/>
    <w:rsid w:val="003E594A"/>
    <w:rsid w:val="003E64C6"/>
    <w:rsid w:val="003E6FD3"/>
    <w:rsid w:val="003E710D"/>
    <w:rsid w:val="003E7A9C"/>
    <w:rsid w:val="003E7AE5"/>
    <w:rsid w:val="003F0122"/>
    <w:rsid w:val="003F1868"/>
    <w:rsid w:val="003F191E"/>
    <w:rsid w:val="003F21C1"/>
    <w:rsid w:val="003F328F"/>
    <w:rsid w:val="003F3496"/>
    <w:rsid w:val="003F481F"/>
    <w:rsid w:val="003F484D"/>
    <w:rsid w:val="003F4A55"/>
    <w:rsid w:val="003F531A"/>
    <w:rsid w:val="003F6162"/>
    <w:rsid w:val="003F650E"/>
    <w:rsid w:val="003F65C5"/>
    <w:rsid w:val="003F79BD"/>
    <w:rsid w:val="003F7C9E"/>
    <w:rsid w:val="004001C7"/>
    <w:rsid w:val="00400753"/>
    <w:rsid w:val="00400856"/>
    <w:rsid w:val="00401091"/>
    <w:rsid w:val="004025E8"/>
    <w:rsid w:val="00402768"/>
    <w:rsid w:val="004039E4"/>
    <w:rsid w:val="00404BD4"/>
    <w:rsid w:val="00404C35"/>
    <w:rsid w:val="00404C36"/>
    <w:rsid w:val="00406F38"/>
    <w:rsid w:val="0040708D"/>
    <w:rsid w:val="004073F4"/>
    <w:rsid w:val="00407977"/>
    <w:rsid w:val="004107CA"/>
    <w:rsid w:val="004111BC"/>
    <w:rsid w:val="0041130C"/>
    <w:rsid w:val="004114CB"/>
    <w:rsid w:val="0041161E"/>
    <w:rsid w:val="00411CE5"/>
    <w:rsid w:val="00411E71"/>
    <w:rsid w:val="004125F4"/>
    <w:rsid w:val="004126D4"/>
    <w:rsid w:val="00412C01"/>
    <w:rsid w:val="00412DF2"/>
    <w:rsid w:val="00414267"/>
    <w:rsid w:val="00414703"/>
    <w:rsid w:val="00414A1D"/>
    <w:rsid w:val="00414E0E"/>
    <w:rsid w:val="00415B22"/>
    <w:rsid w:val="00415D2B"/>
    <w:rsid w:val="004161C0"/>
    <w:rsid w:val="0041649E"/>
    <w:rsid w:val="00416C0A"/>
    <w:rsid w:val="00420C23"/>
    <w:rsid w:val="00421941"/>
    <w:rsid w:val="00422047"/>
    <w:rsid w:val="00422E53"/>
    <w:rsid w:val="004239D5"/>
    <w:rsid w:val="00424DE2"/>
    <w:rsid w:val="004254B5"/>
    <w:rsid w:val="0042612A"/>
    <w:rsid w:val="0042750E"/>
    <w:rsid w:val="004305BB"/>
    <w:rsid w:val="004305D4"/>
    <w:rsid w:val="0043074D"/>
    <w:rsid w:val="0043219F"/>
    <w:rsid w:val="00432528"/>
    <w:rsid w:val="00432836"/>
    <w:rsid w:val="00432EC8"/>
    <w:rsid w:val="0043358B"/>
    <w:rsid w:val="0043384C"/>
    <w:rsid w:val="00434924"/>
    <w:rsid w:val="00434DC9"/>
    <w:rsid w:val="00434EFC"/>
    <w:rsid w:val="00435025"/>
    <w:rsid w:val="0043561F"/>
    <w:rsid w:val="00435798"/>
    <w:rsid w:val="00435AA9"/>
    <w:rsid w:val="00435F24"/>
    <w:rsid w:val="0043716D"/>
    <w:rsid w:val="004373D1"/>
    <w:rsid w:val="00437642"/>
    <w:rsid w:val="0043778D"/>
    <w:rsid w:val="0044034C"/>
    <w:rsid w:val="00441762"/>
    <w:rsid w:val="004423A0"/>
    <w:rsid w:val="00442749"/>
    <w:rsid w:val="00442A47"/>
    <w:rsid w:val="004430C4"/>
    <w:rsid w:val="004430DD"/>
    <w:rsid w:val="0044408C"/>
    <w:rsid w:val="00444566"/>
    <w:rsid w:val="0044527A"/>
    <w:rsid w:val="004454C2"/>
    <w:rsid w:val="004462D7"/>
    <w:rsid w:val="004465C7"/>
    <w:rsid w:val="004467D5"/>
    <w:rsid w:val="00447347"/>
    <w:rsid w:val="004476EE"/>
    <w:rsid w:val="00447F33"/>
    <w:rsid w:val="00450655"/>
    <w:rsid w:val="00450A27"/>
    <w:rsid w:val="00451EC2"/>
    <w:rsid w:val="0045222C"/>
    <w:rsid w:val="00453BB5"/>
    <w:rsid w:val="00453C66"/>
    <w:rsid w:val="00453E2D"/>
    <w:rsid w:val="004541F0"/>
    <w:rsid w:val="00454298"/>
    <w:rsid w:val="0045469D"/>
    <w:rsid w:val="004547AB"/>
    <w:rsid w:val="0045673A"/>
    <w:rsid w:val="004601C4"/>
    <w:rsid w:val="00460262"/>
    <w:rsid w:val="0046100A"/>
    <w:rsid w:val="004614D1"/>
    <w:rsid w:val="00462F4B"/>
    <w:rsid w:val="0046333B"/>
    <w:rsid w:val="00463357"/>
    <w:rsid w:val="00463439"/>
    <w:rsid w:val="0046369F"/>
    <w:rsid w:val="00463776"/>
    <w:rsid w:val="00463A04"/>
    <w:rsid w:val="004642AC"/>
    <w:rsid w:val="0046513D"/>
    <w:rsid w:val="00465255"/>
    <w:rsid w:val="004653EE"/>
    <w:rsid w:val="00466051"/>
    <w:rsid w:val="00466ADC"/>
    <w:rsid w:val="00466C9A"/>
    <w:rsid w:val="004670F3"/>
    <w:rsid w:val="0047181A"/>
    <w:rsid w:val="00471BC9"/>
    <w:rsid w:val="00472794"/>
    <w:rsid w:val="00473718"/>
    <w:rsid w:val="00473869"/>
    <w:rsid w:val="0047410E"/>
    <w:rsid w:val="00474970"/>
    <w:rsid w:val="00475B62"/>
    <w:rsid w:val="00475F7E"/>
    <w:rsid w:val="00476929"/>
    <w:rsid w:val="00476F13"/>
    <w:rsid w:val="00480500"/>
    <w:rsid w:val="0048054A"/>
    <w:rsid w:val="00480576"/>
    <w:rsid w:val="004818E8"/>
    <w:rsid w:val="00482F67"/>
    <w:rsid w:val="00483006"/>
    <w:rsid w:val="004831C4"/>
    <w:rsid w:val="004838DB"/>
    <w:rsid w:val="00484915"/>
    <w:rsid w:val="004858FB"/>
    <w:rsid w:val="00485961"/>
    <w:rsid w:val="0048630B"/>
    <w:rsid w:val="0048685F"/>
    <w:rsid w:val="00486F47"/>
    <w:rsid w:val="00487387"/>
    <w:rsid w:val="00487F0D"/>
    <w:rsid w:val="00490421"/>
    <w:rsid w:val="00490FA7"/>
    <w:rsid w:val="004914B4"/>
    <w:rsid w:val="00491641"/>
    <w:rsid w:val="004919FD"/>
    <w:rsid w:val="0049222A"/>
    <w:rsid w:val="004928CA"/>
    <w:rsid w:val="00492D8A"/>
    <w:rsid w:val="00492F80"/>
    <w:rsid w:val="00494CFE"/>
    <w:rsid w:val="00495630"/>
    <w:rsid w:val="0049596A"/>
    <w:rsid w:val="00496807"/>
    <w:rsid w:val="004A02B9"/>
    <w:rsid w:val="004A03F5"/>
    <w:rsid w:val="004A132C"/>
    <w:rsid w:val="004A1B3C"/>
    <w:rsid w:val="004A204D"/>
    <w:rsid w:val="004A23D8"/>
    <w:rsid w:val="004A26F1"/>
    <w:rsid w:val="004A3EA7"/>
    <w:rsid w:val="004A539A"/>
    <w:rsid w:val="004A5BB5"/>
    <w:rsid w:val="004A5F4A"/>
    <w:rsid w:val="004A5FF0"/>
    <w:rsid w:val="004A652F"/>
    <w:rsid w:val="004A6B88"/>
    <w:rsid w:val="004A6C73"/>
    <w:rsid w:val="004A76F7"/>
    <w:rsid w:val="004B016B"/>
    <w:rsid w:val="004B10BC"/>
    <w:rsid w:val="004B1618"/>
    <w:rsid w:val="004B225F"/>
    <w:rsid w:val="004B26D9"/>
    <w:rsid w:val="004B2C5E"/>
    <w:rsid w:val="004B3BAB"/>
    <w:rsid w:val="004B4192"/>
    <w:rsid w:val="004B4299"/>
    <w:rsid w:val="004B4F94"/>
    <w:rsid w:val="004B5444"/>
    <w:rsid w:val="004B6332"/>
    <w:rsid w:val="004B6A31"/>
    <w:rsid w:val="004B6EA1"/>
    <w:rsid w:val="004B774B"/>
    <w:rsid w:val="004C14AA"/>
    <w:rsid w:val="004C1DBA"/>
    <w:rsid w:val="004C27AA"/>
    <w:rsid w:val="004C3616"/>
    <w:rsid w:val="004C3B59"/>
    <w:rsid w:val="004C4629"/>
    <w:rsid w:val="004C4B06"/>
    <w:rsid w:val="004C4B71"/>
    <w:rsid w:val="004C50A4"/>
    <w:rsid w:val="004C538E"/>
    <w:rsid w:val="004C59CF"/>
    <w:rsid w:val="004C5CE2"/>
    <w:rsid w:val="004C699C"/>
    <w:rsid w:val="004C69B0"/>
    <w:rsid w:val="004C69FB"/>
    <w:rsid w:val="004C74B1"/>
    <w:rsid w:val="004D087E"/>
    <w:rsid w:val="004D118B"/>
    <w:rsid w:val="004D1518"/>
    <w:rsid w:val="004D1812"/>
    <w:rsid w:val="004D19DB"/>
    <w:rsid w:val="004D1E88"/>
    <w:rsid w:val="004D2253"/>
    <w:rsid w:val="004D2358"/>
    <w:rsid w:val="004D2650"/>
    <w:rsid w:val="004D26DC"/>
    <w:rsid w:val="004D349D"/>
    <w:rsid w:val="004D3CD7"/>
    <w:rsid w:val="004D4739"/>
    <w:rsid w:val="004D58DE"/>
    <w:rsid w:val="004D63E2"/>
    <w:rsid w:val="004D65D7"/>
    <w:rsid w:val="004D7ABE"/>
    <w:rsid w:val="004E0386"/>
    <w:rsid w:val="004E0AFE"/>
    <w:rsid w:val="004E0F16"/>
    <w:rsid w:val="004E0FD0"/>
    <w:rsid w:val="004E1AC8"/>
    <w:rsid w:val="004E265F"/>
    <w:rsid w:val="004E3164"/>
    <w:rsid w:val="004E3D6C"/>
    <w:rsid w:val="004E3EDE"/>
    <w:rsid w:val="004E3F30"/>
    <w:rsid w:val="004E4146"/>
    <w:rsid w:val="004E46F8"/>
    <w:rsid w:val="004E4ABC"/>
    <w:rsid w:val="004E4C94"/>
    <w:rsid w:val="004E50C8"/>
    <w:rsid w:val="004E571F"/>
    <w:rsid w:val="004E5F84"/>
    <w:rsid w:val="004E62F2"/>
    <w:rsid w:val="004E653E"/>
    <w:rsid w:val="004E65F5"/>
    <w:rsid w:val="004E7344"/>
    <w:rsid w:val="004E7E2A"/>
    <w:rsid w:val="004E7EBE"/>
    <w:rsid w:val="004F1F94"/>
    <w:rsid w:val="004F224F"/>
    <w:rsid w:val="004F2C82"/>
    <w:rsid w:val="004F2D77"/>
    <w:rsid w:val="004F35DA"/>
    <w:rsid w:val="004F3C20"/>
    <w:rsid w:val="004F3E28"/>
    <w:rsid w:val="004F5220"/>
    <w:rsid w:val="004F621F"/>
    <w:rsid w:val="004F6746"/>
    <w:rsid w:val="004F6F5E"/>
    <w:rsid w:val="00500D2B"/>
    <w:rsid w:val="005020A5"/>
    <w:rsid w:val="00502EAE"/>
    <w:rsid w:val="0050300D"/>
    <w:rsid w:val="005030A2"/>
    <w:rsid w:val="00503A1B"/>
    <w:rsid w:val="00503BE8"/>
    <w:rsid w:val="005042F4"/>
    <w:rsid w:val="00504462"/>
    <w:rsid w:val="0050500F"/>
    <w:rsid w:val="005050C2"/>
    <w:rsid w:val="00505187"/>
    <w:rsid w:val="00505279"/>
    <w:rsid w:val="0050579A"/>
    <w:rsid w:val="005063E1"/>
    <w:rsid w:val="00507566"/>
    <w:rsid w:val="00507C55"/>
    <w:rsid w:val="00507CC5"/>
    <w:rsid w:val="00510C0E"/>
    <w:rsid w:val="0051133E"/>
    <w:rsid w:val="00511986"/>
    <w:rsid w:val="005133E6"/>
    <w:rsid w:val="00514346"/>
    <w:rsid w:val="0051477F"/>
    <w:rsid w:val="00514A02"/>
    <w:rsid w:val="00516BBB"/>
    <w:rsid w:val="005176B8"/>
    <w:rsid w:val="00520D66"/>
    <w:rsid w:val="0052185A"/>
    <w:rsid w:val="00522658"/>
    <w:rsid w:val="005226A4"/>
    <w:rsid w:val="0052321D"/>
    <w:rsid w:val="00523E83"/>
    <w:rsid w:val="0052486E"/>
    <w:rsid w:val="005248BB"/>
    <w:rsid w:val="00525C4F"/>
    <w:rsid w:val="005265FD"/>
    <w:rsid w:val="0053048B"/>
    <w:rsid w:val="005308A5"/>
    <w:rsid w:val="00530D81"/>
    <w:rsid w:val="005314E9"/>
    <w:rsid w:val="00531723"/>
    <w:rsid w:val="0053275E"/>
    <w:rsid w:val="0053280D"/>
    <w:rsid w:val="00533057"/>
    <w:rsid w:val="0053324F"/>
    <w:rsid w:val="005333EE"/>
    <w:rsid w:val="005347C5"/>
    <w:rsid w:val="00534834"/>
    <w:rsid w:val="00536B7E"/>
    <w:rsid w:val="00536BE5"/>
    <w:rsid w:val="0053737B"/>
    <w:rsid w:val="00537478"/>
    <w:rsid w:val="00540222"/>
    <w:rsid w:val="00540B89"/>
    <w:rsid w:val="0054144C"/>
    <w:rsid w:val="00541EF9"/>
    <w:rsid w:val="00542177"/>
    <w:rsid w:val="00542FC4"/>
    <w:rsid w:val="005431CF"/>
    <w:rsid w:val="00543D0A"/>
    <w:rsid w:val="00544B4E"/>
    <w:rsid w:val="00545204"/>
    <w:rsid w:val="00545414"/>
    <w:rsid w:val="005454F3"/>
    <w:rsid w:val="005455E5"/>
    <w:rsid w:val="005462AA"/>
    <w:rsid w:val="0054681B"/>
    <w:rsid w:val="0054683B"/>
    <w:rsid w:val="00546D7B"/>
    <w:rsid w:val="0054779A"/>
    <w:rsid w:val="00547A40"/>
    <w:rsid w:val="00547B33"/>
    <w:rsid w:val="00547BA1"/>
    <w:rsid w:val="00547D48"/>
    <w:rsid w:val="00550DB0"/>
    <w:rsid w:val="00551372"/>
    <w:rsid w:val="00551F77"/>
    <w:rsid w:val="0055276A"/>
    <w:rsid w:val="00553B5D"/>
    <w:rsid w:val="00553EC0"/>
    <w:rsid w:val="00556101"/>
    <w:rsid w:val="00556CF4"/>
    <w:rsid w:val="00557CB1"/>
    <w:rsid w:val="0056091E"/>
    <w:rsid w:val="00561371"/>
    <w:rsid w:val="00561425"/>
    <w:rsid w:val="005616A7"/>
    <w:rsid w:val="0056172D"/>
    <w:rsid w:val="00561B28"/>
    <w:rsid w:val="0056329C"/>
    <w:rsid w:val="005635F3"/>
    <w:rsid w:val="0056411C"/>
    <w:rsid w:val="00565B4C"/>
    <w:rsid w:val="005663FF"/>
    <w:rsid w:val="00566F71"/>
    <w:rsid w:val="005677E5"/>
    <w:rsid w:val="00570B8A"/>
    <w:rsid w:val="00570B8E"/>
    <w:rsid w:val="00570D24"/>
    <w:rsid w:val="0057154D"/>
    <w:rsid w:val="00571890"/>
    <w:rsid w:val="00571CE5"/>
    <w:rsid w:val="005746DE"/>
    <w:rsid w:val="00574A35"/>
    <w:rsid w:val="00574C1A"/>
    <w:rsid w:val="005750B0"/>
    <w:rsid w:val="0057622A"/>
    <w:rsid w:val="00577040"/>
    <w:rsid w:val="00580EEB"/>
    <w:rsid w:val="00580FCF"/>
    <w:rsid w:val="00581765"/>
    <w:rsid w:val="00581D82"/>
    <w:rsid w:val="00582084"/>
    <w:rsid w:val="0058244F"/>
    <w:rsid w:val="0058257C"/>
    <w:rsid w:val="00583673"/>
    <w:rsid w:val="00583D08"/>
    <w:rsid w:val="00583D48"/>
    <w:rsid w:val="0058403A"/>
    <w:rsid w:val="005847A6"/>
    <w:rsid w:val="00584FCB"/>
    <w:rsid w:val="00585562"/>
    <w:rsid w:val="00585F41"/>
    <w:rsid w:val="0058711B"/>
    <w:rsid w:val="005872D3"/>
    <w:rsid w:val="00587BE7"/>
    <w:rsid w:val="00587CBC"/>
    <w:rsid w:val="005905A4"/>
    <w:rsid w:val="00590846"/>
    <w:rsid w:val="00590D52"/>
    <w:rsid w:val="00591BC2"/>
    <w:rsid w:val="0059325B"/>
    <w:rsid w:val="005932DB"/>
    <w:rsid w:val="00593F6C"/>
    <w:rsid w:val="00594B0B"/>
    <w:rsid w:val="0059507E"/>
    <w:rsid w:val="00595DF1"/>
    <w:rsid w:val="00596524"/>
    <w:rsid w:val="005972EF"/>
    <w:rsid w:val="00597444"/>
    <w:rsid w:val="00597D35"/>
    <w:rsid w:val="005A066B"/>
    <w:rsid w:val="005A0686"/>
    <w:rsid w:val="005A06D7"/>
    <w:rsid w:val="005A13BD"/>
    <w:rsid w:val="005A19D8"/>
    <w:rsid w:val="005A2FCC"/>
    <w:rsid w:val="005A378E"/>
    <w:rsid w:val="005A3F58"/>
    <w:rsid w:val="005A4327"/>
    <w:rsid w:val="005A4597"/>
    <w:rsid w:val="005A48B5"/>
    <w:rsid w:val="005A4A36"/>
    <w:rsid w:val="005A4B00"/>
    <w:rsid w:val="005A4D72"/>
    <w:rsid w:val="005A6B02"/>
    <w:rsid w:val="005A6D6D"/>
    <w:rsid w:val="005A7264"/>
    <w:rsid w:val="005B08CE"/>
    <w:rsid w:val="005B1601"/>
    <w:rsid w:val="005B1B89"/>
    <w:rsid w:val="005B24B1"/>
    <w:rsid w:val="005B2968"/>
    <w:rsid w:val="005B3063"/>
    <w:rsid w:val="005B3399"/>
    <w:rsid w:val="005B3CAF"/>
    <w:rsid w:val="005B4900"/>
    <w:rsid w:val="005B4CFC"/>
    <w:rsid w:val="005B58B0"/>
    <w:rsid w:val="005B5CE2"/>
    <w:rsid w:val="005B6511"/>
    <w:rsid w:val="005B6C80"/>
    <w:rsid w:val="005B775C"/>
    <w:rsid w:val="005B7F46"/>
    <w:rsid w:val="005C0298"/>
    <w:rsid w:val="005C0769"/>
    <w:rsid w:val="005C0EA8"/>
    <w:rsid w:val="005C238A"/>
    <w:rsid w:val="005C2640"/>
    <w:rsid w:val="005C2D56"/>
    <w:rsid w:val="005C360A"/>
    <w:rsid w:val="005C4C7A"/>
    <w:rsid w:val="005C58F9"/>
    <w:rsid w:val="005C5A56"/>
    <w:rsid w:val="005C64D5"/>
    <w:rsid w:val="005C6DCF"/>
    <w:rsid w:val="005C741A"/>
    <w:rsid w:val="005D18CD"/>
    <w:rsid w:val="005D221C"/>
    <w:rsid w:val="005D2A43"/>
    <w:rsid w:val="005D2C71"/>
    <w:rsid w:val="005D2C8C"/>
    <w:rsid w:val="005D315A"/>
    <w:rsid w:val="005D33C8"/>
    <w:rsid w:val="005D416B"/>
    <w:rsid w:val="005D44FA"/>
    <w:rsid w:val="005D6250"/>
    <w:rsid w:val="005D63C9"/>
    <w:rsid w:val="005D6E74"/>
    <w:rsid w:val="005D6EA0"/>
    <w:rsid w:val="005D785A"/>
    <w:rsid w:val="005E0204"/>
    <w:rsid w:val="005E3289"/>
    <w:rsid w:val="005E32D4"/>
    <w:rsid w:val="005E34AE"/>
    <w:rsid w:val="005E3F66"/>
    <w:rsid w:val="005E43E6"/>
    <w:rsid w:val="005E4C2A"/>
    <w:rsid w:val="005E4F53"/>
    <w:rsid w:val="005E566A"/>
    <w:rsid w:val="005E598D"/>
    <w:rsid w:val="005E5C3E"/>
    <w:rsid w:val="005E5DEF"/>
    <w:rsid w:val="005E668D"/>
    <w:rsid w:val="005E7B36"/>
    <w:rsid w:val="005F02E6"/>
    <w:rsid w:val="005F10F1"/>
    <w:rsid w:val="005F1272"/>
    <w:rsid w:val="005F1911"/>
    <w:rsid w:val="005F1CEB"/>
    <w:rsid w:val="005F2CBA"/>
    <w:rsid w:val="005F30F6"/>
    <w:rsid w:val="005F3216"/>
    <w:rsid w:val="005F43BD"/>
    <w:rsid w:val="005F44EF"/>
    <w:rsid w:val="005F4B93"/>
    <w:rsid w:val="005F4DFE"/>
    <w:rsid w:val="005F4EF9"/>
    <w:rsid w:val="005F6004"/>
    <w:rsid w:val="005F7325"/>
    <w:rsid w:val="005F74F7"/>
    <w:rsid w:val="005F7AE3"/>
    <w:rsid w:val="005F7BE1"/>
    <w:rsid w:val="005F7F5A"/>
    <w:rsid w:val="006006F4"/>
    <w:rsid w:val="00600722"/>
    <w:rsid w:val="00600969"/>
    <w:rsid w:val="006015AE"/>
    <w:rsid w:val="006017B1"/>
    <w:rsid w:val="00601ED3"/>
    <w:rsid w:val="00603064"/>
    <w:rsid w:val="00604672"/>
    <w:rsid w:val="00604FE2"/>
    <w:rsid w:val="00605B9F"/>
    <w:rsid w:val="00606425"/>
    <w:rsid w:val="0060685F"/>
    <w:rsid w:val="006068EC"/>
    <w:rsid w:val="00607066"/>
    <w:rsid w:val="00607197"/>
    <w:rsid w:val="00607A16"/>
    <w:rsid w:val="006109F8"/>
    <w:rsid w:val="00611953"/>
    <w:rsid w:val="00611B9D"/>
    <w:rsid w:val="00611C0C"/>
    <w:rsid w:val="00612982"/>
    <w:rsid w:val="00613759"/>
    <w:rsid w:val="00613E88"/>
    <w:rsid w:val="006147B6"/>
    <w:rsid w:val="006147EA"/>
    <w:rsid w:val="00614FD4"/>
    <w:rsid w:val="00615D79"/>
    <w:rsid w:val="00621501"/>
    <w:rsid w:val="006217C2"/>
    <w:rsid w:val="006219F9"/>
    <w:rsid w:val="0062217C"/>
    <w:rsid w:val="00622B42"/>
    <w:rsid w:val="00622C6E"/>
    <w:rsid w:val="00623075"/>
    <w:rsid w:val="006231E4"/>
    <w:rsid w:val="006237BE"/>
    <w:rsid w:val="00623910"/>
    <w:rsid w:val="00624A27"/>
    <w:rsid w:val="00624B28"/>
    <w:rsid w:val="00624D74"/>
    <w:rsid w:val="00624F4E"/>
    <w:rsid w:val="006257E6"/>
    <w:rsid w:val="00625C2C"/>
    <w:rsid w:val="0062716D"/>
    <w:rsid w:val="00627480"/>
    <w:rsid w:val="00627AF2"/>
    <w:rsid w:val="00630141"/>
    <w:rsid w:val="006301C1"/>
    <w:rsid w:val="006307F5"/>
    <w:rsid w:val="00630A69"/>
    <w:rsid w:val="0063131C"/>
    <w:rsid w:val="006316E6"/>
    <w:rsid w:val="006316F8"/>
    <w:rsid w:val="00632F94"/>
    <w:rsid w:val="0063305D"/>
    <w:rsid w:val="006342DE"/>
    <w:rsid w:val="00635303"/>
    <w:rsid w:val="006356A4"/>
    <w:rsid w:val="00635BB8"/>
    <w:rsid w:val="0063632F"/>
    <w:rsid w:val="00637460"/>
    <w:rsid w:val="006379B6"/>
    <w:rsid w:val="006414E3"/>
    <w:rsid w:val="00641DBE"/>
    <w:rsid w:val="006423E0"/>
    <w:rsid w:val="00642553"/>
    <w:rsid w:val="00643B9B"/>
    <w:rsid w:val="00643BEF"/>
    <w:rsid w:val="006446AE"/>
    <w:rsid w:val="00644913"/>
    <w:rsid w:val="00644BA4"/>
    <w:rsid w:val="006450C4"/>
    <w:rsid w:val="00645809"/>
    <w:rsid w:val="00646C68"/>
    <w:rsid w:val="00647F39"/>
    <w:rsid w:val="00650C56"/>
    <w:rsid w:val="006511D1"/>
    <w:rsid w:val="00651AED"/>
    <w:rsid w:val="00652034"/>
    <w:rsid w:val="0065232D"/>
    <w:rsid w:val="00652858"/>
    <w:rsid w:val="00652EB5"/>
    <w:rsid w:val="00653260"/>
    <w:rsid w:val="00653701"/>
    <w:rsid w:val="006558DC"/>
    <w:rsid w:val="00656B27"/>
    <w:rsid w:val="00657257"/>
    <w:rsid w:val="00657F8B"/>
    <w:rsid w:val="00660041"/>
    <w:rsid w:val="006603FA"/>
    <w:rsid w:val="00660401"/>
    <w:rsid w:val="00660A44"/>
    <w:rsid w:val="00660D61"/>
    <w:rsid w:val="006618FC"/>
    <w:rsid w:val="00662C88"/>
    <w:rsid w:val="006635E7"/>
    <w:rsid w:val="006637E5"/>
    <w:rsid w:val="00663D00"/>
    <w:rsid w:val="00663E86"/>
    <w:rsid w:val="006648E0"/>
    <w:rsid w:val="0066541E"/>
    <w:rsid w:val="0066610D"/>
    <w:rsid w:val="0066686A"/>
    <w:rsid w:val="00666F26"/>
    <w:rsid w:val="006670B7"/>
    <w:rsid w:val="006676ED"/>
    <w:rsid w:val="00667BD4"/>
    <w:rsid w:val="00667D48"/>
    <w:rsid w:val="006707FB"/>
    <w:rsid w:val="0067128B"/>
    <w:rsid w:val="00671B7E"/>
    <w:rsid w:val="00672311"/>
    <w:rsid w:val="006732F4"/>
    <w:rsid w:val="00673B69"/>
    <w:rsid w:val="00673C10"/>
    <w:rsid w:val="006746CC"/>
    <w:rsid w:val="00675321"/>
    <w:rsid w:val="00675D0E"/>
    <w:rsid w:val="006767BC"/>
    <w:rsid w:val="00677AC8"/>
    <w:rsid w:val="006801DE"/>
    <w:rsid w:val="00680B71"/>
    <w:rsid w:val="00681D75"/>
    <w:rsid w:val="006821CE"/>
    <w:rsid w:val="0068242E"/>
    <w:rsid w:val="00682BA3"/>
    <w:rsid w:val="00683D9D"/>
    <w:rsid w:val="0068447B"/>
    <w:rsid w:val="006849F3"/>
    <w:rsid w:val="00684BAF"/>
    <w:rsid w:val="00685741"/>
    <w:rsid w:val="006864F3"/>
    <w:rsid w:val="00687093"/>
    <w:rsid w:val="00687E18"/>
    <w:rsid w:val="00693104"/>
    <w:rsid w:val="00693A27"/>
    <w:rsid w:val="0069536D"/>
    <w:rsid w:val="0069661F"/>
    <w:rsid w:val="00696D65"/>
    <w:rsid w:val="00696EBB"/>
    <w:rsid w:val="006A0480"/>
    <w:rsid w:val="006A09C7"/>
    <w:rsid w:val="006A11E7"/>
    <w:rsid w:val="006A1F10"/>
    <w:rsid w:val="006A4AD4"/>
    <w:rsid w:val="006A4D4E"/>
    <w:rsid w:val="006A5B60"/>
    <w:rsid w:val="006A71B3"/>
    <w:rsid w:val="006A7818"/>
    <w:rsid w:val="006B03BF"/>
    <w:rsid w:val="006B0F9B"/>
    <w:rsid w:val="006B1F41"/>
    <w:rsid w:val="006B246E"/>
    <w:rsid w:val="006B2F1C"/>
    <w:rsid w:val="006B3AD1"/>
    <w:rsid w:val="006B50FC"/>
    <w:rsid w:val="006B54CA"/>
    <w:rsid w:val="006B6102"/>
    <w:rsid w:val="006B630A"/>
    <w:rsid w:val="006B6FAB"/>
    <w:rsid w:val="006C1357"/>
    <w:rsid w:val="006C1577"/>
    <w:rsid w:val="006C16C8"/>
    <w:rsid w:val="006C16FE"/>
    <w:rsid w:val="006C18B2"/>
    <w:rsid w:val="006C239F"/>
    <w:rsid w:val="006C2FF7"/>
    <w:rsid w:val="006C32FB"/>
    <w:rsid w:val="006C360E"/>
    <w:rsid w:val="006C4997"/>
    <w:rsid w:val="006C4FAA"/>
    <w:rsid w:val="006C582C"/>
    <w:rsid w:val="006C5ACD"/>
    <w:rsid w:val="006C6068"/>
    <w:rsid w:val="006C6300"/>
    <w:rsid w:val="006C6352"/>
    <w:rsid w:val="006C671F"/>
    <w:rsid w:val="006C6BCD"/>
    <w:rsid w:val="006C7C12"/>
    <w:rsid w:val="006C7E7D"/>
    <w:rsid w:val="006D02E2"/>
    <w:rsid w:val="006D039A"/>
    <w:rsid w:val="006D0D63"/>
    <w:rsid w:val="006D0F4B"/>
    <w:rsid w:val="006D1544"/>
    <w:rsid w:val="006D1578"/>
    <w:rsid w:val="006D1FED"/>
    <w:rsid w:val="006D1FF6"/>
    <w:rsid w:val="006D2796"/>
    <w:rsid w:val="006D2D78"/>
    <w:rsid w:val="006D3646"/>
    <w:rsid w:val="006D3672"/>
    <w:rsid w:val="006D36B7"/>
    <w:rsid w:val="006D37A2"/>
    <w:rsid w:val="006D3A49"/>
    <w:rsid w:val="006D3DB5"/>
    <w:rsid w:val="006D4CC9"/>
    <w:rsid w:val="006D5612"/>
    <w:rsid w:val="006D7823"/>
    <w:rsid w:val="006D7E72"/>
    <w:rsid w:val="006E0024"/>
    <w:rsid w:val="006E16F1"/>
    <w:rsid w:val="006E359B"/>
    <w:rsid w:val="006E47ED"/>
    <w:rsid w:val="006E4863"/>
    <w:rsid w:val="006E5D15"/>
    <w:rsid w:val="006E704E"/>
    <w:rsid w:val="006E7363"/>
    <w:rsid w:val="006E73F5"/>
    <w:rsid w:val="006E75BF"/>
    <w:rsid w:val="006F0567"/>
    <w:rsid w:val="006F09B5"/>
    <w:rsid w:val="006F11A3"/>
    <w:rsid w:val="006F12E1"/>
    <w:rsid w:val="006F1349"/>
    <w:rsid w:val="006F201F"/>
    <w:rsid w:val="006F22FE"/>
    <w:rsid w:val="006F2A97"/>
    <w:rsid w:val="006F2C03"/>
    <w:rsid w:val="006F31E5"/>
    <w:rsid w:val="006F3333"/>
    <w:rsid w:val="006F3FBA"/>
    <w:rsid w:val="006F48B3"/>
    <w:rsid w:val="006F48B8"/>
    <w:rsid w:val="006F4DDA"/>
    <w:rsid w:val="006F553C"/>
    <w:rsid w:val="006F5779"/>
    <w:rsid w:val="006F5924"/>
    <w:rsid w:val="006F5D06"/>
    <w:rsid w:val="006F6258"/>
    <w:rsid w:val="006F65E1"/>
    <w:rsid w:val="006F72BF"/>
    <w:rsid w:val="006F7F8E"/>
    <w:rsid w:val="00700700"/>
    <w:rsid w:val="00700772"/>
    <w:rsid w:val="007008BF"/>
    <w:rsid w:val="00701552"/>
    <w:rsid w:val="00702765"/>
    <w:rsid w:val="00703B7D"/>
    <w:rsid w:val="0070449B"/>
    <w:rsid w:val="00704576"/>
    <w:rsid w:val="00704FDE"/>
    <w:rsid w:val="007051D9"/>
    <w:rsid w:val="00705448"/>
    <w:rsid w:val="00706631"/>
    <w:rsid w:val="00706DC0"/>
    <w:rsid w:val="007078FC"/>
    <w:rsid w:val="0070794A"/>
    <w:rsid w:val="00707AC5"/>
    <w:rsid w:val="0071035B"/>
    <w:rsid w:val="007120F6"/>
    <w:rsid w:val="0071220D"/>
    <w:rsid w:val="007122EC"/>
    <w:rsid w:val="007123B1"/>
    <w:rsid w:val="00712CA6"/>
    <w:rsid w:val="00713E40"/>
    <w:rsid w:val="00714504"/>
    <w:rsid w:val="00714D3C"/>
    <w:rsid w:val="00714DFB"/>
    <w:rsid w:val="00714FC0"/>
    <w:rsid w:val="0071508B"/>
    <w:rsid w:val="00716D74"/>
    <w:rsid w:val="00716ECB"/>
    <w:rsid w:val="0071742A"/>
    <w:rsid w:val="00720505"/>
    <w:rsid w:val="007212CD"/>
    <w:rsid w:val="00722F67"/>
    <w:rsid w:val="00723A0E"/>
    <w:rsid w:val="007258EA"/>
    <w:rsid w:val="00725C1C"/>
    <w:rsid w:val="00725D6F"/>
    <w:rsid w:val="00726F91"/>
    <w:rsid w:val="00727E6F"/>
    <w:rsid w:val="00730A44"/>
    <w:rsid w:val="00730E8F"/>
    <w:rsid w:val="00731383"/>
    <w:rsid w:val="007318DC"/>
    <w:rsid w:val="00731D48"/>
    <w:rsid w:val="00731F99"/>
    <w:rsid w:val="00732596"/>
    <w:rsid w:val="00732AEB"/>
    <w:rsid w:val="00733CB0"/>
    <w:rsid w:val="00733F7A"/>
    <w:rsid w:val="00734484"/>
    <w:rsid w:val="00734789"/>
    <w:rsid w:val="0073495A"/>
    <w:rsid w:val="0073537E"/>
    <w:rsid w:val="007354F2"/>
    <w:rsid w:val="0073572B"/>
    <w:rsid w:val="00735879"/>
    <w:rsid w:val="007358AD"/>
    <w:rsid w:val="00736C12"/>
    <w:rsid w:val="00737214"/>
    <w:rsid w:val="00740570"/>
    <w:rsid w:val="0074067C"/>
    <w:rsid w:val="00740AE5"/>
    <w:rsid w:val="00740D4D"/>
    <w:rsid w:val="007410B7"/>
    <w:rsid w:val="0074166A"/>
    <w:rsid w:val="00742016"/>
    <w:rsid w:val="00742076"/>
    <w:rsid w:val="00742206"/>
    <w:rsid w:val="007422C3"/>
    <w:rsid w:val="00742D8F"/>
    <w:rsid w:val="007434F4"/>
    <w:rsid w:val="00744CB5"/>
    <w:rsid w:val="00744E47"/>
    <w:rsid w:val="00745136"/>
    <w:rsid w:val="00745836"/>
    <w:rsid w:val="00745A15"/>
    <w:rsid w:val="00745A55"/>
    <w:rsid w:val="00745DD2"/>
    <w:rsid w:val="00745FF6"/>
    <w:rsid w:val="00751234"/>
    <w:rsid w:val="00751354"/>
    <w:rsid w:val="00751925"/>
    <w:rsid w:val="00751DDB"/>
    <w:rsid w:val="00751DF5"/>
    <w:rsid w:val="007522B9"/>
    <w:rsid w:val="00752B45"/>
    <w:rsid w:val="00752B96"/>
    <w:rsid w:val="00752CE7"/>
    <w:rsid w:val="007542F4"/>
    <w:rsid w:val="00754872"/>
    <w:rsid w:val="00755EEA"/>
    <w:rsid w:val="00756089"/>
    <w:rsid w:val="00756207"/>
    <w:rsid w:val="00756909"/>
    <w:rsid w:val="0075718D"/>
    <w:rsid w:val="007602E4"/>
    <w:rsid w:val="00760D10"/>
    <w:rsid w:val="0076199A"/>
    <w:rsid w:val="00762108"/>
    <w:rsid w:val="007622FF"/>
    <w:rsid w:val="00762386"/>
    <w:rsid w:val="007625F3"/>
    <w:rsid w:val="00762D3B"/>
    <w:rsid w:val="00762DBD"/>
    <w:rsid w:val="0076329E"/>
    <w:rsid w:val="00764E8B"/>
    <w:rsid w:val="00765551"/>
    <w:rsid w:val="00767984"/>
    <w:rsid w:val="00767A92"/>
    <w:rsid w:val="00767AA6"/>
    <w:rsid w:val="0077016A"/>
    <w:rsid w:val="0077098A"/>
    <w:rsid w:val="00770E38"/>
    <w:rsid w:val="00771451"/>
    <w:rsid w:val="00771E4C"/>
    <w:rsid w:val="00771F73"/>
    <w:rsid w:val="007720D8"/>
    <w:rsid w:val="00773F88"/>
    <w:rsid w:val="0077443C"/>
    <w:rsid w:val="007751DE"/>
    <w:rsid w:val="00775312"/>
    <w:rsid w:val="0077545B"/>
    <w:rsid w:val="007769FA"/>
    <w:rsid w:val="0078133D"/>
    <w:rsid w:val="0078183D"/>
    <w:rsid w:val="00781E34"/>
    <w:rsid w:val="007826C5"/>
    <w:rsid w:val="00782929"/>
    <w:rsid w:val="00783742"/>
    <w:rsid w:val="00783B5D"/>
    <w:rsid w:val="00785133"/>
    <w:rsid w:val="00785785"/>
    <w:rsid w:val="00785818"/>
    <w:rsid w:val="00785ADC"/>
    <w:rsid w:val="007879B5"/>
    <w:rsid w:val="00790EFD"/>
    <w:rsid w:val="00791ACF"/>
    <w:rsid w:val="00791DED"/>
    <w:rsid w:val="00791F02"/>
    <w:rsid w:val="00791F56"/>
    <w:rsid w:val="00792116"/>
    <w:rsid w:val="007927EB"/>
    <w:rsid w:val="007928BD"/>
    <w:rsid w:val="00792AA8"/>
    <w:rsid w:val="0079361D"/>
    <w:rsid w:val="00793AAE"/>
    <w:rsid w:val="00794405"/>
    <w:rsid w:val="00794810"/>
    <w:rsid w:val="00794972"/>
    <w:rsid w:val="0079499E"/>
    <w:rsid w:val="00794E98"/>
    <w:rsid w:val="007951EE"/>
    <w:rsid w:val="007959B8"/>
    <w:rsid w:val="007960F5"/>
    <w:rsid w:val="00796920"/>
    <w:rsid w:val="00796EB3"/>
    <w:rsid w:val="00796EE7"/>
    <w:rsid w:val="00797022"/>
    <w:rsid w:val="00797510"/>
    <w:rsid w:val="007A0785"/>
    <w:rsid w:val="007A15C1"/>
    <w:rsid w:val="007A16A0"/>
    <w:rsid w:val="007A1A1F"/>
    <w:rsid w:val="007A24B9"/>
    <w:rsid w:val="007A2BB9"/>
    <w:rsid w:val="007A2BCA"/>
    <w:rsid w:val="007A3ABE"/>
    <w:rsid w:val="007A431C"/>
    <w:rsid w:val="007A4CB0"/>
    <w:rsid w:val="007A4E3A"/>
    <w:rsid w:val="007A53BA"/>
    <w:rsid w:val="007A5B52"/>
    <w:rsid w:val="007A5F3B"/>
    <w:rsid w:val="007A62C3"/>
    <w:rsid w:val="007A647C"/>
    <w:rsid w:val="007A6CF7"/>
    <w:rsid w:val="007A6F95"/>
    <w:rsid w:val="007A7233"/>
    <w:rsid w:val="007B0B90"/>
    <w:rsid w:val="007B1B56"/>
    <w:rsid w:val="007B1B99"/>
    <w:rsid w:val="007B2412"/>
    <w:rsid w:val="007B327F"/>
    <w:rsid w:val="007B3A9E"/>
    <w:rsid w:val="007B3EAE"/>
    <w:rsid w:val="007B3FB4"/>
    <w:rsid w:val="007B4102"/>
    <w:rsid w:val="007B651A"/>
    <w:rsid w:val="007B6648"/>
    <w:rsid w:val="007B6669"/>
    <w:rsid w:val="007B7987"/>
    <w:rsid w:val="007C06E6"/>
    <w:rsid w:val="007C0CD6"/>
    <w:rsid w:val="007C1419"/>
    <w:rsid w:val="007C2BF6"/>
    <w:rsid w:val="007C311B"/>
    <w:rsid w:val="007C3425"/>
    <w:rsid w:val="007C3817"/>
    <w:rsid w:val="007C3AB3"/>
    <w:rsid w:val="007C4747"/>
    <w:rsid w:val="007C506B"/>
    <w:rsid w:val="007C5B53"/>
    <w:rsid w:val="007C6B99"/>
    <w:rsid w:val="007C6D8C"/>
    <w:rsid w:val="007C735B"/>
    <w:rsid w:val="007C7406"/>
    <w:rsid w:val="007C75F5"/>
    <w:rsid w:val="007D0986"/>
    <w:rsid w:val="007D1097"/>
    <w:rsid w:val="007D1D53"/>
    <w:rsid w:val="007D1F1A"/>
    <w:rsid w:val="007D261E"/>
    <w:rsid w:val="007D3042"/>
    <w:rsid w:val="007D3109"/>
    <w:rsid w:val="007D324E"/>
    <w:rsid w:val="007D59A7"/>
    <w:rsid w:val="007D5ACE"/>
    <w:rsid w:val="007D6440"/>
    <w:rsid w:val="007D654E"/>
    <w:rsid w:val="007D698B"/>
    <w:rsid w:val="007D701D"/>
    <w:rsid w:val="007D7BB6"/>
    <w:rsid w:val="007E214C"/>
    <w:rsid w:val="007E429E"/>
    <w:rsid w:val="007E4464"/>
    <w:rsid w:val="007E5D35"/>
    <w:rsid w:val="007E636A"/>
    <w:rsid w:val="007F01C4"/>
    <w:rsid w:val="007F1497"/>
    <w:rsid w:val="007F1950"/>
    <w:rsid w:val="007F24C5"/>
    <w:rsid w:val="007F29C7"/>
    <w:rsid w:val="007F2F6B"/>
    <w:rsid w:val="007F3C13"/>
    <w:rsid w:val="007F3ED0"/>
    <w:rsid w:val="007F4C09"/>
    <w:rsid w:val="007F52A6"/>
    <w:rsid w:val="007F5789"/>
    <w:rsid w:val="007F68DA"/>
    <w:rsid w:val="007F6943"/>
    <w:rsid w:val="007F76B5"/>
    <w:rsid w:val="007F7A80"/>
    <w:rsid w:val="008004E7"/>
    <w:rsid w:val="008007B6"/>
    <w:rsid w:val="00801EFF"/>
    <w:rsid w:val="0080276C"/>
    <w:rsid w:val="00803D1C"/>
    <w:rsid w:val="00803F76"/>
    <w:rsid w:val="008045A7"/>
    <w:rsid w:val="008048B5"/>
    <w:rsid w:val="008056E4"/>
    <w:rsid w:val="0080604B"/>
    <w:rsid w:val="008060C8"/>
    <w:rsid w:val="008069A7"/>
    <w:rsid w:val="008107D9"/>
    <w:rsid w:val="00810F5C"/>
    <w:rsid w:val="008110F0"/>
    <w:rsid w:val="00811284"/>
    <w:rsid w:val="00811A00"/>
    <w:rsid w:val="00812723"/>
    <w:rsid w:val="00813091"/>
    <w:rsid w:val="00813240"/>
    <w:rsid w:val="0081377D"/>
    <w:rsid w:val="00814A6A"/>
    <w:rsid w:val="00814B91"/>
    <w:rsid w:val="00814BBD"/>
    <w:rsid w:val="00814ED4"/>
    <w:rsid w:val="008152E3"/>
    <w:rsid w:val="00815379"/>
    <w:rsid w:val="0081557C"/>
    <w:rsid w:val="00815747"/>
    <w:rsid w:val="008159B1"/>
    <w:rsid w:val="00815E0F"/>
    <w:rsid w:val="0081635E"/>
    <w:rsid w:val="00816D32"/>
    <w:rsid w:val="00817ABC"/>
    <w:rsid w:val="00820282"/>
    <w:rsid w:val="008202F4"/>
    <w:rsid w:val="00820393"/>
    <w:rsid w:val="0082117F"/>
    <w:rsid w:val="00821408"/>
    <w:rsid w:val="00821983"/>
    <w:rsid w:val="0082272F"/>
    <w:rsid w:val="00824DF7"/>
    <w:rsid w:val="00825728"/>
    <w:rsid w:val="0082619C"/>
    <w:rsid w:val="008267A6"/>
    <w:rsid w:val="008269D2"/>
    <w:rsid w:val="00826DE8"/>
    <w:rsid w:val="00827E0B"/>
    <w:rsid w:val="00830E56"/>
    <w:rsid w:val="00831311"/>
    <w:rsid w:val="00831A0D"/>
    <w:rsid w:val="008324A9"/>
    <w:rsid w:val="008327AC"/>
    <w:rsid w:val="00833751"/>
    <w:rsid w:val="00834299"/>
    <w:rsid w:val="00834FA2"/>
    <w:rsid w:val="00836947"/>
    <w:rsid w:val="00836AD2"/>
    <w:rsid w:val="008375CC"/>
    <w:rsid w:val="008376EB"/>
    <w:rsid w:val="00837E59"/>
    <w:rsid w:val="008408A8"/>
    <w:rsid w:val="0084126B"/>
    <w:rsid w:val="008415CC"/>
    <w:rsid w:val="00841FB2"/>
    <w:rsid w:val="00842862"/>
    <w:rsid w:val="008445FC"/>
    <w:rsid w:val="00845199"/>
    <w:rsid w:val="00845288"/>
    <w:rsid w:val="00846832"/>
    <w:rsid w:val="00846A2C"/>
    <w:rsid w:val="008479EA"/>
    <w:rsid w:val="00847DFE"/>
    <w:rsid w:val="008503B6"/>
    <w:rsid w:val="008503FB"/>
    <w:rsid w:val="00850765"/>
    <w:rsid w:val="008508B7"/>
    <w:rsid w:val="00851111"/>
    <w:rsid w:val="008511F5"/>
    <w:rsid w:val="008516A9"/>
    <w:rsid w:val="008525CF"/>
    <w:rsid w:val="008542CC"/>
    <w:rsid w:val="008543AC"/>
    <w:rsid w:val="008546F1"/>
    <w:rsid w:val="00854754"/>
    <w:rsid w:val="008554F1"/>
    <w:rsid w:val="008557C4"/>
    <w:rsid w:val="00855FE1"/>
    <w:rsid w:val="00855FED"/>
    <w:rsid w:val="00856072"/>
    <w:rsid w:val="0085658F"/>
    <w:rsid w:val="008565D5"/>
    <w:rsid w:val="008567D6"/>
    <w:rsid w:val="00856A16"/>
    <w:rsid w:val="00856DF1"/>
    <w:rsid w:val="008605D7"/>
    <w:rsid w:val="008607F0"/>
    <w:rsid w:val="00860973"/>
    <w:rsid w:val="00860B77"/>
    <w:rsid w:val="008615EC"/>
    <w:rsid w:val="0086183E"/>
    <w:rsid w:val="008625CC"/>
    <w:rsid w:val="0086448A"/>
    <w:rsid w:val="008648B5"/>
    <w:rsid w:val="0086641A"/>
    <w:rsid w:val="00866FD4"/>
    <w:rsid w:val="00867F68"/>
    <w:rsid w:val="00870A60"/>
    <w:rsid w:val="00871618"/>
    <w:rsid w:val="008725C3"/>
    <w:rsid w:val="00873055"/>
    <w:rsid w:val="008737D3"/>
    <w:rsid w:val="00875439"/>
    <w:rsid w:val="00876175"/>
    <w:rsid w:val="0087617A"/>
    <w:rsid w:val="00876232"/>
    <w:rsid w:val="008765FF"/>
    <w:rsid w:val="008773CD"/>
    <w:rsid w:val="00877524"/>
    <w:rsid w:val="00877CBF"/>
    <w:rsid w:val="00881DEF"/>
    <w:rsid w:val="00881E88"/>
    <w:rsid w:val="00881F89"/>
    <w:rsid w:val="008822A9"/>
    <w:rsid w:val="00882D53"/>
    <w:rsid w:val="00883437"/>
    <w:rsid w:val="008834C5"/>
    <w:rsid w:val="00883C24"/>
    <w:rsid w:val="008849E1"/>
    <w:rsid w:val="008853F8"/>
    <w:rsid w:val="00890C89"/>
    <w:rsid w:val="00891FEE"/>
    <w:rsid w:val="00892274"/>
    <w:rsid w:val="00893CB7"/>
    <w:rsid w:val="00893DEA"/>
    <w:rsid w:val="008942DB"/>
    <w:rsid w:val="008948F5"/>
    <w:rsid w:val="00894B9A"/>
    <w:rsid w:val="00894DF3"/>
    <w:rsid w:val="008953BD"/>
    <w:rsid w:val="008959B4"/>
    <w:rsid w:val="00896CD9"/>
    <w:rsid w:val="00897C05"/>
    <w:rsid w:val="00897C73"/>
    <w:rsid w:val="008A0A2B"/>
    <w:rsid w:val="008A125B"/>
    <w:rsid w:val="008A1403"/>
    <w:rsid w:val="008A202E"/>
    <w:rsid w:val="008A346D"/>
    <w:rsid w:val="008A399D"/>
    <w:rsid w:val="008A4628"/>
    <w:rsid w:val="008A4A6E"/>
    <w:rsid w:val="008A4CB1"/>
    <w:rsid w:val="008A4D5E"/>
    <w:rsid w:val="008A7200"/>
    <w:rsid w:val="008B15B9"/>
    <w:rsid w:val="008B1A75"/>
    <w:rsid w:val="008B1EFA"/>
    <w:rsid w:val="008B2FF4"/>
    <w:rsid w:val="008B46E2"/>
    <w:rsid w:val="008B47CB"/>
    <w:rsid w:val="008B47D8"/>
    <w:rsid w:val="008B4E0E"/>
    <w:rsid w:val="008B531D"/>
    <w:rsid w:val="008B602B"/>
    <w:rsid w:val="008B6A6C"/>
    <w:rsid w:val="008B6D5B"/>
    <w:rsid w:val="008B7A73"/>
    <w:rsid w:val="008C0ECD"/>
    <w:rsid w:val="008C15BB"/>
    <w:rsid w:val="008C21A8"/>
    <w:rsid w:val="008C2632"/>
    <w:rsid w:val="008C28E5"/>
    <w:rsid w:val="008C2D33"/>
    <w:rsid w:val="008C2FDE"/>
    <w:rsid w:val="008C4E5F"/>
    <w:rsid w:val="008C4FF8"/>
    <w:rsid w:val="008C6C82"/>
    <w:rsid w:val="008C6CCF"/>
    <w:rsid w:val="008C6DCD"/>
    <w:rsid w:val="008C6F2E"/>
    <w:rsid w:val="008C7D8E"/>
    <w:rsid w:val="008C7E22"/>
    <w:rsid w:val="008D066A"/>
    <w:rsid w:val="008D07FC"/>
    <w:rsid w:val="008D0B82"/>
    <w:rsid w:val="008D1535"/>
    <w:rsid w:val="008D15F7"/>
    <w:rsid w:val="008D1FDE"/>
    <w:rsid w:val="008D2227"/>
    <w:rsid w:val="008D2D93"/>
    <w:rsid w:val="008D351D"/>
    <w:rsid w:val="008D4A67"/>
    <w:rsid w:val="008D4D1D"/>
    <w:rsid w:val="008D597B"/>
    <w:rsid w:val="008D5C29"/>
    <w:rsid w:val="008D671F"/>
    <w:rsid w:val="008D787A"/>
    <w:rsid w:val="008D7975"/>
    <w:rsid w:val="008E0058"/>
    <w:rsid w:val="008E0A9F"/>
    <w:rsid w:val="008E15AD"/>
    <w:rsid w:val="008E1678"/>
    <w:rsid w:val="008E1C45"/>
    <w:rsid w:val="008E242E"/>
    <w:rsid w:val="008E647B"/>
    <w:rsid w:val="008E702B"/>
    <w:rsid w:val="008E704E"/>
    <w:rsid w:val="008E773E"/>
    <w:rsid w:val="008E7B61"/>
    <w:rsid w:val="008E7E66"/>
    <w:rsid w:val="008F1E2B"/>
    <w:rsid w:val="008F1F82"/>
    <w:rsid w:val="008F235C"/>
    <w:rsid w:val="008F2432"/>
    <w:rsid w:val="008F29CA"/>
    <w:rsid w:val="008F3AE2"/>
    <w:rsid w:val="008F46CF"/>
    <w:rsid w:val="008F510E"/>
    <w:rsid w:val="008F5295"/>
    <w:rsid w:val="008F5494"/>
    <w:rsid w:val="008F592A"/>
    <w:rsid w:val="008F6221"/>
    <w:rsid w:val="008F623A"/>
    <w:rsid w:val="008F722B"/>
    <w:rsid w:val="008F760C"/>
    <w:rsid w:val="008F777B"/>
    <w:rsid w:val="008F7CCE"/>
    <w:rsid w:val="008F7E72"/>
    <w:rsid w:val="0090082A"/>
    <w:rsid w:val="009013A1"/>
    <w:rsid w:val="009013A2"/>
    <w:rsid w:val="00903730"/>
    <w:rsid w:val="009037B2"/>
    <w:rsid w:val="009047FF"/>
    <w:rsid w:val="00904B0A"/>
    <w:rsid w:val="0090520C"/>
    <w:rsid w:val="009064E2"/>
    <w:rsid w:val="00907246"/>
    <w:rsid w:val="009077C7"/>
    <w:rsid w:val="009079B3"/>
    <w:rsid w:val="009105D4"/>
    <w:rsid w:val="00910665"/>
    <w:rsid w:val="00910A03"/>
    <w:rsid w:val="00910C61"/>
    <w:rsid w:val="00910E02"/>
    <w:rsid w:val="00911E34"/>
    <w:rsid w:val="0091220E"/>
    <w:rsid w:val="00912476"/>
    <w:rsid w:val="0091465A"/>
    <w:rsid w:val="00914BDA"/>
    <w:rsid w:val="00915265"/>
    <w:rsid w:val="00916165"/>
    <w:rsid w:val="009162E9"/>
    <w:rsid w:val="009165A2"/>
    <w:rsid w:val="0091674D"/>
    <w:rsid w:val="00916D42"/>
    <w:rsid w:val="00916F7A"/>
    <w:rsid w:val="0091754A"/>
    <w:rsid w:val="0091767A"/>
    <w:rsid w:val="00917E5D"/>
    <w:rsid w:val="00920216"/>
    <w:rsid w:val="00920463"/>
    <w:rsid w:val="009208DD"/>
    <w:rsid w:val="009216DA"/>
    <w:rsid w:val="00921E74"/>
    <w:rsid w:val="009231E5"/>
    <w:rsid w:val="009238C7"/>
    <w:rsid w:val="00923D68"/>
    <w:rsid w:val="00923F38"/>
    <w:rsid w:val="00924145"/>
    <w:rsid w:val="009245CA"/>
    <w:rsid w:val="009247B4"/>
    <w:rsid w:val="009254D2"/>
    <w:rsid w:val="00926E4D"/>
    <w:rsid w:val="00927D1E"/>
    <w:rsid w:val="00931CC8"/>
    <w:rsid w:val="00932D4E"/>
    <w:rsid w:val="0093352D"/>
    <w:rsid w:val="0093380C"/>
    <w:rsid w:val="00933B18"/>
    <w:rsid w:val="00934749"/>
    <w:rsid w:val="00934B8C"/>
    <w:rsid w:val="00936314"/>
    <w:rsid w:val="00936581"/>
    <w:rsid w:val="009376FF"/>
    <w:rsid w:val="009379CB"/>
    <w:rsid w:val="00937BE5"/>
    <w:rsid w:val="00940185"/>
    <w:rsid w:val="009404D2"/>
    <w:rsid w:val="00940754"/>
    <w:rsid w:val="00940BCD"/>
    <w:rsid w:val="00941279"/>
    <w:rsid w:val="009412B5"/>
    <w:rsid w:val="009428C2"/>
    <w:rsid w:val="00943C6B"/>
    <w:rsid w:val="009448B5"/>
    <w:rsid w:val="00944A15"/>
    <w:rsid w:val="0094597A"/>
    <w:rsid w:val="00945BE2"/>
    <w:rsid w:val="009462D5"/>
    <w:rsid w:val="00946666"/>
    <w:rsid w:val="00947525"/>
    <w:rsid w:val="009476B2"/>
    <w:rsid w:val="00950011"/>
    <w:rsid w:val="0095025D"/>
    <w:rsid w:val="009515C5"/>
    <w:rsid w:val="009524FA"/>
    <w:rsid w:val="00952746"/>
    <w:rsid w:val="0095456C"/>
    <w:rsid w:val="00954576"/>
    <w:rsid w:val="009547B3"/>
    <w:rsid w:val="00954F2A"/>
    <w:rsid w:val="00955582"/>
    <w:rsid w:val="00956175"/>
    <w:rsid w:val="009564E1"/>
    <w:rsid w:val="00956905"/>
    <w:rsid w:val="0095703E"/>
    <w:rsid w:val="0095749A"/>
    <w:rsid w:val="009603E8"/>
    <w:rsid w:val="009610F1"/>
    <w:rsid w:val="009614C6"/>
    <w:rsid w:val="009617F6"/>
    <w:rsid w:val="009620EB"/>
    <w:rsid w:val="00962BFB"/>
    <w:rsid w:val="00962E1C"/>
    <w:rsid w:val="00963494"/>
    <w:rsid w:val="0096349D"/>
    <w:rsid w:val="00964954"/>
    <w:rsid w:val="00965450"/>
    <w:rsid w:val="009654A1"/>
    <w:rsid w:val="00966DEC"/>
    <w:rsid w:val="00967105"/>
    <w:rsid w:val="009673F7"/>
    <w:rsid w:val="0096798C"/>
    <w:rsid w:val="009710B0"/>
    <w:rsid w:val="0097154E"/>
    <w:rsid w:val="009723EF"/>
    <w:rsid w:val="00972B33"/>
    <w:rsid w:val="0097331E"/>
    <w:rsid w:val="00973758"/>
    <w:rsid w:val="00974D81"/>
    <w:rsid w:val="00974D8B"/>
    <w:rsid w:val="00975575"/>
    <w:rsid w:val="00975DDA"/>
    <w:rsid w:val="0097673B"/>
    <w:rsid w:val="0098038C"/>
    <w:rsid w:val="0098057B"/>
    <w:rsid w:val="0098126C"/>
    <w:rsid w:val="00981734"/>
    <w:rsid w:val="009819B7"/>
    <w:rsid w:val="00981A31"/>
    <w:rsid w:val="00982158"/>
    <w:rsid w:val="009823D5"/>
    <w:rsid w:val="00982422"/>
    <w:rsid w:val="00982682"/>
    <w:rsid w:val="0098298B"/>
    <w:rsid w:val="009847BC"/>
    <w:rsid w:val="00984CB0"/>
    <w:rsid w:val="00984E47"/>
    <w:rsid w:val="00985254"/>
    <w:rsid w:val="00987C7D"/>
    <w:rsid w:val="00987F3B"/>
    <w:rsid w:val="00987F4E"/>
    <w:rsid w:val="00990380"/>
    <w:rsid w:val="0099173D"/>
    <w:rsid w:val="009921DB"/>
    <w:rsid w:val="009931F1"/>
    <w:rsid w:val="009936BA"/>
    <w:rsid w:val="009940EF"/>
    <w:rsid w:val="00994A8D"/>
    <w:rsid w:val="00994D06"/>
    <w:rsid w:val="00995CC0"/>
    <w:rsid w:val="00995DB0"/>
    <w:rsid w:val="009961E7"/>
    <w:rsid w:val="00996B86"/>
    <w:rsid w:val="00996FF0"/>
    <w:rsid w:val="0099769A"/>
    <w:rsid w:val="00997CF0"/>
    <w:rsid w:val="00997D6C"/>
    <w:rsid w:val="00997F6D"/>
    <w:rsid w:val="009A0BBC"/>
    <w:rsid w:val="009A224C"/>
    <w:rsid w:val="009A2864"/>
    <w:rsid w:val="009A28C9"/>
    <w:rsid w:val="009A302C"/>
    <w:rsid w:val="009A422F"/>
    <w:rsid w:val="009A48B2"/>
    <w:rsid w:val="009A4B38"/>
    <w:rsid w:val="009A5AFD"/>
    <w:rsid w:val="009A5EF9"/>
    <w:rsid w:val="009A5FCE"/>
    <w:rsid w:val="009A6EFD"/>
    <w:rsid w:val="009A722D"/>
    <w:rsid w:val="009A7D3F"/>
    <w:rsid w:val="009B0BBE"/>
    <w:rsid w:val="009B0D35"/>
    <w:rsid w:val="009B2954"/>
    <w:rsid w:val="009B2F31"/>
    <w:rsid w:val="009B31D9"/>
    <w:rsid w:val="009B347C"/>
    <w:rsid w:val="009B36B1"/>
    <w:rsid w:val="009B37ED"/>
    <w:rsid w:val="009B39DC"/>
    <w:rsid w:val="009B3BC3"/>
    <w:rsid w:val="009B3CE1"/>
    <w:rsid w:val="009B3D53"/>
    <w:rsid w:val="009B3D86"/>
    <w:rsid w:val="009B54F6"/>
    <w:rsid w:val="009B61E7"/>
    <w:rsid w:val="009B729E"/>
    <w:rsid w:val="009C03A1"/>
    <w:rsid w:val="009C0BC7"/>
    <w:rsid w:val="009C10A7"/>
    <w:rsid w:val="009C1490"/>
    <w:rsid w:val="009C1E24"/>
    <w:rsid w:val="009C1FC4"/>
    <w:rsid w:val="009C2611"/>
    <w:rsid w:val="009C2BD8"/>
    <w:rsid w:val="009C3349"/>
    <w:rsid w:val="009C3DB6"/>
    <w:rsid w:val="009C4128"/>
    <w:rsid w:val="009C51AF"/>
    <w:rsid w:val="009C5D52"/>
    <w:rsid w:val="009C6B44"/>
    <w:rsid w:val="009C6E72"/>
    <w:rsid w:val="009D046D"/>
    <w:rsid w:val="009D24A4"/>
    <w:rsid w:val="009D261B"/>
    <w:rsid w:val="009D382C"/>
    <w:rsid w:val="009D3853"/>
    <w:rsid w:val="009D3C3F"/>
    <w:rsid w:val="009D4677"/>
    <w:rsid w:val="009D4D67"/>
    <w:rsid w:val="009D4E0E"/>
    <w:rsid w:val="009D51A5"/>
    <w:rsid w:val="009D635B"/>
    <w:rsid w:val="009D66DC"/>
    <w:rsid w:val="009D6B6B"/>
    <w:rsid w:val="009D6C53"/>
    <w:rsid w:val="009D7A21"/>
    <w:rsid w:val="009D7F6F"/>
    <w:rsid w:val="009E00D0"/>
    <w:rsid w:val="009E0393"/>
    <w:rsid w:val="009E0798"/>
    <w:rsid w:val="009E07D3"/>
    <w:rsid w:val="009E0DB5"/>
    <w:rsid w:val="009E0F1E"/>
    <w:rsid w:val="009E12BD"/>
    <w:rsid w:val="009E1368"/>
    <w:rsid w:val="009E1699"/>
    <w:rsid w:val="009E281B"/>
    <w:rsid w:val="009E295E"/>
    <w:rsid w:val="009E33AB"/>
    <w:rsid w:val="009E50A8"/>
    <w:rsid w:val="009E5363"/>
    <w:rsid w:val="009E62D5"/>
    <w:rsid w:val="009E63B4"/>
    <w:rsid w:val="009E6F21"/>
    <w:rsid w:val="009E7214"/>
    <w:rsid w:val="009F06F2"/>
    <w:rsid w:val="009F11AF"/>
    <w:rsid w:val="009F496B"/>
    <w:rsid w:val="009F58F3"/>
    <w:rsid w:val="009F635E"/>
    <w:rsid w:val="009F67DA"/>
    <w:rsid w:val="009F6BE7"/>
    <w:rsid w:val="009F7F14"/>
    <w:rsid w:val="00A01807"/>
    <w:rsid w:val="00A01B5A"/>
    <w:rsid w:val="00A01DA5"/>
    <w:rsid w:val="00A029F6"/>
    <w:rsid w:val="00A02C5D"/>
    <w:rsid w:val="00A05011"/>
    <w:rsid w:val="00A0789A"/>
    <w:rsid w:val="00A07E63"/>
    <w:rsid w:val="00A10586"/>
    <w:rsid w:val="00A10607"/>
    <w:rsid w:val="00A122F0"/>
    <w:rsid w:val="00A12DC2"/>
    <w:rsid w:val="00A1307F"/>
    <w:rsid w:val="00A13763"/>
    <w:rsid w:val="00A13E9F"/>
    <w:rsid w:val="00A140D3"/>
    <w:rsid w:val="00A1446B"/>
    <w:rsid w:val="00A167F2"/>
    <w:rsid w:val="00A17372"/>
    <w:rsid w:val="00A17EFE"/>
    <w:rsid w:val="00A202BE"/>
    <w:rsid w:val="00A20C0D"/>
    <w:rsid w:val="00A20C78"/>
    <w:rsid w:val="00A20D46"/>
    <w:rsid w:val="00A217C8"/>
    <w:rsid w:val="00A21ED5"/>
    <w:rsid w:val="00A2312E"/>
    <w:rsid w:val="00A2407D"/>
    <w:rsid w:val="00A24323"/>
    <w:rsid w:val="00A2512C"/>
    <w:rsid w:val="00A2515B"/>
    <w:rsid w:val="00A2535D"/>
    <w:rsid w:val="00A2539E"/>
    <w:rsid w:val="00A2588E"/>
    <w:rsid w:val="00A26EDF"/>
    <w:rsid w:val="00A2787C"/>
    <w:rsid w:val="00A31D6C"/>
    <w:rsid w:val="00A326E5"/>
    <w:rsid w:val="00A339A0"/>
    <w:rsid w:val="00A33CB0"/>
    <w:rsid w:val="00A33DBE"/>
    <w:rsid w:val="00A34789"/>
    <w:rsid w:val="00A34974"/>
    <w:rsid w:val="00A35360"/>
    <w:rsid w:val="00A35568"/>
    <w:rsid w:val="00A36250"/>
    <w:rsid w:val="00A3630E"/>
    <w:rsid w:val="00A36E36"/>
    <w:rsid w:val="00A37459"/>
    <w:rsid w:val="00A37881"/>
    <w:rsid w:val="00A37BB8"/>
    <w:rsid w:val="00A37E96"/>
    <w:rsid w:val="00A401AA"/>
    <w:rsid w:val="00A40A89"/>
    <w:rsid w:val="00A41169"/>
    <w:rsid w:val="00A4161F"/>
    <w:rsid w:val="00A418A8"/>
    <w:rsid w:val="00A41FF8"/>
    <w:rsid w:val="00A424EF"/>
    <w:rsid w:val="00A42920"/>
    <w:rsid w:val="00A42D87"/>
    <w:rsid w:val="00A4380B"/>
    <w:rsid w:val="00A438B1"/>
    <w:rsid w:val="00A43FE3"/>
    <w:rsid w:val="00A4453B"/>
    <w:rsid w:val="00A44599"/>
    <w:rsid w:val="00A44BD3"/>
    <w:rsid w:val="00A4521D"/>
    <w:rsid w:val="00A45E65"/>
    <w:rsid w:val="00A46D6F"/>
    <w:rsid w:val="00A470FF"/>
    <w:rsid w:val="00A51ADE"/>
    <w:rsid w:val="00A51B6C"/>
    <w:rsid w:val="00A51F0A"/>
    <w:rsid w:val="00A52CAA"/>
    <w:rsid w:val="00A535CB"/>
    <w:rsid w:val="00A53A3A"/>
    <w:rsid w:val="00A54EF2"/>
    <w:rsid w:val="00A55179"/>
    <w:rsid w:val="00A55239"/>
    <w:rsid w:val="00A55D48"/>
    <w:rsid w:val="00A55D50"/>
    <w:rsid w:val="00A56AF2"/>
    <w:rsid w:val="00A570A1"/>
    <w:rsid w:val="00A5751A"/>
    <w:rsid w:val="00A57635"/>
    <w:rsid w:val="00A57753"/>
    <w:rsid w:val="00A57BEB"/>
    <w:rsid w:val="00A601F2"/>
    <w:rsid w:val="00A603BB"/>
    <w:rsid w:val="00A61673"/>
    <w:rsid w:val="00A62DEE"/>
    <w:rsid w:val="00A64926"/>
    <w:rsid w:val="00A64DFA"/>
    <w:rsid w:val="00A65859"/>
    <w:rsid w:val="00A65ACE"/>
    <w:rsid w:val="00A66304"/>
    <w:rsid w:val="00A665CF"/>
    <w:rsid w:val="00A667F3"/>
    <w:rsid w:val="00A6699A"/>
    <w:rsid w:val="00A67CA7"/>
    <w:rsid w:val="00A7001F"/>
    <w:rsid w:val="00A70627"/>
    <w:rsid w:val="00A707F8"/>
    <w:rsid w:val="00A70945"/>
    <w:rsid w:val="00A718F8"/>
    <w:rsid w:val="00A71F2E"/>
    <w:rsid w:val="00A722F3"/>
    <w:rsid w:val="00A725AF"/>
    <w:rsid w:val="00A727E6"/>
    <w:rsid w:val="00A7296C"/>
    <w:rsid w:val="00A729E3"/>
    <w:rsid w:val="00A73068"/>
    <w:rsid w:val="00A735CB"/>
    <w:rsid w:val="00A73989"/>
    <w:rsid w:val="00A740DF"/>
    <w:rsid w:val="00A74431"/>
    <w:rsid w:val="00A76373"/>
    <w:rsid w:val="00A76A10"/>
    <w:rsid w:val="00A7752F"/>
    <w:rsid w:val="00A775DC"/>
    <w:rsid w:val="00A80148"/>
    <w:rsid w:val="00A80B6B"/>
    <w:rsid w:val="00A818E5"/>
    <w:rsid w:val="00A8193A"/>
    <w:rsid w:val="00A81BAA"/>
    <w:rsid w:val="00A81C8C"/>
    <w:rsid w:val="00A822CD"/>
    <w:rsid w:val="00A8257B"/>
    <w:rsid w:val="00A826E2"/>
    <w:rsid w:val="00A82FAA"/>
    <w:rsid w:val="00A83FD7"/>
    <w:rsid w:val="00A8449E"/>
    <w:rsid w:val="00A84C3D"/>
    <w:rsid w:val="00A85C35"/>
    <w:rsid w:val="00A902B9"/>
    <w:rsid w:val="00A902F8"/>
    <w:rsid w:val="00A9077A"/>
    <w:rsid w:val="00A90912"/>
    <w:rsid w:val="00A90B10"/>
    <w:rsid w:val="00A911D4"/>
    <w:rsid w:val="00A9157E"/>
    <w:rsid w:val="00A92061"/>
    <w:rsid w:val="00A9237E"/>
    <w:rsid w:val="00A92F4D"/>
    <w:rsid w:val="00A92FE5"/>
    <w:rsid w:val="00A93D2A"/>
    <w:rsid w:val="00A94249"/>
    <w:rsid w:val="00A947E3"/>
    <w:rsid w:val="00A94BC9"/>
    <w:rsid w:val="00A9516D"/>
    <w:rsid w:val="00A959BC"/>
    <w:rsid w:val="00A95CDB"/>
    <w:rsid w:val="00A96E44"/>
    <w:rsid w:val="00A970B4"/>
    <w:rsid w:val="00AA22EC"/>
    <w:rsid w:val="00AA2EE2"/>
    <w:rsid w:val="00AA38FD"/>
    <w:rsid w:val="00AA3A14"/>
    <w:rsid w:val="00AA3C60"/>
    <w:rsid w:val="00AA47D5"/>
    <w:rsid w:val="00AA47E1"/>
    <w:rsid w:val="00AA489A"/>
    <w:rsid w:val="00AA4A5B"/>
    <w:rsid w:val="00AA4AC0"/>
    <w:rsid w:val="00AA4CA7"/>
    <w:rsid w:val="00AA5780"/>
    <w:rsid w:val="00AA60F5"/>
    <w:rsid w:val="00AA6C38"/>
    <w:rsid w:val="00AA7315"/>
    <w:rsid w:val="00AA78AC"/>
    <w:rsid w:val="00AB1AD4"/>
    <w:rsid w:val="00AB2189"/>
    <w:rsid w:val="00AB2B79"/>
    <w:rsid w:val="00AB2FF4"/>
    <w:rsid w:val="00AB3639"/>
    <w:rsid w:val="00AB3869"/>
    <w:rsid w:val="00AB4A0E"/>
    <w:rsid w:val="00AB4C1A"/>
    <w:rsid w:val="00AB4E47"/>
    <w:rsid w:val="00AB5DE8"/>
    <w:rsid w:val="00AB5F9C"/>
    <w:rsid w:val="00AC0038"/>
    <w:rsid w:val="00AC08B2"/>
    <w:rsid w:val="00AC0C8C"/>
    <w:rsid w:val="00AC1AD6"/>
    <w:rsid w:val="00AC41C3"/>
    <w:rsid w:val="00AC439A"/>
    <w:rsid w:val="00AC6E7C"/>
    <w:rsid w:val="00AC6E93"/>
    <w:rsid w:val="00AC7429"/>
    <w:rsid w:val="00AC7BA2"/>
    <w:rsid w:val="00AC7D26"/>
    <w:rsid w:val="00AD08C7"/>
    <w:rsid w:val="00AD64DF"/>
    <w:rsid w:val="00AD72A6"/>
    <w:rsid w:val="00AD7A37"/>
    <w:rsid w:val="00AE1025"/>
    <w:rsid w:val="00AE1987"/>
    <w:rsid w:val="00AE22C0"/>
    <w:rsid w:val="00AE297B"/>
    <w:rsid w:val="00AE3D6A"/>
    <w:rsid w:val="00AE3DFB"/>
    <w:rsid w:val="00AE3F03"/>
    <w:rsid w:val="00AE5960"/>
    <w:rsid w:val="00AE6063"/>
    <w:rsid w:val="00AE64F0"/>
    <w:rsid w:val="00AE719F"/>
    <w:rsid w:val="00AE7C50"/>
    <w:rsid w:val="00AF0465"/>
    <w:rsid w:val="00AF04D1"/>
    <w:rsid w:val="00AF1C4F"/>
    <w:rsid w:val="00AF23C8"/>
    <w:rsid w:val="00AF2549"/>
    <w:rsid w:val="00AF25B5"/>
    <w:rsid w:val="00AF25E5"/>
    <w:rsid w:val="00AF26D8"/>
    <w:rsid w:val="00AF2AE2"/>
    <w:rsid w:val="00AF3215"/>
    <w:rsid w:val="00AF3B7B"/>
    <w:rsid w:val="00AF45B1"/>
    <w:rsid w:val="00AF4A00"/>
    <w:rsid w:val="00AF530B"/>
    <w:rsid w:val="00AF5ACB"/>
    <w:rsid w:val="00AF6F72"/>
    <w:rsid w:val="00AF7C06"/>
    <w:rsid w:val="00AF7FAA"/>
    <w:rsid w:val="00B015F0"/>
    <w:rsid w:val="00B01E51"/>
    <w:rsid w:val="00B0249A"/>
    <w:rsid w:val="00B02950"/>
    <w:rsid w:val="00B03307"/>
    <w:rsid w:val="00B0377E"/>
    <w:rsid w:val="00B03954"/>
    <w:rsid w:val="00B04499"/>
    <w:rsid w:val="00B04EC5"/>
    <w:rsid w:val="00B04F40"/>
    <w:rsid w:val="00B05742"/>
    <w:rsid w:val="00B05DC8"/>
    <w:rsid w:val="00B07BA9"/>
    <w:rsid w:val="00B10055"/>
    <w:rsid w:val="00B10058"/>
    <w:rsid w:val="00B1046C"/>
    <w:rsid w:val="00B10E13"/>
    <w:rsid w:val="00B1141E"/>
    <w:rsid w:val="00B12465"/>
    <w:rsid w:val="00B1264D"/>
    <w:rsid w:val="00B1278B"/>
    <w:rsid w:val="00B12AF6"/>
    <w:rsid w:val="00B12B8F"/>
    <w:rsid w:val="00B1310D"/>
    <w:rsid w:val="00B137C9"/>
    <w:rsid w:val="00B13AA3"/>
    <w:rsid w:val="00B155E9"/>
    <w:rsid w:val="00B16CC9"/>
    <w:rsid w:val="00B16CE6"/>
    <w:rsid w:val="00B17295"/>
    <w:rsid w:val="00B17A89"/>
    <w:rsid w:val="00B17BF8"/>
    <w:rsid w:val="00B2045E"/>
    <w:rsid w:val="00B212FA"/>
    <w:rsid w:val="00B21415"/>
    <w:rsid w:val="00B215F5"/>
    <w:rsid w:val="00B2340E"/>
    <w:rsid w:val="00B27325"/>
    <w:rsid w:val="00B2739A"/>
    <w:rsid w:val="00B274AA"/>
    <w:rsid w:val="00B27716"/>
    <w:rsid w:val="00B27A54"/>
    <w:rsid w:val="00B27B1C"/>
    <w:rsid w:val="00B302E0"/>
    <w:rsid w:val="00B30783"/>
    <w:rsid w:val="00B30E0D"/>
    <w:rsid w:val="00B31776"/>
    <w:rsid w:val="00B31F80"/>
    <w:rsid w:val="00B32122"/>
    <w:rsid w:val="00B32A24"/>
    <w:rsid w:val="00B32E6D"/>
    <w:rsid w:val="00B330E8"/>
    <w:rsid w:val="00B33E9A"/>
    <w:rsid w:val="00B34365"/>
    <w:rsid w:val="00B34636"/>
    <w:rsid w:val="00B34C42"/>
    <w:rsid w:val="00B35FCD"/>
    <w:rsid w:val="00B378D8"/>
    <w:rsid w:val="00B40A76"/>
    <w:rsid w:val="00B418A8"/>
    <w:rsid w:val="00B41F0F"/>
    <w:rsid w:val="00B424EB"/>
    <w:rsid w:val="00B42560"/>
    <w:rsid w:val="00B4301E"/>
    <w:rsid w:val="00B43D81"/>
    <w:rsid w:val="00B4428A"/>
    <w:rsid w:val="00B44A5E"/>
    <w:rsid w:val="00B45392"/>
    <w:rsid w:val="00B455AA"/>
    <w:rsid w:val="00B45778"/>
    <w:rsid w:val="00B457A1"/>
    <w:rsid w:val="00B45E15"/>
    <w:rsid w:val="00B4630F"/>
    <w:rsid w:val="00B46445"/>
    <w:rsid w:val="00B464B1"/>
    <w:rsid w:val="00B46698"/>
    <w:rsid w:val="00B475AC"/>
    <w:rsid w:val="00B47A4A"/>
    <w:rsid w:val="00B47B99"/>
    <w:rsid w:val="00B504EF"/>
    <w:rsid w:val="00B506F2"/>
    <w:rsid w:val="00B510E3"/>
    <w:rsid w:val="00B521AC"/>
    <w:rsid w:val="00B52702"/>
    <w:rsid w:val="00B5292C"/>
    <w:rsid w:val="00B5356A"/>
    <w:rsid w:val="00B54747"/>
    <w:rsid w:val="00B5498D"/>
    <w:rsid w:val="00B55005"/>
    <w:rsid w:val="00B5501D"/>
    <w:rsid w:val="00B55AA7"/>
    <w:rsid w:val="00B56D4A"/>
    <w:rsid w:val="00B56E4C"/>
    <w:rsid w:val="00B57C0D"/>
    <w:rsid w:val="00B60286"/>
    <w:rsid w:val="00B602A1"/>
    <w:rsid w:val="00B60529"/>
    <w:rsid w:val="00B6151E"/>
    <w:rsid w:val="00B61D5D"/>
    <w:rsid w:val="00B6405F"/>
    <w:rsid w:val="00B64962"/>
    <w:rsid w:val="00B65C3C"/>
    <w:rsid w:val="00B66E08"/>
    <w:rsid w:val="00B676EC"/>
    <w:rsid w:val="00B678A1"/>
    <w:rsid w:val="00B67C4B"/>
    <w:rsid w:val="00B7006D"/>
    <w:rsid w:val="00B7016C"/>
    <w:rsid w:val="00B7039B"/>
    <w:rsid w:val="00B70EB2"/>
    <w:rsid w:val="00B718C1"/>
    <w:rsid w:val="00B72183"/>
    <w:rsid w:val="00B72BF5"/>
    <w:rsid w:val="00B72CBE"/>
    <w:rsid w:val="00B7382D"/>
    <w:rsid w:val="00B739AF"/>
    <w:rsid w:val="00B74A47"/>
    <w:rsid w:val="00B74BC9"/>
    <w:rsid w:val="00B74D1E"/>
    <w:rsid w:val="00B752B9"/>
    <w:rsid w:val="00B7544A"/>
    <w:rsid w:val="00B756BB"/>
    <w:rsid w:val="00B76A18"/>
    <w:rsid w:val="00B773FB"/>
    <w:rsid w:val="00B7764B"/>
    <w:rsid w:val="00B7778F"/>
    <w:rsid w:val="00B77BFE"/>
    <w:rsid w:val="00B81D33"/>
    <w:rsid w:val="00B821B3"/>
    <w:rsid w:val="00B82AEE"/>
    <w:rsid w:val="00B83315"/>
    <w:rsid w:val="00B838E6"/>
    <w:rsid w:val="00B84610"/>
    <w:rsid w:val="00B84C6C"/>
    <w:rsid w:val="00B85298"/>
    <w:rsid w:val="00B85596"/>
    <w:rsid w:val="00B877DD"/>
    <w:rsid w:val="00B90E77"/>
    <w:rsid w:val="00B92687"/>
    <w:rsid w:val="00B92C9C"/>
    <w:rsid w:val="00B94248"/>
    <w:rsid w:val="00B942A1"/>
    <w:rsid w:val="00B94B4F"/>
    <w:rsid w:val="00B96345"/>
    <w:rsid w:val="00B976F6"/>
    <w:rsid w:val="00BA0B5A"/>
    <w:rsid w:val="00BA0EFB"/>
    <w:rsid w:val="00BA26DD"/>
    <w:rsid w:val="00BA31FA"/>
    <w:rsid w:val="00BA49A7"/>
    <w:rsid w:val="00BA51A8"/>
    <w:rsid w:val="00BA5F41"/>
    <w:rsid w:val="00BA6687"/>
    <w:rsid w:val="00BA7142"/>
    <w:rsid w:val="00BA7155"/>
    <w:rsid w:val="00BA71D9"/>
    <w:rsid w:val="00BA7385"/>
    <w:rsid w:val="00BB1031"/>
    <w:rsid w:val="00BB187C"/>
    <w:rsid w:val="00BB1E28"/>
    <w:rsid w:val="00BB2412"/>
    <w:rsid w:val="00BB296B"/>
    <w:rsid w:val="00BB3622"/>
    <w:rsid w:val="00BB38D2"/>
    <w:rsid w:val="00BB3A0D"/>
    <w:rsid w:val="00BB3BBA"/>
    <w:rsid w:val="00BB4941"/>
    <w:rsid w:val="00BB4EB6"/>
    <w:rsid w:val="00BB682C"/>
    <w:rsid w:val="00BB6A02"/>
    <w:rsid w:val="00BB6ACD"/>
    <w:rsid w:val="00BB7C14"/>
    <w:rsid w:val="00BB7CA9"/>
    <w:rsid w:val="00BC1422"/>
    <w:rsid w:val="00BC1D19"/>
    <w:rsid w:val="00BC236B"/>
    <w:rsid w:val="00BC2BB4"/>
    <w:rsid w:val="00BC3D66"/>
    <w:rsid w:val="00BC43A9"/>
    <w:rsid w:val="00BC5469"/>
    <w:rsid w:val="00BC61D6"/>
    <w:rsid w:val="00BC6339"/>
    <w:rsid w:val="00BC65D9"/>
    <w:rsid w:val="00BC68D2"/>
    <w:rsid w:val="00BC768A"/>
    <w:rsid w:val="00BC7C52"/>
    <w:rsid w:val="00BD0C92"/>
    <w:rsid w:val="00BD0CF6"/>
    <w:rsid w:val="00BD1471"/>
    <w:rsid w:val="00BD14C5"/>
    <w:rsid w:val="00BD196A"/>
    <w:rsid w:val="00BD1B1A"/>
    <w:rsid w:val="00BD1F8F"/>
    <w:rsid w:val="00BD2081"/>
    <w:rsid w:val="00BD228D"/>
    <w:rsid w:val="00BD2311"/>
    <w:rsid w:val="00BD31E6"/>
    <w:rsid w:val="00BD36FB"/>
    <w:rsid w:val="00BD4330"/>
    <w:rsid w:val="00BD48E4"/>
    <w:rsid w:val="00BD48F9"/>
    <w:rsid w:val="00BD4BE3"/>
    <w:rsid w:val="00BD6261"/>
    <w:rsid w:val="00BD6262"/>
    <w:rsid w:val="00BD77E2"/>
    <w:rsid w:val="00BD7DA7"/>
    <w:rsid w:val="00BD7E6A"/>
    <w:rsid w:val="00BE028E"/>
    <w:rsid w:val="00BE2DD4"/>
    <w:rsid w:val="00BE3843"/>
    <w:rsid w:val="00BE3EBD"/>
    <w:rsid w:val="00BE49B1"/>
    <w:rsid w:val="00BE4C48"/>
    <w:rsid w:val="00BE5A69"/>
    <w:rsid w:val="00BE61C1"/>
    <w:rsid w:val="00BE623D"/>
    <w:rsid w:val="00BE64AF"/>
    <w:rsid w:val="00BE6717"/>
    <w:rsid w:val="00BF0381"/>
    <w:rsid w:val="00BF19E6"/>
    <w:rsid w:val="00BF22C2"/>
    <w:rsid w:val="00BF3BFD"/>
    <w:rsid w:val="00BF3D18"/>
    <w:rsid w:val="00BF3D5A"/>
    <w:rsid w:val="00BF5E8F"/>
    <w:rsid w:val="00BF617A"/>
    <w:rsid w:val="00BF63B1"/>
    <w:rsid w:val="00BF6BC0"/>
    <w:rsid w:val="00BF6D82"/>
    <w:rsid w:val="00BF6E7B"/>
    <w:rsid w:val="00BF76E6"/>
    <w:rsid w:val="00BF7769"/>
    <w:rsid w:val="00C0009D"/>
    <w:rsid w:val="00C005C8"/>
    <w:rsid w:val="00C005F4"/>
    <w:rsid w:val="00C01021"/>
    <w:rsid w:val="00C0141F"/>
    <w:rsid w:val="00C016AD"/>
    <w:rsid w:val="00C01B9A"/>
    <w:rsid w:val="00C03536"/>
    <w:rsid w:val="00C03871"/>
    <w:rsid w:val="00C04443"/>
    <w:rsid w:val="00C048AF"/>
    <w:rsid w:val="00C04C7B"/>
    <w:rsid w:val="00C05DBB"/>
    <w:rsid w:val="00C077E0"/>
    <w:rsid w:val="00C07DE6"/>
    <w:rsid w:val="00C1077F"/>
    <w:rsid w:val="00C10C20"/>
    <w:rsid w:val="00C11F7A"/>
    <w:rsid w:val="00C11FAE"/>
    <w:rsid w:val="00C120EE"/>
    <w:rsid w:val="00C1241E"/>
    <w:rsid w:val="00C129C1"/>
    <w:rsid w:val="00C129EE"/>
    <w:rsid w:val="00C13B46"/>
    <w:rsid w:val="00C13DB8"/>
    <w:rsid w:val="00C14609"/>
    <w:rsid w:val="00C149C3"/>
    <w:rsid w:val="00C14FC7"/>
    <w:rsid w:val="00C15273"/>
    <w:rsid w:val="00C154B5"/>
    <w:rsid w:val="00C15F60"/>
    <w:rsid w:val="00C1621E"/>
    <w:rsid w:val="00C167CB"/>
    <w:rsid w:val="00C168B5"/>
    <w:rsid w:val="00C17872"/>
    <w:rsid w:val="00C17C07"/>
    <w:rsid w:val="00C17E66"/>
    <w:rsid w:val="00C17EFC"/>
    <w:rsid w:val="00C17FE2"/>
    <w:rsid w:val="00C205E9"/>
    <w:rsid w:val="00C20A70"/>
    <w:rsid w:val="00C20B89"/>
    <w:rsid w:val="00C212FC"/>
    <w:rsid w:val="00C2179C"/>
    <w:rsid w:val="00C218CD"/>
    <w:rsid w:val="00C2240C"/>
    <w:rsid w:val="00C23513"/>
    <w:rsid w:val="00C235C9"/>
    <w:rsid w:val="00C23F48"/>
    <w:rsid w:val="00C24648"/>
    <w:rsid w:val="00C25009"/>
    <w:rsid w:val="00C25165"/>
    <w:rsid w:val="00C253E5"/>
    <w:rsid w:val="00C262BD"/>
    <w:rsid w:val="00C27DAB"/>
    <w:rsid w:val="00C30401"/>
    <w:rsid w:val="00C310C2"/>
    <w:rsid w:val="00C31A3F"/>
    <w:rsid w:val="00C31E56"/>
    <w:rsid w:val="00C32051"/>
    <w:rsid w:val="00C327B6"/>
    <w:rsid w:val="00C32800"/>
    <w:rsid w:val="00C338B9"/>
    <w:rsid w:val="00C33B56"/>
    <w:rsid w:val="00C3412E"/>
    <w:rsid w:val="00C34C7D"/>
    <w:rsid w:val="00C35BA0"/>
    <w:rsid w:val="00C35D3F"/>
    <w:rsid w:val="00C36525"/>
    <w:rsid w:val="00C370F8"/>
    <w:rsid w:val="00C3785F"/>
    <w:rsid w:val="00C40AC9"/>
    <w:rsid w:val="00C40EB3"/>
    <w:rsid w:val="00C41A5E"/>
    <w:rsid w:val="00C41BD9"/>
    <w:rsid w:val="00C4293E"/>
    <w:rsid w:val="00C434FD"/>
    <w:rsid w:val="00C43FC0"/>
    <w:rsid w:val="00C44BF8"/>
    <w:rsid w:val="00C45000"/>
    <w:rsid w:val="00C46904"/>
    <w:rsid w:val="00C47580"/>
    <w:rsid w:val="00C47AB3"/>
    <w:rsid w:val="00C47AC7"/>
    <w:rsid w:val="00C47AF3"/>
    <w:rsid w:val="00C47CB1"/>
    <w:rsid w:val="00C50E78"/>
    <w:rsid w:val="00C5103A"/>
    <w:rsid w:val="00C5192E"/>
    <w:rsid w:val="00C519D6"/>
    <w:rsid w:val="00C51C19"/>
    <w:rsid w:val="00C5221B"/>
    <w:rsid w:val="00C525B2"/>
    <w:rsid w:val="00C52DE6"/>
    <w:rsid w:val="00C53030"/>
    <w:rsid w:val="00C53E2E"/>
    <w:rsid w:val="00C53FCA"/>
    <w:rsid w:val="00C561EA"/>
    <w:rsid w:val="00C56263"/>
    <w:rsid w:val="00C57ACD"/>
    <w:rsid w:val="00C6016B"/>
    <w:rsid w:val="00C61379"/>
    <w:rsid w:val="00C62B6C"/>
    <w:rsid w:val="00C634A7"/>
    <w:rsid w:val="00C638D7"/>
    <w:rsid w:val="00C638DF"/>
    <w:rsid w:val="00C646F4"/>
    <w:rsid w:val="00C64720"/>
    <w:rsid w:val="00C6517F"/>
    <w:rsid w:val="00C6523B"/>
    <w:rsid w:val="00C65701"/>
    <w:rsid w:val="00C65968"/>
    <w:rsid w:val="00C66F42"/>
    <w:rsid w:val="00C67243"/>
    <w:rsid w:val="00C674BC"/>
    <w:rsid w:val="00C6780B"/>
    <w:rsid w:val="00C678B6"/>
    <w:rsid w:val="00C67BA6"/>
    <w:rsid w:val="00C703E9"/>
    <w:rsid w:val="00C705C3"/>
    <w:rsid w:val="00C7071B"/>
    <w:rsid w:val="00C709FC"/>
    <w:rsid w:val="00C70DA3"/>
    <w:rsid w:val="00C71920"/>
    <w:rsid w:val="00C7269D"/>
    <w:rsid w:val="00C726BA"/>
    <w:rsid w:val="00C72A63"/>
    <w:rsid w:val="00C73667"/>
    <w:rsid w:val="00C7408D"/>
    <w:rsid w:val="00C742A1"/>
    <w:rsid w:val="00C76737"/>
    <w:rsid w:val="00C8002D"/>
    <w:rsid w:val="00C80AE4"/>
    <w:rsid w:val="00C80B7D"/>
    <w:rsid w:val="00C81B3E"/>
    <w:rsid w:val="00C8232A"/>
    <w:rsid w:val="00C834D4"/>
    <w:rsid w:val="00C847CE"/>
    <w:rsid w:val="00C848FE"/>
    <w:rsid w:val="00C85109"/>
    <w:rsid w:val="00C857F1"/>
    <w:rsid w:val="00C85BAB"/>
    <w:rsid w:val="00C860A3"/>
    <w:rsid w:val="00C871C4"/>
    <w:rsid w:val="00C875F2"/>
    <w:rsid w:val="00C902C8"/>
    <w:rsid w:val="00C9077E"/>
    <w:rsid w:val="00C909AE"/>
    <w:rsid w:val="00C90A28"/>
    <w:rsid w:val="00C9146B"/>
    <w:rsid w:val="00C91B05"/>
    <w:rsid w:val="00C92030"/>
    <w:rsid w:val="00C92EA0"/>
    <w:rsid w:val="00C92F37"/>
    <w:rsid w:val="00C93CDA"/>
    <w:rsid w:val="00C93E9D"/>
    <w:rsid w:val="00C9443A"/>
    <w:rsid w:val="00C94990"/>
    <w:rsid w:val="00C974B9"/>
    <w:rsid w:val="00CA1130"/>
    <w:rsid w:val="00CA2BAB"/>
    <w:rsid w:val="00CA2F34"/>
    <w:rsid w:val="00CA302A"/>
    <w:rsid w:val="00CA3809"/>
    <w:rsid w:val="00CA415F"/>
    <w:rsid w:val="00CA473A"/>
    <w:rsid w:val="00CA4C26"/>
    <w:rsid w:val="00CA4DE5"/>
    <w:rsid w:val="00CA4F9E"/>
    <w:rsid w:val="00CA5EA7"/>
    <w:rsid w:val="00CB026C"/>
    <w:rsid w:val="00CB1119"/>
    <w:rsid w:val="00CB18D8"/>
    <w:rsid w:val="00CB2C14"/>
    <w:rsid w:val="00CB2CB4"/>
    <w:rsid w:val="00CB2F8E"/>
    <w:rsid w:val="00CB3026"/>
    <w:rsid w:val="00CB404C"/>
    <w:rsid w:val="00CB4B3E"/>
    <w:rsid w:val="00CB58A4"/>
    <w:rsid w:val="00CB5A49"/>
    <w:rsid w:val="00CB5A4B"/>
    <w:rsid w:val="00CB5C15"/>
    <w:rsid w:val="00CB678B"/>
    <w:rsid w:val="00CB69EC"/>
    <w:rsid w:val="00CB6B19"/>
    <w:rsid w:val="00CB6B84"/>
    <w:rsid w:val="00CB779A"/>
    <w:rsid w:val="00CB7893"/>
    <w:rsid w:val="00CB7F14"/>
    <w:rsid w:val="00CC1228"/>
    <w:rsid w:val="00CC1594"/>
    <w:rsid w:val="00CC1A21"/>
    <w:rsid w:val="00CC3279"/>
    <w:rsid w:val="00CC39FF"/>
    <w:rsid w:val="00CC499E"/>
    <w:rsid w:val="00CC4DCD"/>
    <w:rsid w:val="00CC58F9"/>
    <w:rsid w:val="00CC615D"/>
    <w:rsid w:val="00CC66DE"/>
    <w:rsid w:val="00CC7C0C"/>
    <w:rsid w:val="00CD0D86"/>
    <w:rsid w:val="00CD1417"/>
    <w:rsid w:val="00CD199B"/>
    <w:rsid w:val="00CD385F"/>
    <w:rsid w:val="00CD3930"/>
    <w:rsid w:val="00CD3FEC"/>
    <w:rsid w:val="00CD4CDB"/>
    <w:rsid w:val="00CD4E92"/>
    <w:rsid w:val="00CD59FF"/>
    <w:rsid w:val="00CD5A04"/>
    <w:rsid w:val="00CD5BFC"/>
    <w:rsid w:val="00CD62CB"/>
    <w:rsid w:val="00CD75E3"/>
    <w:rsid w:val="00CD7C87"/>
    <w:rsid w:val="00CE055F"/>
    <w:rsid w:val="00CE0A09"/>
    <w:rsid w:val="00CE0DAB"/>
    <w:rsid w:val="00CE2286"/>
    <w:rsid w:val="00CE2627"/>
    <w:rsid w:val="00CE2986"/>
    <w:rsid w:val="00CE2EB2"/>
    <w:rsid w:val="00CE525D"/>
    <w:rsid w:val="00CE5C99"/>
    <w:rsid w:val="00CE6624"/>
    <w:rsid w:val="00CF09D1"/>
    <w:rsid w:val="00CF0DCC"/>
    <w:rsid w:val="00CF1609"/>
    <w:rsid w:val="00CF1AD9"/>
    <w:rsid w:val="00CF2336"/>
    <w:rsid w:val="00CF23EE"/>
    <w:rsid w:val="00CF24E3"/>
    <w:rsid w:val="00CF4AED"/>
    <w:rsid w:val="00CF61EE"/>
    <w:rsid w:val="00CF67B9"/>
    <w:rsid w:val="00CF7ACB"/>
    <w:rsid w:val="00CF7DAC"/>
    <w:rsid w:val="00D00890"/>
    <w:rsid w:val="00D009AD"/>
    <w:rsid w:val="00D02933"/>
    <w:rsid w:val="00D0339E"/>
    <w:rsid w:val="00D05C33"/>
    <w:rsid w:val="00D063B0"/>
    <w:rsid w:val="00D06F6F"/>
    <w:rsid w:val="00D07649"/>
    <w:rsid w:val="00D07EF1"/>
    <w:rsid w:val="00D10058"/>
    <w:rsid w:val="00D10B9C"/>
    <w:rsid w:val="00D10EA2"/>
    <w:rsid w:val="00D11357"/>
    <w:rsid w:val="00D118CC"/>
    <w:rsid w:val="00D12331"/>
    <w:rsid w:val="00D126F7"/>
    <w:rsid w:val="00D129F5"/>
    <w:rsid w:val="00D12ED9"/>
    <w:rsid w:val="00D12F9C"/>
    <w:rsid w:val="00D141DD"/>
    <w:rsid w:val="00D14309"/>
    <w:rsid w:val="00D14364"/>
    <w:rsid w:val="00D1494A"/>
    <w:rsid w:val="00D1624B"/>
    <w:rsid w:val="00D175D7"/>
    <w:rsid w:val="00D17A12"/>
    <w:rsid w:val="00D17D55"/>
    <w:rsid w:val="00D17D89"/>
    <w:rsid w:val="00D21887"/>
    <w:rsid w:val="00D21998"/>
    <w:rsid w:val="00D234B8"/>
    <w:rsid w:val="00D2395B"/>
    <w:rsid w:val="00D23C72"/>
    <w:rsid w:val="00D265EF"/>
    <w:rsid w:val="00D266DE"/>
    <w:rsid w:val="00D27083"/>
    <w:rsid w:val="00D31689"/>
    <w:rsid w:val="00D32FA5"/>
    <w:rsid w:val="00D34FE6"/>
    <w:rsid w:val="00D355E8"/>
    <w:rsid w:val="00D35EA4"/>
    <w:rsid w:val="00D36569"/>
    <w:rsid w:val="00D370D8"/>
    <w:rsid w:val="00D41553"/>
    <w:rsid w:val="00D429B6"/>
    <w:rsid w:val="00D42F73"/>
    <w:rsid w:val="00D43260"/>
    <w:rsid w:val="00D43D82"/>
    <w:rsid w:val="00D43DD6"/>
    <w:rsid w:val="00D43DFA"/>
    <w:rsid w:val="00D440D4"/>
    <w:rsid w:val="00D449EC"/>
    <w:rsid w:val="00D45397"/>
    <w:rsid w:val="00D455CA"/>
    <w:rsid w:val="00D45C04"/>
    <w:rsid w:val="00D46077"/>
    <w:rsid w:val="00D46091"/>
    <w:rsid w:val="00D46092"/>
    <w:rsid w:val="00D46882"/>
    <w:rsid w:val="00D468DC"/>
    <w:rsid w:val="00D478E9"/>
    <w:rsid w:val="00D50FE7"/>
    <w:rsid w:val="00D51C2C"/>
    <w:rsid w:val="00D51DCE"/>
    <w:rsid w:val="00D53699"/>
    <w:rsid w:val="00D5380D"/>
    <w:rsid w:val="00D54D39"/>
    <w:rsid w:val="00D5581D"/>
    <w:rsid w:val="00D55A36"/>
    <w:rsid w:val="00D55FCC"/>
    <w:rsid w:val="00D5689A"/>
    <w:rsid w:val="00D56C37"/>
    <w:rsid w:val="00D57072"/>
    <w:rsid w:val="00D57A5E"/>
    <w:rsid w:val="00D57DE3"/>
    <w:rsid w:val="00D60A04"/>
    <w:rsid w:val="00D61249"/>
    <w:rsid w:val="00D61AE5"/>
    <w:rsid w:val="00D6250B"/>
    <w:rsid w:val="00D6276A"/>
    <w:rsid w:val="00D63C2F"/>
    <w:rsid w:val="00D64636"/>
    <w:rsid w:val="00D65A8A"/>
    <w:rsid w:val="00D66875"/>
    <w:rsid w:val="00D668E4"/>
    <w:rsid w:val="00D673A2"/>
    <w:rsid w:val="00D67466"/>
    <w:rsid w:val="00D702BA"/>
    <w:rsid w:val="00D7047B"/>
    <w:rsid w:val="00D70C08"/>
    <w:rsid w:val="00D71F6B"/>
    <w:rsid w:val="00D7256F"/>
    <w:rsid w:val="00D72882"/>
    <w:rsid w:val="00D729A9"/>
    <w:rsid w:val="00D7344B"/>
    <w:rsid w:val="00D7400F"/>
    <w:rsid w:val="00D741F4"/>
    <w:rsid w:val="00D74C5D"/>
    <w:rsid w:val="00D74FEC"/>
    <w:rsid w:val="00D7528C"/>
    <w:rsid w:val="00D75505"/>
    <w:rsid w:val="00D76695"/>
    <w:rsid w:val="00D77780"/>
    <w:rsid w:val="00D77DAB"/>
    <w:rsid w:val="00D77F9B"/>
    <w:rsid w:val="00D8028D"/>
    <w:rsid w:val="00D80E66"/>
    <w:rsid w:val="00D8228F"/>
    <w:rsid w:val="00D8309E"/>
    <w:rsid w:val="00D83591"/>
    <w:rsid w:val="00D83CB1"/>
    <w:rsid w:val="00D84216"/>
    <w:rsid w:val="00D84597"/>
    <w:rsid w:val="00D84620"/>
    <w:rsid w:val="00D85265"/>
    <w:rsid w:val="00D853C0"/>
    <w:rsid w:val="00D85822"/>
    <w:rsid w:val="00D86134"/>
    <w:rsid w:val="00D862DA"/>
    <w:rsid w:val="00D8640C"/>
    <w:rsid w:val="00D86456"/>
    <w:rsid w:val="00D870BD"/>
    <w:rsid w:val="00D87C2A"/>
    <w:rsid w:val="00D90E58"/>
    <w:rsid w:val="00D90ED8"/>
    <w:rsid w:val="00D91038"/>
    <w:rsid w:val="00D9374B"/>
    <w:rsid w:val="00D94E25"/>
    <w:rsid w:val="00D95485"/>
    <w:rsid w:val="00D95740"/>
    <w:rsid w:val="00D960AB"/>
    <w:rsid w:val="00D967DE"/>
    <w:rsid w:val="00D97EB7"/>
    <w:rsid w:val="00D97F77"/>
    <w:rsid w:val="00DA04CE"/>
    <w:rsid w:val="00DA0DD9"/>
    <w:rsid w:val="00DA1EB7"/>
    <w:rsid w:val="00DA200C"/>
    <w:rsid w:val="00DA2807"/>
    <w:rsid w:val="00DA346D"/>
    <w:rsid w:val="00DA372B"/>
    <w:rsid w:val="00DA3D7B"/>
    <w:rsid w:val="00DA4308"/>
    <w:rsid w:val="00DA4622"/>
    <w:rsid w:val="00DA57A2"/>
    <w:rsid w:val="00DA6721"/>
    <w:rsid w:val="00DA68E9"/>
    <w:rsid w:val="00DA7189"/>
    <w:rsid w:val="00DA7305"/>
    <w:rsid w:val="00DA7370"/>
    <w:rsid w:val="00DA75D4"/>
    <w:rsid w:val="00DB1190"/>
    <w:rsid w:val="00DB1622"/>
    <w:rsid w:val="00DB1699"/>
    <w:rsid w:val="00DB16D1"/>
    <w:rsid w:val="00DB4594"/>
    <w:rsid w:val="00DB4AA3"/>
    <w:rsid w:val="00DB54EC"/>
    <w:rsid w:val="00DB68BC"/>
    <w:rsid w:val="00DB68FF"/>
    <w:rsid w:val="00DB7031"/>
    <w:rsid w:val="00DB7230"/>
    <w:rsid w:val="00DC16D0"/>
    <w:rsid w:val="00DC3158"/>
    <w:rsid w:val="00DC3230"/>
    <w:rsid w:val="00DC32BA"/>
    <w:rsid w:val="00DC4A57"/>
    <w:rsid w:val="00DC5092"/>
    <w:rsid w:val="00DC59D1"/>
    <w:rsid w:val="00DC5D97"/>
    <w:rsid w:val="00DC5FD8"/>
    <w:rsid w:val="00DC6093"/>
    <w:rsid w:val="00DC72F8"/>
    <w:rsid w:val="00DC7320"/>
    <w:rsid w:val="00DC76D2"/>
    <w:rsid w:val="00DC7778"/>
    <w:rsid w:val="00DD03D1"/>
    <w:rsid w:val="00DD0E09"/>
    <w:rsid w:val="00DD10A6"/>
    <w:rsid w:val="00DD1A0C"/>
    <w:rsid w:val="00DD2D17"/>
    <w:rsid w:val="00DD2FAD"/>
    <w:rsid w:val="00DD3AD7"/>
    <w:rsid w:val="00DD51E1"/>
    <w:rsid w:val="00DD58B0"/>
    <w:rsid w:val="00DD5A34"/>
    <w:rsid w:val="00DD5DF4"/>
    <w:rsid w:val="00DD6537"/>
    <w:rsid w:val="00DD6667"/>
    <w:rsid w:val="00DD74A2"/>
    <w:rsid w:val="00DE0C35"/>
    <w:rsid w:val="00DE191D"/>
    <w:rsid w:val="00DE3269"/>
    <w:rsid w:val="00DE383B"/>
    <w:rsid w:val="00DE49BE"/>
    <w:rsid w:val="00DE4D7B"/>
    <w:rsid w:val="00DE5587"/>
    <w:rsid w:val="00DE6244"/>
    <w:rsid w:val="00DE6576"/>
    <w:rsid w:val="00DE663B"/>
    <w:rsid w:val="00DE69D7"/>
    <w:rsid w:val="00DE6CA3"/>
    <w:rsid w:val="00DF1AF2"/>
    <w:rsid w:val="00DF283C"/>
    <w:rsid w:val="00DF2DD9"/>
    <w:rsid w:val="00DF390B"/>
    <w:rsid w:val="00DF4614"/>
    <w:rsid w:val="00DF5ED6"/>
    <w:rsid w:val="00DF5F45"/>
    <w:rsid w:val="00DF644E"/>
    <w:rsid w:val="00DF6C5C"/>
    <w:rsid w:val="00DF6CF8"/>
    <w:rsid w:val="00DF6D10"/>
    <w:rsid w:val="00DF774E"/>
    <w:rsid w:val="00DF7B25"/>
    <w:rsid w:val="00E00088"/>
    <w:rsid w:val="00E005A8"/>
    <w:rsid w:val="00E00B67"/>
    <w:rsid w:val="00E00BB6"/>
    <w:rsid w:val="00E0257C"/>
    <w:rsid w:val="00E028FB"/>
    <w:rsid w:val="00E02CAD"/>
    <w:rsid w:val="00E02D4C"/>
    <w:rsid w:val="00E03388"/>
    <w:rsid w:val="00E040D5"/>
    <w:rsid w:val="00E04E01"/>
    <w:rsid w:val="00E05B82"/>
    <w:rsid w:val="00E06812"/>
    <w:rsid w:val="00E06E50"/>
    <w:rsid w:val="00E06F3D"/>
    <w:rsid w:val="00E07690"/>
    <w:rsid w:val="00E11005"/>
    <w:rsid w:val="00E11382"/>
    <w:rsid w:val="00E11BEF"/>
    <w:rsid w:val="00E12E20"/>
    <w:rsid w:val="00E12E52"/>
    <w:rsid w:val="00E135A1"/>
    <w:rsid w:val="00E13721"/>
    <w:rsid w:val="00E148B0"/>
    <w:rsid w:val="00E1496E"/>
    <w:rsid w:val="00E14B6A"/>
    <w:rsid w:val="00E16EF1"/>
    <w:rsid w:val="00E177A0"/>
    <w:rsid w:val="00E17F63"/>
    <w:rsid w:val="00E20C79"/>
    <w:rsid w:val="00E2198D"/>
    <w:rsid w:val="00E223DC"/>
    <w:rsid w:val="00E22921"/>
    <w:rsid w:val="00E22F46"/>
    <w:rsid w:val="00E231DF"/>
    <w:rsid w:val="00E25798"/>
    <w:rsid w:val="00E25F11"/>
    <w:rsid w:val="00E26555"/>
    <w:rsid w:val="00E26856"/>
    <w:rsid w:val="00E302F6"/>
    <w:rsid w:val="00E31613"/>
    <w:rsid w:val="00E3228C"/>
    <w:rsid w:val="00E33AE2"/>
    <w:rsid w:val="00E33C4E"/>
    <w:rsid w:val="00E33CE6"/>
    <w:rsid w:val="00E34CC2"/>
    <w:rsid w:val="00E35677"/>
    <w:rsid w:val="00E35C83"/>
    <w:rsid w:val="00E36AF2"/>
    <w:rsid w:val="00E36CE9"/>
    <w:rsid w:val="00E36EA9"/>
    <w:rsid w:val="00E40416"/>
    <w:rsid w:val="00E40E19"/>
    <w:rsid w:val="00E41C6F"/>
    <w:rsid w:val="00E43358"/>
    <w:rsid w:val="00E43780"/>
    <w:rsid w:val="00E43C06"/>
    <w:rsid w:val="00E449B1"/>
    <w:rsid w:val="00E449D4"/>
    <w:rsid w:val="00E45FF4"/>
    <w:rsid w:val="00E4609B"/>
    <w:rsid w:val="00E46797"/>
    <w:rsid w:val="00E46EAB"/>
    <w:rsid w:val="00E47B31"/>
    <w:rsid w:val="00E501F7"/>
    <w:rsid w:val="00E5082D"/>
    <w:rsid w:val="00E509C5"/>
    <w:rsid w:val="00E51A82"/>
    <w:rsid w:val="00E52A97"/>
    <w:rsid w:val="00E52AB5"/>
    <w:rsid w:val="00E5380E"/>
    <w:rsid w:val="00E5380F"/>
    <w:rsid w:val="00E54686"/>
    <w:rsid w:val="00E54853"/>
    <w:rsid w:val="00E55D76"/>
    <w:rsid w:val="00E56808"/>
    <w:rsid w:val="00E56833"/>
    <w:rsid w:val="00E56F2A"/>
    <w:rsid w:val="00E574A9"/>
    <w:rsid w:val="00E60D89"/>
    <w:rsid w:val="00E61355"/>
    <w:rsid w:val="00E613BC"/>
    <w:rsid w:val="00E61F1E"/>
    <w:rsid w:val="00E623EB"/>
    <w:rsid w:val="00E6260F"/>
    <w:rsid w:val="00E62D62"/>
    <w:rsid w:val="00E63265"/>
    <w:rsid w:val="00E63789"/>
    <w:rsid w:val="00E64C5B"/>
    <w:rsid w:val="00E64FB1"/>
    <w:rsid w:val="00E650CC"/>
    <w:rsid w:val="00E658F9"/>
    <w:rsid w:val="00E66861"/>
    <w:rsid w:val="00E66C1D"/>
    <w:rsid w:val="00E66E21"/>
    <w:rsid w:val="00E67063"/>
    <w:rsid w:val="00E67DD5"/>
    <w:rsid w:val="00E70F38"/>
    <w:rsid w:val="00E710FC"/>
    <w:rsid w:val="00E71356"/>
    <w:rsid w:val="00E71915"/>
    <w:rsid w:val="00E71E59"/>
    <w:rsid w:val="00E72596"/>
    <w:rsid w:val="00E72CDA"/>
    <w:rsid w:val="00E72EBD"/>
    <w:rsid w:val="00E7361E"/>
    <w:rsid w:val="00E73C18"/>
    <w:rsid w:val="00E74520"/>
    <w:rsid w:val="00E74E23"/>
    <w:rsid w:val="00E7548E"/>
    <w:rsid w:val="00E75B14"/>
    <w:rsid w:val="00E76A1F"/>
    <w:rsid w:val="00E76B29"/>
    <w:rsid w:val="00E76DDA"/>
    <w:rsid w:val="00E77C73"/>
    <w:rsid w:val="00E80916"/>
    <w:rsid w:val="00E80EC5"/>
    <w:rsid w:val="00E81797"/>
    <w:rsid w:val="00E81B8B"/>
    <w:rsid w:val="00E81D9D"/>
    <w:rsid w:val="00E81DBE"/>
    <w:rsid w:val="00E82619"/>
    <w:rsid w:val="00E832B4"/>
    <w:rsid w:val="00E837D6"/>
    <w:rsid w:val="00E840DF"/>
    <w:rsid w:val="00E8560F"/>
    <w:rsid w:val="00E85C69"/>
    <w:rsid w:val="00E85EA1"/>
    <w:rsid w:val="00E8674F"/>
    <w:rsid w:val="00E87315"/>
    <w:rsid w:val="00E8780A"/>
    <w:rsid w:val="00E87F58"/>
    <w:rsid w:val="00E90205"/>
    <w:rsid w:val="00E90B1A"/>
    <w:rsid w:val="00E91222"/>
    <w:rsid w:val="00E91416"/>
    <w:rsid w:val="00E93C10"/>
    <w:rsid w:val="00E93D72"/>
    <w:rsid w:val="00E957FC"/>
    <w:rsid w:val="00EA0289"/>
    <w:rsid w:val="00EA0E86"/>
    <w:rsid w:val="00EA1233"/>
    <w:rsid w:val="00EA30CC"/>
    <w:rsid w:val="00EA3624"/>
    <w:rsid w:val="00EA3632"/>
    <w:rsid w:val="00EA3FBF"/>
    <w:rsid w:val="00EA40CE"/>
    <w:rsid w:val="00EA47F8"/>
    <w:rsid w:val="00EA4B7B"/>
    <w:rsid w:val="00EA5644"/>
    <w:rsid w:val="00EA68C4"/>
    <w:rsid w:val="00EA6D2A"/>
    <w:rsid w:val="00EA7055"/>
    <w:rsid w:val="00EA74BF"/>
    <w:rsid w:val="00EA7A30"/>
    <w:rsid w:val="00EA7A62"/>
    <w:rsid w:val="00EB055A"/>
    <w:rsid w:val="00EB0B9D"/>
    <w:rsid w:val="00EB11D1"/>
    <w:rsid w:val="00EB181B"/>
    <w:rsid w:val="00EB1CA4"/>
    <w:rsid w:val="00EB2286"/>
    <w:rsid w:val="00EB2354"/>
    <w:rsid w:val="00EB2DEA"/>
    <w:rsid w:val="00EB2ECE"/>
    <w:rsid w:val="00EB3A80"/>
    <w:rsid w:val="00EB3E64"/>
    <w:rsid w:val="00EB3F17"/>
    <w:rsid w:val="00EB451B"/>
    <w:rsid w:val="00EB6AE4"/>
    <w:rsid w:val="00EB74CD"/>
    <w:rsid w:val="00EB7CB0"/>
    <w:rsid w:val="00EC0623"/>
    <w:rsid w:val="00EC0F6C"/>
    <w:rsid w:val="00EC1470"/>
    <w:rsid w:val="00EC2546"/>
    <w:rsid w:val="00EC2680"/>
    <w:rsid w:val="00EC2BC5"/>
    <w:rsid w:val="00EC341C"/>
    <w:rsid w:val="00EC3B18"/>
    <w:rsid w:val="00EC418F"/>
    <w:rsid w:val="00EC4D6F"/>
    <w:rsid w:val="00EC4E63"/>
    <w:rsid w:val="00EC5062"/>
    <w:rsid w:val="00EC6C41"/>
    <w:rsid w:val="00EC6DEB"/>
    <w:rsid w:val="00ED0224"/>
    <w:rsid w:val="00ED13CF"/>
    <w:rsid w:val="00ED162F"/>
    <w:rsid w:val="00ED1657"/>
    <w:rsid w:val="00ED19BC"/>
    <w:rsid w:val="00ED3861"/>
    <w:rsid w:val="00ED3E56"/>
    <w:rsid w:val="00ED556D"/>
    <w:rsid w:val="00ED5637"/>
    <w:rsid w:val="00ED6194"/>
    <w:rsid w:val="00ED649A"/>
    <w:rsid w:val="00ED6618"/>
    <w:rsid w:val="00ED6BF5"/>
    <w:rsid w:val="00ED739B"/>
    <w:rsid w:val="00ED77F9"/>
    <w:rsid w:val="00ED7E17"/>
    <w:rsid w:val="00EE0010"/>
    <w:rsid w:val="00EE016E"/>
    <w:rsid w:val="00EE14D8"/>
    <w:rsid w:val="00EE2A1B"/>
    <w:rsid w:val="00EE2EA3"/>
    <w:rsid w:val="00EE31BC"/>
    <w:rsid w:val="00EE4AE8"/>
    <w:rsid w:val="00EE4F5E"/>
    <w:rsid w:val="00EE50D7"/>
    <w:rsid w:val="00EE70A9"/>
    <w:rsid w:val="00EE71C9"/>
    <w:rsid w:val="00EE7E89"/>
    <w:rsid w:val="00EF0F8F"/>
    <w:rsid w:val="00EF1565"/>
    <w:rsid w:val="00EF1E26"/>
    <w:rsid w:val="00EF274E"/>
    <w:rsid w:val="00EF2E5F"/>
    <w:rsid w:val="00EF3384"/>
    <w:rsid w:val="00EF352D"/>
    <w:rsid w:val="00EF3CDC"/>
    <w:rsid w:val="00EF4694"/>
    <w:rsid w:val="00EF4807"/>
    <w:rsid w:val="00EF4AEE"/>
    <w:rsid w:val="00EF637A"/>
    <w:rsid w:val="00EF6E41"/>
    <w:rsid w:val="00EF703C"/>
    <w:rsid w:val="00F00387"/>
    <w:rsid w:val="00F02514"/>
    <w:rsid w:val="00F02A0C"/>
    <w:rsid w:val="00F03893"/>
    <w:rsid w:val="00F03F3B"/>
    <w:rsid w:val="00F04076"/>
    <w:rsid w:val="00F0460C"/>
    <w:rsid w:val="00F04844"/>
    <w:rsid w:val="00F05F4C"/>
    <w:rsid w:val="00F05F66"/>
    <w:rsid w:val="00F07468"/>
    <w:rsid w:val="00F074C8"/>
    <w:rsid w:val="00F07C3D"/>
    <w:rsid w:val="00F07CA2"/>
    <w:rsid w:val="00F1030A"/>
    <w:rsid w:val="00F10319"/>
    <w:rsid w:val="00F10563"/>
    <w:rsid w:val="00F1169A"/>
    <w:rsid w:val="00F11DDC"/>
    <w:rsid w:val="00F1302B"/>
    <w:rsid w:val="00F13F76"/>
    <w:rsid w:val="00F151AF"/>
    <w:rsid w:val="00F15FCC"/>
    <w:rsid w:val="00F17CDC"/>
    <w:rsid w:val="00F20DCF"/>
    <w:rsid w:val="00F21506"/>
    <w:rsid w:val="00F2176B"/>
    <w:rsid w:val="00F219DB"/>
    <w:rsid w:val="00F21D3E"/>
    <w:rsid w:val="00F22D82"/>
    <w:rsid w:val="00F23324"/>
    <w:rsid w:val="00F23A8E"/>
    <w:rsid w:val="00F23C86"/>
    <w:rsid w:val="00F240A7"/>
    <w:rsid w:val="00F24C40"/>
    <w:rsid w:val="00F24D1F"/>
    <w:rsid w:val="00F25FF2"/>
    <w:rsid w:val="00F26730"/>
    <w:rsid w:val="00F26D40"/>
    <w:rsid w:val="00F272C0"/>
    <w:rsid w:val="00F27775"/>
    <w:rsid w:val="00F277E9"/>
    <w:rsid w:val="00F30408"/>
    <w:rsid w:val="00F31012"/>
    <w:rsid w:val="00F31399"/>
    <w:rsid w:val="00F317EA"/>
    <w:rsid w:val="00F338F5"/>
    <w:rsid w:val="00F33E0C"/>
    <w:rsid w:val="00F33E4F"/>
    <w:rsid w:val="00F33FBB"/>
    <w:rsid w:val="00F340B6"/>
    <w:rsid w:val="00F35E13"/>
    <w:rsid w:val="00F361B7"/>
    <w:rsid w:val="00F36563"/>
    <w:rsid w:val="00F36BCD"/>
    <w:rsid w:val="00F40223"/>
    <w:rsid w:val="00F40728"/>
    <w:rsid w:val="00F4088E"/>
    <w:rsid w:val="00F40BAE"/>
    <w:rsid w:val="00F42328"/>
    <w:rsid w:val="00F4282A"/>
    <w:rsid w:val="00F442F4"/>
    <w:rsid w:val="00F44BEA"/>
    <w:rsid w:val="00F450A0"/>
    <w:rsid w:val="00F452B3"/>
    <w:rsid w:val="00F466C8"/>
    <w:rsid w:val="00F46F81"/>
    <w:rsid w:val="00F472AC"/>
    <w:rsid w:val="00F474E4"/>
    <w:rsid w:val="00F47610"/>
    <w:rsid w:val="00F47AA2"/>
    <w:rsid w:val="00F47C39"/>
    <w:rsid w:val="00F5058B"/>
    <w:rsid w:val="00F50669"/>
    <w:rsid w:val="00F51197"/>
    <w:rsid w:val="00F518FA"/>
    <w:rsid w:val="00F51D2A"/>
    <w:rsid w:val="00F52607"/>
    <w:rsid w:val="00F52F93"/>
    <w:rsid w:val="00F531ED"/>
    <w:rsid w:val="00F53A99"/>
    <w:rsid w:val="00F53B5F"/>
    <w:rsid w:val="00F54608"/>
    <w:rsid w:val="00F5461F"/>
    <w:rsid w:val="00F54973"/>
    <w:rsid w:val="00F5509F"/>
    <w:rsid w:val="00F552F2"/>
    <w:rsid w:val="00F55E52"/>
    <w:rsid w:val="00F5635C"/>
    <w:rsid w:val="00F563FD"/>
    <w:rsid w:val="00F5721B"/>
    <w:rsid w:val="00F5735E"/>
    <w:rsid w:val="00F57392"/>
    <w:rsid w:val="00F57418"/>
    <w:rsid w:val="00F57EF0"/>
    <w:rsid w:val="00F605B5"/>
    <w:rsid w:val="00F60E25"/>
    <w:rsid w:val="00F611AF"/>
    <w:rsid w:val="00F6130A"/>
    <w:rsid w:val="00F627E2"/>
    <w:rsid w:val="00F637D4"/>
    <w:rsid w:val="00F641BE"/>
    <w:rsid w:val="00F649AA"/>
    <w:rsid w:val="00F64A8B"/>
    <w:rsid w:val="00F64C98"/>
    <w:rsid w:val="00F66273"/>
    <w:rsid w:val="00F66DFC"/>
    <w:rsid w:val="00F6742B"/>
    <w:rsid w:val="00F67ACD"/>
    <w:rsid w:val="00F7115F"/>
    <w:rsid w:val="00F712F8"/>
    <w:rsid w:val="00F71520"/>
    <w:rsid w:val="00F722E9"/>
    <w:rsid w:val="00F734EE"/>
    <w:rsid w:val="00F73812"/>
    <w:rsid w:val="00F73C69"/>
    <w:rsid w:val="00F74283"/>
    <w:rsid w:val="00F74961"/>
    <w:rsid w:val="00F749CB"/>
    <w:rsid w:val="00F74E91"/>
    <w:rsid w:val="00F7590F"/>
    <w:rsid w:val="00F75A10"/>
    <w:rsid w:val="00F75FE2"/>
    <w:rsid w:val="00F772CC"/>
    <w:rsid w:val="00F7773E"/>
    <w:rsid w:val="00F80437"/>
    <w:rsid w:val="00F8150E"/>
    <w:rsid w:val="00F81676"/>
    <w:rsid w:val="00F8251E"/>
    <w:rsid w:val="00F82528"/>
    <w:rsid w:val="00F839AC"/>
    <w:rsid w:val="00F85095"/>
    <w:rsid w:val="00F8569E"/>
    <w:rsid w:val="00F85A14"/>
    <w:rsid w:val="00F87072"/>
    <w:rsid w:val="00F872AF"/>
    <w:rsid w:val="00F90EB0"/>
    <w:rsid w:val="00F913C6"/>
    <w:rsid w:val="00F917A3"/>
    <w:rsid w:val="00F91A0F"/>
    <w:rsid w:val="00F9286E"/>
    <w:rsid w:val="00F93672"/>
    <w:rsid w:val="00F93A47"/>
    <w:rsid w:val="00F93B87"/>
    <w:rsid w:val="00F94864"/>
    <w:rsid w:val="00F95066"/>
    <w:rsid w:val="00F95071"/>
    <w:rsid w:val="00F95147"/>
    <w:rsid w:val="00F95785"/>
    <w:rsid w:val="00F95BDD"/>
    <w:rsid w:val="00F95E11"/>
    <w:rsid w:val="00F9741D"/>
    <w:rsid w:val="00FA02EE"/>
    <w:rsid w:val="00FA0B60"/>
    <w:rsid w:val="00FA0D32"/>
    <w:rsid w:val="00FA1992"/>
    <w:rsid w:val="00FA2311"/>
    <w:rsid w:val="00FA284F"/>
    <w:rsid w:val="00FA33A6"/>
    <w:rsid w:val="00FA4202"/>
    <w:rsid w:val="00FA68ED"/>
    <w:rsid w:val="00FA7AA9"/>
    <w:rsid w:val="00FA7B80"/>
    <w:rsid w:val="00FA7C33"/>
    <w:rsid w:val="00FB0B18"/>
    <w:rsid w:val="00FB1D58"/>
    <w:rsid w:val="00FB2ACA"/>
    <w:rsid w:val="00FB31E0"/>
    <w:rsid w:val="00FB3A2B"/>
    <w:rsid w:val="00FB41BF"/>
    <w:rsid w:val="00FB50AB"/>
    <w:rsid w:val="00FB578C"/>
    <w:rsid w:val="00FB6076"/>
    <w:rsid w:val="00FB673E"/>
    <w:rsid w:val="00FB753B"/>
    <w:rsid w:val="00FC025E"/>
    <w:rsid w:val="00FC0A3F"/>
    <w:rsid w:val="00FC1A6E"/>
    <w:rsid w:val="00FC2455"/>
    <w:rsid w:val="00FC2507"/>
    <w:rsid w:val="00FC2A67"/>
    <w:rsid w:val="00FC323B"/>
    <w:rsid w:val="00FC32DE"/>
    <w:rsid w:val="00FC3301"/>
    <w:rsid w:val="00FC3D57"/>
    <w:rsid w:val="00FC3E09"/>
    <w:rsid w:val="00FC3EB4"/>
    <w:rsid w:val="00FC464E"/>
    <w:rsid w:val="00FC4CE9"/>
    <w:rsid w:val="00FC51B8"/>
    <w:rsid w:val="00FC5B48"/>
    <w:rsid w:val="00FC5FD1"/>
    <w:rsid w:val="00FC62FD"/>
    <w:rsid w:val="00FC6C2D"/>
    <w:rsid w:val="00FC6D80"/>
    <w:rsid w:val="00FC78E3"/>
    <w:rsid w:val="00FD0549"/>
    <w:rsid w:val="00FD056C"/>
    <w:rsid w:val="00FD0AE8"/>
    <w:rsid w:val="00FD16AB"/>
    <w:rsid w:val="00FD2520"/>
    <w:rsid w:val="00FD2E3A"/>
    <w:rsid w:val="00FD38DC"/>
    <w:rsid w:val="00FD3B07"/>
    <w:rsid w:val="00FD6457"/>
    <w:rsid w:val="00FD64A9"/>
    <w:rsid w:val="00FD6518"/>
    <w:rsid w:val="00FD691E"/>
    <w:rsid w:val="00FD6D4B"/>
    <w:rsid w:val="00FD6E48"/>
    <w:rsid w:val="00FD738E"/>
    <w:rsid w:val="00FD755E"/>
    <w:rsid w:val="00FD77CB"/>
    <w:rsid w:val="00FD7CD3"/>
    <w:rsid w:val="00FE0991"/>
    <w:rsid w:val="00FE2C81"/>
    <w:rsid w:val="00FE2E07"/>
    <w:rsid w:val="00FE3B76"/>
    <w:rsid w:val="00FE431D"/>
    <w:rsid w:val="00FE44C5"/>
    <w:rsid w:val="00FE4C9B"/>
    <w:rsid w:val="00FE56D3"/>
    <w:rsid w:val="00FE77EE"/>
    <w:rsid w:val="00FE7FD1"/>
    <w:rsid w:val="00FF0ABE"/>
    <w:rsid w:val="00FF0E96"/>
    <w:rsid w:val="00FF0F0D"/>
    <w:rsid w:val="00FF1021"/>
    <w:rsid w:val="00FF141F"/>
    <w:rsid w:val="00FF250A"/>
    <w:rsid w:val="00FF285C"/>
    <w:rsid w:val="00FF2ABF"/>
    <w:rsid w:val="00FF3B71"/>
    <w:rsid w:val="00FF3BEC"/>
    <w:rsid w:val="00FF406D"/>
    <w:rsid w:val="00FF52D9"/>
    <w:rsid w:val="00FF57F2"/>
    <w:rsid w:val="00FF5B11"/>
    <w:rsid w:val="00FF5CE3"/>
    <w:rsid w:val="00FF5F6C"/>
    <w:rsid w:val="00FF6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72F5B"/>
  <w15:docId w15:val="{7C8FD789-0C25-4420-98AA-618D9C97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C17C07"/>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C10C20"/>
    <w:rPr>
      <w:sz w:val="16"/>
      <w:szCs w:val="16"/>
    </w:rPr>
  </w:style>
  <w:style w:type="paragraph" w:styleId="CommentText">
    <w:name w:val="annotation text"/>
    <w:basedOn w:val="Normal"/>
    <w:link w:val="CommentTextChar"/>
    <w:uiPriority w:val="99"/>
    <w:unhideWhenUsed/>
    <w:locked/>
    <w:rsid w:val="00C10C20"/>
    <w:pPr>
      <w:spacing w:line="240" w:lineRule="auto"/>
    </w:pPr>
    <w:rPr>
      <w:sz w:val="20"/>
      <w:szCs w:val="20"/>
    </w:rPr>
  </w:style>
  <w:style w:type="character" w:customStyle="1" w:styleId="CommentTextChar">
    <w:name w:val="Comment Text Char"/>
    <w:basedOn w:val="DefaultParagraphFont"/>
    <w:link w:val="CommentText"/>
    <w:uiPriority w:val="99"/>
    <w:rsid w:val="00C10C20"/>
    <w:rPr>
      <w:sz w:val="20"/>
      <w:szCs w:val="20"/>
    </w:rPr>
  </w:style>
  <w:style w:type="paragraph" w:styleId="CommentSubject">
    <w:name w:val="annotation subject"/>
    <w:basedOn w:val="CommentText"/>
    <w:next w:val="CommentText"/>
    <w:link w:val="CommentSubjectChar"/>
    <w:uiPriority w:val="99"/>
    <w:semiHidden/>
    <w:unhideWhenUsed/>
    <w:locked/>
    <w:rsid w:val="00C10C20"/>
    <w:rPr>
      <w:b/>
      <w:bCs/>
    </w:rPr>
  </w:style>
  <w:style w:type="character" w:customStyle="1" w:styleId="CommentSubjectChar">
    <w:name w:val="Comment Subject Char"/>
    <w:basedOn w:val="CommentTextChar"/>
    <w:link w:val="CommentSubject"/>
    <w:uiPriority w:val="99"/>
    <w:semiHidden/>
    <w:rsid w:val="00C10C20"/>
    <w:rPr>
      <w:b/>
      <w:bCs/>
      <w:sz w:val="20"/>
      <w:szCs w:val="20"/>
    </w:rPr>
  </w:style>
  <w:style w:type="paragraph" w:styleId="EndnoteText">
    <w:name w:val="endnote text"/>
    <w:basedOn w:val="Normal"/>
    <w:link w:val="EndnoteTextChar"/>
    <w:uiPriority w:val="99"/>
    <w:semiHidden/>
    <w:unhideWhenUsed/>
    <w:locked/>
    <w:rsid w:val="00785818"/>
    <w:pPr>
      <w:spacing w:line="240" w:lineRule="auto"/>
    </w:pPr>
    <w:rPr>
      <w:sz w:val="20"/>
      <w:szCs w:val="20"/>
    </w:rPr>
  </w:style>
  <w:style w:type="character" w:customStyle="1" w:styleId="EndnoteTextChar">
    <w:name w:val="Endnote Text Char"/>
    <w:basedOn w:val="DefaultParagraphFont"/>
    <w:link w:val="EndnoteText"/>
    <w:uiPriority w:val="99"/>
    <w:semiHidden/>
    <w:rsid w:val="00785818"/>
    <w:rPr>
      <w:sz w:val="20"/>
      <w:szCs w:val="20"/>
    </w:rPr>
  </w:style>
  <w:style w:type="character" w:styleId="EndnoteReference">
    <w:name w:val="endnote reference"/>
    <w:basedOn w:val="DefaultParagraphFont"/>
    <w:uiPriority w:val="99"/>
    <w:semiHidden/>
    <w:unhideWhenUsed/>
    <w:locked/>
    <w:rsid w:val="00785818"/>
    <w:rPr>
      <w:vertAlign w:val="superscript"/>
    </w:rPr>
  </w:style>
  <w:style w:type="paragraph" w:styleId="Revision">
    <w:name w:val="Revision"/>
    <w:hidden/>
    <w:uiPriority w:val="99"/>
    <w:semiHidden/>
    <w:rsid w:val="00A339A0"/>
  </w:style>
  <w:style w:type="paragraph" w:customStyle="1" w:styleId="Default">
    <w:name w:val="Default"/>
    <w:rsid w:val="00881F89"/>
    <w:pPr>
      <w:autoSpaceDE w:val="0"/>
      <w:autoSpaceDN w:val="0"/>
      <w:adjustRightInd w:val="0"/>
    </w:pPr>
    <w:rPr>
      <w:rFonts w:ascii="Times New Roman" w:hAnsi="Times New Roman"/>
      <w:color w:val="000000"/>
      <w:sz w:val="24"/>
      <w:szCs w:val="24"/>
    </w:rPr>
  </w:style>
  <w:style w:type="character" w:customStyle="1" w:styleId="FootnoteTextChar">
    <w:name w:val="Footnote Text Char"/>
    <w:link w:val="FootnoteText"/>
    <w:uiPriority w:val="99"/>
    <w:rsid w:val="001171B1"/>
  </w:style>
  <w:style w:type="character" w:styleId="Hyperlink">
    <w:name w:val="Hyperlink"/>
    <w:basedOn w:val="DefaultParagraphFont"/>
    <w:uiPriority w:val="99"/>
    <w:semiHidden/>
    <w:unhideWhenUsed/>
    <w:locked/>
    <w:rsid w:val="00357618"/>
    <w:rPr>
      <w:color w:val="0000FF"/>
      <w:u w:val="single"/>
    </w:rPr>
  </w:style>
  <w:style w:type="character" w:customStyle="1" w:styleId="sup">
    <w:name w:val="sup"/>
    <w:basedOn w:val="DefaultParagraphFont"/>
    <w:rsid w:val="00357618"/>
  </w:style>
  <w:style w:type="character" w:customStyle="1" w:styleId="gwt-inlinelabel">
    <w:name w:val="gwt-inlinelabel"/>
    <w:basedOn w:val="DefaultParagraphFont"/>
    <w:rsid w:val="00357618"/>
  </w:style>
  <w:style w:type="character" w:customStyle="1" w:styleId="bnwrappedspan">
    <w:name w:val="bn_wrapped_span"/>
    <w:basedOn w:val="DefaultParagraphFont"/>
    <w:rsid w:val="00357618"/>
  </w:style>
  <w:style w:type="paragraph" w:customStyle="1" w:styleId="Body">
    <w:name w:val="Body"/>
    <w:basedOn w:val="Normal"/>
    <w:qFormat/>
    <w:rsid w:val="0059744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9744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9744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9744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9744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97444"/>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cbc5b7fd-636f-49ec-b8cc-eb8a3f2ba19e"/>
    <ds:schemaRef ds:uri="3cc3f26d-d9cc-46f3-89c7-f1482de8c8f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BEFD926-48A4-4C70-BE67-146203431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B6B4AB3-4C45-4987-97A3-97ABF37D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1</TotalTime>
  <Pages>53</Pages>
  <Words>14869</Words>
  <Characters>84754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High Court of Australia</Company>
  <LinksUpToDate>false</LinksUpToDate>
  <CharactersWithSpaces>99425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Watson</dc:creator>
  <cp:keywords/>
  <cp:lastModifiedBy>Johanna McGann</cp:lastModifiedBy>
  <cp:revision>2</cp:revision>
  <cp:lastPrinted>2021-08-27T09:47:00Z</cp:lastPrinted>
  <dcterms:created xsi:type="dcterms:W3CDTF">2021-11-08T01:06:00Z</dcterms:created>
  <dcterms:modified xsi:type="dcterms:W3CDTF">2021-11-08T01:06:00Z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