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5991E" w14:textId="77777777" w:rsidR="005A714E" w:rsidRPr="00704FF8" w:rsidRDefault="005A714E" w:rsidP="00704FF8">
      <w:pPr>
        <w:pStyle w:val="OrdersTopLine"/>
      </w:pPr>
      <w:bookmarkStart w:id="0" w:name="_GoBack"/>
      <w:bookmarkEnd w:id="0"/>
      <w:r w:rsidRPr="00704FF8">
        <w:t>HIGH COURT OF AUSTRALIA</w:t>
      </w:r>
    </w:p>
    <w:p w14:paraId="10B01321" w14:textId="77777777" w:rsidR="005A714E" w:rsidRPr="00704FF8" w:rsidRDefault="005A714E" w:rsidP="00704FF8">
      <w:pPr>
        <w:pStyle w:val="OrderCentre"/>
      </w:pPr>
    </w:p>
    <w:p w14:paraId="4DDA9CF3" w14:textId="77777777" w:rsidR="005A714E" w:rsidRPr="00704FF8" w:rsidRDefault="005A714E" w:rsidP="00704FF8">
      <w:pPr>
        <w:pStyle w:val="OrderCentre"/>
      </w:pPr>
      <w:r w:rsidRPr="00704FF8">
        <w:t>KIEFEL CJ</w:t>
      </w:r>
      <w:r>
        <w:t>,</w:t>
      </w:r>
    </w:p>
    <w:p w14:paraId="56C3E673" w14:textId="77777777" w:rsidR="005A714E" w:rsidRPr="00704FF8" w:rsidRDefault="005A714E" w:rsidP="00704FF8">
      <w:pPr>
        <w:pStyle w:val="OrderCentre"/>
      </w:pPr>
      <w:r w:rsidRPr="00704FF8">
        <w:t>GAGELER, GORDON</w:t>
      </w:r>
      <w:r>
        <w:t xml:space="preserve">, </w:t>
      </w:r>
      <w:r w:rsidRPr="004C496B">
        <w:t xml:space="preserve">STEWARD </w:t>
      </w:r>
      <w:r w:rsidRPr="00704FF8">
        <w:t xml:space="preserve">AND </w:t>
      </w:r>
      <w:r>
        <w:t xml:space="preserve">GLEESON </w:t>
      </w:r>
      <w:r w:rsidRPr="00704FF8">
        <w:t>JJ</w:t>
      </w:r>
    </w:p>
    <w:p w14:paraId="346CB141" w14:textId="77777777" w:rsidR="005A714E" w:rsidRPr="00427F3A" w:rsidRDefault="005A714E" w:rsidP="00EE5374">
      <w:pPr>
        <w:pStyle w:val="Centre"/>
        <w:rPr>
          <w:lang w:val="en-AU"/>
        </w:rPr>
      </w:pPr>
    </w:p>
    <w:p w14:paraId="48D8DE88" w14:textId="77777777" w:rsidR="005A714E" w:rsidRPr="00704FF8" w:rsidRDefault="005A714E" w:rsidP="00704FF8">
      <w:pPr>
        <w:pStyle w:val="OrdersCenteredBorder"/>
      </w:pPr>
    </w:p>
    <w:p w14:paraId="42DDF208" w14:textId="77777777" w:rsidR="005A714E" w:rsidRPr="00704FF8" w:rsidRDefault="005A714E" w:rsidP="0032341F">
      <w:pPr>
        <w:pStyle w:val="OrdersBodyHeading"/>
      </w:pPr>
    </w:p>
    <w:p w14:paraId="579AE297" w14:textId="77777777" w:rsidR="005A714E" w:rsidRDefault="005A714E" w:rsidP="00B05703">
      <w:pPr>
        <w:pStyle w:val="OrdersPartyName"/>
        <w:ind w:right="-1"/>
      </w:pPr>
      <w:r w:rsidRPr="00B05703">
        <w:t xml:space="preserve">PORT OF NEWCASTLE OPERATIONS PTY </w:t>
      </w:r>
    </w:p>
    <w:p w14:paraId="6BF391D8" w14:textId="77777777" w:rsidR="005A714E" w:rsidRPr="0032341F" w:rsidRDefault="005A714E" w:rsidP="00B05703">
      <w:pPr>
        <w:pStyle w:val="OrdersPartyName"/>
        <w:ind w:right="-1"/>
      </w:pPr>
      <w:r w:rsidRPr="00B05703">
        <w:t>LIMITED</w:t>
      </w:r>
      <w:r w:rsidRPr="0032341F">
        <w:tab/>
        <w:t>APPELLANT</w:t>
      </w:r>
    </w:p>
    <w:p w14:paraId="7A2F073F" w14:textId="77777777" w:rsidR="005A714E" w:rsidRPr="0032341F" w:rsidRDefault="005A714E" w:rsidP="00B05703">
      <w:pPr>
        <w:pStyle w:val="OrdersPartyName"/>
        <w:ind w:right="-1"/>
        <w:jc w:val="left"/>
      </w:pPr>
    </w:p>
    <w:p w14:paraId="7935FEC9" w14:textId="77777777" w:rsidR="005A714E" w:rsidRPr="0032341F" w:rsidRDefault="005A714E" w:rsidP="00B05703">
      <w:pPr>
        <w:pStyle w:val="OrdersPartyName"/>
        <w:ind w:right="-1"/>
        <w:jc w:val="left"/>
      </w:pPr>
      <w:r w:rsidRPr="0032341F">
        <w:t>AND</w:t>
      </w:r>
    </w:p>
    <w:p w14:paraId="277C4B73" w14:textId="77777777" w:rsidR="005A714E" w:rsidRPr="0032341F" w:rsidRDefault="005A714E" w:rsidP="00B05703">
      <w:pPr>
        <w:pStyle w:val="OrdersPartyName"/>
        <w:ind w:right="-1"/>
        <w:jc w:val="left"/>
      </w:pPr>
    </w:p>
    <w:p w14:paraId="666739F1" w14:textId="77777777" w:rsidR="005A714E" w:rsidRDefault="005A714E" w:rsidP="00B05703">
      <w:pPr>
        <w:pStyle w:val="OrdersPartyName"/>
        <w:ind w:right="-1"/>
        <w:jc w:val="left"/>
      </w:pPr>
      <w:r w:rsidRPr="00B05703">
        <w:t xml:space="preserve">GLENCORE COAL ASSETS AUSTRALIA </w:t>
      </w:r>
    </w:p>
    <w:p w14:paraId="2126B11D" w14:textId="77777777" w:rsidR="005A714E" w:rsidRPr="0032341F" w:rsidRDefault="005A714E" w:rsidP="00B05703">
      <w:pPr>
        <w:pStyle w:val="OrdersPartyName"/>
        <w:ind w:right="-1"/>
        <w:jc w:val="left"/>
      </w:pPr>
      <w:r w:rsidRPr="00B05703">
        <w:t>PTY LTD &amp; ORS</w:t>
      </w:r>
      <w:r w:rsidRPr="0032341F">
        <w:tab/>
        <w:t>RESPONDENT</w:t>
      </w:r>
      <w:r>
        <w:t>S</w:t>
      </w:r>
    </w:p>
    <w:p w14:paraId="646561DA" w14:textId="77777777" w:rsidR="005A714E" w:rsidRPr="00427F3A" w:rsidRDefault="005A714E" w:rsidP="00B05703">
      <w:pPr>
        <w:pStyle w:val="BodyHeading"/>
        <w:jc w:val="left"/>
      </w:pPr>
    </w:p>
    <w:p w14:paraId="2067CA81" w14:textId="77777777" w:rsidR="005A714E" w:rsidRPr="00427F3A" w:rsidRDefault="005A714E" w:rsidP="00BE0A6C">
      <w:pPr>
        <w:pStyle w:val="BodyHeading"/>
      </w:pPr>
    </w:p>
    <w:p w14:paraId="48D07654" w14:textId="77777777" w:rsidR="005A714E" w:rsidRPr="00427F3A" w:rsidRDefault="005A714E" w:rsidP="00EE5374">
      <w:pPr>
        <w:pStyle w:val="CentreItalics"/>
      </w:pPr>
      <w:r w:rsidRPr="00B05703">
        <w:t>Port of Newcastle Operations Pty Limited v Glencore Coal Assets</w:t>
      </w:r>
      <w:r>
        <w:t xml:space="preserve"> </w:t>
      </w:r>
      <w:r w:rsidRPr="00B05703">
        <w:t>Australia Pty Ltd</w:t>
      </w:r>
    </w:p>
    <w:p w14:paraId="00584897" w14:textId="77777777" w:rsidR="005A714E" w:rsidRPr="00427F3A" w:rsidRDefault="005A714E" w:rsidP="00E90E4F">
      <w:pPr>
        <w:pStyle w:val="OrdersCentre"/>
      </w:pPr>
      <w:r>
        <w:t>[2021</w:t>
      </w:r>
      <w:r w:rsidRPr="00427F3A">
        <w:t xml:space="preserve">] HCA </w:t>
      </w:r>
      <w:r>
        <w:t>39</w:t>
      </w:r>
    </w:p>
    <w:p w14:paraId="55E574B0" w14:textId="77777777" w:rsidR="005A714E" w:rsidRDefault="005A714E" w:rsidP="00E90E4F">
      <w:pPr>
        <w:pStyle w:val="OrdersCentreItalics"/>
      </w:pPr>
      <w:r>
        <w:t xml:space="preserve">Date of Hearing: </w:t>
      </w:r>
      <w:r w:rsidRPr="00DE57EF">
        <w:t>7 September 2021</w:t>
      </w:r>
    </w:p>
    <w:p w14:paraId="5EBA67BE" w14:textId="77777777" w:rsidR="005A714E" w:rsidRPr="00427F3A" w:rsidRDefault="005A714E" w:rsidP="00E90E4F">
      <w:pPr>
        <w:pStyle w:val="OrdersCentreItalics"/>
      </w:pPr>
      <w:r>
        <w:t>Date of Judgment: 8 December 2021</w:t>
      </w:r>
    </w:p>
    <w:p w14:paraId="302ACA27" w14:textId="77777777" w:rsidR="005A714E" w:rsidRDefault="005A714E" w:rsidP="00E90E4F">
      <w:pPr>
        <w:pStyle w:val="OrdersCentre"/>
      </w:pPr>
      <w:r w:rsidRPr="00B05703">
        <w:t>S33/2021</w:t>
      </w:r>
    </w:p>
    <w:p w14:paraId="749A03BF" w14:textId="77777777" w:rsidR="005A714E" w:rsidRPr="00427F3A" w:rsidRDefault="005A714E" w:rsidP="00E90E4F">
      <w:pPr>
        <w:pStyle w:val="OrdersCentre"/>
      </w:pPr>
    </w:p>
    <w:p w14:paraId="538E9E76" w14:textId="77777777" w:rsidR="005A714E" w:rsidRPr="00BE0A6C" w:rsidRDefault="005A714E" w:rsidP="00E90E4F">
      <w:pPr>
        <w:pStyle w:val="OrderCentreBold"/>
      </w:pPr>
      <w:r w:rsidRPr="00BE0A6C">
        <w:t>ORDER</w:t>
      </w:r>
    </w:p>
    <w:p w14:paraId="2161FA3F" w14:textId="77777777" w:rsidR="005A714E" w:rsidRPr="00427F3A" w:rsidRDefault="005A714E" w:rsidP="00736C52">
      <w:pPr>
        <w:pStyle w:val="Centre"/>
        <w:rPr>
          <w:lang w:val="en-AU"/>
        </w:rPr>
      </w:pPr>
    </w:p>
    <w:p w14:paraId="46CA1382" w14:textId="77777777" w:rsidR="005A714E" w:rsidRDefault="005A714E" w:rsidP="00145A34">
      <w:pPr>
        <w:pStyle w:val="OrdersText"/>
      </w:pPr>
      <w:r>
        <w:t xml:space="preserve">1. </w:t>
      </w:r>
      <w:r>
        <w:tab/>
        <w:t>Vary the orders of the Full Court of the Federal Court of Australia made on 24 August 2020 by inserting a new order 5: "The determination according to law by the Tribunal on remitter pursuant to order 1 be confined to redetermining the scope of the Navigation Service Charge."</w:t>
      </w:r>
    </w:p>
    <w:p w14:paraId="515B4D26" w14:textId="77777777" w:rsidR="005A714E" w:rsidRDefault="005A714E" w:rsidP="00145A34">
      <w:pPr>
        <w:pStyle w:val="OrdersText"/>
      </w:pPr>
    </w:p>
    <w:p w14:paraId="36AB8C5D" w14:textId="77777777" w:rsidR="005A714E" w:rsidRDefault="005A714E" w:rsidP="00145A34">
      <w:pPr>
        <w:pStyle w:val="OrdersText"/>
      </w:pPr>
      <w:r>
        <w:t>2.</w:t>
      </w:r>
      <w:r>
        <w:tab/>
        <w:t>Appeal otherwise dismissed.</w:t>
      </w:r>
    </w:p>
    <w:p w14:paraId="6E34924A" w14:textId="77777777" w:rsidR="005A714E" w:rsidRDefault="005A714E" w:rsidP="00EE5374">
      <w:pPr>
        <w:pStyle w:val="Body"/>
      </w:pPr>
    </w:p>
    <w:p w14:paraId="71DD1E29" w14:textId="77777777" w:rsidR="005A714E" w:rsidRPr="00427F3A" w:rsidRDefault="005A714E" w:rsidP="00EE5374">
      <w:pPr>
        <w:pStyle w:val="Body"/>
      </w:pPr>
    </w:p>
    <w:p w14:paraId="4ADAFFB5" w14:textId="77777777" w:rsidR="005A714E" w:rsidRPr="00427F3A" w:rsidRDefault="005A714E" w:rsidP="0032341F">
      <w:pPr>
        <w:pStyle w:val="OrdersBody"/>
      </w:pPr>
      <w:r w:rsidRPr="00427F3A">
        <w:t xml:space="preserve">On appeal from the </w:t>
      </w:r>
      <w:r w:rsidRPr="00DE57EF">
        <w:t>Federal Court of Australia</w:t>
      </w:r>
    </w:p>
    <w:p w14:paraId="4E90A37C" w14:textId="77777777" w:rsidR="005A714E" w:rsidRDefault="005A714E" w:rsidP="00EE5374">
      <w:pPr>
        <w:pStyle w:val="Body"/>
      </w:pPr>
    </w:p>
    <w:p w14:paraId="1DDCB8FF" w14:textId="77777777" w:rsidR="005A714E" w:rsidRPr="00427F3A" w:rsidRDefault="005A714E" w:rsidP="00EE5374">
      <w:pPr>
        <w:pStyle w:val="Body"/>
      </w:pPr>
    </w:p>
    <w:p w14:paraId="37B1C629" w14:textId="77777777" w:rsidR="005A714E" w:rsidRPr="00427F3A" w:rsidRDefault="005A714E" w:rsidP="00E90E4F">
      <w:pPr>
        <w:pStyle w:val="OrdersBodyHeading"/>
      </w:pPr>
      <w:r w:rsidRPr="00427F3A">
        <w:t>Representation</w:t>
      </w:r>
    </w:p>
    <w:p w14:paraId="3A0BDD39" w14:textId="77777777" w:rsidR="005A714E" w:rsidRDefault="005A714E" w:rsidP="00EE5374">
      <w:pPr>
        <w:pStyle w:val="Body"/>
      </w:pPr>
    </w:p>
    <w:p w14:paraId="7432B4BC" w14:textId="77777777" w:rsidR="005A714E" w:rsidRPr="009E3457" w:rsidRDefault="005A714E" w:rsidP="00E90E4F">
      <w:pPr>
        <w:pStyle w:val="OrdersBody"/>
      </w:pPr>
      <w:r w:rsidRPr="009E3457">
        <w:t>C A Moore SC with D J Roche for the appellant (instructed by Clayton Utz)</w:t>
      </w:r>
    </w:p>
    <w:p w14:paraId="584C991D" w14:textId="77777777" w:rsidR="005A714E" w:rsidRPr="009E3457" w:rsidRDefault="005A714E" w:rsidP="001B3C97">
      <w:pPr>
        <w:pStyle w:val="Body"/>
      </w:pPr>
    </w:p>
    <w:p w14:paraId="2A787F8E" w14:textId="77777777" w:rsidR="005A714E" w:rsidRDefault="005A714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1238CFC7" w14:textId="77777777" w:rsidR="005A714E" w:rsidRDefault="005A714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0D9AE174" w14:textId="6BC22600" w:rsidR="005A714E" w:rsidRPr="009E3457" w:rsidRDefault="005A714E" w:rsidP="00E90E4F">
      <w:pPr>
        <w:pStyle w:val="OrdersBody"/>
      </w:pPr>
      <w:r w:rsidRPr="009E3457">
        <w:lastRenderedPageBreak/>
        <w:t>N J Young QC with N P De Young QC and M P Costello for the first respondent (instructed by Clifford Chance)</w:t>
      </w:r>
    </w:p>
    <w:p w14:paraId="09C7D28C" w14:textId="77777777" w:rsidR="005A714E" w:rsidRPr="00DE57EF" w:rsidRDefault="005A714E" w:rsidP="00DE57EF">
      <w:pPr>
        <w:pStyle w:val="Body"/>
      </w:pPr>
    </w:p>
    <w:p w14:paraId="51E4E933" w14:textId="77777777" w:rsidR="005A714E" w:rsidRPr="009E3457" w:rsidRDefault="005A714E" w:rsidP="00DE57EF">
      <w:pPr>
        <w:pStyle w:val="OrdersBody"/>
      </w:pPr>
      <w:r w:rsidRPr="009E3457">
        <w:t>S B Lloyd SC with C M Dermody for the third respondent (instructed by DLA Piper)</w:t>
      </w:r>
    </w:p>
    <w:p w14:paraId="55D32709" w14:textId="77777777" w:rsidR="005A714E" w:rsidRPr="009E3457" w:rsidRDefault="005A714E" w:rsidP="00A01277">
      <w:pPr>
        <w:pStyle w:val="Body"/>
      </w:pPr>
    </w:p>
    <w:p w14:paraId="208D787C" w14:textId="77777777" w:rsidR="005A714E" w:rsidRPr="009E3457" w:rsidRDefault="005A714E" w:rsidP="00E90E4F">
      <w:pPr>
        <w:pStyle w:val="OrdersBody"/>
      </w:pPr>
      <w:r w:rsidRPr="009E3457">
        <w:t>Submitting appearance for the second respondent</w:t>
      </w:r>
    </w:p>
    <w:p w14:paraId="6E53FC52" w14:textId="77777777" w:rsidR="005A714E" w:rsidRDefault="005A714E" w:rsidP="00A01277">
      <w:pPr>
        <w:pStyle w:val="Body"/>
      </w:pPr>
    </w:p>
    <w:p w14:paraId="2703B660" w14:textId="7CEDB898" w:rsidR="005A714E" w:rsidRDefault="005A714E" w:rsidP="00EE5374">
      <w:pPr>
        <w:pStyle w:val="Body"/>
      </w:pPr>
    </w:p>
    <w:p w14:paraId="46CF8EF0" w14:textId="7ACD3F7A" w:rsidR="00E73B48" w:rsidRDefault="00E73B48" w:rsidP="00EE5374">
      <w:pPr>
        <w:pStyle w:val="Body"/>
      </w:pPr>
    </w:p>
    <w:p w14:paraId="2F0926CE" w14:textId="6EBC10D2" w:rsidR="00E73B48" w:rsidRDefault="00E73B48" w:rsidP="00EE5374">
      <w:pPr>
        <w:pStyle w:val="Body"/>
      </w:pPr>
    </w:p>
    <w:p w14:paraId="3FDE487E" w14:textId="05A67107" w:rsidR="00E73B48" w:rsidRDefault="00E73B48" w:rsidP="00EE5374">
      <w:pPr>
        <w:pStyle w:val="Body"/>
      </w:pPr>
    </w:p>
    <w:p w14:paraId="5D4ABF75" w14:textId="184420B8" w:rsidR="00E73B48" w:rsidRDefault="00E73B48" w:rsidP="00EE5374">
      <w:pPr>
        <w:pStyle w:val="Body"/>
      </w:pPr>
    </w:p>
    <w:p w14:paraId="08A80186" w14:textId="34AD45F5" w:rsidR="00E73B48" w:rsidRDefault="00E73B48" w:rsidP="00EE5374">
      <w:pPr>
        <w:pStyle w:val="Body"/>
      </w:pPr>
    </w:p>
    <w:p w14:paraId="76619E51" w14:textId="39EF7193" w:rsidR="00E73B48" w:rsidRDefault="00E73B48" w:rsidP="00EE5374">
      <w:pPr>
        <w:pStyle w:val="Body"/>
      </w:pPr>
    </w:p>
    <w:p w14:paraId="31E4E673" w14:textId="6FDADE21" w:rsidR="00E73B48" w:rsidRDefault="00E73B48" w:rsidP="00EE5374">
      <w:pPr>
        <w:pStyle w:val="Body"/>
      </w:pPr>
    </w:p>
    <w:p w14:paraId="3A889C63" w14:textId="1CE25080" w:rsidR="00E73B48" w:rsidRDefault="00E73B48" w:rsidP="00EE5374">
      <w:pPr>
        <w:pStyle w:val="Body"/>
      </w:pPr>
    </w:p>
    <w:p w14:paraId="31370097" w14:textId="5EC16813" w:rsidR="00E73B48" w:rsidRDefault="00E73B48" w:rsidP="00EE5374">
      <w:pPr>
        <w:pStyle w:val="Body"/>
      </w:pPr>
    </w:p>
    <w:p w14:paraId="3CC291AC" w14:textId="24EB185A" w:rsidR="00E73B48" w:rsidRDefault="00E73B48" w:rsidP="00EE5374">
      <w:pPr>
        <w:pStyle w:val="Body"/>
      </w:pPr>
    </w:p>
    <w:p w14:paraId="6A11F402" w14:textId="5F7B40B2" w:rsidR="00E73B48" w:rsidRDefault="00E73B48" w:rsidP="00EE5374">
      <w:pPr>
        <w:pStyle w:val="Body"/>
      </w:pPr>
    </w:p>
    <w:p w14:paraId="166DE0BB" w14:textId="6740EFAF" w:rsidR="00E73B48" w:rsidRDefault="00E73B48" w:rsidP="00EE5374">
      <w:pPr>
        <w:pStyle w:val="Body"/>
      </w:pPr>
    </w:p>
    <w:p w14:paraId="4137F0E7" w14:textId="694AB41D" w:rsidR="00E73B48" w:rsidRDefault="00E73B48" w:rsidP="00EE5374">
      <w:pPr>
        <w:pStyle w:val="Body"/>
      </w:pPr>
    </w:p>
    <w:p w14:paraId="71EC9E2A" w14:textId="19357A8F" w:rsidR="00E73B48" w:rsidRDefault="00E73B48" w:rsidP="00EE5374">
      <w:pPr>
        <w:pStyle w:val="Body"/>
      </w:pPr>
    </w:p>
    <w:p w14:paraId="33AB766C" w14:textId="0CEA512D" w:rsidR="00E73B48" w:rsidRDefault="00E73B48" w:rsidP="00EE5374">
      <w:pPr>
        <w:pStyle w:val="Body"/>
      </w:pPr>
    </w:p>
    <w:p w14:paraId="1438E412" w14:textId="2C057DCC" w:rsidR="00E73B48" w:rsidRDefault="00E73B48" w:rsidP="00EE5374">
      <w:pPr>
        <w:pStyle w:val="Body"/>
      </w:pPr>
    </w:p>
    <w:p w14:paraId="69B7C5A9" w14:textId="7B9B3D0D" w:rsidR="00E73B48" w:rsidRDefault="00E73B48" w:rsidP="00EE5374">
      <w:pPr>
        <w:pStyle w:val="Body"/>
      </w:pPr>
    </w:p>
    <w:p w14:paraId="0D82249F" w14:textId="6861E3CD" w:rsidR="00E73B48" w:rsidRDefault="00E73B48" w:rsidP="00EE5374">
      <w:pPr>
        <w:pStyle w:val="Body"/>
      </w:pPr>
    </w:p>
    <w:p w14:paraId="0E6D111C" w14:textId="590F8256" w:rsidR="00E73B48" w:rsidRDefault="00E73B48" w:rsidP="00EE5374">
      <w:pPr>
        <w:pStyle w:val="Body"/>
      </w:pPr>
    </w:p>
    <w:p w14:paraId="4308011F" w14:textId="6FFC24E8" w:rsidR="00E73B48" w:rsidRDefault="00E73B48" w:rsidP="00EE5374">
      <w:pPr>
        <w:pStyle w:val="Body"/>
      </w:pPr>
    </w:p>
    <w:p w14:paraId="3720CDFF" w14:textId="1674D588" w:rsidR="00E73B48" w:rsidRDefault="00E73B48" w:rsidP="00EE5374">
      <w:pPr>
        <w:pStyle w:val="Body"/>
      </w:pPr>
    </w:p>
    <w:p w14:paraId="1B306F5E" w14:textId="06A65260" w:rsidR="00E73B48" w:rsidRDefault="00E73B48" w:rsidP="00EE5374">
      <w:pPr>
        <w:pStyle w:val="Body"/>
      </w:pPr>
    </w:p>
    <w:p w14:paraId="35B2DDF4" w14:textId="3B1B6352" w:rsidR="00E73B48" w:rsidRDefault="00E73B48" w:rsidP="00EE5374">
      <w:pPr>
        <w:pStyle w:val="Body"/>
      </w:pPr>
    </w:p>
    <w:p w14:paraId="24BE0C18" w14:textId="19DDE3F3" w:rsidR="00E73B48" w:rsidRDefault="00E73B48" w:rsidP="00EE5374">
      <w:pPr>
        <w:pStyle w:val="Body"/>
      </w:pPr>
    </w:p>
    <w:p w14:paraId="707EA7C8" w14:textId="696DC9EA" w:rsidR="00E73B48" w:rsidRDefault="00E73B48" w:rsidP="00EE5374">
      <w:pPr>
        <w:pStyle w:val="Body"/>
      </w:pPr>
    </w:p>
    <w:p w14:paraId="33E80654" w14:textId="358CC4D5" w:rsidR="00E73B48" w:rsidRDefault="00E73B48" w:rsidP="00EE5374">
      <w:pPr>
        <w:pStyle w:val="Body"/>
      </w:pPr>
    </w:p>
    <w:p w14:paraId="7467F2C5" w14:textId="465E13A3" w:rsidR="00E73B48" w:rsidRDefault="00E73B48" w:rsidP="00EE5374">
      <w:pPr>
        <w:pStyle w:val="Body"/>
      </w:pPr>
    </w:p>
    <w:p w14:paraId="22242537" w14:textId="070E0902" w:rsidR="00E73B48" w:rsidRDefault="00E73B48" w:rsidP="00EE5374">
      <w:pPr>
        <w:pStyle w:val="Body"/>
      </w:pPr>
    </w:p>
    <w:p w14:paraId="407C5563" w14:textId="152113D4" w:rsidR="00E73B48" w:rsidRDefault="00E73B48" w:rsidP="00EE5374">
      <w:pPr>
        <w:pStyle w:val="Body"/>
      </w:pPr>
    </w:p>
    <w:p w14:paraId="31027BF7" w14:textId="77777777" w:rsidR="00E73B48" w:rsidRDefault="00E73B48" w:rsidP="00EE5374">
      <w:pPr>
        <w:pStyle w:val="Body"/>
      </w:pPr>
    </w:p>
    <w:p w14:paraId="54783998" w14:textId="77777777" w:rsidR="005A714E" w:rsidRPr="00427F3A" w:rsidRDefault="005A714E" w:rsidP="00EE5374">
      <w:pPr>
        <w:pStyle w:val="Body"/>
      </w:pPr>
    </w:p>
    <w:p w14:paraId="23466951" w14:textId="77777777" w:rsidR="005A714E" w:rsidRPr="00427F3A" w:rsidRDefault="005A714E" w:rsidP="00F9713B">
      <w:pPr>
        <w:pStyle w:val="Notice"/>
        <w:rPr>
          <w:lang w:val="en-AU"/>
        </w:rPr>
      </w:pPr>
      <w:r w:rsidRPr="00427F3A">
        <w:rPr>
          <w:lang w:val="en-AU"/>
        </w:rPr>
        <w:t>Notice:  This copy of the Court's Reasons for Judgment is subject to formal revision prior to publication in the Commonwealth Law Reports.</w:t>
      </w:r>
    </w:p>
    <w:p w14:paraId="3415921F" w14:textId="3F1F680D" w:rsidR="005A714E" w:rsidRDefault="005A714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E131E44" w14:textId="77777777" w:rsidR="005A714E" w:rsidRDefault="005A714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5A714E" w:rsidSect="005A714E">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5B37261A" w14:textId="77777777" w:rsidR="005A714E" w:rsidRDefault="005A714E" w:rsidP="007A74C0">
      <w:pPr>
        <w:pStyle w:val="CatchwordsBold"/>
        <w:tabs>
          <w:tab w:val="clear" w:pos="3600"/>
          <w:tab w:val="clear" w:pos="6480"/>
          <w:tab w:val="left" w:pos="7560"/>
        </w:tabs>
      </w:pPr>
      <w:r w:rsidRPr="00B9489E">
        <w:lastRenderedPageBreak/>
        <w:t>CATCHWORDS</w:t>
      </w:r>
    </w:p>
    <w:p w14:paraId="6DBDABC7" w14:textId="77777777" w:rsidR="005A714E" w:rsidRPr="00B9489E" w:rsidRDefault="005A714E" w:rsidP="001649CA">
      <w:pPr>
        <w:pStyle w:val="CatchwordsBold"/>
      </w:pPr>
    </w:p>
    <w:p w14:paraId="2073E68F" w14:textId="77777777" w:rsidR="005A714E" w:rsidRPr="00B9489E" w:rsidRDefault="005A714E" w:rsidP="001649CA">
      <w:pPr>
        <w:pStyle w:val="CatchwordsBold"/>
      </w:pPr>
      <w:r>
        <w:t>Port of Newcastle Operations Pty Limited v Glencore Coal Assets Australia Pty Ltd</w:t>
      </w:r>
    </w:p>
    <w:p w14:paraId="1960B9C5" w14:textId="77777777" w:rsidR="005A714E" w:rsidRPr="00B9489E" w:rsidRDefault="005A714E" w:rsidP="00562CAB">
      <w:pPr>
        <w:pStyle w:val="Default"/>
      </w:pPr>
    </w:p>
    <w:p w14:paraId="2EC3686D" w14:textId="43B21F94" w:rsidR="005A714E" w:rsidRPr="00F53067" w:rsidRDefault="005A714E" w:rsidP="001649CA">
      <w:pPr>
        <w:pStyle w:val="CatchwordsText"/>
      </w:pPr>
      <w:r>
        <w:t xml:space="preserve">Trade practices – Competition </w:t>
      </w:r>
      <w:r w:rsidRPr="00B9489E">
        <w:t>–</w:t>
      </w:r>
      <w:r>
        <w:t xml:space="preserve"> Access to services </w:t>
      </w:r>
      <w:r w:rsidRPr="00B9489E">
        <w:t>–</w:t>
      </w:r>
      <w:r>
        <w:t xml:space="preserve"> Where declared service under Pt IIIA of </w:t>
      </w:r>
      <w:r>
        <w:rPr>
          <w:i/>
        </w:rPr>
        <w:t xml:space="preserve">Competition and Consumer Act 2010 </w:t>
      </w:r>
      <w:r>
        <w:t xml:space="preserve">(Cth) ("Act") for provision of right to access and use certain infrastructure at Port of Newcastle ("Port") – Where operator of Port fixed navigation service charge and wharfage charge under </w:t>
      </w:r>
      <w:r>
        <w:rPr>
          <w:i/>
        </w:rPr>
        <w:t xml:space="preserve">Ports and Maritime Administration Act 1995 </w:t>
      </w:r>
      <w:r>
        <w:t xml:space="preserve">(NSW) for use of certain port infrastructure – Where access dispute concerned amount of navigation service charge and wharfage charge </w:t>
      </w:r>
      <w:r w:rsidRPr="00B9489E">
        <w:t>–</w:t>
      </w:r>
      <w:r>
        <w:t xml:space="preserve"> Whether Australian Competition Tribunal ("Tribunal") erred in determining range of circumstances in which navigation service charge payable – Whether Tribunal erred in determining amount of navigation service charge – Meaning of "access" in Pt IIIA of Act – Construction of s 44X(1)(e) of Act – Application of pricing principles in s 44ZZCA of Act.</w:t>
      </w:r>
    </w:p>
    <w:p w14:paraId="1989D75F" w14:textId="77777777" w:rsidR="005A714E" w:rsidRDefault="005A714E" w:rsidP="001649CA">
      <w:pPr>
        <w:pStyle w:val="CatchwordsText"/>
      </w:pPr>
    </w:p>
    <w:p w14:paraId="58180CB6" w14:textId="77777777" w:rsidR="005A714E" w:rsidRDefault="005A714E" w:rsidP="001649CA">
      <w:pPr>
        <w:pStyle w:val="CatchwordsText"/>
      </w:pPr>
      <w:r w:rsidRPr="00B9489E">
        <w:t>Words and phrases –</w:t>
      </w:r>
      <w:r>
        <w:t xml:space="preserve"> "access", "access dispute", "competition", "declaration of a service", "depreciated optimised replacement cost", "essential facility", "navigation service charge", "physical use", "pricing principles", "provider", "regulated asset base", "service", "third party", "use", "user contributions".</w:t>
      </w:r>
    </w:p>
    <w:p w14:paraId="2DAC7A9C" w14:textId="77777777" w:rsidR="005A714E" w:rsidRPr="00B9489E" w:rsidRDefault="005A714E" w:rsidP="001649CA">
      <w:pPr>
        <w:pStyle w:val="CatchwordsText"/>
      </w:pPr>
    </w:p>
    <w:p w14:paraId="4CE87A01" w14:textId="77777777" w:rsidR="005A714E" w:rsidRDefault="005A714E" w:rsidP="0052265C">
      <w:pPr>
        <w:pStyle w:val="CatchwordsText"/>
      </w:pPr>
      <w:r>
        <w:rPr>
          <w:i/>
        </w:rPr>
        <w:t xml:space="preserve">Competition and Consumer Act 2010 </w:t>
      </w:r>
      <w:r>
        <w:t>(Cth), Pt IIIA, ss 44X(1)(e), 44ZZCA.</w:t>
      </w:r>
    </w:p>
    <w:p w14:paraId="0D9D4F35" w14:textId="77777777" w:rsidR="005A714E" w:rsidRPr="00DC1DA9" w:rsidRDefault="005A714E" w:rsidP="0052265C">
      <w:pPr>
        <w:pStyle w:val="CatchwordsText"/>
        <w:rPr>
          <w:b/>
        </w:rPr>
      </w:pPr>
      <w:r>
        <w:rPr>
          <w:i/>
        </w:rPr>
        <w:t xml:space="preserve">Ports and Maritime Administration Act 1995 </w:t>
      </w:r>
      <w:r>
        <w:t>(NSW), ss 48(4), 50, 51, 67.</w:t>
      </w:r>
    </w:p>
    <w:p w14:paraId="66F46BBC" w14:textId="77777777" w:rsidR="005A714E" w:rsidRDefault="005A714E" w:rsidP="001649CA">
      <w:pPr>
        <w:pStyle w:val="CatchwordsText"/>
        <w:rPr>
          <w:b/>
        </w:rPr>
      </w:pPr>
    </w:p>
    <w:p w14:paraId="32E79876" w14:textId="2A95C0D3" w:rsidR="005A714E" w:rsidRDefault="005A714E" w:rsidP="005A714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3F78E28B" w14:textId="12BF053E" w:rsidR="005A714E" w:rsidRDefault="005A714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538CBB4" w14:textId="2EEB95DD" w:rsidR="005A714E" w:rsidRDefault="005A714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EE11CCC" w14:textId="77777777" w:rsidR="005A714E" w:rsidRDefault="005A714E" w:rsidP="000C06D7">
      <w:pPr>
        <w:pStyle w:val="FixListStyle"/>
        <w:tabs>
          <w:tab w:val="clear" w:pos="720"/>
          <w:tab w:val="left" w:pos="0"/>
        </w:tabs>
        <w:spacing w:after="260" w:line="280" w:lineRule="exact"/>
        <w:ind w:right="0"/>
        <w:jc w:val="both"/>
        <w:rPr>
          <w:rFonts w:ascii="Times New Roman" w:hAnsi="Times New Roman"/>
        </w:rPr>
        <w:sectPr w:rsidR="005A714E" w:rsidSect="005A714E">
          <w:pgSz w:w="11907" w:h="16839" w:code="9"/>
          <w:pgMar w:top="1440" w:right="1701" w:bottom="1984" w:left="1701" w:header="720" w:footer="720" w:gutter="0"/>
          <w:pgNumType w:start="1"/>
          <w:cols w:space="720"/>
          <w:titlePg/>
          <w:docGrid w:linePitch="354"/>
        </w:sectPr>
      </w:pPr>
    </w:p>
    <w:p w14:paraId="28DCBA19" w14:textId="4A2CCF32" w:rsidR="00A73989" w:rsidRPr="000C06D7" w:rsidRDefault="000C06D7" w:rsidP="000C06D7">
      <w:pPr>
        <w:pStyle w:val="FixListStyle"/>
        <w:tabs>
          <w:tab w:val="clear" w:pos="720"/>
          <w:tab w:val="left" w:pos="0"/>
        </w:tabs>
        <w:spacing w:after="260" w:line="280" w:lineRule="exact"/>
        <w:ind w:right="0"/>
        <w:jc w:val="both"/>
        <w:rPr>
          <w:rFonts w:ascii="Times New Roman" w:hAnsi="Times New Roman"/>
        </w:rPr>
      </w:pPr>
      <w:r w:rsidRPr="000C06D7">
        <w:rPr>
          <w:rFonts w:ascii="Times New Roman" w:hAnsi="Times New Roman"/>
        </w:rPr>
        <w:lastRenderedPageBreak/>
        <w:t xml:space="preserve">KIEFEL CJ, GAGELER, GORDON, STEWARD AND GLEESON JJ.   </w:t>
      </w:r>
      <w:r w:rsidR="00DC0503" w:rsidRPr="000C06D7">
        <w:rPr>
          <w:rFonts w:ascii="Times New Roman" w:hAnsi="Times New Roman"/>
        </w:rPr>
        <w:t xml:space="preserve">This </w:t>
      </w:r>
      <w:r w:rsidR="00165287" w:rsidRPr="000C06D7">
        <w:rPr>
          <w:rFonts w:ascii="Times New Roman" w:hAnsi="Times New Roman"/>
        </w:rPr>
        <w:t xml:space="preserve">is an </w:t>
      </w:r>
      <w:r w:rsidR="00DC0503" w:rsidRPr="000C06D7">
        <w:rPr>
          <w:rFonts w:ascii="Times New Roman" w:hAnsi="Times New Roman"/>
        </w:rPr>
        <w:t>appeal</w:t>
      </w:r>
      <w:r w:rsidR="00261D31" w:rsidRPr="000C06D7">
        <w:rPr>
          <w:rFonts w:ascii="Times New Roman" w:hAnsi="Times New Roman"/>
        </w:rPr>
        <w:t xml:space="preserve"> </w:t>
      </w:r>
      <w:r w:rsidR="00207301" w:rsidRPr="000C06D7">
        <w:rPr>
          <w:rFonts w:ascii="Times New Roman" w:hAnsi="Times New Roman"/>
        </w:rPr>
        <w:t xml:space="preserve">by special leave </w:t>
      </w:r>
      <w:r w:rsidR="00DC0503" w:rsidRPr="000C06D7">
        <w:rPr>
          <w:rFonts w:ascii="Times New Roman" w:hAnsi="Times New Roman"/>
        </w:rPr>
        <w:t>from a decision of the Full Court</w:t>
      </w:r>
      <w:r w:rsidR="00DD4F5C" w:rsidRPr="000C06D7">
        <w:rPr>
          <w:rFonts w:ascii="Times New Roman" w:hAnsi="Times New Roman"/>
        </w:rPr>
        <w:t xml:space="preserve"> of the Federal Court </w:t>
      </w:r>
      <w:r w:rsidR="00AD6E12" w:rsidRPr="000C06D7">
        <w:rPr>
          <w:rFonts w:ascii="Times New Roman" w:hAnsi="Times New Roman"/>
        </w:rPr>
        <w:t>(</w:t>
      </w:r>
      <w:proofErr w:type="spellStart"/>
      <w:r w:rsidR="00986265" w:rsidRPr="000C06D7">
        <w:rPr>
          <w:rFonts w:ascii="Times New Roman" w:hAnsi="Times New Roman"/>
        </w:rPr>
        <w:t>Allsop</w:t>
      </w:r>
      <w:proofErr w:type="spellEnd"/>
      <w:r w:rsidR="00986265" w:rsidRPr="000C06D7">
        <w:rPr>
          <w:rFonts w:ascii="Times New Roman" w:hAnsi="Times New Roman"/>
        </w:rPr>
        <w:t xml:space="preserve"> CJ, Beach and Colvin JJ</w:t>
      </w:r>
      <w:r w:rsidR="00AD6E12" w:rsidRPr="000C06D7">
        <w:rPr>
          <w:rFonts w:ascii="Times New Roman" w:hAnsi="Times New Roman"/>
        </w:rPr>
        <w:t>)</w:t>
      </w:r>
      <w:r w:rsidR="00AD6E12" w:rsidRPr="000C06D7">
        <w:rPr>
          <w:rStyle w:val="FootnoteReference"/>
          <w:rFonts w:ascii="Times New Roman" w:hAnsi="Times New Roman"/>
          <w:sz w:val="24"/>
        </w:rPr>
        <w:footnoteReference w:id="2"/>
      </w:r>
      <w:r w:rsidR="00823031" w:rsidRPr="000C06D7">
        <w:rPr>
          <w:rFonts w:ascii="Times New Roman" w:hAnsi="Times New Roman"/>
        </w:rPr>
        <w:t xml:space="preserve"> given </w:t>
      </w:r>
      <w:r w:rsidR="005910EE" w:rsidRPr="000C06D7">
        <w:rPr>
          <w:rFonts w:ascii="Times New Roman" w:hAnsi="Times New Roman"/>
        </w:rPr>
        <w:t>on</w:t>
      </w:r>
      <w:r w:rsidR="00DD4F5C" w:rsidRPr="000C06D7">
        <w:rPr>
          <w:rFonts w:ascii="Times New Roman" w:hAnsi="Times New Roman"/>
        </w:rPr>
        <w:t xml:space="preserve"> </w:t>
      </w:r>
      <w:r w:rsidR="00A35525" w:rsidRPr="000C06D7">
        <w:rPr>
          <w:rFonts w:ascii="Times New Roman" w:hAnsi="Times New Roman"/>
        </w:rPr>
        <w:t xml:space="preserve">an </w:t>
      </w:r>
      <w:r w:rsidR="00AD6E12" w:rsidRPr="000C06D7">
        <w:rPr>
          <w:rFonts w:ascii="Times New Roman" w:hAnsi="Times New Roman"/>
        </w:rPr>
        <w:t>appeal on questions of law from a decision of the Australian Competition Tribunal</w:t>
      </w:r>
      <w:r w:rsidR="00AD6E12" w:rsidRPr="000C06D7">
        <w:rPr>
          <w:rStyle w:val="FootnoteReference"/>
          <w:rFonts w:ascii="Times New Roman" w:hAnsi="Times New Roman"/>
          <w:sz w:val="24"/>
        </w:rPr>
        <w:footnoteReference w:id="3"/>
      </w:r>
      <w:r w:rsidR="00823031" w:rsidRPr="000C06D7">
        <w:rPr>
          <w:rFonts w:ascii="Times New Roman" w:hAnsi="Times New Roman"/>
        </w:rPr>
        <w:t xml:space="preserve">. </w:t>
      </w:r>
      <w:r w:rsidR="00165287" w:rsidRPr="000C06D7">
        <w:rPr>
          <w:rFonts w:ascii="Times New Roman" w:hAnsi="Times New Roman"/>
        </w:rPr>
        <w:t>The appeal</w:t>
      </w:r>
      <w:r w:rsidR="00823031" w:rsidRPr="000C06D7">
        <w:rPr>
          <w:rFonts w:ascii="Times New Roman" w:hAnsi="Times New Roman"/>
        </w:rPr>
        <w:t xml:space="preserve"> </w:t>
      </w:r>
      <w:r w:rsidR="00AD6E12" w:rsidRPr="000C06D7">
        <w:rPr>
          <w:rFonts w:ascii="Times New Roman" w:hAnsi="Times New Roman"/>
        </w:rPr>
        <w:t>raises</w:t>
      </w:r>
      <w:r w:rsidR="00207301" w:rsidRPr="000C06D7">
        <w:rPr>
          <w:rFonts w:ascii="Times New Roman" w:hAnsi="Times New Roman"/>
        </w:rPr>
        <w:t xml:space="preserve"> </w:t>
      </w:r>
      <w:r w:rsidR="00AD6E12" w:rsidRPr="000C06D7">
        <w:rPr>
          <w:rFonts w:ascii="Times New Roman" w:hAnsi="Times New Roman"/>
        </w:rPr>
        <w:t xml:space="preserve">issues </w:t>
      </w:r>
      <w:r w:rsidR="00531D47" w:rsidRPr="000C06D7">
        <w:rPr>
          <w:rFonts w:ascii="Times New Roman" w:hAnsi="Times New Roman"/>
        </w:rPr>
        <w:t>of statutory</w:t>
      </w:r>
      <w:r w:rsidR="00AD6E12" w:rsidRPr="000C06D7">
        <w:rPr>
          <w:rFonts w:ascii="Times New Roman" w:hAnsi="Times New Roman"/>
        </w:rPr>
        <w:t xml:space="preserve"> </w:t>
      </w:r>
      <w:r w:rsidR="00D57866" w:rsidRPr="000C06D7">
        <w:rPr>
          <w:rFonts w:ascii="Times New Roman" w:hAnsi="Times New Roman"/>
        </w:rPr>
        <w:t xml:space="preserve">construction </w:t>
      </w:r>
      <w:r w:rsidR="00643B82" w:rsidRPr="000C06D7">
        <w:rPr>
          <w:rFonts w:ascii="Times New Roman" w:hAnsi="Times New Roman"/>
        </w:rPr>
        <w:t>central to the</w:t>
      </w:r>
      <w:r w:rsidR="00D57866" w:rsidRPr="000C06D7">
        <w:rPr>
          <w:rFonts w:ascii="Times New Roman" w:hAnsi="Times New Roman"/>
        </w:rPr>
        <w:t xml:space="preserve"> operation of Pt</w:t>
      </w:r>
      <w:r w:rsidR="00C36716" w:rsidRPr="000C06D7">
        <w:rPr>
          <w:rFonts w:ascii="Times New Roman" w:hAnsi="Times New Roman"/>
        </w:rPr>
        <w:t> </w:t>
      </w:r>
      <w:r w:rsidR="00D57866" w:rsidRPr="000C06D7">
        <w:rPr>
          <w:rFonts w:ascii="Times New Roman" w:hAnsi="Times New Roman"/>
        </w:rPr>
        <w:t xml:space="preserve">IIIA of the </w:t>
      </w:r>
      <w:r w:rsidR="006E0EDB" w:rsidRPr="000C06D7">
        <w:rPr>
          <w:rFonts w:ascii="Times New Roman" w:hAnsi="Times New Roman"/>
          <w:i/>
        </w:rPr>
        <w:t xml:space="preserve">Competition and Consumer Act </w:t>
      </w:r>
      <w:r w:rsidR="00B070C1" w:rsidRPr="000C06D7">
        <w:rPr>
          <w:rFonts w:ascii="Times New Roman" w:hAnsi="Times New Roman"/>
          <w:i/>
        </w:rPr>
        <w:t>2010</w:t>
      </w:r>
      <w:r w:rsidR="00B070C1" w:rsidRPr="000C06D7">
        <w:rPr>
          <w:rFonts w:ascii="Times New Roman" w:hAnsi="Times New Roman"/>
        </w:rPr>
        <w:t xml:space="preserve"> (Cth)</w:t>
      </w:r>
      <w:r w:rsidR="007662E7" w:rsidRPr="000C06D7">
        <w:rPr>
          <w:rFonts w:ascii="Times New Roman" w:hAnsi="Times New Roman"/>
        </w:rPr>
        <w:t xml:space="preserve"> ("the Act").</w:t>
      </w:r>
    </w:p>
    <w:p w14:paraId="4AF6DBD1" w14:textId="622E417A" w:rsidR="00AC622E" w:rsidRPr="000C06D7" w:rsidRDefault="00C918BE"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EC0CDF" w:rsidRPr="000C06D7">
        <w:rPr>
          <w:rFonts w:ascii="Times New Roman" w:hAnsi="Times New Roman"/>
        </w:rPr>
        <w:t>The appellant</w:t>
      </w:r>
      <w:r w:rsidR="00F4021B" w:rsidRPr="000C06D7">
        <w:rPr>
          <w:rFonts w:ascii="Times New Roman" w:hAnsi="Times New Roman"/>
        </w:rPr>
        <w:t xml:space="preserve"> is</w:t>
      </w:r>
      <w:r w:rsidR="00EC0CDF" w:rsidRPr="000C06D7">
        <w:rPr>
          <w:rFonts w:ascii="Times New Roman" w:hAnsi="Times New Roman"/>
        </w:rPr>
        <w:t xml:space="preserve"> </w:t>
      </w:r>
      <w:r w:rsidR="00B71682" w:rsidRPr="000C06D7">
        <w:rPr>
          <w:rFonts w:ascii="Times New Roman" w:hAnsi="Times New Roman"/>
        </w:rPr>
        <w:t xml:space="preserve">Port of Newcastle </w:t>
      </w:r>
      <w:r w:rsidR="007662E7" w:rsidRPr="000C06D7">
        <w:rPr>
          <w:rFonts w:ascii="Times New Roman" w:hAnsi="Times New Roman"/>
        </w:rPr>
        <w:t>Operations Pty L</w:t>
      </w:r>
      <w:r w:rsidR="00446D25" w:rsidRPr="000C06D7">
        <w:rPr>
          <w:rFonts w:ascii="Times New Roman" w:hAnsi="Times New Roman"/>
        </w:rPr>
        <w:t>imite</w:t>
      </w:r>
      <w:r w:rsidR="007662E7" w:rsidRPr="000C06D7">
        <w:rPr>
          <w:rFonts w:ascii="Times New Roman" w:hAnsi="Times New Roman"/>
        </w:rPr>
        <w:t xml:space="preserve">d </w:t>
      </w:r>
      <w:r w:rsidR="00EC0CDF" w:rsidRPr="000C06D7">
        <w:rPr>
          <w:rFonts w:ascii="Times New Roman" w:hAnsi="Times New Roman"/>
        </w:rPr>
        <w:t>("PNO")</w:t>
      </w:r>
      <w:r w:rsidR="00F4021B" w:rsidRPr="000C06D7">
        <w:rPr>
          <w:rFonts w:ascii="Times New Roman" w:hAnsi="Times New Roman"/>
        </w:rPr>
        <w:t>.</w:t>
      </w:r>
      <w:r w:rsidR="00EC0CDF" w:rsidRPr="000C06D7">
        <w:rPr>
          <w:rFonts w:ascii="Times New Roman" w:hAnsi="Times New Roman"/>
        </w:rPr>
        <w:t xml:space="preserve"> </w:t>
      </w:r>
      <w:r w:rsidR="009348EF" w:rsidRPr="000C06D7">
        <w:rPr>
          <w:rFonts w:ascii="Times New Roman" w:hAnsi="Times New Roman"/>
        </w:rPr>
        <w:t xml:space="preserve">Since 2014, </w:t>
      </w:r>
      <w:r w:rsidR="00F90CB4" w:rsidRPr="000C06D7">
        <w:rPr>
          <w:rFonts w:ascii="Times New Roman" w:hAnsi="Times New Roman"/>
        </w:rPr>
        <w:t xml:space="preserve">PNO </w:t>
      </w:r>
      <w:r w:rsidR="009348EF" w:rsidRPr="000C06D7">
        <w:rPr>
          <w:rFonts w:ascii="Times New Roman" w:hAnsi="Times New Roman"/>
        </w:rPr>
        <w:t>has been</w:t>
      </w:r>
      <w:r w:rsidR="009B697F" w:rsidRPr="000C06D7">
        <w:rPr>
          <w:rFonts w:ascii="Times New Roman" w:hAnsi="Times New Roman"/>
        </w:rPr>
        <w:t xml:space="preserve"> the </w:t>
      </w:r>
      <w:r w:rsidR="003C4548" w:rsidRPr="000C06D7">
        <w:rPr>
          <w:rFonts w:ascii="Times New Roman" w:hAnsi="Times New Roman"/>
        </w:rPr>
        <w:t>le</w:t>
      </w:r>
      <w:r w:rsidR="009B697F" w:rsidRPr="000C06D7">
        <w:rPr>
          <w:rFonts w:ascii="Times New Roman" w:hAnsi="Times New Roman"/>
        </w:rPr>
        <w:t>s</w:t>
      </w:r>
      <w:r w:rsidR="00B0618F" w:rsidRPr="000C06D7">
        <w:rPr>
          <w:rFonts w:ascii="Times New Roman" w:hAnsi="Times New Roman"/>
        </w:rPr>
        <w:t>se</w:t>
      </w:r>
      <w:r w:rsidR="009B697F" w:rsidRPr="000C06D7">
        <w:rPr>
          <w:rFonts w:ascii="Times New Roman" w:hAnsi="Times New Roman"/>
        </w:rPr>
        <w:t>e</w:t>
      </w:r>
      <w:r w:rsidR="00B0618F" w:rsidRPr="000C06D7">
        <w:rPr>
          <w:rFonts w:ascii="Times New Roman" w:hAnsi="Times New Roman"/>
        </w:rPr>
        <w:t xml:space="preserve"> </w:t>
      </w:r>
      <w:r w:rsidR="003C4548" w:rsidRPr="000C06D7">
        <w:rPr>
          <w:rFonts w:ascii="Times New Roman" w:hAnsi="Times New Roman"/>
        </w:rPr>
        <w:t xml:space="preserve">from the State of </w:t>
      </w:r>
      <w:r w:rsidR="008E0062" w:rsidRPr="000C06D7">
        <w:rPr>
          <w:rFonts w:ascii="Times New Roman" w:hAnsi="Times New Roman"/>
        </w:rPr>
        <w:t>New South Wales</w:t>
      </w:r>
      <w:r w:rsidR="00C00234" w:rsidRPr="000C06D7">
        <w:rPr>
          <w:rFonts w:ascii="Times New Roman" w:hAnsi="Times New Roman"/>
        </w:rPr>
        <w:t xml:space="preserve"> </w:t>
      </w:r>
      <w:r w:rsidR="000F1C17" w:rsidRPr="000C06D7">
        <w:rPr>
          <w:rFonts w:ascii="Times New Roman" w:hAnsi="Times New Roman"/>
        </w:rPr>
        <w:t xml:space="preserve">of </w:t>
      </w:r>
      <w:r w:rsidR="00C00234" w:rsidRPr="000C06D7">
        <w:rPr>
          <w:rFonts w:ascii="Times New Roman" w:hAnsi="Times New Roman"/>
        </w:rPr>
        <w:t>the Port of Newcastle</w:t>
      </w:r>
      <w:r w:rsidR="001616B6" w:rsidRPr="000C06D7">
        <w:rPr>
          <w:rFonts w:ascii="Times New Roman" w:hAnsi="Times New Roman"/>
        </w:rPr>
        <w:t xml:space="preserve"> and </w:t>
      </w:r>
      <w:r w:rsidR="00451249" w:rsidRPr="000C06D7">
        <w:rPr>
          <w:rFonts w:ascii="Times New Roman" w:hAnsi="Times New Roman"/>
        </w:rPr>
        <w:t>has</w:t>
      </w:r>
      <w:r w:rsidR="00B300DC" w:rsidRPr="000C06D7">
        <w:rPr>
          <w:rFonts w:ascii="Times New Roman" w:hAnsi="Times New Roman"/>
        </w:rPr>
        <w:t xml:space="preserve"> </w:t>
      </w:r>
      <w:r w:rsidR="00ED0151" w:rsidRPr="000C06D7">
        <w:rPr>
          <w:rFonts w:ascii="Times New Roman" w:hAnsi="Times New Roman"/>
        </w:rPr>
        <w:t xml:space="preserve">been </w:t>
      </w:r>
      <w:r w:rsidR="00A676FD" w:rsidRPr="000C06D7">
        <w:rPr>
          <w:rFonts w:ascii="Times New Roman" w:hAnsi="Times New Roman"/>
        </w:rPr>
        <w:t xml:space="preserve">the </w:t>
      </w:r>
      <w:r w:rsidR="00ED0151" w:rsidRPr="000C06D7">
        <w:rPr>
          <w:rFonts w:ascii="Times New Roman" w:hAnsi="Times New Roman"/>
        </w:rPr>
        <w:t>"</w:t>
      </w:r>
      <w:r w:rsidR="00CE119B" w:rsidRPr="000C06D7">
        <w:rPr>
          <w:rFonts w:ascii="Times New Roman" w:hAnsi="Times New Roman"/>
        </w:rPr>
        <w:t>operator</w:t>
      </w:r>
      <w:r w:rsidR="00ED0151" w:rsidRPr="000C06D7">
        <w:rPr>
          <w:rFonts w:ascii="Times New Roman" w:hAnsi="Times New Roman"/>
        </w:rPr>
        <w:t>"</w:t>
      </w:r>
      <w:r w:rsidR="00CE119B" w:rsidRPr="000C06D7">
        <w:rPr>
          <w:rFonts w:ascii="Times New Roman" w:hAnsi="Times New Roman"/>
        </w:rPr>
        <w:t xml:space="preserve"> of </w:t>
      </w:r>
      <w:r w:rsidR="0073063B" w:rsidRPr="000C06D7">
        <w:rPr>
          <w:rFonts w:ascii="Times New Roman" w:hAnsi="Times New Roman"/>
        </w:rPr>
        <w:t>the</w:t>
      </w:r>
      <w:r w:rsidR="00E83B42" w:rsidRPr="000C06D7">
        <w:rPr>
          <w:rFonts w:ascii="Times New Roman" w:hAnsi="Times New Roman"/>
        </w:rPr>
        <w:t xml:space="preserve"> Port under the </w:t>
      </w:r>
      <w:r w:rsidR="000B0BDB" w:rsidRPr="000C06D7">
        <w:rPr>
          <w:rFonts w:ascii="Times New Roman" w:hAnsi="Times New Roman"/>
          <w:i/>
        </w:rPr>
        <w:t>Ports and Maritime Administration Act 1995</w:t>
      </w:r>
      <w:r w:rsidR="000B0BDB" w:rsidRPr="000C06D7">
        <w:rPr>
          <w:rFonts w:ascii="Times New Roman" w:hAnsi="Times New Roman"/>
        </w:rPr>
        <w:t xml:space="preserve"> (NSW) ("the PMA Act").</w:t>
      </w:r>
      <w:r w:rsidR="00F53679" w:rsidRPr="000C06D7">
        <w:rPr>
          <w:rFonts w:ascii="Times New Roman" w:hAnsi="Times New Roman"/>
        </w:rPr>
        <w:t xml:space="preserve"> </w:t>
      </w:r>
    </w:p>
    <w:p w14:paraId="16B0F9EC" w14:textId="2392D1F8" w:rsidR="00B24FA1" w:rsidRPr="000C06D7" w:rsidRDefault="00AC622E"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9D0089" w:rsidRPr="000C06D7">
        <w:rPr>
          <w:rFonts w:ascii="Times New Roman" w:hAnsi="Times New Roman"/>
        </w:rPr>
        <w:t xml:space="preserve">The Port </w:t>
      </w:r>
      <w:r w:rsidR="00053B1D" w:rsidRPr="000C06D7">
        <w:rPr>
          <w:rFonts w:ascii="Times New Roman" w:hAnsi="Times New Roman"/>
        </w:rPr>
        <w:t>is</w:t>
      </w:r>
      <w:r w:rsidR="00970A2D" w:rsidRPr="000C06D7">
        <w:rPr>
          <w:rFonts w:ascii="Times New Roman" w:hAnsi="Times New Roman"/>
        </w:rPr>
        <w:t xml:space="preserve"> one of</w:t>
      </w:r>
      <w:r w:rsidR="00053B1D" w:rsidRPr="000C06D7">
        <w:rPr>
          <w:rFonts w:ascii="Times New Roman" w:hAnsi="Times New Roman"/>
        </w:rPr>
        <w:t xml:space="preserve"> the largest </w:t>
      </w:r>
      <w:r w:rsidR="001C47FE" w:rsidRPr="000C06D7">
        <w:rPr>
          <w:rFonts w:ascii="Times New Roman" w:hAnsi="Times New Roman"/>
        </w:rPr>
        <w:t>coal</w:t>
      </w:r>
      <w:r w:rsidR="00053B1D" w:rsidRPr="000C06D7">
        <w:rPr>
          <w:rFonts w:ascii="Times New Roman" w:hAnsi="Times New Roman"/>
        </w:rPr>
        <w:t xml:space="preserve"> exporting port</w:t>
      </w:r>
      <w:r w:rsidR="00291E47" w:rsidRPr="000C06D7">
        <w:rPr>
          <w:rFonts w:ascii="Times New Roman" w:hAnsi="Times New Roman"/>
        </w:rPr>
        <w:t>s</w:t>
      </w:r>
      <w:r w:rsidR="00053B1D" w:rsidRPr="000C06D7">
        <w:rPr>
          <w:rFonts w:ascii="Times New Roman" w:hAnsi="Times New Roman"/>
        </w:rPr>
        <w:t xml:space="preserve"> in the world</w:t>
      </w:r>
      <w:r w:rsidR="007E24E5" w:rsidRPr="000C06D7">
        <w:rPr>
          <w:rFonts w:ascii="Times New Roman" w:hAnsi="Times New Roman"/>
        </w:rPr>
        <w:t xml:space="preserve">. </w:t>
      </w:r>
      <w:r w:rsidR="00315CF5" w:rsidRPr="000C06D7">
        <w:rPr>
          <w:rFonts w:ascii="Times New Roman" w:hAnsi="Times New Roman"/>
        </w:rPr>
        <w:t>The Port is</w:t>
      </w:r>
      <w:r w:rsidR="008D5DD4" w:rsidRPr="000C06D7">
        <w:rPr>
          <w:rFonts w:ascii="Times New Roman" w:hAnsi="Times New Roman"/>
        </w:rPr>
        <w:t xml:space="preserve"> the only commercially viable </w:t>
      </w:r>
      <w:r w:rsidR="001258CD" w:rsidRPr="000C06D7">
        <w:rPr>
          <w:rFonts w:ascii="Times New Roman" w:hAnsi="Times New Roman"/>
        </w:rPr>
        <w:t xml:space="preserve">means of exporting coal </w:t>
      </w:r>
      <w:r w:rsidR="009678E9" w:rsidRPr="000C06D7">
        <w:rPr>
          <w:rFonts w:ascii="Times New Roman" w:hAnsi="Times New Roman"/>
        </w:rPr>
        <w:t>from</w:t>
      </w:r>
      <w:r w:rsidR="007966D8" w:rsidRPr="000C06D7">
        <w:rPr>
          <w:rFonts w:ascii="Times New Roman" w:hAnsi="Times New Roman"/>
        </w:rPr>
        <w:t xml:space="preserve"> more than </w:t>
      </w:r>
      <w:r w:rsidR="00531836" w:rsidRPr="000C06D7">
        <w:rPr>
          <w:rFonts w:ascii="Times New Roman" w:hAnsi="Times New Roman"/>
        </w:rPr>
        <w:t>30 operating coal mines</w:t>
      </w:r>
      <w:r w:rsidR="007966D8" w:rsidRPr="000C06D7">
        <w:rPr>
          <w:rFonts w:ascii="Times New Roman" w:hAnsi="Times New Roman"/>
        </w:rPr>
        <w:t xml:space="preserve"> </w:t>
      </w:r>
      <w:r w:rsidR="0023689F" w:rsidRPr="000C06D7">
        <w:rPr>
          <w:rFonts w:ascii="Times New Roman" w:hAnsi="Times New Roman"/>
        </w:rPr>
        <w:t xml:space="preserve">in </w:t>
      </w:r>
      <w:r w:rsidR="009678E9" w:rsidRPr="000C06D7">
        <w:rPr>
          <w:rFonts w:ascii="Times New Roman" w:hAnsi="Times New Roman"/>
        </w:rPr>
        <w:t>the Hunter Valley.</w:t>
      </w:r>
    </w:p>
    <w:p w14:paraId="0135A2C1" w14:textId="26CEBBA0" w:rsidR="00F53679" w:rsidRPr="000C06D7" w:rsidRDefault="00B24FA1"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B17885" w:rsidRPr="000C06D7">
        <w:rPr>
          <w:rFonts w:ascii="Times New Roman" w:hAnsi="Times New Roman"/>
        </w:rPr>
        <w:t>PNO</w:t>
      </w:r>
      <w:r w:rsidR="00117A06" w:rsidRPr="000C06D7">
        <w:rPr>
          <w:rFonts w:ascii="Times New Roman" w:hAnsi="Times New Roman"/>
        </w:rPr>
        <w:t>, in</w:t>
      </w:r>
      <w:r w:rsidR="009F6CD6" w:rsidRPr="000C06D7">
        <w:rPr>
          <w:rFonts w:ascii="Times New Roman" w:hAnsi="Times New Roman"/>
        </w:rPr>
        <w:t xml:space="preserve"> </w:t>
      </w:r>
      <w:r w:rsidR="00A507C3" w:rsidRPr="000C06D7">
        <w:rPr>
          <w:rFonts w:ascii="Times New Roman" w:hAnsi="Times New Roman"/>
        </w:rPr>
        <w:t>its</w:t>
      </w:r>
      <w:r w:rsidR="009F6CD6" w:rsidRPr="000C06D7">
        <w:rPr>
          <w:rFonts w:ascii="Times New Roman" w:hAnsi="Times New Roman"/>
        </w:rPr>
        <w:t xml:space="preserve"> </w:t>
      </w:r>
      <w:r w:rsidR="00B47882" w:rsidRPr="000C06D7">
        <w:rPr>
          <w:rFonts w:ascii="Times New Roman" w:hAnsi="Times New Roman"/>
        </w:rPr>
        <w:t>capacity</w:t>
      </w:r>
      <w:r w:rsidR="00A507C3" w:rsidRPr="000C06D7">
        <w:rPr>
          <w:rFonts w:ascii="Times New Roman" w:hAnsi="Times New Roman"/>
        </w:rPr>
        <w:t xml:space="preserve"> as operator of the Port</w:t>
      </w:r>
      <w:r w:rsidR="009F6CD6" w:rsidRPr="000C06D7">
        <w:rPr>
          <w:rFonts w:ascii="Times New Roman" w:hAnsi="Times New Roman"/>
        </w:rPr>
        <w:t>,</w:t>
      </w:r>
      <w:r w:rsidR="00AB2DA7" w:rsidRPr="000C06D7">
        <w:rPr>
          <w:rFonts w:ascii="Times New Roman" w:hAnsi="Times New Roman"/>
        </w:rPr>
        <w:t xml:space="preserve"> </w:t>
      </w:r>
      <w:r w:rsidR="00A507C3" w:rsidRPr="000C06D7">
        <w:rPr>
          <w:rFonts w:ascii="Times New Roman" w:hAnsi="Times New Roman"/>
        </w:rPr>
        <w:t xml:space="preserve">relevantly </w:t>
      </w:r>
      <w:r w:rsidR="000E36CD" w:rsidRPr="000C06D7">
        <w:rPr>
          <w:rFonts w:ascii="Times New Roman" w:hAnsi="Times New Roman"/>
        </w:rPr>
        <w:t>control</w:t>
      </w:r>
      <w:r w:rsidR="00CD6720" w:rsidRPr="000C06D7">
        <w:rPr>
          <w:rFonts w:ascii="Times New Roman" w:hAnsi="Times New Roman"/>
        </w:rPr>
        <w:t>s</w:t>
      </w:r>
      <w:r w:rsidR="000E36CD" w:rsidRPr="000C06D7">
        <w:rPr>
          <w:rFonts w:ascii="Times New Roman" w:hAnsi="Times New Roman"/>
        </w:rPr>
        <w:t xml:space="preserve"> </w:t>
      </w:r>
      <w:r w:rsidR="004B17DC" w:rsidRPr="000C06D7">
        <w:rPr>
          <w:rFonts w:ascii="Times New Roman" w:hAnsi="Times New Roman"/>
        </w:rPr>
        <w:t xml:space="preserve">use by </w:t>
      </w:r>
      <w:r w:rsidR="001A6FA7" w:rsidRPr="000C06D7">
        <w:rPr>
          <w:rFonts w:ascii="Times New Roman" w:hAnsi="Times New Roman"/>
        </w:rPr>
        <w:t>those</w:t>
      </w:r>
      <w:r w:rsidR="00C45B2B" w:rsidRPr="000C06D7">
        <w:rPr>
          <w:rFonts w:ascii="Times New Roman" w:hAnsi="Times New Roman"/>
        </w:rPr>
        <w:t xml:space="preserve"> involved in the export of coal</w:t>
      </w:r>
      <w:r w:rsidR="004B17DC" w:rsidRPr="000C06D7">
        <w:rPr>
          <w:rFonts w:ascii="Times New Roman" w:hAnsi="Times New Roman"/>
        </w:rPr>
        <w:t xml:space="preserve"> of </w:t>
      </w:r>
      <w:r w:rsidR="004A61C0" w:rsidRPr="000C06D7">
        <w:rPr>
          <w:rFonts w:ascii="Times New Roman" w:hAnsi="Times New Roman"/>
        </w:rPr>
        <w:t xml:space="preserve">two </w:t>
      </w:r>
      <w:r w:rsidR="007F727E" w:rsidRPr="000C06D7">
        <w:rPr>
          <w:rFonts w:ascii="Times New Roman" w:hAnsi="Times New Roman"/>
        </w:rPr>
        <w:t>categories of facility</w:t>
      </w:r>
      <w:r w:rsidR="00C33FF2" w:rsidRPr="000C06D7">
        <w:rPr>
          <w:rFonts w:ascii="Times New Roman" w:hAnsi="Times New Roman"/>
        </w:rPr>
        <w:t xml:space="preserve"> at the Port</w:t>
      </w:r>
      <w:r w:rsidR="004A61C0" w:rsidRPr="000C06D7">
        <w:rPr>
          <w:rFonts w:ascii="Times New Roman" w:hAnsi="Times New Roman"/>
        </w:rPr>
        <w:t xml:space="preserve">. </w:t>
      </w:r>
      <w:r w:rsidR="007F727E" w:rsidRPr="000C06D7">
        <w:rPr>
          <w:rFonts w:ascii="Times New Roman" w:hAnsi="Times New Roman"/>
        </w:rPr>
        <w:t xml:space="preserve">One is </w:t>
      </w:r>
      <w:r w:rsidR="000E36CD" w:rsidRPr="000C06D7">
        <w:rPr>
          <w:rFonts w:ascii="Times New Roman" w:hAnsi="Times New Roman"/>
        </w:rPr>
        <w:t>the</w:t>
      </w:r>
      <w:r w:rsidR="008007D0" w:rsidRPr="000C06D7">
        <w:rPr>
          <w:rFonts w:ascii="Times New Roman" w:hAnsi="Times New Roman"/>
        </w:rPr>
        <w:t xml:space="preserve"> </w:t>
      </w:r>
      <w:r w:rsidR="00411789" w:rsidRPr="000C06D7">
        <w:rPr>
          <w:rFonts w:ascii="Times New Roman" w:hAnsi="Times New Roman"/>
        </w:rPr>
        <w:t>loading berths</w:t>
      </w:r>
      <w:r w:rsidR="00315CF5" w:rsidRPr="000C06D7">
        <w:rPr>
          <w:rFonts w:ascii="Times New Roman" w:hAnsi="Times New Roman"/>
        </w:rPr>
        <w:t>, located</w:t>
      </w:r>
      <w:r w:rsidR="00945B67" w:rsidRPr="000C06D7">
        <w:rPr>
          <w:rFonts w:ascii="Times New Roman" w:hAnsi="Times New Roman"/>
        </w:rPr>
        <w:t xml:space="preserve"> at </w:t>
      </w:r>
      <w:r w:rsidR="00896118" w:rsidRPr="000C06D7">
        <w:rPr>
          <w:rFonts w:ascii="Times New Roman" w:hAnsi="Times New Roman"/>
        </w:rPr>
        <w:t xml:space="preserve">the </w:t>
      </w:r>
      <w:r w:rsidR="00945B67" w:rsidRPr="000C06D7">
        <w:rPr>
          <w:rFonts w:ascii="Times New Roman" w:hAnsi="Times New Roman"/>
        </w:rPr>
        <w:t>three terminals</w:t>
      </w:r>
      <w:r w:rsidR="00C073D3" w:rsidRPr="000C06D7">
        <w:rPr>
          <w:rFonts w:ascii="Times New Roman" w:hAnsi="Times New Roman"/>
        </w:rPr>
        <w:t xml:space="preserve"> at</w:t>
      </w:r>
      <w:r w:rsidR="00896118" w:rsidRPr="000C06D7">
        <w:rPr>
          <w:rFonts w:ascii="Times New Roman" w:hAnsi="Times New Roman"/>
        </w:rPr>
        <w:t xml:space="preserve"> the Port</w:t>
      </w:r>
      <w:r w:rsidR="003E1322" w:rsidRPr="000C06D7">
        <w:rPr>
          <w:rFonts w:ascii="Times New Roman" w:hAnsi="Times New Roman"/>
        </w:rPr>
        <w:t xml:space="preserve">, </w:t>
      </w:r>
      <w:r w:rsidR="00A507C3" w:rsidRPr="000C06D7">
        <w:rPr>
          <w:rFonts w:ascii="Times New Roman" w:hAnsi="Times New Roman"/>
        </w:rPr>
        <w:t xml:space="preserve">at which </w:t>
      </w:r>
      <w:r w:rsidR="009E7FF0" w:rsidRPr="000C06D7">
        <w:rPr>
          <w:rFonts w:ascii="Times New Roman" w:hAnsi="Times New Roman"/>
        </w:rPr>
        <w:t>ships are loaded with coal for export</w:t>
      </w:r>
      <w:r w:rsidR="007F727E" w:rsidRPr="000C06D7">
        <w:rPr>
          <w:rFonts w:ascii="Times New Roman" w:hAnsi="Times New Roman"/>
        </w:rPr>
        <w:t>. The other is</w:t>
      </w:r>
      <w:r w:rsidR="009E7FF0" w:rsidRPr="000C06D7">
        <w:rPr>
          <w:rFonts w:ascii="Times New Roman" w:hAnsi="Times New Roman"/>
        </w:rPr>
        <w:t xml:space="preserve"> the</w:t>
      </w:r>
      <w:r w:rsidR="00EA223C" w:rsidRPr="000C06D7">
        <w:rPr>
          <w:rFonts w:ascii="Times New Roman" w:hAnsi="Times New Roman"/>
        </w:rPr>
        <w:t xml:space="preserve"> </w:t>
      </w:r>
      <w:r w:rsidR="00977CE1" w:rsidRPr="000C06D7">
        <w:rPr>
          <w:rFonts w:ascii="Times New Roman" w:hAnsi="Times New Roman"/>
        </w:rPr>
        <w:t>shipping channels</w:t>
      </w:r>
      <w:r w:rsidR="003E1322" w:rsidRPr="000C06D7">
        <w:rPr>
          <w:rFonts w:ascii="Times New Roman" w:hAnsi="Times New Roman"/>
        </w:rPr>
        <w:t xml:space="preserve">, </w:t>
      </w:r>
      <w:r w:rsidR="009E7FF0" w:rsidRPr="000C06D7">
        <w:rPr>
          <w:rFonts w:ascii="Times New Roman" w:hAnsi="Times New Roman"/>
        </w:rPr>
        <w:t>through which</w:t>
      </w:r>
      <w:r w:rsidR="00001B96" w:rsidRPr="000C06D7">
        <w:rPr>
          <w:rFonts w:ascii="Times New Roman" w:hAnsi="Times New Roman"/>
        </w:rPr>
        <w:t xml:space="preserve"> </w:t>
      </w:r>
      <w:r w:rsidR="00043115" w:rsidRPr="000C06D7">
        <w:rPr>
          <w:rFonts w:ascii="Times New Roman" w:hAnsi="Times New Roman"/>
        </w:rPr>
        <w:t xml:space="preserve">ships </w:t>
      </w:r>
      <w:r w:rsidR="00E37646" w:rsidRPr="000C06D7">
        <w:rPr>
          <w:rFonts w:ascii="Times New Roman" w:hAnsi="Times New Roman"/>
        </w:rPr>
        <w:t xml:space="preserve">entering the Port </w:t>
      </w:r>
      <w:r w:rsidR="00043115" w:rsidRPr="000C06D7">
        <w:rPr>
          <w:rFonts w:ascii="Times New Roman" w:hAnsi="Times New Roman"/>
        </w:rPr>
        <w:t>must pass</w:t>
      </w:r>
      <w:r w:rsidR="006B0267" w:rsidRPr="000C06D7">
        <w:rPr>
          <w:rFonts w:ascii="Times New Roman" w:hAnsi="Times New Roman"/>
        </w:rPr>
        <w:t xml:space="preserve"> </w:t>
      </w:r>
      <w:r w:rsidR="00882B3C" w:rsidRPr="000C06D7">
        <w:rPr>
          <w:rFonts w:ascii="Times New Roman" w:hAnsi="Times New Roman"/>
        </w:rPr>
        <w:t xml:space="preserve">to </w:t>
      </w:r>
      <w:r w:rsidR="00001B96" w:rsidRPr="000C06D7">
        <w:rPr>
          <w:rFonts w:ascii="Times New Roman" w:hAnsi="Times New Roman"/>
        </w:rPr>
        <w:t xml:space="preserve">reach the </w:t>
      </w:r>
      <w:r w:rsidR="006467D6" w:rsidRPr="000C06D7">
        <w:rPr>
          <w:rFonts w:ascii="Times New Roman" w:hAnsi="Times New Roman"/>
        </w:rPr>
        <w:t xml:space="preserve">loading berths and through which ships </w:t>
      </w:r>
      <w:r w:rsidR="005D1DC3" w:rsidRPr="000C06D7">
        <w:rPr>
          <w:rFonts w:ascii="Times New Roman" w:hAnsi="Times New Roman"/>
        </w:rPr>
        <w:t>once</w:t>
      </w:r>
      <w:r w:rsidR="006467D6" w:rsidRPr="000C06D7">
        <w:rPr>
          <w:rFonts w:ascii="Times New Roman" w:hAnsi="Times New Roman"/>
        </w:rPr>
        <w:t xml:space="preserve"> loaded must </w:t>
      </w:r>
      <w:r w:rsidR="005D1DC3" w:rsidRPr="000C06D7">
        <w:rPr>
          <w:rFonts w:ascii="Times New Roman" w:hAnsi="Times New Roman"/>
        </w:rPr>
        <w:t xml:space="preserve">again </w:t>
      </w:r>
      <w:r w:rsidR="006467D6" w:rsidRPr="000C06D7">
        <w:rPr>
          <w:rFonts w:ascii="Times New Roman" w:hAnsi="Times New Roman"/>
        </w:rPr>
        <w:t>pass</w:t>
      </w:r>
      <w:r w:rsidR="00CB731C" w:rsidRPr="000C06D7">
        <w:rPr>
          <w:rFonts w:ascii="Times New Roman" w:hAnsi="Times New Roman"/>
        </w:rPr>
        <w:t xml:space="preserve"> </w:t>
      </w:r>
      <w:r w:rsidR="005D1DC3" w:rsidRPr="000C06D7">
        <w:rPr>
          <w:rFonts w:ascii="Times New Roman" w:hAnsi="Times New Roman"/>
        </w:rPr>
        <w:t xml:space="preserve">to exit </w:t>
      </w:r>
      <w:r w:rsidR="00CB731C" w:rsidRPr="000C06D7">
        <w:rPr>
          <w:rFonts w:ascii="Times New Roman" w:hAnsi="Times New Roman"/>
        </w:rPr>
        <w:t>the Port</w:t>
      </w:r>
      <w:r w:rsidR="00D7001C" w:rsidRPr="000C06D7">
        <w:rPr>
          <w:rFonts w:ascii="Times New Roman" w:hAnsi="Times New Roman"/>
        </w:rPr>
        <w:t>.</w:t>
      </w:r>
      <w:r w:rsidR="00977CE1" w:rsidRPr="000C06D7">
        <w:rPr>
          <w:rFonts w:ascii="Times New Roman" w:hAnsi="Times New Roman"/>
        </w:rPr>
        <w:t xml:space="preserve"> </w:t>
      </w:r>
      <w:r w:rsidR="00E30FE7" w:rsidRPr="000C06D7">
        <w:rPr>
          <w:rFonts w:ascii="Times New Roman" w:hAnsi="Times New Roman"/>
        </w:rPr>
        <w:t>The shipping</w:t>
      </w:r>
      <w:r w:rsidR="00B50D04" w:rsidRPr="000C06D7">
        <w:rPr>
          <w:rFonts w:ascii="Times New Roman" w:hAnsi="Times New Roman"/>
        </w:rPr>
        <w:t xml:space="preserve"> channels</w:t>
      </w:r>
      <w:r w:rsidR="00E30FE7" w:rsidRPr="000C06D7">
        <w:rPr>
          <w:rFonts w:ascii="Times New Roman" w:hAnsi="Times New Roman"/>
        </w:rPr>
        <w:t xml:space="preserve"> </w:t>
      </w:r>
      <w:r w:rsidR="00046206" w:rsidRPr="000C06D7">
        <w:rPr>
          <w:rFonts w:ascii="Times New Roman" w:hAnsi="Times New Roman"/>
        </w:rPr>
        <w:t>were</w:t>
      </w:r>
      <w:r w:rsidR="00E30FE7" w:rsidRPr="000C06D7">
        <w:rPr>
          <w:rFonts w:ascii="Times New Roman" w:hAnsi="Times New Roman"/>
        </w:rPr>
        <w:t xml:space="preserve"> constructed by dredging </w:t>
      </w:r>
      <w:r w:rsidR="009D190B" w:rsidRPr="000C06D7">
        <w:rPr>
          <w:rFonts w:ascii="Times New Roman" w:hAnsi="Times New Roman"/>
        </w:rPr>
        <w:t>and associated public works undertaken</w:t>
      </w:r>
      <w:r w:rsidR="002B7818" w:rsidRPr="000C06D7">
        <w:rPr>
          <w:rFonts w:ascii="Times New Roman" w:hAnsi="Times New Roman"/>
        </w:rPr>
        <w:t xml:space="preserve"> </w:t>
      </w:r>
      <w:r w:rsidR="00376776" w:rsidRPr="000C06D7">
        <w:rPr>
          <w:rFonts w:ascii="Times New Roman" w:hAnsi="Times New Roman"/>
        </w:rPr>
        <w:t xml:space="preserve">by </w:t>
      </w:r>
      <w:r w:rsidR="0036438D" w:rsidRPr="000C06D7">
        <w:rPr>
          <w:rFonts w:ascii="Times New Roman" w:hAnsi="Times New Roman"/>
        </w:rPr>
        <w:t xml:space="preserve">the State of New South Wales </w:t>
      </w:r>
      <w:r w:rsidR="00B7302E" w:rsidRPr="000C06D7">
        <w:rPr>
          <w:rFonts w:ascii="Times New Roman" w:hAnsi="Times New Roman"/>
        </w:rPr>
        <w:t xml:space="preserve">at various times </w:t>
      </w:r>
      <w:r w:rsidR="00BA1F71" w:rsidRPr="000C06D7">
        <w:rPr>
          <w:rFonts w:ascii="Times New Roman" w:hAnsi="Times New Roman"/>
        </w:rPr>
        <w:t>over the course of</w:t>
      </w:r>
      <w:r w:rsidR="00E30FE7" w:rsidRPr="000C06D7">
        <w:rPr>
          <w:rFonts w:ascii="Times New Roman" w:hAnsi="Times New Roman"/>
        </w:rPr>
        <w:t xml:space="preserve"> </w:t>
      </w:r>
      <w:r w:rsidR="00BA1F71" w:rsidRPr="000C06D7">
        <w:rPr>
          <w:rFonts w:ascii="Times New Roman" w:hAnsi="Times New Roman"/>
        </w:rPr>
        <w:t xml:space="preserve">more than a </w:t>
      </w:r>
      <w:r w:rsidR="00E30FE7" w:rsidRPr="000C06D7">
        <w:rPr>
          <w:rFonts w:ascii="Times New Roman" w:hAnsi="Times New Roman"/>
        </w:rPr>
        <w:t>century</w:t>
      </w:r>
      <w:r w:rsidR="002B7818" w:rsidRPr="000C06D7">
        <w:rPr>
          <w:rFonts w:ascii="Times New Roman" w:hAnsi="Times New Roman"/>
        </w:rPr>
        <w:t xml:space="preserve"> before</w:t>
      </w:r>
      <w:r w:rsidR="00046206" w:rsidRPr="000C06D7">
        <w:rPr>
          <w:rFonts w:ascii="Times New Roman" w:hAnsi="Times New Roman"/>
        </w:rPr>
        <w:t xml:space="preserve"> the State </w:t>
      </w:r>
      <w:r w:rsidR="00F66CC9" w:rsidRPr="000C06D7">
        <w:rPr>
          <w:rFonts w:ascii="Times New Roman" w:hAnsi="Times New Roman"/>
        </w:rPr>
        <w:t xml:space="preserve">leased </w:t>
      </w:r>
      <w:r w:rsidR="00046206" w:rsidRPr="000C06D7">
        <w:rPr>
          <w:rFonts w:ascii="Times New Roman" w:hAnsi="Times New Roman"/>
        </w:rPr>
        <w:t>the Port</w:t>
      </w:r>
      <w:r w:rsidR="002B7818" w:rsidRPr="000C06D7">
        <w:rPr>
          <w:rFonts w:ascii="Times New Roman" w:hAnsi="Times New Roman"/>
        </w:rPr>
        <w:t xml:space="preserve"> </w:t>
      </w:r>
      <w:r w:rsidR="00F66CC9" w:rsidRPr="000C06D7">
        <w:rPr>
          <w:rFonts w:ascii="Times New Roman" w:hAnsi="Times New Roman"/>
        </w:rPr>
        <w:t xml:space="preserve">to </w:t>
      </w:r>
      <w:r w:rsidR="00DA25A2" w:rsidRPr="000C06D7">
        <w:rPr>
          <w:rFonts w:ascii="Times New Roman" w:hAnsi="Times New Roman"/>
        </w:rPr>
        <w:t>PNO</w:t>
      </w:r>
      <w:r w:rsidR="00046206" w:rsidRPr="000C06D7">
        <w:rPr>
          <w:rFonts w:ascii="Times New Roman" w:hAnsi="Times New Roman"/>
        </w:rPr>
        <w:t>.</w:t>
      </w:r>
      <w:r w:rsidR="00DA25A2" w:rsidRPr="000C06D7">
        <w:rPr>
          <w:rFonts w:ascii="Times New Roman" w:hAnsi="Times New Roman"/>
        </w:rPr>
        <w:t xml:space="preserve"> </w:t>
      </w:r>
    </w:p>
    <w:p w14:paraId="3E3D1633" w14:textId="075F07CB" w:rsidR="005760B2" w:rsidRPr="000C06D7" w:rsidRDefault="00F53679"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EC0CDF" w:rsidRPr="000C06D7">
        <w:rPr>
          <w:rFonts w:ascii="Times New Roman" w:hAnsi="Times New Roman"/>
        </w:rPr>
        <w:t>The first respondent</w:t>
      </w:r>
      <w:r w:rsidR="00B179C9" w:rsidRPr="000C06D7">
        <w:rPr>
          <w:rFonts w:ascii="Times New Roman" w:hAnsi="Times New Roman"/>
        </w:rPr>
        <w:t xml:space="preserve"> is</w:t>
      </w:r>
      <w:r w:rsidR="00EC0CDF" w:rsidRPr="000C06D7">
        <w:rPr>
          <w:rFonts w:ascii="Times New Roman" w:hAnsi="Times New Roman"/>
        </w:rPr>
        <w:t xml:space="preserve"> </w:t>
      </w:r>
      <w:r w:rsidR="00FB2D9E" w:rsidRPr="000C06D7">
        <w:rPr>
          <w:rFonts w:ascii="Times New Roman" w:hAnsi="Times New Roman"/>
        </w:rPr>
        <w:t>Glencore Coal Assets Australia Pty Ltd</w:t>
      </w:r>
      <w:r w:rsidR="006055BD" w:rsidRPr="000C06D7">
        <w:rPr>
          <w:rFonts w:ascii="Times New Roman" w:hAnsi="Times New Roman"/>
        </w:rPr>
        <w:t xml:space="preserve"> ("Glencore")</w:t>
      </w:r>
      <w:r w:rsidR="00A874F1" w:rsidRPr="000C06D7">
        <w:rPr>
          <w:rFonts w:ascii="Times New Roman" w:hAnsi="Times New Roman"/>
        </w:rPr>
        <w:t xml:space="preserve">. </w:t>
      </w:r>
      <w:r w:rsidR="00757CA2" w:rsidRPr="000C06D7">
        <w:rPr>
          <w:rFonts w:ascii="Times New Roman" w:hAnsi="Times New Roman"/>
        </w:rPr>
        <w:t xml:space="preserve">It </w:t>
      </w:r>
      <w:r w:rsidR="00135636" w:rsidRPr="000C06D7">
        <w:rPr>
          <w:rFonts w:ascii="Times New Roman" w:hAnsi="Times New Roman"/>
        </w:rPr>
        <w:t xml:space="preserve">is the largest </w:t>
      </w:r>
      <w:r w:rsidR="00C2319E" w:rsidRPr="000C06D7">
        <w:rPr>
          <w:rFonts w:ascii="Times New Roman" w:hAnsi="Times New Roman"/>
        </w:rPr>
        <w:t>producer of coal in the Hunter Valley</w:t>
      </w:r>
      <w:r w:rsidR="00BC4398" w:rsidRPr="000C06D7">
        <w:rPr>
          <w:rFonts w:ascii="Times New Roman" w:hAnsi="Times New Roman"/>
        </w:rPr>
        <w:t>.</w:t>
      </w:r>
      <w:r w:rsidR="007B385E" w:rsidRPr="000C06D7">
        <w:rPr>
          <w:rFonts w:ascii="Times New Roman" w:hAnsi="Times New Roman"/>
        </w:rPr>
        <w:t xml:space="preserve"> It</w:t>
      </w:r>
      <w:r w:rsidR="00C2319E" w:rsidRPr="000C06D7">
        <w:rPr>
          <w:rFonts w:ascii="Times New Roman" w:hAnsi="Times New Roman"/>
        </w:rPr>
        <w:t xml:space="preserve"> </w:t>
      </w:r>
      <w:r w:rsidR="002623A6" w:rsidRPr="000C06D7">
        <w:rPr>
          <w:rFonts w:ascii="Times New Roman" w:hAnsi="Times New Roman"/>
        </w:rPr>
        <w:t>own</w:t>
      </w:r>
      <w:r w:rsidR="007B385E" w:rsidRPr="000C06D7">
        <w:rPr>
          <w:rFonts w:ascii="Times New Roman" w:hAnsi="Times New Roman"/>
        </w:rPr>
        <w:t>s</w:t>
      </w:r>
      <w:r w:rsidR="002623A6" w:rsidRPr="000C06D7">
        <w:rPr>
          <w:rFonts w:ascii="Times New Roman" w:hAnsi="Times New Roman"/>
        </w:rPr>
        <w:t xml:space="preserve"> or operat</w:t>
      </w:r>
      <w:r w:rsidR="007B385E" w:rsidRPr="000C06D7">
        <w:rPr>
          <w:rFonts w:ascii="Times New Roman" w:hAnsi="Times New Roman"/>
        </w:rPr>
        <w:t>es</w:t>
      </w:r>
      <w:r w:rsidR="000A1266" w:rsidRPr="000C06D7">
        <w:rPr>
          <w:rFonts w:ascii="Times New Roman" w:hAnsi="Times New Roman"/>
        </w:rPr>
        <w:t xml:space="preserve"> </w:t>
      </w:r>
      <w:r w:rsidR="00BC4398" w:rsidRPr="000C06D7">
        <w:rPr>
          <w:rFonts w:ascii="Times New Roman" w:hAnsi="Times New Roman"/>
        </w:rPr>
        <w:t>roughly</w:t>
      </w:r>
      <w:r w:rsidR="000A1266" w:rsidRPr="000C06D7">
        <w:rPr>
          <w:rFonts w:ascii="Times New Roman" w:hAnsi="Times New Roman"/>
        </w:rPr>
        <w:t xml:space="preserve"> a third of the</w:t>
      </w:r>
      <w:r w:rsidR="00C33E10" w:rsidRPr="000C06D7">
        <w:rPr>
          <w:rFonts w:ascii="Times New Roman" w:hAnsi="Times New Roman"/>
        </w:rPr>
        <w:t xml:space="preserve"> mines </w:t>
      </w:r>
      <w:r w:rsidR="00A453BD" w:rsidRPr="000C06D7">
        <w:rPr>
          <w:rFonts w:ascii="Times New Roman" w:hAnsi="Times New Roman"/>
        </w:rPr>
        <w:t>produc</w:t>
      </w:r>
      <w:r w:rsidR="00CE42B9" w:rsidRPr="000C06D7">
        <w:rPr>
          <w:rFonts w:ascii="Times New Roman" w:hAnsi="Times New Roman"/>
        </w:rPr>
        <w:t>ing</w:t>
      </w:r>
      <w:r w:rsidR="00A453BD" w:rsidRPr="000C06D7">
        <w:rPr>
          <w:rFonts w:ascii="Times New Roman" w:hAnsi="Times New Roman"/>
        </w:rPr>
        <w:t xml:space="preserve"> </w:t>
      </w:r>
      <w:r w:rsidR="005B6374" w:rsidRPr="000C06D7">
        <w:rPr>
          <w:rFonts w:ascii="Times New Roman" w:hAnsi="Times New Roman"/>
        </w:rPr>
        <w:t xml:space="preserve">the </w:t>
      </w:r>
      <w:r w:rsidR="00225408" w:rsidRPr="000C06D7">
        <w:rPr>
          <w:rFonts w:ascii="Times New Roman" w:hAnsi="Times New Roman"/>
        </w:rPr>
        <w:t>coal</w:t>
      </w:r>
      <w:r w:rsidR="00A453BD" w:rsidRPr="000C06D7">
        <w:rPr>
          <w:rFonts w:ascii="Times New Roman" w:hAnsi="Times New Roman"/>
        </w:rPr>
        <w:t xml:space="preserve"> </w:t>
      </w:r>
      <w:r w:rsidR="005B6374" w:rsidRPr="000C06D7">
        <w:rPr>
          <w:rFonts w:ascii="Times New Roman" w:hAnsi="Times New Roman"/>
        </w:rPr>
        <w:t xml:space="preserve">that is </w:t>
      </w:r>
      <w:r w:rsidR="002B4275" w:rsidRPr="000C06D7">
        <w:rPr>
          <w:rFonts w:ascii="Times New Roman" w:hAnsi="Times New Roman"/>
        </w:rPr>
        <w:t>export</w:t>
      </w:r>
      <w:r w:rsidR="00267CCB" w:rsidRPr="000C06D7">
        <w:rPr>
          <w:rFonts w:ascii="Times New Roman" w:hAnsi="Times New Roman"/>
        </w:rPr>
        <w:t>ed</w:t>
      </w:r>
      <w:r w:rsidR="002B4275" w:rsidRPr="000C06D7">
        <w:rPr>
          <w:rFonts w:ascii="Times New Roman" w:hAnsi="Times New Roman"/>
        </w:rPr>
        <w:t xml:space="preserve"> </w:t>
      </w:r>
      <w:r w:rsidR="00004F08" w:rsidRPr="000C06D7">
        <w:rPr>
          <w:rFonts w:ascii="Times New Roman" w:hAnsi="Times New Roman"/>
        </w:rPr>
        <w:t>through</w:t>
      </w:r>
      <w:r w:rsidR="00B41EF5" w:rsidRPr="000C06D7">
        <w:rPr>
          <w:rFonts w:ascii="Times New Roman" w:hAnsi="Times New Roman"/>
        </w:rPr>
        <w:t xml:space="preserve"> </w:t>
      </w:r>
      <w:r w:rsidR="00004F08" w:rsidRPr="000C06D7">
        <w:rPr>
          <w:rFonts w:ascii="Times New Roman" w:hAnsi="Times New Roman"/>
        </w:rPr>
        <w:t>the Port</w:t>
      </w:r>
      <w:r w:rsidR="00DE79EB" w:rsidRPr="000C06D7">
        <w:rPr>
          <w:rFonts w:ascii="Times New Roman" w:hAnsi="Times New Roman"/>
        </w:rPr>
        <w:t>.</w:t>
      </w:r>
      <w:r w:rsidR="007F28C0" w:rsidRPr="000C06D7">
        <w:rPr>
          <w:rFonts w:ascii="Times New Roman" w:hAnsi="Times New Roman"/>
        </w:rPr>
        <w:t xml:space="preserve"> </w:t>
      </w:r>
    </w:p>
    <w:p w14:paraId="196EDFD1" w14:textId="1B6C909B" w:rsidR="007A481A" w:rsidRPr="000C06D7" w:rsidRDefault="005760B2"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965B58" w:rsidRPr="000C06D7">
        <w:rPr>
          <w:rFonts w:ascii="Times New Roman" w:hAnsi="Times New Roman"/>
        </w:rPr>
        <w:t xml:space="preserve">To </w:t>
      </w:r>
      <w:r w:rsidR="004227AB" w:rsidRPr="000C06D7">
        <w:rPr>
          <w:rFonts w:ascii="Times New Roman" w:hAnsi="Times New Roman"/>
        </w:rPr>
        <w:t xml:space="preserve">facilitate the export </w:t>
      </w:r>
      <w:r w:rsidR="00681025" w:rsidRPr="000C06D7">
        <w:rPr>
          <w:rFonts w:ascii="Times New Roman" w:hAnsi="Times New Roman"/>
        </w:rPr>
        <w:t xml:space="preserve">through the Port </w:t>
      </w:r>
      <w:r w:rsidR="004227AB" w:rsidRPr="000C06D7">
        <w:rPr>
          <w:rFonts w:ascii="Times New Roman" w:hAnsi="Times New Roman"/>
        </w:rPr>
        <w:t>of</w:t>
      </w:r>
      <w:r w:rsidR="00965B58" w:rsidRPr="000C06D7">
        <w:rPr>
          <w:rFonts w:ascii="Times New Roman" w:hAnsi="Times New Roman"/>
        </w:rPr>
        <w:t xml:space="preserve"> the coal</w:t>
      </w:r>
      <w:r w:rsidR="004227AB" w:rsidRPr="000C06D7">
        <w:rPr>
          <w:rFonts w:ascii="Times New Roman" w:hAnsi="Times New Roman"/>
        </w:rPr>
        <w:t xml:space="preserve"> that</w:t>
      </w:r>
      <w:r w:rsidR="00965B58" w:rsidRPr="000C06D7">
        <w:rPr>
          <w:rFonts w:ascii="Times New Roman" w:hAnsi="Times New Roman"/>
        </w:rPr>
        <w:t xml:space="preserve"> </w:t>
      </w:r>
      <w:r w:rsidR="009F3BF8" w:rsidRPr="000C06D7">
        <w:rPr>
          <w:rFonts w:ascii="Times New Roman" w:hAnsi="Times New Roman"/>
        </w:rPr>
        <w:t>Glencore</w:t>
      </w:r>
      <w:r w:rsidR="00965B58" w:rsidRPr="000C06D7">
        <w:rPr>
          <w:rFonts w:ascii="Times New Roman" w:hAnsi="Times New Roman"/>
        </w:rPr>
        <w:t xml:space="preserve"> produces</w:t>
      </w:r>
      <w:r w:rsidR="00D561F5" w:rsidRPr="000C06D7">
        <w:rPr>
          <w:rFonts w:ascii="Times New Roman" w:hAnsi="Times New Roman"/>
        </w:rPr>
        <w:t xml:space="preserve"> at its mines</w:t>
      </w:r>
      <w:r w:rsidR="001D10F9" w:rsidRPr="000C06D7">
        <w:rPr>
          <w:rFonts w:ascii="Times New Roman" w:hAnsi="Times New Roman"/>
        </w:rPr>
        <w:t xml:space="preserve">, </w:t>
      </w:r>
      <w:r w:rsidR="00B7302E" w:rsidRPr="000C06D7">
        <w:rPr>
          <w:rFonts w:ascii="Times New Roman" w:hAnsi="Times New Roman"/>
        </w:rPr>
        <w:t>Glencore</w:t>
      </w:r>
      <w:r w:rsidR="009F3BF8" w:rsidRPr="000C06D7">
        <w:rPr>
          <w:rFonts w:ascii="Times New Roman" w:hAnsi="Times New Roman"/>
        </w:rPr>
        <w:t xml:space="preserve"> </w:t>
      </w:r>
      <w:r w:rsidR="008F4B31" w:rsidRPr="000C06D7">
        <w:rPr>
          <w:rFonts w:ascii="Times New Roman" w:hAnsi="Times New Roman"/>
        </w:rPr>
        <w:t xml:space="preserve">has </w:t>
      </w:r>
      <w:r w:rsidR="003D7B37" w:rsidRPr="000C06D7">
        <w:rPr>
          <w:rFonts w:ascii="Times New Roman" w:hAnsi="Times New Roman"/>
        </w:rPr>
        <w:t>enter</w:t>
      </w:r>
      <w:r w:rsidR="008969E6" w:rsidRPr="000C06D7">
        <w:rPr>
          <w:rFonts w:ascii="Times New Roman" w:hAnsi="Times New Roman"/>
        </w:rPr>
        <w:t>ed</w:t>
      </w:r>
      <w:r w:rsidR="003D7B37" w:rsidRPr="000C06D7">
        <w:rPr>
          <w:rFonts w:ascii="Times New Roman" w:hAnsi="Times New Roman"/>
        </w:rPr>
        <w:t xml:space="preserve"> into a series of long term "take or pay" contracts</w:t>
      </w:r>
      <w:r w:rsidR="008F4B31" w:rsidRPr="000C06D7">
        <w:rPr>
          <w:rFonts w:ascii="Times New Roman" w:hAnsi="Times New Roman"/>
        </w:rPr>
        <w:t xml:space="preserve"> with </w:t>
      </w:r>
      <w:r w:rsidR="00D561F5" w:rsidRPr="000C06D7">
        <w:rPr>
          <w:rFonts w:ascii="Times New Roman" w:hAnsi="Times New Roman"/>
        </w:rPr>
        <w:t>downstream service providers</w:t>
      </w:r>
      <w:r w:rsidR="001D10F9" w:rsidRPr="000C06D7">
        <w:rPr>
          <w:rFonts w:ascii="Times New Roman" w:hAnsi="Times New Roman"/>
        </w:rPr>
        <w:t xml:space="preserve">. </w:t>
      </w:r>
      <w:r w:rsidR="00970507" w:rsidRPr="000C06D7">
        <w:rPr>
          <w:rFonts w:ascii="Times New Roman" w:hAnsi="Times New Roman"/>
        </w:rPr>
        <w:t>It</w:t>
      </w:r>
      <w:r w:rsidR="006D13A4" w:rsidRPr="000C06D7">
        <w:rPr>
          <w:rFonts w:ascii="Times New Roman" w:hAnsi="Times New Roman"/>
        </w:rPr>
        <w:t xml:space="preserve"> </w:t>
      </w:r>
      <w:r w:rsidR="0082296C" w:rsidRPr="000C06D7">
        <w:rPr>
          <w:rFonts w:ascii="Times New Roman" w:hAnsi="Times New Roman"/>
        </w:rPr>
        <w:t xml:space="preserve">has </w:t>
      </w:r>
      <w:r w:rsidR="00641533" w:rsidRPr="000C06D7">
        <w:rPr>
          <w:rFonts w:ascii="Times New Roman" w:hAnsi="Times New Roman"/>
        </w:rPr>
        <w:t>organised</w:t>
      </w:r>
      <w:r w:rsidR="00970507" w:rsidRPr="000C06D7">
        <w:rPr>
          <w:rFonts w:ascii="Times New Roman" w:hAnsi="Times New Roman"/>
        </w:rPr>
        <w:t xml:space="preserve"> for </w:t>
      </w:r>
      <w:r w:rsidR="0082296C" w:rsidRPr="000C06D7">
        <w:rPr>
          <w:rFonts w:ascii="Times New Roman" w:hAnsi="Times New Roman"/>
        </w:rPr>
        <w:t xml:space="preserve">the </w:t>
      </w:r>
      <w:r w:rsidR="0019749C" w:rsidRPr="000C06D7">
        <w:rPr>
          <w:rFonts w:ascii="Times New Roman" w:hAnsi="Times New Roman"/>
        </w:rPr>
        <w:t xml:space="preserve">coal to be transported </w:t>
      </w:r>
      <w:r w:rsidR="00570D6D" w:rsidRPr="000C06D7">
        <w:rPr>
          <w:rFonts w:ascii="Times New Roman" w:hAnsi="Times New Roman"/>
        </w:rPr>
        <w:t xml:space="preserve">from the mine </w:t>
      </w:r>
      <w:r w:rsidR="00A46776" w:rsidRPr="000C06D7">
        <w:rPr>
          <w:rFonts w:ascii="Times New Roman" w:hAnsi="Times New Roman"/>
        </w:rPr>
        <w:t>to the Port</w:t>
      </w:r>
      <w:r w:rsidR="001A4C12" w:rsidRPr="000C06D7">
        <w:rPr>
          <w:rFonts w:ascii="Times New Roman" w:hAnsi="Times New Roman"/>
        </w:rPr>
        <w:t xml:space="preserve"> </w:t>
      </w:r>
      <w:r w:rsidR="00DC35FC" w:rsidRPr="000C06D7">
        <w:rPr>
          <w:rFonts w:ascii="Times New Roman" w:hAnsi="Times New Roman"/>
        </w:rPr>
        <w:t>under</w:t>
      </w:r>
      <w:r w:rsidR="00AB0C14" w:rsidRPr="000C06D7">
        <w:rPr>
          <w:rFonts w:ascii="Times New Roman" w:hAnsi="Times New Roman"/>
        </w:rPr>
        <w:t xml:space="preserve"> </w:t>
      </w:r>
      <w:r w:rsidR="007E0EA2" w:rsidRPr="000C06D7">
        <w:rPr>
          <w:rFonts w:ascii="Times New Roman" w:hAnsi="Times New Roman"/>
        </w:rPr>
        <w:t xml:space="preserve">long term </w:t>
      </w:r>
      <w:r w:rsidR="00AB0C14" w:rsidRPr="000C06D7">
        <w:rPr>
          <w:rFonts w:ascii="Times New Roman" w:hAnsi="Times New Roman"/>
        </w:rPr>
        <w:t xml:space="preserve">contracts </w:t>
      </w:r>
      <w:r w:rsidR="000E4760" w:rsidRPr="000C06D7">
        <w:rPr>
          <w:rFonts w:ascii="Times New Roman" w:hAnsi="Times New Roman"/>
        </w:rPr>
        <w:t xml:space="preserve">both </w:t>
      </w:r>
      <w:r w:rsidR="003F76FA" w:rsidRPr="000C06D7">
        <w:rPr>
          <w:rFonts w:ascii="Times New Roman" w:hAnsi="Times New Roman"/>
        </w:rPr>
        <w:t xml:space="preserve">with rail haulage </w:t>
      </w:r>
      <w:r w:rsidR="00066303" w:rsidRPr="000C06D7">
        <w:rPr>
          <w:rFonts w:ascii="Times New Roman" w:hAnsi="Times New Roman"/>
        </w:rPr>
        <w:t>providers</w:t>
      </w:r>
      <w:r w:rsidR="005A1DAB" w:rsidRPr="000C06D7">
        <w:rPr>
          <w:rFonts w:ascii="Times New Roman" w:hAnsi="Times New Roman"/>
        </w:rPr>
        <w:t xml:space="preserve"> </w:t>
      </w:r>
      <w:r w:rsidR="00FA7625" w:rsidRPr="000C06D7">
        <w:rPr>
          <w:rFonts w:ascii="Times New Roman" w:hAnsi="Times New Roman"/>
        </w:rPr>
        <w:t xml:space="preserve">and </w:t>
      </w:r>
      <w:r w:rsidR="000314EA" w:rsidRPr="000C06D7">
        <w:rPr>
          <w:rFonts w:ascii="Times New Roman" w:hAnsi="Times New Roman"/>
        </w:rPr>
        <w:t xml:space="preserve">separately </w:t>
      </w:r>
      <w:r w:rsidR="006A1928" w:rsidRPr="000C06D7">
        <w:rPr>
          <w:rFonts w:ascii="Times New Roman" w:hAnsi="Times New Roman"/>
        </w:rPr>
        <w:t>with Australian Rail Track Corporation</w:t>
      </w:r>
      <w:r w:rsidR="00504D3D" w:rsidRPr="000C06D7">
        <w:rPr>
          <w:rFonts w:ascii="Times New Roman" w:hAnsi="Times New Roman"/>
        </w:rPr>
        <w:t xml:space="preserve">, which provides </w:t>
      </w:r>
      <w:r w:rsidR="00504D3D" w:rsidRPr="000C06D7">
        <w:rPr>
          <w:rFonts w:ascii="Times New Roman" w:hAnsi="Times New Roman"/>
        </w:rPr>
        <w:lastRenderedPageBreak/>
        <w:t xml:space="preserve">use of the </w:t>
      </w:r>
      <w:r w:rsidR="000E4760" w:rsidRPr="000C06D7">
        <w:rPr>
          <w:rFonts w:ascii="Times New Roman" w:hAnsi="Times New Roman"/>
        </w:rPr>
        <w:t>track</w:t>
      </w:r>
      <w:r w:rsidR="00530FF9" w:rsidRPr="000C06D7">
        <w:rPr>
          <w:rFonts w:ascii="Times New Roman" w:hAnsi="Times New Roman"/>
        </w:rPr>
        <w:t xml:space="preserve">. </w:t>
      </w:r>
      <w:r w:rsidR="0082296C" w:rsidRPr="000C06D7">
        <w:rPr>
          <w:rFonts w:ascii="Times New Roman" w:hAnsi="Times New Roman"/>
        </w:rPr>
        <w:t xml:space="preserve">It has </w:t>
      </w:r>
      <w:r w:rsidR="00641533" w:rsidRPr="000C06D7">
        <w:rPr>
          <w:rFonts w:ascii="Times New Roman" w:hAnsi="Times New Roman"/>
        </w:rPr>
        <w:t>organised</w:t>
      </w:r>
      <w:r w:rsidR="0082296C" w:rsidRPr="000C06D7">
        <w:rPr>
          <w:rFonts w:ascii="Times New Roman" w:hAnsi="Times New Roman"/>
        </w:rPr>
        <w:t xml:space="preserve"> for the coal</w:t>
      </w:r>
      <w:r w:rsidR="00A31E8D" w:rsidRPr="000C06D7">
        <w:rPr>
          <w:rFonts w:ascii="Times New Roman" w:hAnsi="Times New Roman"/>
        </w:rPr>
        <w:t xml:space="preserve"> </w:t>
      </w:r>
      <w:r w:rsidR="00DC5258" w:rsidRPr="000C06D7">
        <w:rPr>
          <w:rFonts w:ascii="Times New Roman" w:hAnsi="Times New Roman"/>
        </w:rPr>
        <w:t xml:space="preserve">then </w:t>
      </w:r>
      <w:r w:rsidR="00A31E8D" w:rsidRPr="000C06D7">
        <w:rPr>
          <w:rFonts w:ascii="Times New Roman" w:hAnsi="Times New Roman"/>
        </w:rPr>
        <w:t xml:space="preserve">to be loaded </w:t>
      </w:r>
      <w:r w:rsidR="005C1039" w:rsidRPr="000C06D7">
        <w:rPr>
          <w:rFonts w:ascii="Times New Roman" w:hAnsi="Times New Roman"/>
        </w:rPr>
        <w:t xml:space="preserve">onto ships berthed at </w:t>
      </w:r>
      <w:r w:rsidR="00C76075" w:rsidRPr="000C06D7">
        <w:rPr>
          <w:rFonts w:ascii="Times New Roman" w:hAnsi="Times New Roman"/>
        </w:rPr>
        <w:t xml:space="preserve">one of </w:t>
      </w:r>
      <w:r w:rsidR="005C1039" w:rsidRPr="000C06D7">
        <w:rPr>
          <w:rFonts w:ascii="Times New Roman" w:hAnsi="Times New Roman"/>
        </w:rPr>
        <w:t>the three terminals located at the Port</w:t>
      </w:r>
      <w:r w:rsidR="000C7266" w:rsidRPr="000C06D7">
        <w:rPr>
          <w:rFonts w:ascii="Times New Roman" w:hAnsi="Times New Roman"/>
        </w:rPr>
        <w:t xml:space="preserve">, </w:t>
      </w:r>
      <w:r w:rsidR="00DC35FC" w:rsidRPr="000C06D7">
        <w:rPr>
          <w:rFonts w:ascii="Times New Roman" w:hAnsi="Times New Roman"/>
        </w:rPr>
        <w:t>under</w:t>
      </w:r>
      <w:r w:rsidR="00D234B7" w:rsidRPr="000C06D7">
        <w:rPr>
          <w:rFonts w:ascii="Times New Roman" w:hAnsi="Times New Roman"/>
        </w:rPr>
        <w:t xml:space="preserve"> </w:t>
      </w:r>
      <w:r w:rsidR="00326305" w:rsidRPr="000C06D7">
        <w:rPr>
          <w:rFonts w:ascii="Times New Roman" w:hAnsi="Times New Roman"/>
        </w:rPr>
        <w:t xml:space="preserve">a </w:t>
      </w:r>
      <w:r w:rsidR="007E0EA2" w:rsidRPr="000C06D7">
        <w:rPr>
          <w:rFonts w:ascii="Times New Roman" w:hAnsi="Times New Roman"/>
        </w:rPr>
        <w:t xml:space="preserve">long term </w:t>
      </w:r>
      <w:r w:rsidR="00326305" w:rsidRPr="000C06D7">
        <w:rPr>
          <w:rFonts w:ascii="Times New Roman" w:hAnsi="Times New Roman"/>
        </w:rPr>
        <w:t>contract</w:t>
      </w:r>
      <w:r w:rsidR="006C7A04" w:rsidRPr="000C06D7">
        <w:rPr>
          <w:rFonts w:ascii="Times New Roman" w:hAnsi="Times New Roman"/>
        </w:rPr>
        <w:t xml:space="preserve"> </w:t>
      </w:r>
      <w:r w:rsidR="00D234B7" w:rsidRPr="000C06D7">
        <w:rPr>
          <w:rFonts w:ascii="Times New Roman" w:hAnsi="Times New Roman"/>
        </w:rPr>
        <w:t xml:space="preserve">with the </w:t>
      </w:r>
      <w:r w:rsidR="00700FE5" w:rsidRPr="000C06D7">
        <w:rPr>
          <w:rFonts w:ascii="Times New Roman" w:hAnsi="Times New Roman"/>
        </w:rPr>
        <w:t xml:space="preserve">coal loader </w:t>
      </w:r>
      <w:r w:rsidR="004B6F2F" w:rsidRPr="000C06D7">
        <w:rPr>
          <w:rFonts w:ascii="Times New Roman" w:hAnsi="Times New Roman"/>
        </w:rPr>
        <w:t xml:space="preserve">operating at </w:t>
      </w:r>
      <w:r w:rsidR="00D234B7" w:rsidRPr="000C06D7">
        <w:rPr>
          <w:rFonts w:ascii="Times New Roman" w:hAnsi="Times New Roman"/>
        </w:rPr>
        <w:t>th</w:t>
      </w:r>
      <w:r w:rsidR="007437F9" w:rsidRPr="000C06D7">
        <w:rPr>
          <w:rFonts w:ascii="Times New Roman" w:hAnsi="Times New Roman"/>
        </w:rPr>
        <w:t>at</w:t>
      </w:r>
      <w:r w:rsidR="00D234B7" w:rsidRPr="000C06D7">
        <w:rPr>
          <w:rFonts w:ascii="Times New Roman" w:hAnsi="Times New Roman"/>
        </w:rPr>
        <w:t xml:space="preserve"> terminal. </w:t>
      </w:r>
    </w:p>
    <w:p w14:paraId="1BF1A64C" w14:textId="77139620" w:rsidR="006055BD" w:rsidRPr="000C06D7" w:rsidRDefault="007A481A"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D234B7" w:rsidRPr="000C06D7">
        <w:rPr>
          <w:rFonts w:ascii="Times New Roman" w:hAnsi="Times New Roman"/>
        </w:rPr>
        <w:t>M</w:t>
      </w:r>
      <w:r w:rsidR="005B416D" w:rsidRPr="000C06D7">
        <w:rPr>
          <w:rFonts w:ascii="Times New Roman" w:hAnsi="Times New Roman"/>
        </w:rPr>
        <w:t>ost</w:t>
      </w:r>
      <w:r w:rsidR="007E35CF" w:rsidRPr="000C06D7">
        <w:rPr>
          <w:rFonts w:ascii="Times New Roman" w:hAnsi="Times New Roman"/>
        </w:rPr>
        <w:t xml:space="preserve"> of </w:t>
      </w:r>
      <w:r w:rsidR="00506673" w:rsidRPr="000C06D7">
        <w:rPr>
          <w:rFonts w:ascii="Times New Roman" w:hAnsi="Times New Roman"/>
        </w:rPr>
        <w:t>th</w:t>
      </w:r>
      <w:r w:rsidR="00F36B3F" w:rsidRPr="000C06D7">
        <w:rPr>
          <w:rFonts w:ascii="Times New Roman" w:hAnsi="Times New Roman"/>
        </w:rPr>
        <w:t>e</w:t>
      </w:r>
      <w:r w:rsidR="0060353E" w:rsidRPr="000C06D7">
        <w:rPr>
          <w:rFonts w:ascii="Times New Roman" w:hAnsi="Times New Roman"/>
        </w:rPr>
        <w:t xml:space="preserve"> </w:t>
      </w:r>
      <w:r w:rsidR="007E35CF" w:rsidRPr="000C06D7">
        <w:rPr>
          <w:rFonts w:ascii="Times New Roman" w:hAnsi="Times New Roman"/>
        </w:rPr>
        <w:t>coal</w:t>
      </w:r>
      <w:r w:rsidR="006131C9" w:rsidRPr="000C06D7">
        <w:rPr>
          <w:rFonts w:ascii="Times New Roman" w:hAnsi="Times New Roman"/>
        </w:rPr>
        <w:t xml:space="preserve"> </w:t>
      </w:r>
      <w:r w:rsidR="00A00D0F" w:rsidRPr="000C06D7">
        <w:rPr>
          <w:rFonts w:ascii="Times New Roman" w:hAnsi="Times New Roman"/>
        </w:rPr>
        <w:t xml:space="preserve">produced by Glencore </w:t>
      </w:r>
      <w:r w:rsidR="00F36B3F" w:rsidRPr="000C06D7">
        <w:rPr>
          <w:rFonts w:ascii="Times New Roman" w:hAnsi="Times New Roman"/>
        </w:rPr>
        <w:t>that is</w:t>
      </w:r>
      <w:r w:rsidR="00232074" w:rsidRPr="000C06D7">
        <w:rPr>
          <w:rFonts w:ascii="Times New Roman" w:hAnsi="Times New Roman"/>
        </w:rPr>
        <w:t xml:space="preserve"> </w:t>
      </w:r>
      <w:r w:rsidR="00EB565E" w:rsidRPr="000C06D7">
        <w:rPr>
          <w:rFonts w:ascii="Times New Roman" w:hAnsi="Times New Roman"/>
        </w:rPr>
        <w:t>by those means</w:t>
      </w:r>
      <w:r w:rsidR="00F36B3F" w:rsidRPr="000C06D7">
        <w:rPr>
          <w:rFonts w:ascii="Times New Roman" w:hAnsi="Times New Roman"/>
        </w:rPr>
        <w:t xml:space="preserve"> </w:t>
      </w:r>
      <w:r w:rsidR="00715F86" w:rsidRPr="000C06D7">
        <w:rPr>
          <w:rFonts w:ascii="Times New Roman" w:hAnsi="Times New Roman"/>
        </w:rPr>
        <w:t xml:space="preserve">transported by rail </w:t>
      </w:r>
      <w:r w:rsidR="007D435A" w:rsidRPr="000C06D7">
        <w:rPr>
          <w:rFonts w:ascii="Times New Roman" w:hAnsi="Times New Roman"/>
        </w:rPr>
        <w:t>from the mine to the Port and there</w:t>
      </w:r>
      <w:r w:rsidR="00B577AB" w:rsidRPr="000C06D7">
        <w:rPr>
          <w:rFonts w:ascii="Times New Roman" w:hAnsi="Times New Roman"/>
        </w:rPr>
        <w:t xml:space="preserve"> </w:t>
      </w:r>
      <w:r w:rsidR="00F36B3F" w:rsidRPr="000C06D7">
        <w:rPr>
          <w:rFonts w:ascii="Times New Roman" w:hAnsi="Times New Roman"/>
        </w:rPr>
        <w:t xml:space="preserve">loaded </w:t>
      </w:r>
      <w:r w:rsidR="0099596B" w:rsidRPr="000C06D7">
        <w:rPr>
          <w:rFonts w:ascii="Times New Roman" w:hAnsi="Times New Roman"/>
        </w:rPr>
        <w:t xml:space="preserve">onto ships berthed at </w:t>
      </w:r>
      <w:r w:rsidR="00F4411B" w:rsidRPr="000C06D7">
        <w:rPr>
          <w:rFonts w:ascii="Times New Roman" w:hAnsi="Times New Roman"/>
        </w:rPr>
        <w:t xml:space="preserve">a terminal </w:t>
      </w:r>
      <w:r w:rsidR="00A00D0F" w:rsidRPr="000C06D7">
        <w:rPr>
          <w:rFonts w:ascii="Times New Roman" w:hAnsi="Times New Roman"/>
        </w:rPr>
        <w:t xml:space="preserve">is sold by </w:t>
      </w:r>
      <w:r w:rsidR="0075006C" w:rsidRPr="000C06D7">
        <w:rPr>
          <w:rFonts w:ascii="Times New Roman" w:hAnsi="Times New Roman"/>
        </w:rPr>
        <w:t>Glencore</w:t>
      </w:r>
      <w:r w:rsidR="003F2368" w:rsidRPr="000C06D7">
        <w:rPr>
          <w:rFonts w:ascii="Times New Roman" w:hAnsi="Times New Roman"/>
        </w:rPr>
        <w:t xml:space="preserve"> </w:t>
      </w:r>
      <w:r w:rsidR="0060353E" w:rsidRPr="000C06D7">
        <w:rPr>
          <w:rFonts w:ascii="Times New Roman" w:hAnsi="Times New Roman"/>
        </w:rPr>
        <w:t xml:space="preserve">to overseas </w:t>
      </w:r>
      <w:r w:rsidR="00571A53" w:rsidRPr="000C06D7">
        <w:rPr>
          <w:rFonts w:ascii="Times New Roman" w:hAnsi="Times New Roman"/>
        </w:rPr>
        <w:t xml:space="preserve">buyers </w:t>
      </w:r>
      <w:r w:rsidR="003C1DA5" w:rsidRPr="000C06D7">
        <w:rPr>
          <w:rFonts w:ascii="Times New Roman" w:hAnsi="Times New Roman"/>
        </w:rPr>
        <w:t>under</w:t>
      </w:r>
      <w:r w:rsidR="00737A1F" w:rsidRPr="000C06D7">
        <w:rPr>
          <w:rFonts w:ascii="Times New Roman" w:hAnsi="Times New Roman"/>
        </w:rPr>
        <w:t xml:space="preserve"> </w:t>
      </w:r>
      <w:r w:rsidR="00CA623F" w:rsidRPr="000C06D7">
        <w:rPr>
          <w:rFonts w:ascii="Times New Roman" w:hAnsi="Times New Roman"/>
        </w:rPr>
        <w:t>"free on board" ("FOB") contrac</w:t>
      </w:r>
      <w:r w:rsidR="00836B5D" w:rsidRPr="000C06D7">
        <w:rPr>
          <w:rFonts w:ascii="Times New Roman" w:hAnsi="Times New Roman"/>
        </w:rPr>
        <w:t>ts</w:t>
      </w:r>
      <w:r w:rsidR="00866A37" w:rsidRPr="000C06D7">
        <w:rPr>
          <w:rFonts w:ascii="Times New Roman" w:hAnsi="Times New Roman"/>
        </w:rPr>
        <w:t xml:space="preserve">. </w:t>
      </w:r>
      <w:r w:rsidR="003F2368" w:rsidRPr="000C06D7">
        <w:rPr>
          <w:rFonts w:ascii="Times New Roman" w:hAnsi="Times New Roman"/>
        </w:rPr>
        <w:t>Under</w:t>
      </w:r>
      <w:r w:rsidR="003C1DA5" w:rsidRPr="000C06D7">
        <w:rPr>
          <w:rFonts w:ascii="Times New Roman" w:hAnsi="Times New Roman"/>
        </w:rPr>
        <w:t xml:space="preserve"> </w:t>
      </w:r>
      <w:r w:rsidR="00F03B89" w:rsidRPr="000C06D7">
        <w:rPr>
          <w:rFonts w:ascii="Times New Roman" w:hAnsi="Times New Roman"/>
        </w:rPr>
        <w:t>a</w:t>
      </w:r>
      <w:r w:rsidR="00AE6EF9" w:rsidRPr="000C06D7">
        <w:rPr>
          <w:rFonts w:ascii="Times New Roman" w:hAnsi="Times New Roman"/>
        </w:rPr>
        <w:t xml:space="preserve"> standard</w:t>
      </w:r>
      <w:r w:rsidR="00910EA2" w:rsidRPr="000C06D7">
        <w:rPr>
          <w:rFonts w:ascii="Times New Roman" w:hAnsi="Times New Roman"/>
        </w:rPr>
        <w:t xml:space="preserve"> FOB</w:t>
      </w:r>
      <w:r w:rsidR="00866A37" w:rsidRPr="000C06D7">
        <w:rPr>
          <w:rFonts w:ascii="Times New Roman" w:hAnsi="Times New Roman"/>
        </w:rPr>
        <w:t xml:space="preserve"> contract,</w:t>
      </w:r>
      <w:r w:rsidR="003C7D79" w:rsidRPr="000C06D7">
        <w:rPr>
          <w:rFonts w:ascii="Times New Roman" w:hAnsi="Times New Roman"/>
        </w:rPr>
        <w:t xml:space="preserve"> </w:t>
      </w:r>
      <w:r w:rsidR="00052ABA" w:rsidRPr="000C06D7">
        <w:rPr>
          <w:rFonts w:ascii="Times New Roman" w:hAnsi="Times New Roman"/>
        </w:rPr>
        <w:t>the seller is</w:t>
      </w:r>
      <w:r w:rsidR="00FB3876" w:rsidRPr="000C06D7">
        <w:rPr>
          <w:rFonts w:ascii="Times New Roman" w:hAnsi="Times New Roman"/>
        </w:rPr>
        <w:t xml:space="preserve"> required to deliver</w:t>
      </w:r>
      <w:r w:rsidR="00052ABA" w:rsidRPr="000C06D7">
        <w:rPr>
          <w:rFonts w:ascii="Times New Roman" w:hAnsi="Times New Roman"/>
        </w:rPr>
        <w:t xml:space="preserve"> </w:t>
      </w:r>
      <w:r w:rsidR="004B66A0" w:rsidRPr="000C06D7">
        <w:rPr>
          <w:rFonts w:ascii="Times New Roman" w:hAnsi="Times New Roman"/>
        </w:rPr>
        <w:t>the goods sold</w:t>
      </w:r>
      <w:r w:rsidR="003F3237" w:rsidRPr="000C06D7">
        <w:rPr>
          <w:rFonts w:ascii="Times New Roman" w:hAnsi="Times New Roman"/>
        </w:rPr>
        <w:t xml:space="preserve"> </w:t>
      </w:r>
      <w:r w:rsidR="00A90572" w:rsidRPr="000C06D7">
        <w:rPr>
          <w:rFonts w:ascii="Times New Roman" w:hAnsi="Times New Roman"/>
        </w:rPr>
        <w:t xml:space="preserve">onto </w:t>
      </w:r>
      <w:r w:rsidR="005B0FEB" w:rsidRPr="000C06D7">
        <w:rPr>
          <w:rFonts w:ascii="Times New Roman" w:hAnsi="Times New Roman"/>
        </w:rPr>
        <w:t>a ship</w:t>
      </w:r>
      <w:r w:rsidR="002D340F" w:rsidRPr="000C06D7">
        <w:rPr>
          <w:rFonts w:ascii="Times New Roman" w:hAnsi="Times New Roman"/>
        </w:rPr>
        <w:t xml:space="preserve"> nominated</w:t>
      </w:r>
      <w:r w:rsidR="00A90572" w:rsidRPr="000C06D7">
        <w:rPr>
          <w:rFonts w:ascii="Times New Roman" w:hAnsi="Times New Roman"/>
        </w:rPr>
        <w:t xml:space="preserve"> </w:t>
      </w:r>
      <w:r w:rsidR="00FB3876" w:rsidRPr="000C06D7">
        <w:rPr>
          <w:rFonts w:ascii="Times New Roman" w:hAnsi="Times New Roman"/>
        </w:rPr>
        <w:t>by the buyer</w:t>
      </w:r>
      <w:r w:rsidR="003E1877" w:rsidRPr="000C06D7">
        <w:rPr>
          <w:rFonts w:ascii="Times New Roman" w:hAnsi="Times New Roman"/>
        </w:rPr>
        <w:t xml:space="preserve"> at </w:t>
      </w:r>
      <w:r w:rsidR="0080248E" w:rsidRPr="000C06D7">
        <w:rPr>
          <w:rFonts w:ascii="Times New Roman" w:hAnsi="Times New Roman"/>
        </w:rPr>
        <w:t>the named port of shipment</w:t>
      </w:r>
      <w:r w:rsidR="003F3237" w:rsidRPr="000C06D7">
        <w:rPr>
          <w:rFonts w:ascii="Times New Roman" w:hAnsi="Times New Roman"/>
        </w:rPr>
        <w:t xml:space="preserve">. </w:t>
      </w:r>
      <w:r w:rsidR="00866FC1" w:rsidRPr="000C06D7">
        <w:rPr>
          <w:rFonts w:ascii="Times New Roman" w:hAnsi="Times New Roman"/>
        </w:rPr>
        <w:t>The</w:t>
      </w:r>
      <w:r w:rsidR="003F3237" w:rsidRPr="000C06D7">
        <w:rPr>
          <w:rFonts w:ascii="Times New Roman" w:hAnsi="Times New Roman"/>
        </w:rPr>
        <w:t xml:space="preserve"> </w:t>
      </w:r>
      <w:r w:rsidR="00837002" w:rsidRPr="000C06D7">
        <w:rPr>
          <w:rFonts w:ascii="Times New Roman" w:hAnsi="Times New Roman"/>
        </w:rPr>
        <w:t>buyer</w:t>
      </w:r>
      <w:r w:rsidR="00E80512" w:rsidRPr="000C06D7">
        <w:rPr>
          <w:rFonts w:ascii="Times New Roman" w:hAnsi="Times New Roman"/>
        </w:rPr>
        <w:t xml:space="preserve"> bears</w:t>
      </w:r>
      <w:r w:rsidR="003152F9" w:rsidRPr="000C06D7">
        <w:rPr>
          <w:rFonts w:ascii="Times New Roman" w:hAnsi="Times New Roman"/>
        </w:rPr>
        <w:t xml:space="preserve"> </w:t>
      </w:r>
      <w:r w:rsidR="005B09A1" w:rsidRPr="000C06D7">
        <w:rPr>
          <w:rFonts w:ascii="Times New Roman" w:hAnsi="Times New Roman"/>
        </w:rPr>
        <w:t>all</w:t>
      </w:r>
      <w:r w:rsidR="00FD1A04" w:rsidRPr="000C06D7">
        <w:rPr>
          <w:rFonts w:ascii="Times New Roman" w:hAnsi="Times New Roman"/>
        </w:rPr>
        <w:t xml:space="preserve"> </w:t>
      </w:r>
      <w:r w:rsidR="00327592" w:rsidRPr="000C06D7">
        <w:rPr>
          <w:rFonts w:ascii="Times New Roman" w:hAnsi="Times New Roman"/>
        </w:rPr>
        <w:t>shipping and subsequent costs</w:t>
      </w:r>
      <w:r w:rsidR="00912A19" w:rsidRPr="000C06D7">
        <w:rPr>
          <w:rFonts w:ascii="Times New Roman" w:hAnsi="Times New Roman"/>
        </w:rPr>
        <w:t>.</w:t>
      </w:r>
      <w:r w:rsidR="00814897" w:rsidRPr="000C06D7">
        <w:rPr>
          <w:rFonts w:ascii="Times New Roman" w:hAnsi="Times New Roman"/>
        </w:rPr>
        <w:t xml:space="preserve"> </w:t>
      </w:r>
      <w:r w:rsidR="006F72D2" w:rsidRPr="000C06D7">
        <w:rPr>
          <w:rFonts w:ascii="Times New Roman" w:hAnsi="Times New Roman"/>
        </w:rPr>
        <w:t xml:space="preserve">The </w:t>
      </w:r>
      <w:r w:rsidR="00B16267" w:rsidRPr="000C06D7">
        <w:rPr>
          <w:rFonts w:ascii="Times New Roman" w:hAnsi="Times New Roman"/>
        </w:rPr>
        <w:t xml:space="preserve">buyer is </w:t>
      </w:r>
      <w:r w:rsidR="006826CE" w:rsidRPr="000C06D7">
        <w:rPr>
          <w:rFonts w:ascii="Times New Roman" w:hAnsi="Times New Roman"/>
        </w:rPr>
        <w:t xml:space="preserve">typically </w:t>
      </w:r>
      <w:r w:rsidR="00B16267" w:rsidRPr="000C06D7">
        <w:rPr>
          <w:rFonts w:ascii="Times New Roman" w:hAnsi="Times New Roman"/>
        </w:rPr>
        <w:t>the charterer of the</w:t>
      </w:r>
      <w:r w:rsidR="00377353" w:rsidRPr="000C06D7">
        <w:rPr>
          <w:rFonts w:ascii="Times New Roman" w:hAnsi="Times New Roman"/>
        </w:rPr>
        <w:t xml:space="preserve"> ship, the </w:t>
      </w:r>
      <w:r w:rsidR="006F72D2" w:rsidRPr="000C06D7">
        <w:rPr>
          <w:rFonts w:ascii="Times New Roman" w:hAnsi="Times New Roman"/>
        </w:rPr>
        <w:t xml:space="preserve">terms </w:t>
      </w:r>
      <w:r w:rsidR="000657F8" w:rsidRPr="000C06D7">
        <w:rPr>
          <w:rFonts w:ascii="Times New Roman" w:hAnsi="Times New Roman"/>
        </w:rPr>
        <w:t xml:space="preserve">on which </w:t>
      </w:r>
      <w:r w:rsidR="006F72D2" w:rsidRPr="000C06D7">
        <w:rPr>
          <w:rFonts w:ascii="Times New Roman" w:hAnsi="Times New Roman"/>
        </w:rPr>
        <w:t>th</w:t>
      </w:r>
      <w:r w:rsidR="00CE6577" w:rsidRPr="000C06D7">
        <w:rPr>
          <w:rFonts w:ascii="Times New Roman" w:hAnsi="Times New Roman"/>
        </w:rPr>
        <w:t xml:space="preserve">e </w:t>
      </w:r>
      <w:r w:rsidR="000657F8" w:rsidRPr="000C06D7">
        <w:rPr>
          <w:rFonts w:ascii="Times New Roman" w:hAnsi="Times New Roman"/>
        </w:rPr>
        <w:t xml:space="preserve">ship is </w:t>
      </w:r>
      <w:r w:rsidR="00AF32BE" w:rsidRPr="000C06D7">
        <w:rPr>
          <w:rFonts w:ascii="Times New Roman" w:hAnsi="Times New Roman"/>
        </w:rPr>
        <w:t>charter</w:t>
      </w:r>
      <w:r w:rsidR="000657F8" w:rsidRPr="000C06D7">
        <w:rPr>
          <w:rFonts w:ascii="Times New Roman" w:hAnsi="Times New Roman"/>
        </w:rPr>
        <w:t>ed</w:t>
      </w:r>
      <w:r w:rsidR="00AF32BE" w:rsidRPr="000C06D7">
        <w:rPr>
          <w:rFonts w:ascii="Times New Roman" w:hAnsi="Times New Roman"/>
        </w:rPr>
        <w:t xml:space="preserve"> </w:t>
      </w:r>
      <w:r w:rsidR="003E0968" w:rsidRPr="000C06D7">
        <w:rPr>
          <w:rFonts w:ascii="Times New Roman" w:hAnsi="Times New Roman"/>
        </w:rPr>
        <w:t xml:space="preserve">by the buyer </w:t>
      </w:r>
      <w:r w:rsidR="00CD75AE" w:rsidRPr="000C06D7">
        <w:rPr>
          <w:rFonts w:ascii="Times New Roman" w:hAnsi="Times New Roman"/>
        </w:rPr>
        <w:t>being</w:t>
      </w:r>
      <w:r w:rsidR="00437A31" w:rsidRPr="000C06D7">
        <w:rPr>
          <w:rFonts w:ascii="Times New Roman" w:hAnsi="Times New Roman"/>
        </w:rPr>
        <w:t xml:space="preserve"> a matter of separate contractual arrangement between</w:t>
      </w:r>
      <w:r w:rsidR="00306368" w:rsidRPr="000C06D7">
        <w:rPr>
          <w:rFonts w:ascii="Times New Roman" w:hAnsi="Times New Roman"/>
        </w:rPr>
        <w:t xml:space="preserve"> the </w:t>
      </w:r>
      <w:r w:rsidR="00437A31" w:rsidRPr="000C06D7">
        <w:rPr>
          <w:rFonts w:ascii="Times New Roman" w:hAnsi="Times New Roman"/>
        </w:rPr>
        <w:t>buyer and</w:t>
      </w:r>
      <w:r w:rsidR="002215A6" w:rsidRPr="000C06D7">
        <w:rPr>
          <w:rFonts w:ascii="Times New Roman" w:hAnsi="Times New Roman"/>
        </w:rPr>
        <w:t xml:space="preserve"> the </w:t>
      </w:r>
      <w:r w:rsidR="00437A31" w:rsidRPr="000C06D7">
        <w:rPr>
          <w:rFonts w:ascii="Times New Roman" w:hAnsi="Times New Roman"/>
        </w:rPr>
        <w:t>owner o</w:t>
      </w:r>
      <w:r w:rsidR="00DE054F" w:rsidRPr="000C06D7">
        <w:rPr>
          <w:rFonts w:ascii="Times New Roman" w:hAnsi="Times New Roman"/>
        </w:rPr>
        <w:t>r</w:t>
      </w:r>
      <w:r w:rsidR="00437A31" w:rsidRPr="000C06D7">
        <w:rPr>
          <w:rFonts w:ascii="Times New Roman" w:hAnsi="Times New Roman"/>
        </w:rPr>
        <w:t xml:space="preserve"> operator</w:t>
      </w:r>
      <w:r w:rsidR="002215A6" w:rsidRPr="000C06D7">
        <w:rPr>
          <w:rFonts w:ascii="Times New Roman" w:hAnsi="Times New Roman"/>
        </w:rPr>
        <w:t xml:space="preserve"> of the ship.</w:t>
      </w:r>
      <w:r w:rsidR="00217774" w:rsidRPr="000C06D7">
        <w:rPr>
          <w:rFonts w:ascii="Times New Roman" w:hAnsi="Times New Roman"/>
        </w:rPr>
        <w:t xml:space="preserve"> </w:t>
      </w:r>
      <w:r w:rsidR="00B02F55" w:rsidRPr="000C06D7">
        <w:rPr>
          <w:rFonts w:ascii="Times New Roman" w:hAnsi="Times New Roman"/>
        </w:rPr>
        <w:t xml:space="preserve">Some </w:t>
      </w:r>
      <w:r w:rsidR="00E536FB" w:rsidRPr="000C06D7">
        <w:rPr>
          <w:rFonts w:ascii="Times New Roman" w:hAnsi="Times New Roman"/>
        </w:rPr>
        <w:t xml:space="preserve">of the </w:t>
      </w:r>
      <w:r w:rsidR="00025BAD" w:rsidRPr="000C06D7">
        <w:rPr>
          <w:rFonts w:ascii="Times New Roman" w:hAnsi="Times New Roman"/>
        </w:rPr>
        <w:t xml:space="preserve">coal </w:t>
      </w:r>
      <w:r w:rsidR="00B02F55" w:rsidRPr="000C06D7">
        <w:rPr>
          <w:rFonts w:ascii="Times New Roman" w:hAnsi="Times New Roman"/>
        </w:rPr>
        <w:t>is sold by Glencore to overseas buyers under "</w:t>
      </w:r>
      <w:r w:rsidR="00F45130" w:rsidRPr="000C06D7">
        <w:rPr>
          <w:rFonts w:ascii="Times New Roman" w:hAnsi="Times New Roman"/>
        </w:rPr>
        <w:t>cost, insurance and freight</w:t>
      </w:r>
      <w:r w:rsidR="00B02F55" w:rsidRPr="000C06D7">
        <w:rPr>
          <w:rFonts w:ascii="Times New Roman" w:hAnsi="Times New Roman"/>
        </w:rPr>
        <w:t>" ("CIF") contracts.</w:t>
      </w:r>
      <w:r w:rsidR="00E67D2A" w:rsidRPr="000C06D7">
        <w:rPr>
          <w:rFonts w:ascii="Times New Roman" w:hAnsi="Times New Roman"/>
        </w:rPr>
        <w:t xml:space="preserve"> Under a standard CIF contract,</w:t>
      </w:r>
      <w:r w:rsidR="00BD475F" w:rsidRPr="000C06D7">
        <w:rPr>
          <w:rFonts w:ascii="Times New Roman" w:hAnsi="Times New Roman"/>
        </w:rPr>
        <w:t xml:space="preserve"> the seller is required to</w:t>
      </w:r>
      <w:r w:rsidR="008945BF" w:rsidRPr="000C06D7">
        <w:rPr>
          <w:rFonts w:ascii="Times New Roman" w:hAnsi="Times New Roman"/>
        </w:rPr>
        <w:t xml:space="preserve"> contract for and pay the costs and freight necessary </w:t>
      </w:r>
      <w:r w:rsidR="00355BAF" w:rsidRPr="000C06D7">
        <w:rPr>
          <w:rFonts w:ascii="Times New Roman" w:hAnsi="Times New Roman"/>
        </w:rPr>
        <w:t xml:space="preserve">to bring the goods to </w:t>
      </w:r>
      <w:r w:rsidR="003E1877" w:rsidRPr="000C06D7">
        <w:rPr>
          <w:rFonts w:ascii="Times New Roman" w:hAnsi="Times New Roman"/>
        </w:rPr>
        <w:t xml:space="preserve">the named port </w:t>
      </w:r>
      <w:r w:rsidR="00732965" w:rsidRPr="000C06D7">
        <w:rPr>
          <w:rFonts w:ascii="Times New Roman" w:hAnsi="Times New Roman"/>
        </w:rPr>
        <w:t>of destination</w:t>
      </w:r>
      <w:r w:rsidR="00AF4ACF" w:rsidRPr="000C06D7">
        <w:rPr>
          <w:rFonts w:ascii="Times New Roman" w:hAnsi="Times New Roman"/>
        </w:rPr>
        <w:t xml:space="preserve"> </w:t>
      </w:r>
      <w:r w:rsidR="00144A5D" w:rsidRPr="000C06D7">
        <w:rPr>
          <w:rFonts w:ascii="Times New Roman" w:hAnsi="Times New Roman"/>
        </w:rPr>
        <w:t xml:space="preserve">and is required </w:t>
      </w:r>
      <w:r w:rsidR="00AF4ACF" w:rsidRPr="000C06D7">
        <w:rPr>
          <w:rFonts w:ascii="Times New Roman" w:hAnsi="Times New Roman"/>
        </w:rPr>
        <w:t xml:space="preserve">to contract for </w:t>
      </w:r>
      <w:r w:rsidR="002C49C1" w:rsidRPr="000C06D7">
        <w:rPr>
          <w:rFonts w:ascii="Times New Roman" w:hAnsi="Times New Roman"/>
        </w:rPr>
        <w:t xml:space="preserve">insurance cover against the buyer's risk of loss or damage </w:t>
      </w:r>
      <w:r w:rsidR="00563634" w:rsidRPr="000C06D7">
        <w:rPr>
          <w:rFonts w:ascii="Times New Roman" w:hAnsi="Times New Roman"/>
        </w:rPr>
        <w:t>to the goods</w:t>
      </w:r>
      <w:r w:rsidR="00144A5D" w:rsidRPr="000C06D7">
        <w:rPr>
          <w:rFonts w:ascii="Times New Roman" w:hAnsi="Times New Roman"/>
        </w:rPr>
        <w:t xml:space="preserve">. </w:t>
      </w:r>
      <w:r w:rsidR="00CD75AE" w:rsidRPr="000C06D7">
        <w:rPr>
          <w:rFonts w:ascii="Times New Roman" w:hAnsi="Times New Roman"/>
        </w:rPr>
        <w:t xml:space="preserve">The seller is typically the charterer of the ship, the terms on which the ship is chartered </w:t>
      </w:r>
      <w:r w:rsidR="003E0968" w:rsidRPr="000C06D7">
        <w:rPr>
          <w:rFonts w:ascii="Times New Roman" w:hAnsi="Times New Roman"/>
        </w:rPr>
        <w:t xml:space="preserve">by the seller </w:t>
      </w:r>
      <w:r w:rsidR="00CD75AE" w:rsidRPr="000C06D7">
        <w:rPr>
          <w:rFonts w:ascii="Times New Roman" w:hAnsi="Times New Roman"/>
        </w:rPr>
        <w:t>being a matter of separate contractual arrangement between the seller and the owner or operator of the ship.</w:t>
      </w:r>
    </w:p>
    <w:p w14:paraId="4A2614E0" w14:textId="45733B4B" w:rsidR="00C918BE" w:rsidRPr="000C06D7" w:rsidRDefault="006055BD"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9D3BC1" w:rsidRPr="000C06D7">
        <w:rPr>
          <w:rFonts w:ascii="Times New Roman" w:hAnsi="Times New Roman"/>
        </w:rPr>
        <w:t xml:space="preserve">The </w:t>
      </w:r>
      <w:r w:rsidR="00A87DE6" w:rsidRPr="000C06D7">
        <w:rPr>
          <w:rFonts w:ascii="Times New Roman" w:hAnsi="Times New Roman"/>
        </w:rPr>
        <w:t>other</w:t>
      </w:r>
      <w:r w:rsidR="009D3BC1" w:rsidRPr="000C06D7">
        <w:rPr>
          <w:rFonts w:ascii="Times New Roman" w:hAnsi="Times New Roman"/>
        </w:rPr>
        <w:t xml:space="preserve"> respondents</w:t>
      </w:r>
      <w:r w:rsidR="008B7CD2" w:rsidRPr="000C06D7">
        <w:rPr>
          <w:rFonts w:ascii="Times New Roman" w:hAnsi="Times New Roman"/>
        </w:rPr>
        <w:t xml:space="preserve"> </w:t>
      </w:r>
      <w:r w:rsidR="00CF159E" w:rsidRPr="000C06D7">
        <w:rPr>
          <w:rFonts w:ascii="Times New Roman" w:hAnsi="Times New Roman"/>
        </w:rPr>
        <w:t xml:space="preserve">to the appeal </w:t>
      </w:r>
      <w:r w:rsidR="009D3BC1" w:rsidRPr="000C06D7">
        <w:rPr>
          <w:rFonts w:ascii="Times New Roman" w:hAnsi="Times New Roman"/>
        </w:rPr>
        <w:t>are the Tribunal</w:t>
      </w:r>
      <w:r w:rsidR="00820AF6" w:rsidRPr="000C06D7">
        <w:rPr>
          <w:rFonts w:ascii="Times New Roman" w:hAnsi="Times New Roman"/>
        </w:rPr>
        <w:t xml:space="preserve"> </w:t>
      </w:r>
      <w:r w:rsidR="00F75495" w:rsidRPr="000C06D7">
        <w:rPr>
          <w:rFonts w:ascii="Times New Roman" w:hAnsi="Times New Roman"/>
        </w:rPr>
        <w:t>and the Australian Competition and Consumer Commission</w:t>
      </w:r>
      <w:r w:rsidR="00BD0B8F" w:rsidRPr="000C06D7">
        <w:rPr>
          <w:rFonts w:ascii="Times New Roman" w:hAnsi="Times New Roman"/>
        </w:rPr>
        <w:t xml:space="preserve"> </w:t>
      </w:r>
      <w:r w:rsidR="00733689" w:rsidRPr="000C06D7">
        <w:rPr>
          <w:rFonts w:ascii="Times New Roman" w:hAnsi="Times New Roman"/>
        </w:rPr>
        <w:t>("the ACCC")</w:t>
      </w:r>
      <w:r w:rsidR="00820AF6" w:rsidRPr="000C06D7">
        <w:rPr>
          <w:rFonts w:ascii="Times New Roman" w:hAnsi="Times New Roman"/>
        </w:rPr>
        <w:t xml:space="preserve">. The Tribunal </w:t>
      </w:r>
      <w:r w:rsidR="005D03A1" w:rsidRPr="000C06D7">
        <w:rPr>
          <w:rFonts w:ascii="Times New Roman" w:hAnsi="Times New Roman"/>
        </w:rPr>
        <w:t xml:space="preserve">has </w:t>
      </w:r>
      <w:r w:rsidR="00820AF6" w:rsidRPr="000C06D7">
        <w:rPr>
          <w:rFonts w:ascii="Times New Roman" w:hAnsi="Times New Roman"/>
        </w:rPr>
        <w:t xml:space="preserve">appropriately entered a submitting appearance. </w:t>
      </w:r>
      <w:r w:rsidR="00E9713A" w:rsidRPr="000C06D7">
        <w:rPr>
          <w:rFonts w:ascii="Times New Roman" w:hAnsi="Times New Roman"/>
        </w:rPr>
        <w:t>T</w:t>
      </w:r>
      <w:r w:rsidR="00820AF6" w:rsidRPr="000C06D7">
        <w:rPr>
          <w:rFonts w:ascii="Times New Roman" w:hAnsi="Times New Roman"/>
        </w:rPr>
        <w:t xml:space="preserve">he </w:t>
      </w:r>
      <w:r w:rsidR="00733689" w:rsidRPr="000C06D7">
        <w:rPr>
          <w:rFonts w:ascii="Times New Roman" w:hAnsi="Times New Roman"/>
        </w:rPr>
        <w:t>ACCC</w:t>
      </w:r>
      <w:r w:rsidR="00B25056" w:rsidRPr="000C06D7">
        <w:rPr>
          <w:rFonts w:ascii="Times New Roman" w:hAnsi="Times New Roman"/>
        </w:rPr>
        <w:t xml:space="preserve"> </w:t>
      </w:r>
      <w:r w:rsidR="005D03A1" w:rsidRPr="000C06D7">
        <w:rPr>
          <w:rFonts w:ascii="Times New Roman" w:hAnsi="Times New Roman"/>
        </w:rPr>
        <w:t xml:space="preserve">has </w:t>
      </w:r>
      <w:r w:rsidR="00FB1DFB" w:rsidRPr="000C06D7">
        <w:rPr>
          <w:rFonts w:ascii="Times New Roman" w:hAnsi="Times New Roman"/>
        </w:rPr>
        <w:t>chose</w:t>
      </w:r>
      <w:r w:rsidR="005D03A1" w:rsidRPr="000C06D7">
        <w:rPr>
          <w:rFonts w:ascii="Times New Roman" w:hAnsi="Times New Roman"/>
        </w:rPr>
        <w:t>n</w:t>
      </w:r>
      <w:r w:rsidR="00FB1DFB" w:rsidRPr="000C06D7">
        <w:rPr>
          <w:rFonts w:ascii="Times New Roman" w:hAnsi="Times New Roman"/>
        </w:rPr>
        <w:t xml:space="preserve"> to</w:t>
      </w:r>
      <w:r w:rsidR="004F4CA2" w:rsidRPr="000C06D7">
        <w:rPr>
          <w:rFonts w:ascii="Times New Roman" w:hAnsi="Times New Roman"/>
        </w:rPr>
        <w:t xml:space="preserve"> </w:t>
      </w:r>
      <w:r w:rsidR="00257B54" w:rsidRPr="000C06D7">
        <w:rPr>
          <w:rFonts w:ascii="Times New Roman" w:hAnsi="Times New Roman"/>
        </w:rPr>
        <w:t>present submissions</w:t>
      </w:r>
      <w:r w:rsidR="004F0A75" w:rsidRPr="000C06D7">
        <w:rPr>
          <w:rFonts w:ascii="Times New Roman" w:hAnsi="Times New Roman"/>
        </w:rPr>
        <w:t xml:space="preserve"> </w:t>
      </w:r>
      <w:r w:rsidR="0013690E" w:rsidRPr="000C06D7">
        <w:rPr>
          <w:rFonts w:ascii="Times New Roman" w:hAnsi="Times New Roman"/>
        </w:rPr>
        <w:t>which</w:t>
      </w:r>
      <w:r w:rsidR="009A3927" w:rsidRPr="000C06D7">
        <w:rPr>
          <w:rFonts w:ascii="Times New Roman" w:hAnsi="Times New Roman"/>
        </w:rPr>
        <w:t xml:space="preserve"> </w:t>
      </w:r>
      <w:r w:rsidR="004F0A75" w:rsidRPr="000C06D7">
        <w:rPr>
          <w:rFonts w:ascii="Times New Roman" w:hAnsi="Times New Roman"/>
        </w:rPr>
        <w:t>support</w:t>
      </w:r>
      <w:r w:rsidR="009A3927" w:rsidRPr="000C06D7">
        <w:rPr>
          <w:rFonts w:ascii="Times New Roman" w:hAnsi="Times New Roman"/>
        </w:rPr>
        <w:t xml:space="preserve"> </w:t>
      </w:r>
      <w:r w:rsidR="004F0A75" w:rsidRPr="000C06D7">
        <w:rPr>
          <w:rFonts w:ascii="Times New Roman" w:hAnsi="Times New Roman"/>
        </w:rPr>
        <w:t>the decision of the Full Court</w:t>
      </w:r>
      <w:r w:rsidR="0017270A" w:rsidRPr="000C06D7">
        <w:rPr>
          <w:rFonts w:ascii="Times New Roman" w:hAnsi="Times New Roman"/>
        </w:rPr>
        <w:t>.</w:t>
      </w:r>
      <w:r w:rsidR="001A16C9" w:rsidRPr="000C06D7">
        <w:rPr>
          <w:rFonts w:ascii="Times New Roman" w:hAnsi="Times New Roman"/>
        </w:rPr>
        <w:t xml:space="preserve"> Whether </w:t>
      </w:r>
      <w:r w:rsidR="00C66ECD" w:rsidRPr="000C06D7">
        <w:rPr>
          <w:rFonts w:ascii="Times New Roman" w:hAnsi="Times New Roman"/>
        </w:rPr>
        <w:t>the</w:t>
      </w:r>
      <w:r w:rsidR="002A1AC5" w:rsidRPr="000C06D7">
        <w:rPr>
          <w:rFonts w:ascii="Times New Roman" w:hAnsi="Times New Roman"/>
        </w:rPr>
        <w:t xml:space="preserve"> litigious</w:t>
      </w:r>
      <w:r w:rsidR="00C66ECD" w:rsidRPr="000C06D7">
        <w:rPr>
          <w:rFonts w:ascii="Times New Roman" w:hAnsi="Times New Roman"/>
        </w:rPr>
        <w:t xml:space="preserve"> posture of the </w:t>
      </w:r>
      <w:r w:rsidR="00733689" w:rsidRPr="000C06D7">
        <w:rPr>
          <w:rFonts w:ascii="Times New Roman" w:hAnsi="Times New Roman"/>
        </w:rPr>
        <w:t>ACCC</w:t>
      </w:r>
      <w:r w:rsidR="00C66ECD" w:rsidRPr="000C06D7">
        <w:rPr>
          <w:rFonts w:ascii="Times New Roman" w:hAnsi="Times New Roman"/>
        </w:rPr>
        <w:t xml:space="preserve"> </w:t>
      </w:r>
      <w:r w:rsidR="00A53719" w:rsidRPr="000C06D7">
        <w:rPr>
          <w:rFonts w:ascii="Times New Roman" w:hAnsi="Times New Roman"/>
        </w:rPr>
        <w:t>is</w:t>
      </w:r>
      <w:r w:rsidR="00072CA3" w:rsidRPr="000C06D7">
        <w:rPr>
          <w:rFonts w:ascii="Times New Roman" w:hAnsi="Times New Roman"/>
        </w:rPr>
        <w:t xml:space="preserve"> consistent with the principle </w:t>
      </w:r>
      <w:r w:rsidR="00116F94" w:rsidRPr="000C06D7">
        <w:rPr>
          <w:rFonts w:ascii="Times New Roman" w:hAnsi="Times New Roman"/>
        </w:rPr>
        <w:t xml:space="preserve">in </w:t>
      </w:r>
      <w:r w:rsidR="00DB49F3" w:rsidRPr="000C06D7">
        <w:rPr>
          <w:rFonts w:ascii="Times New Roman" w:hAnsi="Times New Roman"/>
          <w:i/>
        </w:rPr>
        <w:t xml:space="preserve">R v Australian Broadcasting Tribunal; Ex </w:t>
      </w:r>
      <w:proofErr w:type="spellStart"/>
      <w:r w:rsidR="00DB49F3" w:rsidRPr="000C06D7">
        <w:rPr>
          <w:rFonts w:ascii="Times New Roman" w:hAnsi="Times New Roman"/>
          <w:i/>
        </w:rPr>
        <w:t>parte</w:t>
      </w:r>
      <w:proofErr w:type="spellEnd"/>
      <w:r w:rsidR="00DB49F3" w:rsidRPr="000C06D7">
        <w:rPr>
          <w:rFonts w:ascii="Times New Roman" w:hAnsi="Times New Roman"/>
          <w:i/>
        </w:rPr>
        <w:t xml:space="preserve"> Hardiman</w:t>
      </w:r>
      <w:r w:rsidR="002B7115" w:rsidRPr="000C06D7">
        <w:rPr>
          <w:rStyle w:val="FootnoteReference"/>
          <w:rFonts w:ascii="Times New Roman" w:hAnsi="Times New Roman"/>
          <w:sz w:val="24"/>
        </w:rPr>
        <w:footnoteReference w:id="4"/>
      </w:r>
      <w:r w:rsidR="0031502C" w:rsidRPr="000C06D7">
        <w:rPr>
          <w:rFonts w:ascii="Times New Roman" w:hAnsi="Times New Roman"/>
        </w:rPr>
        <w:t xml:space="preserve"> </w:t>
      </w:r>
      <w:r w:rsidR="00587309" w:rsidRPr="000C06D7">
        <w:rPr>
          <w:rFonts w:ascii="Times New Roman" w:hAnsi="Times New Roman"/>
        </w:rPr>
        <w:t>was touched on but not developed in the course of the hearing</w:t>
      </w:r>
      <w:r w:rsidR="002A1BF5" w:rsidRPr="000C06D7">
        <w:rPr>
          <w:rFonts w:ascii="Times New Roman" w:hAnsi="Times New Roman"/>
        </w:rPr>
        <w:t xml:space="preserve">. </w:t>
      </w:r>
      <w:r w:rsidR="002705EC" w:rsidRPr="000C06D7">
        <w:rPr>
          <w:rFonts w:ascii="Times New Roman" w:hAnsi="Times New Roman"/>
        </w:rPr>
        <w:t>T</w:t>
      </w:r>
      <w:r w:rsidR="009020B5" w:rsidRPr="000C06D7">
        <w:rPr>
          <w:rFonts w:ascii="Times New Roman" w:hAnsi="Times New Roman"/>
        </w:rPr>
        <w:t>he</w:t>
      </w:r>
      <w:r w:rsidR="00AC6177" w:rsidRPr="000C06D7">
        <w:rPr>
          <w:rFonts w:ascii="Times New Roman" w:hAnsi="Times New Roman"/>
        </w:rPr>
        <w:t xml:space="preserve"> absence </w:t>
      </w:r>
      <w:r w:rsidR="00D25135" w:rsidRPr="000C06D7">
        <w:rPr>
          <w:rFonts w:ascii="Times New Roman" w:hAnsi="Times New Roman"/>
        </w:rPr>
        <w:t>of further consideration in these</w:t>
      </w:r>
      <w:r w:rsidR="009020B5" w:rsidRPr="000C06D7">
        <w:rPr>
          <w:rFonts w:ascii="Times New Roman" w:hAnsi="Times New Roman"/>
        </w:rPr>
        <w:t xml:space="preserve"> reasons </w:t>
      </w:r>
      <w:r w:rsidR="00D25135" w:rsidRPr="000C06D7">
        <w:rPr>
          <w:rFonts w:ascii="Times New Roman" w:hAnsi="Times New Roman"/>
        </w:rPr>
        <w:t>of the pos</w:t>
      </w:r>
      <w:r w:rsidR="00D75B6B" w:rsidRPr="000C06D7">
        <w:rPr>
          <w:rFonts w:ascii="Times New Roman" w:hAnsi="Times New Roman"/>
        </w:rPr>
        <w:t>ture</w:t>
      </w:r>
      <w:r w:rsidR="00D25135" w:rsidRPr="000C06D7">
        <w:rPr>
          <w:rFonts w:ascii="Times New Roman" w:hAnsi="Times New Roman"/>
        </w:rPr>
        <w:t xml:space="preserve"> of the </w:t>
      </w:r>
      <w:r w:rsidR="00733689" w:rsidRPr="000C06D7">
        <w:rPr>
          <w:rFonts w:ascii="Times New Roman" w:hAnsi="Times New Roman"/>
        </w:rPr>
        <w:t>ACCC</w:t>
      </w:r>
      <w:r w:rsidR="00D25135" w:rsidRPr="000C06D7">
        <w:rPr>
          <w:rFonts w:ascii="Times New Roman" w:hAnsi="Times New Roman"/>
        </w:rPr>
        <w:t xml:space="preserve"> </w:t>
      </w:r>
      <w:r w:rsidR="009020B5" w:rsidRPr="000C06D7">
        <w:rPr>
          <w:rFonts w:ascii="Times New Roman" w:hAnsi="Times New Roman"/>
        </w:rPr>
        <w:t xml:space="preserve">should be </w:t>
      </w:r>
      <w:r w:rsidR="00B478E1" w:rsidRPr="000C06D7">
        <w:rPr>
          <w:rFonts w:ascii="Times New Roman" w:hAnsi="Times New Roman"/>
        </w:rPr>
        <w:t>understood</w:t>
      </w:r>
      <w:r w:rsidR="00284BF9" w:rsidRPr="000C06D7">
        <w:rPr>
          <w:rFonts w:ascii="Times New Roman" w:hAnsi="Times New Roman"/>
        </w:rPr>
        <w:t xml:space="preserve"> as</w:t>
      </w:r>
      <w:r w:rsidR="009020B5" w:rsidRPr="000C06D7">
        <w:rPr>
          <w:rFonts w:ascii="Times New Roman" w:hAnsi="Times New Roman"/>
        </w:rPr>
        <w:t xml:space="preserve"> </w:t>
      </w:r>
      <w:r w:rsidR="002705EC" w:rsidRPr="000C06D7">
        <w:rPr>
          <w:rFonts w:ascii="Times New Roman" w:hAnsi="Times New Roman"/>
        </w:rPr>
        <w:t xml:space="preserve">neither </w:t>
      </w:r>
      <w:r w:rsidR="009020B5" w:rsidRPr="000C06D7">
        <w:rPr>
          <w:rFonts w:ascii="Times New Roman" w:hAnsi="Times New Roman"/>
        </w:rPr>
        <w:t>condemnation</w:t>
      </w:r>
      <w:r w:rsidR="002705EC" w:rsidRPr="000C06D7">
        <w:rPr>
          <w:rFonts w:ascii="Times New Roman" w:hAnsi="Times New Roman"/>
        </w:rPr>
        <w:t xml:space="preserve"> nor condonation</w:t>
      </w:r>
      <w:r w:rsidR="00FB1DFB" w:rsidRPr="000C06D7">
        <w:rPr>
          <w:rFonts w:ascii="Times New Roman" w:hAnsi="Times New Roman"/>
        </w:rPr>
        <w:t xml:space="preserve">. </w:t>
      </w:r>
      <w:r w:rsidR="009020B5" w:rsidRPr="000C06D7">
        <w:rPr>
          <w:rFonts w:ascii="Times New Roman" w:hAnsi="Times New Roman"/>
        </w:rPr>
        <w:t xml:space="preserve"> </w:t>
      </w:r>
    </w:p>
    <w:p w14:paraId="18526080" w14:textId="28C1E19B" w:rsidR="00F4316C" w:rsidRPr="000C06D7" w:rsidRDefault="00F4316C" w:rsidP="000C06D7">
      <w:pPr>
        <w:pStyle w:val="FixListStyle"/>
        <w:spacing w:after="260" w:line="280" w:lineRule="exact"/>
        <w:ind w:right="0"/>
        <w:jc w:val="both"/>
        <w:rPr>
          <w:rFonts w:ascii="Times New Roman" w:hAnsi="Times New Roman"/>
        </w:rPr>
      </w:pPr>
      <w:r w:rsidRPr="000C06D7">
        <w:rPr>
          <w:rFonts w:ascii="Times New Roman" w:hAnsi="Times New Roman"/>
        </w:rPr>
        <w:tab/>
        <w:t xml:space="preserve">To </w:t>
      </w:r>
      <w:r w:rsidR="00191F81" w:rsidRPr="000C06D7">
        <w:rPr>
          <w:rFonts w:ascii="Times New Roman" w:hAnsi="Times New Roman"/>
        </w:rPr>
        <w:t xml:space="preserve">allow </w:t>
      </w:r>
      <w:r w:rsidRPr="000C06D7">
        <w:rPr>
          <w:rFonts w:ascii="Times New Roman" w:hAnsi="Times New Roman"/>
        </w:rPr>
        <w:t>the issues raised in the appeal</w:t>
      </w:r>
      <w:r w:rsidR="00191F81" w:rsidRPr="000C06D7">
        <w:rPr>
          <w:rFonts w:ascii="Times New Roman" w:hAnsi="Times New Roman"/>
        </w:rPr>
        <w:t xml:space="preserve"> to be understood</w:t>
      </w:r>
      <w:r w:rsidRPr="000C06D7">
        <w:rPr>
          <w:rFonts w:ascii="Times New Roman" w:hAnsi="Times New Roman"/>
        </w:rPr>
        <w:t xml:space="preserve">, </w:t>
      </w:r>
      <w:r w:rsidR="004631FD" w:rsidRPr="000C06D7">
        <w:rPr>
          <w:rFonts w:ascii="Times New Roman" w:hAnsi="Times New Roman"/>
        </w:rPr>
        <w:t xml:space="preserve">it is </w:t>
      </w:r>
      <w:r w:rsidR="003469BB" w:rsidRPr="000C06D7">
        <w:rPr>
          <w:rFonts w:ascii="Times New Roman" w:hAnsi="Times New Roman"/>
        </w:rPr>
        <w:t xml:space="preserve">appropriate to </w:t>
      </w:r>
      <w:r w:rsidR="00290AC0" w:rsidRPr="000C06D7">
        <w:rPr>
          <w:rFonts w:ascii="Times New Roman" w:hAnsi="Times New Roman"/>
        </w:rPr>
        <w:t xml:space="preserve">set out </w:t>
      </w:r>
      <w:r w:rsidR="003469BB" w:rsidRPr="000C06D7">
        <w:rPr>
          <w:rFonts w:ascii="Times New Roman" w:hAnsi="Times New Roman"/>
        </w:rPr>
        <w:t xml:space="preserve">the scheme </w:t>
      </w:r>
      <w:r w:rsidR="00CF337E" w:rsidRPr="000C06D7">
        <w:rPr>
          <w:rFonts w:ascii="Times New Roman" w:hAnsi="Times New Roman"/>
        </w:rPr>
        <w:t xml:space="preserve">of Pt IIIA of the Act </w:t>
      </w:r>
      <w:r w:rsidR="00FD5A96" w:rsidRPr="000C06D7">
        <w:rPr>
          <w:rFonts w:ascii="Times New Roman" w:hAnsi="Times New Roman"/>
        </w:rPr>
        <w:t xml:space="preserve">and </w:t>
      </w:r>
      <w:r w:rsidR="00290AC0" w:rsidRPr="000C06D7">
        <w:rPr>
          <w:rFonts w:ascii="Times New Roman" w:hAnsi="Times New Roman"/>
        </w:rPr>
        <w:t xml:space="preserve">to note </w:t>
      </w:r>
      <w:r w:rsidR="00FD5A96" w:rsidRPr="000C06D7">
        <w:rPr>
          <w:rFonts w:ascii="Times New Roman" w:hAnsi="Times New Roman"/>
        </w:rPr>
        <w:t>t</w:t>
      </w:r>
      <w:r w:rsidR="00290AC0" w:rsidRPr="000C06D7">
        <w:rPr>
          <w:rFonts w:ascii="Times New Roman" w:hAnsi="Times New Roman"/>
        </w:rPr>
        <w:t>he</w:t>
      </w:r>
      <w:r w:rsidR="00FD5A96" w:rsidRPr="000C06D7">
        <w:rPr>
          <w:rFonts w:ascii="Times New Roman" w:hAnsi="Times New Roman"/>
        </w:rPr>
        <w:t xml:space="preserve"> relevant provisions of the PMA Act</w:t>
      </w:r>
      <w:r w:rsidR="007C5D49" w:rsidRPr="000C06D7">
        <w:rPr>
          <w:rFonts w:ascii="Times New Roman" w:hAnsi="Times New Roman"/>
        </w:rPr>
        <w:t xml:space="preserve"> before</w:t>
      </w:r>
      <w:r w:rsidR="00A8682A" w:rsidRPr="000C06D7">
        <w:rPr>
          <w:rFonts w:ascii="Times New Roman" w:hAnsi="Times New Roman"/>
        </w:rPr>
        <w:t xml:space="preserve"> </w:t>
      </w:r>
      <w:r w:rsidR="000E3FF1" w:rsidRPr="000C06D7">
        <w:rPr>
          <w:rFonts w:ascii="Times New Roman" w:hAnsi="Times New Roman"/>
        </w:rPr>
        <w:t xml:space="preserve">going on to </w:t>
      </w:r>
      <w:r w:rsidR="00A8682A" w:rsidRPr="000C06D7">
        <w:rPr>
          <w:rFonts w:ascii="Times New Roman" w:hAnsi="Times New Roman"/>
        </w:rPr>
        <w:t>record</w:t>
      </w:r>
      <w:r w:rsidR="007A7241" w:rsidRPr="000C06D7">
        <w:rPr>
          <w:rFonts w:ascii="Times New Roman" w:hAnsi="Times New Roman"/>
        </w:rPr>
        <w:t xml:space="preserve"> </w:t>
      </w:r>
      <w:r w:rsidR="00923B73" w:rsidRPr="000C06D7">
        <w:rPr>
          <w:rFonts w:ascii="Times New Roman" w:hAnsi="Times New Roman"/>
        </w:rPr>
        <w:t xml:space="preserve">the procedural history and </w:t>
      </w:r>
      <w:r w:rsidR="000E3FF1" w:rsidRPr="000C06D7">
        <w:rPr>
          <w:rFonts w:ascii="Times New Roman" w:hAnsi="Times New Roman"/>
        </w:rPr>
        <w:t xml:space="preserve">to </w:t>
      </w:r>
      <w:r w:rsidR="005860B2" w:rsidRPr="000C06D7">
        <w:rPr>
          <w:rFonts w:ascii="Times New Roman" w:hAnsi="Times New Roman"/>
        </w:rPr>
        <w:t>examin</w:t>
      </w:r>
      <w:r w:rsidR="000E3FF1" w:rsidRPr="000C06D7">
        <w:rPr>
          <w:rFonts w:ascii="Times New Roman" w:hAnsi="Times New Roman"/>
        </w:rPr>
        <w:t>e</w:t>
      </w:r>
      <w:r w:rsidR="005860B2" w:rsidRPr="000C06D7">
        <w:rPr>
          <w:rFonts w:ascii="Times New Roman" w:hAnsi="Times New Roman"/>
        </w:rPr>
        <w:t xml:space="preserve"> </w:t>
      </w:r>
      <w:r w:rsidR="007A7241" w:rsidRPr="000C06D7">
        <w:rPr>
          <w:rFonts w:ascii="Times New Roman" w:hAnsi="Times New Roman"/>
        </w:rPr>
        <w:t>the reasoning of the Tribunal and of the Full Court.</w:t>
      </w:r>
      <w:r w:rsidR="00FD5A96" w:rsidRPr="000C06D7">
        <w:rPr>
          <w:rFonts w:ascii="Times New Roman" w:hAnsi="Times New Roman"/>
        </w:rPr>
        <w:t xml:space="preserve"> </w:t>
      </w:r>
      <w:r w:rsidR="003469BB" w:rsidRPr="000C06D7">
        <w:rPr>
          <w:rFonts w:ascii="Times New Roman" w:hAnsi="Times New Roman"/>
        </w:rPr>
        <w:t xml:space="preserve"> </w:t>
      </w:r>
    </w:p>
    <w:p w14:paraId="65D3CC89" w14:textId="784BFDBF" w:rsidR="00A32B60" w:rsidRPr="000C06D7" w:rsidRDefault="00A32B60" w:rsidP="000C06D7">
      <w:pPr>
        <w:pStyle w:val="HeadingL1"/>
        <w:spacing w:after="260" w:line="280" w:lineRule="exact"/>
        <w:ind w:right="0"/>
        <w:jc w:val="both"/>
        <w:rPr>
          <w:rFonts w:ascii="Times New Roman" w:hAnsi="Times New Roman"/>
          <w:b w:val="0"/>
        </w:rPr>
      </w:pPr>
      <w:r w:rsidRPr="000C06D7">
        <w:rPr>
          <w:rFonts w:ascii="Times New Roman" w:hAnsi="Times New Roman"/>
        </w:rPr>
        <w:lastRenderedPageBreak/>
        <w:t>Part IIIA of the Act</w:t>
      </w:r>
    </w:p>
    <w:p w14:paraId="08CBD781" w14:textId="30D6778E" w:rsidR="000608E2" w:rsidRPr="000C06D7" w:rsidRDefault="00BD0551" w:rsidP="000C06D7">
      <w:pPr>
        <w:pStyle w:val="FixListStyle"/>
        <w:spacing w:after="260" w:line="280" w:lineRule="exact"/>
        <w:ind w:right="0"/>
        <w:jc w:val="both"/>
        <w:rPr>
          <w:rFonts w:ascii="Times New Roman" w:hAnsi="Times New Roman"/>
        </w:rPr>
      </w:pPr>
      <w:r w:rsidRPr="000C06D7">
        <w:rPr>
          <w:rFonts w:ascii="Times New Roman" w:hAnsi="Times New Roman"/>
        </w:rPr>
        <w:tab/>
        <w:t>Part IIIA of the Act</w:t>
      </w:r>
      <w:r w:rsidR="00DA7611" w:rsidRPr="000C06D7">
        <w:rPr>
          <w:rFonts w:ascii="Times New Roman" w:hAnsi="Times New Roman"/>
        </w:rPr>
        <w:t xml:space="preserve"> </w:t>
      </w:r>
      <w:r w:rsidR="0080367B" w:rsidRPr="000C06D7">
        <w:rPr>
          <w:rFonts w:ascii="Times New Roman" w:hAnsi="Times New Roman"/>
        </w:rPr>
        <w:t xml:space="preserve">is headed </w:t>
      </w:r>
      <w:r w:rsidR="00C3254B" w:rsidRPr="000C06D7">
        <w:rPr>
          <w:rFonts w:ascii="Times New Roman" w:hAnsi="Times New Roman"/>
        </w:rPr>
        <w:t xml:space="preserve">"Access to services". </w:t>
      </w:r>
      <w:r w:rsidR="00A04056" w:rsidRPr="000C06D7">
        <w:rPr>
          <w:rFonts w:ascii="Times New Roman" w:hAnsi="Times New Roman"/>
        </w:rPr>
        <w:t>The Part</w:t>
      </w:r>
      <w:r w:rsidR="001B4659" w:rsidRPr="000C06D7">
        <w:rPr>
          <w:rFonts w:ascii="Times New Roman" w:hAnsi="Times New Roman"/>
        </w:rPr>
        <w:t xml:space="preserve"> was inserted </w:t>
      </w:r>
      <w:r w:rsidR="00E95974" w:rsidRPr="000C06D7">
        <w:rPr>
          <w:rFonts w:ascii="Times New Roman" w:hAnsi="Times New Roman"/>
        </w:rPr>
        <w:t>into the Act</w:t>
      </w:r>
      <w:r w:rsidR="003F241B" w:rsidRPr="000C06D7">
        <w:rPr>
          <w:rFonts w:ascii="Times New Roman" w:hAnsi="Times New Roman"/>
        </w:rPr>
        <w:t xml:space="preserve">, then known as the </w:t>
      </w:r>
      <w:r w:rsidR="003D7667" w:rsidRPr="000C06D7">
        <w:rPr>
          <w:rFonts w:ascii="Times New Roman" w:hAnsi="Times New Roman"/>
          <w:i/>
        </w:rPr>
        <w:t>Trade Practices Act 197</w:t>
      </w:r>
      <w:r w:rsidR="0095317A" w:rsidRPr="000C06D7">
        <w:rPr>
          <w:rFonts w:ascii="Times New Roman" w:hAnsi="Times New Roman"/>
          <w:i/>
        </w:rPr>
        <w:t>4</w:t>
      </w:r>
      <w:r w:rsidR="003D7667" w:rsidRPr="000C06D7">
        <w:rPr>
          <w:rFonts w:ascii="Times New Roman" w:hAnsi="Times New Roman"/>
        </w:rPr>
        <w:t xml:space="preserve"> (Cth), </w:t>
      </w:r>
      <w:r w:rsidR="00BC3C30" w:rsidRPr="000C06D7">
        <w:rPr>
          <w:rFonts w:ascii="Times New Roman" w:hAnsi="Times New Roman"/>
        </w:rPr>
        <w:t xml:space="preserve">by </w:t>
      </w:r>
      <w:r w:rsidR="00C73B72" w:rsidRPr="000C06D7">
        <w:rPr>
          <w:rFonts w:ascii="Times New Roman" w:hAnsi="Times New Roman"/>
        </w:rPr>
        <w:t>a</w:t>
      </w:r>
      <w:r w:rsidR="00BC3C30" w:rsidRPr="000C06D7">
        <w:rPr>
          <w:rFonts w:ascii="Times New Roman" w:hAnsi="Times New Roman"/>
        </w:rPr>
        <w:t>mend</w:t>
      </w:r>
      <w:r w:rsidR="00C73B72" w:rsidRPr="000C06D7">
        <w:rPr>
          <w:rFonts w:ascii="Times New Roman" w:hAnsi="Times New Roman"/>
        </w:rPr>
        <w:t>ment</w:t>
      </w:r>
      <w:r w:rsidR="00BC3C30" w:rsidRPr="000C06D7">
        <w:rPr>
          <w:rFonts w:ascii="Times New Roman" w:hAnsi="Times New Roman"/>
        </w:rPr>
        <w:t xml:space="preserve"> </w:t>
      </w:r>
      <w:r w:rsidR="001B4659" w:rsidRPr="000C06D7">
        <w:rPr>
          <w:rFonts w:ascii="Times New Roman" w:hAnsi="Times New Roman"/>
        </w:rPr>
        <w:t xml:space="preserve">in </w:t>
      </w:r>
      <w:r w:rsidR="00EB22B4" w:rsidRPr="000C06D7">
        <w:rPr>
          <w:rFonts w:ascii="Times New Roman" w:hAnsi="Times New Roman"/>
        </w:rPr>
        <w:t>1995</w:t>
      </w:r>
      <w:r w:rsidR="00FF03B8" w:rsidRPr="000C06D7">
        <w:rPr>
          <w:rFonts w:ascii="Times New Roman" w:hAnsi="Times New Roman"/>
        </w:rPr>
        <w:t xml:space="preserve"> ("the 1995 Act")</w:t>
      </w:r>
      <w:r w:rsidR="00B1099B" w:rsidRPr="000C06D7">
        <w:rPr>
          <w:rStyle w:val="FootnoteReference"/>
          <w:rFonts w:ascii="Times New Roman" w:hAnsi="Times New Roman"/>
          <w:sz w:val="24"/>
        </w:rPr>
        <w:footnoteReference w:id="5"/>
      </w:r>
      <w:r w:rsidR="003D7667" w:rsidRPr="000C06D7">
        <w:rPr>
          <w:rFonts w:ascii="Times New Roman" w:hAnsi="Times New Roman"/>
        </w:rPr>
        <w:t xml:space="preserve">. </w:t>
      </w:r>
      <w:r w:rsidR="00BF3887" w:rsidRPr="000C06D7">
        <w:rPr>
          <w:rFonts w:ascii="Times New Roman" w:hAnsi="Times New Roman"/>
        </w:rPr>
        <w:t>I</w:t>
      </w:r>
      <w:r w:rsidR="004233A0" w:rsidRPr="000C06D7">
        <w:rPr>
          <w:rFonts w:ascii="Times New Roman" w:hAnsi="Times New Roman"/>
        </w:rPr>
        <w:t xml:space="preserve">nsertion </w:t>
      </w:r>
      <w:r w:rsidR="00533F7C" w:rsidRPr="000C06D7">
        <w:rPr>
          <w:rFonts w:ascii="Times New Roman" w:hAnsi="Times New Roman"/>
        </w:rPr>
        <w:t>of the P</w:t>
      </w:r>
      <w:r w:rsidR="00973654" w:rsidRPr="000C06D7">
        <w:rPr>
          <w:rFonts w:ascii="Times New Roman" w:hAnsi="Times New Roman"/>
        </w:rPr>
        <w:t>a</w:t>
      </w:r>
      <w:r w:rsidR="00533F7C" w:rsidRPr="000C06D7">
        <w:rPr>
          <w:rFonts w:ascii="Times New Roman" w:hAnsi="Times New Roman"/>
        </w:rPr>
        <w:t xml:space="preserve">rt </w:t>
      </w:r>
      <w:r w:rsidR="00EB22B4" w:rsidRPr="000C06D7">
        <w:rPr>
          <w:rFonts w:ascii="Times New Roman" w:hAnsi="Times New Roman"/>
        </w:rPr>
        <w:t>implement</w:t>
      </w:r>
      <w:r w:rsidR="004233A0" w:rsidRPr="000C06D7">
        <w:rPr>
          <w:rFonts w:ascii="Times New Roman" w:hAnsi="Times New Roman"/>
        </w:rPr>
        <w:t>ed a provision</w:t>
      </w:r>
      <w:r w:rsidR="00D036F8" w:rsidRPr="000C06D7">
        <w:rPr>
          <w:rFonts w:ascii="Times New Roman" w:hAnsi="Times New Roman"/>
        </w:rPr>
        <w:t xml:space="preserve"> of</w:t>
      </w:r>
      <w:r w:rsidR="00EB22B4" w:rsidRPr="000C06D7">
        <w:rPr>
          <w:rFonts w:ascii="Times New Roman" w:hAnsi="Times New Roman"/>
        </w:rPr>
        <w:t xml:space="preserve"> the Competition Principles Agreement</w:t>
      </w:r>
      <w:r w:rsidR="00B1099B" w:rsidRPr="000C06D7">
        <w:rPr>
          <w:rStyle w:val="FootnoteReference"/>
          <w:rFonts w:ascii="Times New Roman" w:hAnsi="Times New Roman"/>
          <w:sz w:val="24"/>
        </w:rPr>
        <w:footnoteReference w:id="6"/>
      </w:r>
      <w:r w:rsidR="00EB22B4" w:rsidRPr="000C06D7">
        <w:rPr>
          <w:rFonts w:ascii="Times New Roman" w:hAnsi="Times New Roman"/>
        </w:rPr>
        <w:t xml:space="preserve"> </w:t>
      </w:r>
      <w:r w:rsidR="001A0940" w:rsidRPr="000C06D7">
        <w:rPr>
          <w:rFonts w:ascii="Times New Roman" w:hAnsi="Times New Roman"/>
        </w:rPr>
        <w:t>agreed t</w:t>
      </w:r>
      <w:r w:rsidR="00496A2B" w:rsidRPr="000C06D7">
        <w:rPr>
          <w:rFonts w:ascii="Times New Roman" w:hAnsi="Times New Roman"/>
        </w:rPr>
        <w:t>o by</w:t>
      </w:r>
      <w:r w:rsidR="00312809" w:rsidRPr="000C06D7">
        <w:rPr>
          <w:rFonts w:ascii="Times New Roman" w:hAnsi="Times New Roman"/>
        </w:rPr>
        <w:t xml:space="preserve"> the Council of Australian Governments</w:t>
      </w:r>
      <w:r w:rsidR="00476EE0" w:rsidRPr="000C06D7">
        <w:rPr>
          <w:rFonts w:ascii="Times New Roman" w:hAnsi="Times New Roman"/>
        </w:rPr>
        <w:t xml:space="preserve"> </w:t>
      </w:r>
      <w:r w:rsidR="00847ACE" w:rsidRPr="000C06D7">
        <w:rPr>
          <w:rFonts w:ascii="Times New Roman" w:hAnsi="Times New Roman"/>
        </w:rPr>
        <w:t>(</w:t>
      </w:r>
      <w:r w:rsidR="00460725" w:rsidRPr="000C06D7">
        <w:rPr>
          <w:rFonts w:ascii="Times New Roman" w:hAnsi="Times New Roman"/>
        </w:rPr>
        <w:t>"</w:t>
      </w:r>
      <w:r w:rsidR="00847ACE" w:rsidRPr="000C06D7">
        <w:rPr>
          <w:rFonts w:ascii="Times New Roman" w:hAnsi="Times New Roman"/>
        </w:rPr>
        <w:t xml:space="preserve">COAG") </w:t>
      </w:r>
      <w:r w:rsidR="00B1099B" w:rsidRPr="000C06D7">
        <w:rPr>
          <w:rFonts w:ascii="Times New Roman" w:hAnsi="Times New Roman"/>
        </w:rPr>
        <w:t xml:space="preserve">that year </w:t>
      </w:r>
      <w:r w:rsidR="001C3CEA" w:rsidRPr="000C06D7">
        <w:rPr>
          <w:rFonts w:ascii="Times New Roman" w:hAnsi="Times New Roman"/>
        </w:rPr>
        <w:t>in accordance with</w:t>
      </w:r>
      <w:r w:rsidR="005F4969" w:rsidRPr="000C06D7">
        <w:rPr>
          <w:rFonts w:ascii="Times New Roman" w:hAnsi="Times New Roman"/>
        </w:rPr>
        <w:t xml:space="preserve"> </w:t>
      </w:r>
      <w:r w:rsidR="008B73AF" w:rsidRPr="000C06D7">
        <w:rPr>
          <w:rFonts w:ascii="Times New Roman" w:hAnsi="Times New Roman"/>
        </w:rPr>
        <w:t xml:space="preserve">a recommendation </w:t>
      </w:r>
      <w:r w:rsidR="00FD40DD" w:rsidRPr="000C06D7">
        <w:rPr>
          <w:rFonts w:ascii="Times New Roman" w:hAnsi="Times New Roman"/>
        </w:rPr>
        <w:t xml:space="preserve">in </w:t>
      </w:r>
      <w:r w:rsidR="000B2335" w:rsidRPr="000C06D7">
        <w:rPr>
          <w:rFonts w:ascii="Times New Roman" w:hAnsi="Times New Roman"/>
        </w:rPr>
        <w:t xml:space="preserve">the </w:t>
      </w:r>
      <w:r w:rsidR="00D16C0D" w:rsidRPr="000C06D7">
        <w:rPr>
          <w:rFonts w:ascii="Times New Roman" w:hAnsi="Times New Roman"/>
        </w:rPr>
        <w:t>r</w:t>
      </w:r>
      <w:r w:rsidR="000B2335" w:rsidRPr="000C06D7">
        <w:rPr>
          <w:rFonts w:ascii="Times New Roman" w:hAnsi="Times New Roman"/>
        </w:rPr>
        <w:t xml:space="preserve">eport </w:t>
      </w:r>
      <w:r w:rsidR="00D16C0D" w:rsidRPr="000C06D7">
        <w:rPr>
          <w:rFonts w:ascii="Times New Roman" w:hAnsi="Times New Roman"/>
        </w:rPr>
        <w:t xml:space="preserve">two years earlier </w:t>
      </w:r>
      <w:r w:rsidR="000B2335" w:rsidRPr="000C06D7">
        <w:rPr>
          <w:rFonts w:ascii="Times New Roman" w:hAnsi="Times New Roman"/>
        </w:rPr>
        <w:t xml:space="preserve">of the </w:t>
      </w:r>
      <w:r w:rsidR="007557B0" w:rsidRPr="000C06D7">
        <w:rPr>
          <w:rFonts w:ascii="Times New Roman" w:hAnsi="Times New Roman"/>
        </w:rPr>
        <w:t xml:space="preserve">National Competition Policy Review </w:t>
      </w:r>
      <w:r w:rsidR="00D16C0D" w:rsidRPr="000C06D7">
        <w:rPr>
          <w:rFonts w:ascii="Times New Roman" w:hAnsi="Times New Roman"/>
        </w:rPr>
        <w:t xml:space="preserve">chaired by Professor </w:t>
      </w:r>
      <w:r w:rsidR="00B1099B" w:rsidRPr="000C06D7">
        <w:rPr>
          <w:rFonts w:ascii="Times New Roman" w:hAnsi="Times New Roman"/>
        </w:rPr>
        <w:t xml:space="preserve">Fred </w:t>
      </w:r>
      <w:proofErr w:type="spellStart"/>
      <w:r w:rsidR="00B1099B" w:rsidRPr="000C06D7">
        <w:rPr>
          <w:rFonts w:ascii="Times New Roman" w:hAnsi="Times New Roman"/>
        </w:rPr>
        <w:t>Hilmer</w:t>
      </w:r>
      <w:proofErr w:type="spellEnd"/>
      <w:r w:rsidR="00FD40DD" w:rsidRPr="000C06D7">
        <w:rPr>
          <w:rFonts w:ascii="Times New Roman" w:hAnsi="Times New Roman"/>
        </w:rPr>
        <w:t xml:space="preserve"> ("the </w:t>
      </w:r>
      <w:proofErr w:type="spellStart"/>
      <w:r w:rsidR="00FD40DD" w:rsidRPr="000C06D7">
        <w:rPr>
          <w:rFonts w:ascii="Times New Roman" w:hAnsi="Times New Roman"/>
        </w:rPr>
        <w:t>Hilmer</w:t>
      </w:r>
      <w:proofErr w:type="spellEnd"/>
      <w:r w:rsidR="00FD40DD" w:rsidRPr="000C06D7">
        <w:rPr>
          <w:rFonts w:ascii="Times New Roman" w:hAnsi="Times New Roman"/>
        </w:rPr>
        <w:t xml:space="preserve"> Report")</w:t>
      </w:r>
      <w:r w:rsidR="002549A3" w:rsidRPr="000C06D7">
        <w:rPr>
          <w:rStyle w:val="FootnoteReference"/>
          <w:rFonts w:ascii="Times New Roman" w:hAnsi="Times New Roman"/>
          <w:sz w:val="24"/>
        </w:rPr>
        <w:footnoteReference w:id="7"/>
      </w:r>
      <w:r w:rsidR="0038095F" w:rsidRPr="000C06D7">
        <w:rPr>
          <w:rFonts w:ascii="Times New Roman" w:hAnsi="Times New Roman"/>
        </w:rPr>
        <w:t xml:space="preserve">. </w:t>
      </w:r>
      <w:r w:rsidR="00FE2A16" w:rsidRPr="000C06D7">
        <w:rPr>
          <w:rFonts w:ascii="Times New Roman" w:hAnsi="Times New Roman"/>
        </w:rPr>
        <w:t>I</w:t>
      </w:r>
      <w:r w:rsidR="004F3A80" w:rsidRPr="000C06D7">
        <w:rPr>
          <w:rFonts w:ascii="Times New Roman" w:hAnsi="Times New Roman"/>
        </w:rPr>
        <w:t xml:space="preserve">ntroduction </w:t>
      </w:r>
      <w:r w:rsidR="00A8773C" w:rsidRPr="000C06D7">
        <w:rPr>
          <w:rFonts w:ascii="Times New Roman" w:hAnsi="Times New Roman"/>
        </w:rPr>
        <w:t xml:space="preserve">into the Commonwealth Parliament </w:t>
      </w:r>
      <w:r w:rsidR="004F3A80" w:rsidRPr="000C06D7">
        <w:rPr>
          <w:rFonts w:ascii="Times New Roman" w:hAnsi="Times New Roman"/>
        </w:rPr>
        <w:t xml:space="preserve">of the </w:t>
      </w:r>
      <w:r w:rsidR="00FE2A16" w:rsidRPr="000C06D7">
        <w:rPr>
          <w:rFonts w:ascii="Times New Roman" w:hAnsi="Times New Roman"/>
        </w:rPr>
        <w:t xml:space="preserve">Bill for the </w:t>
      </w:r>
      <w:r w:rsidR="007C087F" w:rsidRPr="000C06D7">
        <w:rPr>
          <w:rFonts w:ascii="Times New Roman" w:hAnsi="Times New Roman"/>
        </w:rPr>
        <w:t>1995 Act</w:t>
      </w:r>
      <w:r w:rsidR="00FE2A16" w:rsidRPr="000C06D7">
        <w:rPr>
          <w:rFonts w:ascii="Times New Roman" w:hAnsi="Times New Roman"/>
        </w:rPr>
        <w:t xml:space="preserve"> was preceded by </w:t>
      </w:r>
      <w:r w:rsidR="00701324" w:rsidRPr="000C06D7">
        <w:rPr>
          <w:rFonts w:ascii="Times New Roman" w:hAnsi="Times New Roman"/>
        </w:rPr>
        <w:t>release by</w:t>
      </w:r>
      <w:r w:rsidR="00DF5A46" w:rsidRPr="000C06D7">
        <w:rPr>
          <w:rFonts w:ascii="Times New Roman" w:hAnsi="Times New Roman"/>
        </w:rPr>
        <w:t xml:space="preserve"> C</w:t>
      </w:r>
      <w:r w:rsidR="00460725" w:rsidRPr="000C06D7">
        <w:rPr>
          <w:rFonts w:ascii="Times New Roman" w:hAnsi="Times New Roman"/>
        </w:rPr>
        <w:t>O</w:t>
      </w:r>
      <w:r w:rsidR="00DF5A46" w:rsidRPr="000C06D7">
        <w:rPr>
          <w:rFonts w:ascii="Times New Roman" w:hAnsi="Times New Roman"/>
        </w:rPr>
        <w:t>AG for public comment of</w:t>
      </w:r>
      <w:r w:rsidR="00E519D9" w:rsidRPr="000C06D7">
        <w:rPr>
          <w:rFonts w:ascii="Times New Roman" w:hAnsi="Times New Roman"/>
        </w:rPr>
        <w:t xml:space="preserve"> a package of material containing</w:t>
      </w:r>
      <w:r w:rsidR="00DF5A46" w:rsidRPr="000C06D7">
        <w:rPr>
          <w:rFonts w:ascii="Times New Roman" w:hAnsi="Times New Roman"/>
        </w:rPr>
        <w:t xml:space="preserve"> </w:t>
      </w:r>
      <w:r w:rsidR="00FE2A16" w:rsidRPr="000C06D7">
        <w:rPr>
          <w:rFonts w:ascii="Times New Roman" w:hAnsi="Times New Roman"/>
        </w:rPr>
        <w:t xml:space="preserve">an exposure </w:t>
      </w:r>
      <w:r w:rsidR="00B93B93" w:rsidRPr="000C06D7">
        <w:rPr>
          <w:rFonts w:ascii="Times New Roman" w:hAnsi="Times New Roman"/>
        </w:rPr>
        <w:t>draft both of the Bill and of the Competition Principles Agreement</w:t>
      </w:r>
      <w:r w:rsidR="00FF03B8" w:rsidRPr="000C06D7">
        <w:rPr>
          <w:rFonts w:ascii="Times New Roman" w:hAnsi="Times New Roman"/>
        </w:rPr>
        <w:t xml:space="preserve"> ("the Information Package")</w:t>
      </w:r>
      <w:r w:rsidR="00B93B93" w:rsidRPr="000C06D7">
        <w:rPr>
          <w:rStyle w:val="FootnoteReference"/>
          <w:rFonts w:ascii="Times New Roman" w:hAnsi="Times New Roman"/>
          <w:sz w:val="24"/>
        </w:rPr>
        <w:footnoteReference w:id="8"/>
      </w:r>
      <w:r w:rsidR="000608E2" w:rsidRPr="000C06D7">
        <w:rPr>
          <w:rFonts w:ascii="Times New Roman" w:hAnsi="Times New Roman"/>
        </w:rPr>
        <w:t>.</w:t>
      </w:r>
    </w:p>
    <w:p w14:paraId="55A863C6" w14:textId="428C2401" w:rsidR="00A32B60" w:rsidRPr="000C06D7" w:rsidRDefault="000608E2"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100E89" w:rsidRPr="000C06D7">
        <w:rPr>
          <w:rFonts w:ascii="Times New Roman" w:hAnsi="Times New Roman"/>
        </w:rPr>
        <w:t>F</w:t>
      </w:r>
      <w:r w:rsidR="00D0635A" w:rsidRPr="000C06D7">
        <w:rPr>
          <w:rFonts w:ascii="Times New Roman" w:hAnsi="Times New Roman"/>
        </w:rPr>
        <w:t>ollowing</w:t>
      </w:r>
      <w:r w:rsidR="006C4BF0" w:rsidRPr="000C06D7">
        <w:rPr>
          <w:rFonts w:ascii="Times New Roman" w:hAnsi="Times New Roman"/>
        </w:rPr>
        <w:t xml:space="preserve"> a</w:t>
      </w:r>
      <w:r w:rsidR="00FD4EF1" w:rsidRPr="000C06D7">
        <w:rPr>
          <w:rFonts w:ascii="Times New Roman" w:hAnsi="Times New Roman"/>
        </w:rPr>
        <w:t>n extensive</w:t>
      </w:r>
      <w:r w:rsidR="006C4BF0" w:rsidRPr="000C06D7">
        <w:rPr>
          <w:rFonts w:ascii="Times New Roman" w:hAnsi="Times New Roman"/>
        </w:rPr>
        <w:t xml:space="preserve"> review</w:t>
      </w:r>
      <w:r w:rsidR="00D0635A" w:rsidRPr="000C06D7">
        <w:rPr>
          <w:rFonts w:ascii="Times New Roman" w:hAnsi="Times New Roman"/>
        </w:rPr>
        <w:t xml:space="preserve"> by the </w:t>
      </w:r>
      <w:r w:rsidR="00882303" w:rsidRPr="000C06D7">
        <w:rPr>
          <w:rFonts w:ascii="Times New Roman" w:hAnsi="Times New Roman"/>
        </w:rPr>
        <w:t>Productivity Commission</w:t>
      </w:r>
      <w:r w:rsidR="00EF2E0D" w:rsidRPr="000C06D7">
        <w:rPr>
          <w:rFonts w:ascii="Times New Roman" w:hAnsi="Times New Roman"/>
        </w:rPr>
        <w:t xml:space="preserve"> in </w:t>
      </w:r>
      <w:r w:rsidR="00486C38" w:rsidRPr="000C06D7">
        <w:rPr>
          <w:rFonts w:ascii="Times New Roman" w:hAnsi="Times New Roman"/>
        </w:rPr>
        <w:t>2001</w:t>
      </w:r>
      <w:r w:rsidR="00BF19D3" w:rsidRPr="000C06D7">
        <w:rPr>
          <w:rStyle w:val="FootnoteReference"/>
          <w:rFonts w:ascii="Times New Roman" w:hAnsi="Times New Roman"/>
          <w:sz w:val="24"/>
        </w:rPr>
        <w:footnoteReference w:id="9"/>
      </w:r>
      <w:r w:rsidR="00EF2E0D" w:rsidRPr="000C06D7">
        <w:rPr>
          <w:rFonts w:ascii="Times New Roman" w:hAnsi="Times New Roman"/>
        </w:rPr>
        <w:t>,</w:t>
      </w:r>
      <w:r w:rsidR="0014261C" w:rsidRPr="000C06D7">
        <w:rPr>
          <w:rFonts w:ascii="Times New Roman" w:hAnsi="Times New Roman"/>
        </w:rPr>
        <w:t xml:space="preserve"> Pt </w:t>
      </w:r>
      <w:r w:rsidR="006E2DB3" w:rsidRPr="000C06D7">
        <w:rPr>
          <w:rFonts w:ascii="Times New Roman" w:hAnsi="Times New Roman"/>
        </w:rPr>
        <w:t xml:space="preserve">IIIA </w:t>
      </w:r>
      <w:r w:rsidR="00100E89" w:rsidRPr="000C06D7">
        <w:rPr>
          <w:rFonts w:ascii="Times New Roman" w:hAnsi="Times New Roman"/>
        </w:rPr>
        <w:t>was amended in 200</w:t>
      </w:r>
      <w:r w:rsidR="007C0F8B" w:rsidRPr="000C06D7">
        <w:rPr>
          <w:rFonts w:ascii="Times New Roman" w:hAnsi="Times New Roman"/>
        </w:rPr>
        <w:t>6</w:t>
      </w:r>
      <w:r w:rsidR="00EC4438" w:rsidRPr="000C06D7">
        <w:rPr>
          <w:rFonts w:ascii="Times New Roman" w:hAnsi="Times New Roman"/>
        </w:rPr>
        <w:t xml:space="preserve"> ("the</w:t>
      </w:r>
      <w:r w:rsidR="00470D34" w:rsidRPr="000C06D7">
        <w:rPr>
          <w:rFonts w:ascii="Times New Roman" w:hAnsi="Times New Roman"/>
        </w:rPr>
        <w:t xml:space="preserve"> 2006 Act")</w:t>
      </w:r>
      <w:r w:rsidR="00100E89" w:rsidRPr="000C06D7">
        <w:rPr>
          <w:rStyle w:val="FootnoteReference"/>
          <w:rFonts w:ascii="Times New Roman" w:hAnsi="Times New Roman"/>
          <w:sz w:val="24"/>
        </w:rPr>
        <w:footnoteReference w:id="10"/>
      </w:r>
      <w:r w:rsidR="00F25DD0" w:rsidRPr="000C06D7">
        <w:rPr>
          <w:rFonts w:ascii="Times New Roman" w:hAnsi="Times New Roman"/>
        </w:rPr>
        <w:t xml:space="preserve">. </w:t>
      </w:r>
      <w:r w:rsidR="003244F7" w:rsidRPr="000C06D7">
        <w:rPr>
          <w:rFonts w:ascii="Times New Roman" w:hAnsi="Times New Roman"/>
        </w:rPr>
        <w:t>A</w:t>
      </w:r>
      <w:r w:rsidR="00D9795D" w:rsidRPr="000C06D7">
        <w:rPr>
          <w:rFonts w:ascii="Times New Roman" w:hAnsi="Times New Roman"/>
        </w:rPr>
        <w:t>s</w:t>
      </w:r>
      <w:r w:rsidR="00B80328" w:rsidRPr="000C06D7">
        <w:rPr>
          <w:rFonts w:ascii="Times New Roman" w:hAnsi="Times New Roman"/>
        </w:rPr>
        <w:t xml:space="preserve">pects of </w:t>
      </w:r>
      <w:r w:rsidR="006973BE" w:rsidRPr="000C06D7">
        <w:rPr>
          <w:rFonts w:ascii="Times New Roman" w:hAnsi="Times New Roman"/>
        </w:rPr>
        <w:t>the Part</w:t>
      </w:r>
      <w:r w:rsidR="00B80328" w:rsidRPr="000C06D7">
        <w:rPr>
          <w:rFonts w:ascii="Times New Roman" w:hAnsi="Times New Roman"/>
        </w:rPr>
        <w:t xml:space="preserve"> </w:t>
      </w:r>
      <w:r w:rsidR="00CF5229" w:rsidRPr="000C06D7">
        <w:rPr>
          <w:rFonts w:ascii="Times New Roman" w:hAnsi="Times New Roman"/>
        </w:rPr>
        <w:t>in the form</w:t>
      </w:r>
      <w:r w:rsidR="00E60890" w:rsidRPr="000C06D7">
        <w:rPr>
          <w:rFonts w:ascii="Times New Roman" w:hAnsi="Times New Roman"/>
        </w:rPr>
        <w:t xml:space="preserve"> </w:t>
      </w:r>
      <w:r w:rsidR="002E3A1E" w:rsidRPr="000C06D7">
        <w:rPr>
          <w:rFonts w:ascii="Times New Roman" w:hAnsi="Times New Roman"/>
        </w:rPr>
        <w:t xml:space="preserve">inserted </w:t>
      </w:r>
      <w:r w:rsidR="00150876" w:rsidRPr="000C06D7">
        <w:rPr>
          <w:rFonts w:ascii="Times New Roman" w:hAnsi="Times New Roman"/>
        </w:rPr>
        <w:t>by the</w:t>
      </w:r>
      <w:r w:rsidR="002E3A1E" w:rsidRPr="000C06D7">
        <w:rPr>
          <w:rFonts w:ascii="Times New Roman" w:hAnsi="Times New Roman"/>
        </w:rPr>
        <w:t xml:space="preserve"> 1995</w:t>
      </w:r>
      <w:r w:rsidR="000821F4" w:rsidRPr="000C06D7">
        <w:rPr>
          <w:rFonts w:ascii="Times New Roman" w:hAnsi="Times New Roman"/>
        </w:rPr>
        <w:t xml:space="preserve"> </w:t>
      </w:r>
      <w:r w:rsidR="00150876" w:rsidRPr="000C06D7">
        <w:rPr>
          <w:rFonts w:ascii="Times New Roman" w:hAnsi="Times New Roman"/>
        </w:rPr>
        <w:t xml:space="preserve">Act </w:t>
      </w:r>
      <w:r w:rsidR="000821F4" w:rsidRPr="000C06D7">
        <w:rPr>
          <w:rFonts w:ascii="Times New Roman" w:hAnsi="Times New Roman"/>
        </w:rPr>
        <w:t>were</w:t>
      </w:r>
      <w:r w:rsidR="006157F8" w:rsidRPr="000C06D7">
        <w:rPr>
          <w:rFonts w:ascii="Times New Roman" w:hAnsi="Times New Roman"/>
        </w:rPr>
        <w:t xml:space="preserve"> </w:t>
      </w:r>
      <w:r w:rsidR="00777B22" w:rsidRPr="000C06D7">
        <w:rPr>
          <w:rFonts w:ascii="Times New Roman" w:hAnsi="Times New Roman"/>
        </w:rPr>
        <w:t>considered by this</w:t>
      </w:r>
      <w:r w:rsidR="000821F4" w:rsidRPr="000C06D7">
        <w:rPr>
          <w:rFonts w:ascii="Times New Roman" w:hAnsi="Times New Roman"/>
        </w:rPr>
        <w:t xml:space="preserve"> Court in 2008</w:t>
      </w:r>
      <w:r w:rsidR="000821F4" w:rsidRPr="000C06D7">
        <w:rPr>
          <w:rStyle w:val="FootnoteReference"/>
          <w:rFonts w:ascii="Times New Roman" w:hAnsi="Times New Roman"/>
          <w:sz w:val="24"/>
        </w:rPr>
        <w:footnoteReference w:id="11"/>
      </w:r>
      <w:r w:rsidR="00C33691" w:rsidRPr="000C06D7">
        <w:rPr>
          <w:rFonts w:ascii="Times New Roman" w:hAnsi="Times New Roman"/>
        </w:rPr>
        <w:t>.</w:t>
      </w:r>
      <w:r w:rsidR="005D74CE" w:rsidRPr="000C06D7">
        <w:rPr>
          <w:rFonts w:ascii="Times New Roman" w:hAnsi="Times New Roman"/>
        </w:rPr>
        <w:t xml:space="preserve"> </w:t>
      </w:r>
      <w:r w:rsidR="00777B22" w:rsidRPr="000C06D7">
        <w:rPr>
          <w:rFonts w:ascii="Times New Roman" w:hAnsi="Times New Roman"/>
        </w:rPr>
        <w:t>O</w:t>
      </w:r>
      <w:r w:rsidR="006973BE" w:rsidRPr="000C06D7">
        <w:rPr>
          <w:rFonts w:ascii="Times New Roman" w:hAnsi="Times New Roman"/>
        </w:rPr>
        <w:t xml:space="preserve">ther </w:t>
      </w:r>
      <w:r w:rsidR="005D74CE" w:rsidRPr="000C06D7">
        <w:rPr>
          <w:rFonts w:ascii="Times New Roman" w:hAnsi="Times New Roman"/>
        </w:rPr>
        <w:t xml:space="preserve">aspects of </w:t>
      </w:r>
      <w:r w:rsidR="006973BE" w:rsidRPr="000C06D7">
        <w:rPr>
          <w:rFonts w:ascii="Times New Roman" w:hAnsi="Times New Roman"/>
        </w:rPr>
        <w:t>the Part</w:t>
      </w:r>
      <w:r w:rsidR="005D74CE" w:rsidRPr="000C06D7">
        <w:rPr>
          <w:rFonts w:ascii="Times New Roman" w:hAnsi="Times New Roman"/>
        </w:rPr>
        <w:t xml:space="preserve"> </w:t>
      </w:r>
      <w:r w:rsidR="00BB2B8D" w:rsidRPr="000C06D7">
        <w:rPr>
          <w:rFonts w:ascii="Times New Roman" w:hAnsi="Times New Roman"/>
        </w:rPr>
        <w:t>in the form</w:t>
      </w:r>
      <w:r w:rsidR="00C33691" w:rsidRPr="000C06D7">
        <w:rPr>
          <w:rFonts w:ascii="Times New Roman" w:hAnsi="Times New Roman"/>
        </w:rPr>
        <w:t xml:space="preserve"> </w:t>
      </w:r>
      <w:r w:rsidR="005D74CE" w:rsidRPr="000C06D7">
        <w:rPr>
          <w:rFonts w:ascii="Times New Roman" w:hAnsi="Times New Roman"/>
        </w:rPr>
        <w:t xml:space="preserve">amended </w:t>
      </w:r>
      <w:r w:rsidR="00576673" w:rsidRPr="000C06D7">
        <w:rPr>
          <w:rFonts w:ascii="Times New Roman" w:hAnsi="Times New Roman"/>
        </w:rPr>
        <w:t>by the</w:t>
      </w:r>
      <w:r w:rsidR="005D74CE" w:rsidRPr="000C06D7">
        <w:rPr>
          <w:rFonts w:ascii="Times New Roman" w:hAnsi="Times New Roman"/>
        </w:rPr>
        <w:t xml:space="preserve"> </w:t>
      </w:r>
      <w:r w:rsidR="006F731C" w:rsidRPr="000C06D7">
        <w:rPr>
          <w:rFonts w:ascii="Times New Roman" w:hAnsi="Times New Roman"/>
        </w:rPr>
        <w:t>2006</w:t>
      </w:r>
      <w:r w:rsidR="00777B22" w:rsidRPr="000C06D7">
        <w:rPr>
          <w:rFonts w:ascii="Times New Roman" w:hAnsi="Times New Roman"/>
        </w:rPr>
        <w:t xml:space="preserve"> </w:t>
      </w:r>
      <w:r w:rsidR="00576673" w:rsidRPr="000C06D7">
        <w:rPr>
          <w:rFonts w:ascii="Times New Roman" w:hAnsi="Times New Roman"/>
        </w:rPr>
        <w:t xml:space="preserve">Act </w:t>
      </w:r>
      <w:r w:rsidR="00777B22" w:rsidRPr="000C06D7">
        <w:rPr>
          <w:rFonts w:ascii="Times New Roman" w:hAnsi="Times New Roman"/>
        </w:rPr>
        <w:t xml:space="preserve">were </w:t>
      </w:r>
      <w:r w:rsidR="007E0216" w:rsidRPr="000C06D7">
        <w:rPr>
          <w:rFonts w:ascii="Times New Roman" w:hAnsi="Times New Roman"/>
        </w:rPr>
        <w:t>subsequently considered by this Court in 2012</w:t>
      </w:r>
      <w:r w:rsidR="00D9795D" w:rsidRPr="000C06D7">
        <w:rPr>
          <w:rStyle w:val="FootnoteReference"/>
          <w:rFonts w:ascii="Times New Roman" w:hAnsi="Times New Roman"/>
          <w:sz w:val="24"/>
        </w:rPr>
        <w:footnoteReference w:id="12"/>
      </w:r>
      <w:r w:rsidR="00D9795D" w:rsidRPr="000C06D7">
        <w:rPr>
          <w:rFonts w:ascii="Times New Roman" w:hAnsi="Times New Roman"/>
        </w:rPr>
        <w:t>.</w:t>
      </w:r>
      <w:r w:rsidR="001275FC" w:rsidRPr="000C06D7">
        <w:rPr>
          <w:rFonts w:ascii="Times New Roman" w:hAnsi="Times New Roman"/>
        </w:rPr>
        <w:t xml:space="preserve"> </w:t>
      </w:r>
      <w:r w:rsidR="00100E89" w:rsidRPr="000C06D7">
        <w:rPr>
          <w:rFonts w:ascii="Times New Roman" w:hAnsi="Times New Roman"/>
        </w:rPr>
        <w:t>F</w:t>
      </w:r>
      <w:r w:rsidR="00FD4EF1" w:rsidRPr="000C06D7">
        <w:rPr>
          <w:rFonts w:ascii="Times New Roman" w:hAnsi="Times New Roman"/>
        </w:rPr>
        <w:t xml:space="preserve">ollowing a further review </w:t>
      </w:r>
      <w:r w:rsidR="00576673" w:rsidRPr="000C06D7">
        <w:rPr>
          <w:rFonts w:ascii="Times New Roman" w:hAnsi="Times New Roman"/>
        </w:rPr>
        <w:t xml:space="preserve">of the Part </w:t>
      </w:r>
      <w:r w:rsidR="00FD4EF1" w:rsidRPr="000C06D7">
        <w:rPr>
          <w:rFonts w:ascii="Times New Roman" w:hAnsi="Times New Roman"/>
        </w:rPr>
        <w:t xml:space="preserve">by the Productivity </w:t>
      </w:r>
      <w:r w:rsidR="00FD4EF1" w:rsidRPr="000C06D7">
        <w:rPr>
          <w:rFonts w:ascii="Times New Roman" w:hAnsi="Times New Roman"/>
        </w:rPr>
        <w:lastRenderedPageBreak/>
        <w:t>Commission</w:t>
      </w:r>
      <w:r w:rsidR="00D4262A" w:rsidRPr="000C06D7">
        <w:rPr>
          <w:rFonts w:ascii="Times New Roman" w:hAnsi="Times New Roman"/>
        </w:rPr>
        <w:t xml:space="preserve"> in </w:t>
      </w:r>
      <w:r w:rsidR="0062249B" w:rsidRPr="000C06D7">
        <w:rPr>
          <w:rFonts w:ascii="Times New Roman" w:hAnsi="Times New Roman"/>
        </w:rPr>
        <w:t>2013</w:t>
      </w:r>
      <w:r w:rsidR="00D4262A" w:rsidRPr="000C06D7">
        <w:rPr>
          <w:rStyle w:val="FootnoteReference"/>
          <w:rFonts w:ascii="Times New Roman" w:hAnsi="Times New Roman"/>
          <w:sz w:val="24"/>
        </w:rPr>
        <w:footnoteReference w:id="13"/>
      </w:r>
      <w:r w:rsidR="00D4262A" w:rsidRPr="000C06D7">
        <w:rPr>
          <w:rFonts w:ascii="Times New Roman" w:hAnsi="Times New Roman"/>
        </w:rPr>
        <w:t xml:space="preserve"> and </w:t>
      </w:r>
      <w:r w:rsidR="00C80B1B" w:rsidRPr="000C06D7">
        <w:rPr>
          <w:rFonts w:ascii="Times New Roman" w:hAnsi="Times New Roman"/>
        </w:rPr>
        <w:t xml:space="preserve">consideration </w:t>
      </w:r>
      <w:r w:rsidR="00576673" w:rsidRPr="000C06D7">
        <w:rPr>
          <w:rFonts w:ascii="Times New Roman" w:hAnsi="Times New Roman"/>
        </w:rPr>
        <w:t xml:space="preserve">of the Part </w:t>
      </w:r>
      <w:r w:rsidR="00E14B83" w:rsidRPr="000C06D7">
        <w:rPr>
          <w:rFonts w:ascii="Times New Roman" w:hAnsi="Times New Roman"/>
        </w:rPr>
        <w:t xml:space="preserve">in the context </w:t>
      </w:r>
      <w:r w:rsidR="00C80B1B" w:rsidRPr="000C06D7">
        <w:rPr>
          <w:rFonts w:ascii="Times New Roman" w:hAnsi="Times New Roman"/>
        </w:rPr>
        <w:t xml:space="preserve">of a more general review of competition policy </w:t>
      </w:r>
      <w:r w:rsidR="00E931F3" w:rsidRPr="000C06D7">
        <w:rPr>
          <w:rFonts w:ascii="Times New Roman" w:hAnsi="Times New Roman"/>
        </w:rPr>
        <w:t>undertaken by</w:t>
      </w:r>
      <w:r w:rsidR="00465527" w:rsidRPr="000C06D7">
        <w:rPr>
          <w:rFonts w:ascii="Times New Roman" w:hAnsi="Times New Roman"/>
        </w:rPr>
        <w:t xml:space="preserve"> the Competition Policy Review </w:t>
      </w:r>
      <w:r w:rsidR="00CA6EAB" w:rsidRPr="000C06D7">
        <w:rPr>
          <w:rFonts w:ascii="Times New Roman" w:hAnsi="Times New Roman"/>
        </w:rPr>
        <w:t xml:space="preserve">chaired by Professor </w:t>
      </w:r>
      <w:r w:rsidR="00A7621F" w:rsidRPr="000C06D7">
        <w:rPr>
          <w:rFonts w:ascii="Times New Roman" w:hAnsi="Times New Roman"/>
        </w:rPr>
        <w:t>Ian Harper which reported in 2015</w:t>
      </w:r>
      <w:r w:rsidR="00EC4538" w:rsidRPr="000C06D7">
        <w:rPr>
          <w:rFonts w:ascii="Times New Roman" w:hAnsi="Times New Roman"/>
        </w:rPr>
        <w:t xml:space="preserve"> ("the Harper Review")</w:t>
      </w:r>
      <w:r w:rsidR="00D4262A" w:rsidRPr="000C06D7">
        <w:rPr>
          <w:rStyle w:val="FootnoteReference"/>
          <w:rFonts w:ascii="Times New Roman" w:hAnsi="Times New Roman"/>
          <w:sz w:val="24"/>
        </w:rPr>
        <w:footnoteReference w:id="14"/>
      </w:r>
      <w:r w:rsidR="00100E89" w:rsidRPr="000C06D7">
        <w:rPr>
          <w:rFonts w:ascii="Times New Roman" w:hAnsi="Times New Roman"/>
        </w:rPr>
        <w:t xml:space="preserve">, </w:t>
      </w:r>
      <w:r w:rsidR="00E44372" w:rsidRPr="000C06D7">
        <w:rPr>
          <w:rFonts w:ascii="Times New Roman" w:hAnsi="Times New Roman"/>
        </w:rPr>
        <w:t>the Part</w:t>
      </w:r>
      <w:r w:rsidR="00100E89" w:rsidRPr="000C06D7">
        <w:rPr>
          <w:rFonts w:ascii="Times New Roman" w:hAnsi="Times New Roman"/>
        </w:rPr>
        <w:t xml:space="preserve"> was</w:t>
      </w:r>
      <w:r w:rsidR="007C19A4" w:rsidRPr="000C06D7">
        <w:rPr>
          <w:rFonts w:ascii="Times New Roman" w:hAnsi="Times New Roman"/>
        </w:rPr>
        <w:t xml:space="preserve"> </w:t>
      </w:r>
      <w:r w:rsidR="00100E89" w:rsidRPr="000C06D7">
        <w:rPr>
          <w:rFonts w:ascii="Times New Roman" w:hAnsi="Times New Roman"/>
        </w:rPr>
        <w:t>amended most recently in 2017</w:t>
      </w:r>
      <w:r w:rsidR="00576673" w:rsidRPr="000C06D7">
        <w:rPr>
          <w:rFonts w:ascii="Times New Roman" w:hAnsi="Times New Roman"/>
        </w:rPr>
        <w:t xml:space="preserve"> ("the 2017 Act")</w:t>
      </w:r>
      <w:r w:rsidR="00100E89" w:rsidRPr="000C06D7">
        <w:rPr>
          <w:rStyle w:val="FootnoteReference"/>
          <w:rFonts w:ascii="Times New Roman" w:hAnsi="Times New Roman"/>
          <w:sz w:val="24"/>
        </w:rPr>
        <w:footnoteReference w:id="15"/>
      </w:r>
      <w:r w:rsidR="00EF2E0D" w:rsidRPr="000C06D7">
        <w:rPr>
          <w:rFonts w:ascii="Times New Roman" w:hAnsi="Times New Roman"/>
        </w:rPr>
        <w:t>.</w:t>
      </w:r>
      <w:r w:rsidR="002E167F" w:rsidRPr="000C06D7">
        <w:rPr>
          <w:rFonts w:ascii="Times New Roman" w:hAnsi="Times New Roman"/>
        </w:rPr>
        <w:t xml:space="preserve"> </w:t>
      </w:r>
      <w:r w:rsidR="00DA7611" w:rsidRPr="000C06D7">
        <w:rPr>
          <w:rFonts w:ascii="Times New Roman" w:hAnsi="Times New Roman"/>
        </w:rPr>
        <w:t xml:space="preserve"> </w:t>
      </w:r>
    </w:p>
    <w:p w14:paraId="3FA77D7D" w14:textId="154E2464" w:rsidR="005334B2" w:rsidRPr="000C06D7" w:rsidRDefault="00BE4F8F"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C44F3D" w:rsidRPr="000C06D7">
        <w:rPr>
          <w:rFonts w:ascii="Times New Roman" w:hAnsi="Times New Roman"/>
        </w:rPr>
        <w:t>Part</w:t>
      </w:r>
      <w:r w:rsidR="006507CB" w:rsidRPr="000C06D7">
        <w:rPr>
          <w:rFonts w:ascii="Times New Roman" w:hAnsi="Times New Roman"/>
        </w:rPr>
        <w:t xml:space="preserve"> </w:t>
      </w:r>
      <w:r w:rsidR="00E75892" w:rsidRPr="000C06D7">
        <w:rPr>
          <w:rFonts w:ascii="Times New Roman" w:hAnsi="Times New Roman"/>
        </w:rPr>
        <w:t>IIIA</w:t>
      </w:r>
      <w:r w:rsidR="00793E9F" w:rsidRPr="000C06D7">
        <w:rPr>
          <w:rFonts w:ascii="Times New Roman" w:hAnsi="Times New Roman"/>
        </w:rPr>
        <w:t xml:space="preserve"> is</w:t>
      </w:r>
      <w:r w:rsidR="00210341" w:rsidRPr="000C06D7">
        <w:rPr>
          <w:rFonts w:ascii="Times New Roman" w:hAnsi="Times New Roman"/>
        </w:rPr>
        <w:t xml:space="preserve"> </w:t>
      </w:r>
      <w:r w:rsidR="006507CB" w:rsidRPr="000C06D7">
        <w:rPr>
          <w:rFonts w:ascii="Times New Roman" w:hAnsi="Times New Roman"/>
        </w:rPr>
        <w:t xml:space="preserve">economic </w:t>
      </w:r>
      <w:r w:rsidR="002F39FE" w:rsidRPr="000C06D7">
        <w:rPr>
          <w:rFonts w:ascii="Times New Roman" w:hAnsi="Times New Roman"/>
        </w:rPr>
        <w:t>and</w:t>
      </w:r>
      <w:r w:rsidR="00882A53" w:rsidRPr="000C06D7">
        <w:rPr>
          <w:rFonts w:ascii="Times New Roman" w:hAnsi="Times New Roman"/>
        </w:rPr>
        <w:t xml:space="preserve"> </w:t>
      </w:r>
      <w:r w:rsidR="002F39FE" w:rsidRPr="000C06D7">
        <w:rPr>
          <w:rFonts w:ascii="Times New Roman" w:hAnsi="Times New Roman"/>
        </w:rPr>
        <w:t xml:space="preserve">pro-competitive </w:t>
      </w:r>
      <w:r w:rsidR="006507CB" w:rsidRPr="000C06D7">
        <w:rPr>
          <w:rFonts w:ascii="Times New Roman" w:hAnsi="Times New Roman"/>
        </w:rPr>
        <w:t xml:space="preserve">in its </w:t>
      </w:r>
      <w:r w:rsidR="003E521B" w:rsidRPr="000C06D7">
        <w:rPr>
          <w:rFonts w:ascii="Times New Roman" w:hAnsi="Times New Roman"/>
        </w:rPr>
        <w:t xml:space="preserve">orientation. </w:t>
      </w:r>
      <w:r w:rsidR="00ED7295" w:rsidRPr="000C06D7">
        <w:rPr>
          <w:rFonts w:ascii="Times New Roman" w:hAnsi="Times New Roman"/>
        </w:rPr>
        <w:t>The first of its two</w:t>
      </w:r>
      <w:r w:rsidR="000A1F38" w:rsidRPr="000C06D7">
        <w:rPr>
          <w:rFonts w:ascii="Times New Roman" w:hAnsi="Times New Roman"/>
        </w:rPr>
        <w:t xml:space="preserve"> express</w:t>
      </w:r>
      <w:r w:rsidRPr="000C06D7">
        <w:rPr>
          <w:rFonts w:ascii="Times New Roman" w:hAnsi="Times New Roman"/>
        </w:rPr>
        <w:t xml:space="preserve"> object</w:t>
      </w:r>
      <w:r w:rsidR="00ED7295" w:rsidRPr="000C06D7">
        <w:rPr>
          <w:rFonts w:ascii="Times New Roman" w:hAnsi="Times New Roman"/>
        </w:rPr>
        <w:t>s</w:t>
      </w:r>
      <w:r w:rsidR="005334B2" w:rsidRPr="000C06D7">
        <w:rPr>
          <w:rFonts w:ascii="Times New Roman" w:hAnsi="Times New Roman"/>
        </w:rPr>
        <w:t xml:space="preserve">, </w:t>
      </w:r>
      <w:r w:rsidR="00E44372" w:rsidRPr="000C06D7">
        <w:rPr>
          <w:rFonts w:ascii="Times New Roman" w:hAnsi="Times New Roman"/>
        </w:rPr>
        <w:t>inserted</w:t>
      </w:r>
      <w:r w:rsidR="00183772" w:rsidRPr="000C06D7">
        <w:rPr>
          <w:rFonts w:ascii="Times New Roman" w:hAnsi="Times New Roman"/>
        </w:rPr>
        <w:t xml:space="preserve"> </w:t>
      </w:r>
      <w:r w:rsidR="00A50654" w:rsidRPr="000C06D7">
        <w:rPr>
          <w:rFonts w:ascii="Times New Roman" w:hAnsi="Times New Roman"/>
        </w:rPr>
        <w:t xml:space="preserve">by the 2006 Act </w:t>
      </w:r>
      <w:r w:rsidR="00E3506E" w:rsidRPr="000C06D7">
        <w:rPr>
          <w:rFonts w:ascii="Times New Roman" w:hAnsi="Times New Roman"/>
        </w:rPr>
        <w:t>following</w:t>
      </w:r>
      <w:r w:rsidR="00E44372" w:rsidRPr="000C06D7">
        <w:rPr>
          <w:rFonts w:ascii="Times New Roman" w:hAnsi="Times New Roman"/>
        </w:rPr>
        <w:t xml:space="preserve"> </w:t>
      </w:r>
      <w:r w:rsidR="00F53598" w:rsidRPr="000C06D7">
        <w:rPr>
          <w:rFonts w:ascii="Times New Roman" w:hAnsi="Times New Roman"/>
        </w:rPr>
        <w:t>a</w:t>
      </w:r>
      <w:r w:rsidR="00E44372" w:rsidRPr="000C06D7">
        <w:rPr>
          <w:rFonts w:ascii="Times New Roman" w:hAnsi="Times New Roman"/>
        </w:rPr>
        <w:t xml:space="preserve"> recommendation </w:t>
      </w:r>
      <w:r w:rsidR="003826B0" w:rsidRPr="000C06D7">
        <w:rPr>
          <w:rFonts w:ascii="Times New Roman" w:hAnsi="Times New Roman"/>
        </w:rPr>
        <w:t>of</w:t>
      </w:r>
      <w:r w:rsidR="005334B2" w:rsidRPr="000C06D7">
        <w:rPr>
          <w:rFonts w:ascii="Times New Roman" w:hAnsi="Times New Roman"/>
        </w:rPr>
        <w:t xml:space="preserve"> the Productivity Commission</w:t>
      </w:r>
      <w:r w:rsidR="00F53598" w:rsidRPr="000C06D7">
        <w:rPr>
          <w:rFonts w:ascii="Times New Roman" w:hAnsi="Times New Roman"/>
        </w:rPr>
        <w:t xml:space="preserve"> in 2001</w:t>
      </w:r>
      <w:r w:rsidR="005334B2" w:rsidRPr="000C06D7">
        <w:rPr>
          <w:rFonts w:ascii="Times New Roman" w:hAnsi="Times New Roman"/>
        </w:rPr>
        <w:t xml:space="preserve">, </w:t>
      </w:r>
      <w:r w:rsidR="00114846" w:rsidRPr="000C06D7">
        <w:rPr>
          <w:rFonts w:ascii="Times New Roman" w:hAnsi="Times New Roman"/>
        </w:rPr>
        <w:t xml:space="preserve">is </w:t>
      </w:r>
      <w:r w:rsidR="000A1F38" w:rsidRPr="000C06D7">
        <w:rPr>
          <w:rFonts w:ascii="Times New Roman" w:hAnsi="Times New Roman"/>
        </w:rPr>
        <w:t>to</w:t>
      </w:r>
      <w:r w:rsidR="00114846" w:rsidRPr="000C06D7">
        <w:rPr>
          <w:rFonts w:ascii="Times New Roman" w:hAnsi="Times New Roman"/>
        </w:rPr>
        <w:t xml:space="preserve"> </w:t>
      </w:r>
      <w:r w:rsidR="006470FF" w:rsidRPr="000C06D7">
        <w:rPr>
          <w:rFonts w:ascii="Times New Roman" w:hAnsi="Times New Roman"/>
        </w:rPr>
        <w:t>"</w:t>
      </w:r>
      <w:r w:rsidR="009326DD" w:rsidRPr="000C06D7">
        <w:rPr>
          <w:rFonts w:ascii="Times New Roman" w:hAnsi="Times New Roman"/>
        </w:rPr>
        <w:t>promote the economically efficient</w:t>
      </w:r>
      <w:r w:rsidR="0065044A" w:rsidRPr="000C06D7">
        <w:rPr>
          <w:rFonts w:ascii="Times New Roman" w:hAnsi="Times New Roman"/>
        </w:rPr>
        <w:t xml:space="preserve"> operation of, use of and investment in the infrastructure by whic</w:t>
      </w:r>
      <w:r w:rsidR="00653627" w:rsidRPr="000C06D7">
        <w:rPr>
          <w:rFonts w:ascii="Times New Roman" w:hAnsi="Times New Roman"/>
        </w:rPr>
        <w:t>h</w:t>
      </w:r>
      <w:r w:rsidR="0065044A" w:rsidRPr="000C06D7">
        <w:rPr>
          <w:rFonts w:ascii="Times New Roman" w:hAnsi="Times New Roman"/>
        </w:rPr>
        <w:t xml:space="preserve"> service</w:t>
      </w:r>
      <w:r w:rsidR="00E17BA9" w:rsidRPr="000C06D7">
        <w:rPr>
          <w:rFonts w:ascii="Times New Roman" w:hAnsi="Times New Roman"/>
        </w:rPr>
        <w:t>s are provided</w:t>
      </w:r>
      <w:r w:rsidR="00E701D8" w:rsidRPr="000C06D7">
        <w:rPr>
          <w:rFonts w:ascii="Times New Roman" w:hAnsi="Times New Roman"/>
        </w:rPr>
        <w:t>, thereby promoting effective competition in upst</w:t>
      </w:r>
      <w:r w:rsidR="00E567C6" w:rsidRPr="000C06D7">
        <w:rPr>
          <w:rFonts w:ascii="Times New Roman" w:hAnsi="Times New Roman"/>
        </w:rPr>
        <w:t>ream</w:t>
      </w:r>
      <w:r w:rsidR="00653627" w:rsidRPr="000C06D7">
        <w:rPr>
          <w:rFonts w:ascii="Times New Roman" w:hAnsi="Times New Roman"/>
        </w:rPr>
        <w:t xml:space="preserve"> and downstream markets</w:t>
      </w:r>
      <w:r w:rsidR="006470FF" w:rsidRPr="000C06D7">
        <w:rPr>
          <w:rFonts w:ascii="Times New Roman" w:hAnsi="Times New Roman"/>
        </w:rPr>
        <w:t>"</w:t>
      </w:r>
      <w:r w:rsidR="007D740C" w:rsidRPr="000C06D7">
        <w:rPr>
          <w:rStyle w:val="FootnoteReference"/>
          <w:rFonts w:ascii="Times New Roman" w:hAnsi="Times New Roman"/>
          <w:sz w:val="24"/>
        </w:rPr>
        <w:footnoteReference w:id="16"/>
      </w:r>
      <w:r w:rsidR="006470FF" w:rsidRPr="000C06D7">
        <w:rPr>
          <w:rFonts w:ascii="Times New Roman" w:hAnsi="Times New Roman"/>
        </w:rPr>
        <w:t>.</w:t>
      </w:r>
      <w:r w:rsidR="007D740C" w:rsidRPr="000C06D7">
        <w:rPr>
          <w:rFonts w:ascii="Times New Roman" w:hAnsi="Times New Roman"/>
        </w:rPr>
        <w:t xml:space="preserve"> </w:t>
      </w:r>
      <w:r w:rsidR="00BF6165" w:rsidRPr="000C06D7">
        <w:rPr>
          <w:rFonts w:ascii="Times New Roman" w:hAnsi="Times New Roman"/>
        </w:rPr>
        <w:t>That is the principal object of the Part. It alludes to the operation of its central provisions.</w:t>
      </w:r>
    </w:p>
    <w:p w14:paraId="50FD065B" w14:textId="1FBBEC7E" w:rsidR="009503D2" w:rsidRPr="000C06D7" w:rsidRDefault="005334B2"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9503D2" w:rsidRPr="000C06D7">
        <w:rPr>
          <w:rFonts w:ascii="Times New Roman" w:hAnsi="Times New Roman"/>
        </w:rPr>
        <w:t xml:space="preserve">The second of the two express objects, also inserted by the 2006 Act </w:t>
      </w:r>
      <w:r w:rsidR="00E3506E" w:rsidRPr="000C06D7">
        <w:rPr>
          <w:rFonts w:ascii="Times New Roman" w:hAnsi="Times New Roman"/>
        </w:rPr>
        <w:t>following</w:t>
      </w:r>
      <w:r w:rsidR="009503D2" w:rsidRPr="000C06D7">
        <w:rPr>
          <w:rFonts w:ascii="Times New Roman" w:hAnsi="Times New Roman"/>
        </w:rPr>
        <w:t xml:space="preserve"> a recommendation of the Productivity Commission in 2001, is to "provide a framework and guiding principles to encourage a consistent approach to access regulation in each industry"</w:t>
      </w:r>
      <w:r w:rsidR="009503D2" w:rsidRPr="000C06D7">
        <w:rPr>
          <w:rStyle w:val="FootnoteReference"/>
          <w:rFonts w:ascii="Times New Roman" w:hAnsi="Times New Roman"/>
          <w:sz w:val="24"/>
        </w:rPr>
        <w:footnoteReference w:id="17"/>
      </w:r>
      <w:r w:rsidR="009503D2" w:rsidRPr="000C06D7">
        <w:rPr>
          <w:rFonts w:ascii="Times New Roman" w:hAnsi="Times New Roman"/>
        </w:rPr>
        <w:t>. It alludes not to the operation of central provisions of the Part but to provisions which apply the framework and principles established by the Part in the pursuit of the principal object to facilitate industry-specific access regimes</w:t>
      </w:r>
      <w:r w:rsidR="009503D2" w:rsidRPr="000C06D7">
        <w:rPr>
          <w:rStyle w:val="FootnoteReference"/>
          <w:rFonts w:ascii="Times New Roman" w:hAnsi="Times New Roman"/>
          <w:sz w:val="24"/>
        </w:rPr>
        <w:footnoteReference w:id="18"/>
      </w:r>
      <w:r w:rsidR="009503D2" w:rsidRPr="000C06D7">
        <w:rPr>
          <w:rFonts w:ascii="Times New Roman" w:hAnsi="Times New Roman"/>
        </w:rPr>
        <w:t xml:space="preserve"> and to guide the structure and content</w:t>
      </w:r>
      <w:r w:rsidR="00F17E6E" w:rsidRPr="000C06D7">
        <w:rPr>
          <w:rFonts w:ascii="Times New Roman" w:hAnsi="Times New Roman"/>
        </w:rPr>
        <w:t xml:space="preserve"> of</w:t>
      </w:r>
      <w:r w:rsidR="009503D2" w:rsidRPr="000C06D7">
        <w:rPr>
          <w:rFonts w:ascii="Times New Roman" w:hAnsi="Times New Roman"/>
        </w:rPr>
        <w:t xml:space="preserve"> State and Territory access regimes</w:t>
      </w:r>
      <w:r w:rsidR="009503D2" w:rsidRPr="000C06D7">
        <w:rPr>
          <w:rStyle w:val="FootnoteReference"/>
          <w:rFonts w:ascii="Times New Roman" w:hAnsi="Times New Roman"/>
          <w:sz w:val="24"/>
        </w:rPr>
        <w:footnoteReference w:id="19"/>
      </w:r>
      <w:r w:rsidR="009503D2" w:rsidRPr="000C06D7">
        <w:rPr>
          <w:rFonts w:ascii="Times New Roman" w:hAnsi="Times New Roman"/>
        </w:rPr>
        <w:t>. For present purposes, the second object can be put to one side.</w:t>
      </w:r>
    </w:p>
    <w:p w14:paraId="64B475C8" w14:textId="076C50BA" w:rsidR="00CF3F43" w:rsidRPr="000C06D7" w:rsidRDefault="0042142E" w:rsidP="000C06D7">
      <w:pPr>
        <w:pStyle w:val="FixListStyle"/>
        <w:spacing w:after="260" w:line="280" w:lineRule="exact"/>
        <w:ind w:right="0"/>
        <w:jc w:val="both"/>
        <w:rPr>
          <w:rFonts w:ascii="Times New Roman" w:hAnsi="Times New Roman"/>
        </w:rPr>
      </w:pPr>
      <w:r w:rsidRPr="000C06D7">
        <w:rPr>
          <w:rFonts w:ascii="Times New Roman" w:hAnsi="Times New Roman"/>
        </w:rPr>
        <w:lastRenderedPageBreak/>
        <w:tab/>
      </w:r>
      <w:r w:rsidR="00912970" w:rsidRPr="000C06D7">
        <w:rPr>
          <w:rFonts w:ascii="Times New Roman" w:hAnsi="Times New Roman"/>
        </w:rPr>
        <w:t xml:space="preserve">The expression of the principal object of the Part </w:t>
      </w:r>
      <w:r w:rsidRPr="000C06D7">
        <w:rPr>
          <w:rFonts w:ascii="Times New Roman" w:hAnsi="Times New Roman"/>
        </w:rPr>
        <w:t xml:space="preserve">clarifies </w:t>
      </w:r>
      <w:r w:rsidR="00451632" w:rsidRPr="000C06D7">
        <w:rPr>
          <w:rFonts w:ascii="Times New Roman" w:hAnsi="Times New Roman"/>
        </w:rPr>
        <w:t xml:space="preserve">the solution which </w:t>
      </w:r>
      <w:r w:rsidR="005857CC" w:rsidRPr="000C06D7">
        <w:rPr>
          <w:rFonts w:ascii="Times New Roman" w:hAnsi="Times New Roman"/>
        </w:rPr>
        <w:t>P</w:t>
      </w:r>
      <w:r w:rsidR="00F94BE2" w:rsidRPr="000C06D7">
        <w:rPr>
          <w:rFonts w:ascii="Times New Roman" w:hAnsi="Times New Roman"/>
        </w:rPr>
        <w:t>t IIIA</w:t>
      </w:r>
      <w:r w:rsidR="005857CC" w:rsidRPr="000C06D7">
        <w:rPr>
          <w:rFonts w:ascii="Times New Roman" w:hAnsi="Times New Roman"/>
        </w:rPr>
        <w:t xml:space="preserve"> provide</w:t>
      </w:r>
      <w:r w:rsidR="005713DB" w:rsidRPr="000C06D7">
        <w:rPr>
          <w:rFonts w:ascii="Times New Roman" w:hAnsi="Times New Roman"/>
        </w:rPr>
        <w:t>s</w:t>
      </w:r>
      <w:r w:rsidR="002B2DD3" w:rsidRPr="000C06D7">
        <w:rPr>
          <w:rFonts w:ascii="Times New Roman" w:hAnsi="Times New Roman"/>
        </w:rPr>
        <w:t xml:space="preserve"> </w:t>
      </w:r>
      <w:r w:rsidR="00F028D4" w:rsidRPr="000C06D7">
        <w:rPr>
          <w:rFonts w:ascii="Times New Roman" w:hAnsi="Times New Roman"/>
        </w:rPr>
        <w:t xml:space="preserve">to </w:t>
      </w:r>
      <w:r w:rsidR="005F48EF" w:rsidRPr="000C06D7">
        <w:rPr>
          <w:rFonts w:ascii="Times New Roman" w:hAnsi="Times New Roman"/>
        </w:rPr>
        <w:t xml:space="preserve">what was </w:t>
      </w:r>
      <w:r w:rsidR="000E1C45" w:rsidRPr="000C06D7">
        <w:rPr>
          <w:rFonts w:ascii="Times New Roman" w:hAnsi="Times New Roman"/>
        </w:rPr>
        <w:t xml:space="preserve">identified in the </w:t>
      </w:r>
      <w:proofErr w:type="spellStart"/>
      <w:r w:rsidR="000E1C45" w:rsidRPr="000C06D7">
        <w:rPr>
          <w:rFonts w:ascii="Times New Roman" w:hAnsi="Times New Roman"/>
        </w:rPr>
        <w:t>Hilmer</w:t>
      </w:r>
      <w:proofErr w:type="spellEnd"/>
      <w:r w:rsidR="000E1C45" w:rsidRPr="000C06D7">
        <w:rPr>
          <w:rFonts w:ascii="Times New Roman" w:hAnsi="Times New Roman"/>
        </w:rPr>
        <w:t xml:space="preserve"> Report as "the </w:t>
      </w:r>
      <w:r w:rsidR="00F17E6E" w:rsidRPr="000C06D7">
        <w:rPr>
          <w:rFonts w:ascii="Times New Roman" w:hAnsi="Times New Roman"/>
        </w:rPr>
        <w:t>'</w:t>
      </w:r>
      <w:r w:rsidR="000E1C45" w:rsidRPr="000C06D7">
        <w:rPr>
          <w:rFonts w:ascii="Times New Roman" w:hAnsi="Times New Roman"/>
        </w:rPr>
        <w:t>essential facilities</w:t>
      </w:r>
      <w:r w:rsidR="00F17E6E" w:rsidRPr="000C06D7">
        <w:rPr>
          <w:rFonts w:ascii="Times New Roman" w:hAnsi="Times New Roman"/>
        </w:rPr>
        <w:t>'</w:t>
      </w:r>
      <w:r w:rsidR="000E1C45" w:rsidRPr="000C06D7">
        <w:rPr>
          <w:rFonts w:ascii="Times New Roman" w:hAnsi="Times New Roman"/>
        </w:rPr>
        <w:t xml:space="preserve"> problem"</w:t>
      </w:r>
      <w:r w:rsidR="008A0C7F" w:rsidRPr="000C06D7">
        <w:rPr>
          <w:rFonts w:ascii="Times New Roman" w:hAnsi="Times New Roman"/>
        </w:rPr>
        <w:t xml:space="preserve">. The </w:t>
      </w:r>
      <w:proofErr w:type="spellStart"/>
      <w:r w:rsidR="008A0C7F" w:rsidRPr="000C06D7">
        <w:rPr>
          <w:rFonts w:ascii="Times New Roman" w:hAnsi="Times New Roman"/>
        </w:rPr>
        <w:t>Hilmer</w:t>
      </w:r>
      <w:proofErr w:type="spellEnd"/>
      <w:r w:rsidR="008A0C7F" w:rsidRPr="000C06D7">
        <w:rPr>
          <w:rFonts w:ascii="Times New Roman" w:hAnsi="Times New Roman"/>
        </w:rPr>
        <w:t xml:space="preserve"> Report</w:t>
      </w:r>
      <w:r w:rsidR="0088446D" w:rsidRPr="000C06D7">
        <w:rPr>
          <w:rFonts w:ascii="Times New Roman" w:hAnsi="Times New Roman"/>
        </w:rPr>
        <w:t xml:space="preserve"> explained </w:t>
      </w:r>
      <w:r w:rsidR="008A0C7F" w:rsidRPr="000C06D7">
        <w:rPr>
          <w:rFonts w:ascii="Times New Roman" w:hAnsi="Times New Roman"/>
        </w:rPr>
        <w:t xml:space="preserve">the problem </w:t>
      </w:r>
      <w:r w:rsidR="0088446D" w:rsidRPr="000C06D7">
        <w:rPr>
          <w:rFonts w:ascii="Times New Roman" w:hAnsi="Times New Roman"/>
        </w:rPr>
        <w:t>as follows</w:t>
      </w:r>
      <w:r w:rsidR="00324C5B" w:rsidRPr="000C06D7">
        <w:rPr>
          <w:rStyle w:val="FootnoteReference"/>
          <w:rFonts w:ascii="Times New Roman" w:hAnsi="Times New Roman"/>
          <w:sz w:val="24"/>
        </w:rPr>
        <w:footnoteReference w:id="20"/>
      </w:r>
      <w:r w:rsidR="0088446D" w:rsidRPr="000C06D7">
        <w:rPr>
          <w:rFonts w:ascii="Times New Roman" w:hAnsi="Times New Roman"/>
        </w:rPr>
        <w:t>:</w:t>
      </w:r>
      <w:r w:rsidR="00F04D42" w:rsidRPr="000C06D7">
        <w:rPr>
          <w:rFonts w:ascii="Times New Roman" w:hAnsi="Times New Roman"/>
        </w:rPr>
        <w:t xml:space="preserve"> </w:t>
      </w:r>
    </w:p>
    <w:p w14:paraId="17FDFBA9" w14:textId="2725D04D" w:rsidR="00DF27BC" w:rsidRPr="000C06D7" w:rsidRDefault="007D617A" w:rsidP="000C06D7">
      <w:pPr>
        <w:pStyle w:val="leftright"/>
        <w:spacing w:before="0" w:after="260" w:line="280" w:lineRule="exact"/>
        <w:ind w:right="0"/>
        <w:jc w:val="both"/>
        <w:rPr>
          <w:rFonts w:ascii="Times New Roman" w:hAnsi="Times New Roman"/>
        </w:rPr>
      </w:pPr>
      <w:r w:rsidRPr="000C06D7">
        <w:rPr>
          <w:rFonts w:ascii="Times New Roman" w:hAnsi="Times New Roman"/>
        </w:rPr>
        <w:tab/>
      </w:r>
      <w:r w:rsidR="008516C0" w:rsidRPr="000C06D7">
        <w:rPr>
          <w:rFonts w:ascii="Times New Roman" w:hAnsi="Times New Roman"/>
        </w:rPr>
        <w:t>"</w:t>
      </w:r>
      <w:r w:rsidR="00E957C9" w:rsidRPr="000C06D7">
        <w:rPr>
          <w:rFonts w:ascii="Times New Roman" w:hAnsi="Times New Roman"/>
        </w:rPr>
        <w:t>Some economic activities exhibit natural monopoly characteristics, in the sense that they cannot be duplicated economically. While it is</w:t>
      </w:r>
      <w:r w:rsidR="00991C98" w:rsidRPr="000C06D7">
        <w:rPr>
          <w:rFonts w:ascii="Times New Roman" w:hAnsi="Times New Roman"/>
        </w:rPr>
        <w:t xml:space="preserve"> </w:t>
      </w:r>
      <w:r w:rsidR="00E957C9" w:rsidRPr="000C06D7">
        <w:rPr>
          <w:rFonts w:ascii="Times New Roman" w:hAnsi="Times New Roman"/>
        </w:rPr>
        <w:t xml:space="preserve">difficult to define precisely the term </w:t>
      </w:r>
      <w:r w:rsidR="007C2857" w:rsidRPr="000C06D7">
        <w:rPr>
          <w:rFonts w:ascii="Times New Roman" w:hAnsi="Times New Roman"/>
        </w:rPr>
        <w:t>'</w:t>
      </w:r>
      <w:r w:rsidR="00E957C9" w:rsidRPr="000C06D7">
        <w:rPr>
          <w:rFonts w:ascii="Times New Roman" w:hAnsi="Times New Roman"/>
        </w:rPr>
        <w:t>natural monopoly</w:t>
      </w:r>
      <w:r w:rsidR="007C2857" w:rsidRPr="000C06D7">
        <w:rPr>
          <w:rFonts w:ascii="Times New Roman" w:hAnsi="Times New Roman"/>
        </w:rPr>
        <w:t>'</w:t>
      </w:r>
      <w:r w:rsidR="00E957C9" w:rsidRPr="000C06D7">
        <w:rPr>
          <w:rFonts w:ascii="Times New Roman" w:hAnsi="Times New Roman"/>
        </w:rPr>
        <w:t>, electricity</w:t>
      </w:r>
      <w:r w:rsidR="00991C98" w:rsidRPr="000C06D7">
        <w:rPr>
          <w:rFonts w:ascii="Times New Roman" w:hAnsi="Times New Roman"/>
        </w:rPr>
        <w:t xml:space="preserve"> </w:t>
      </w:r>
      <w:r w:rsidR="00E957C9" w:rsidRPr="000C06D7">
        <w:rPr>
          <w:rFonts w:ascii="Times New Roman" w:hAnsi="Times New Roman"/>
        </w:rPr>
        <w:t>transmission grids, telecommunication networks, rail tracks, major</w:t>
      </w:r>
      <w:r w:rsidR="00991C98" w:rsidRPr="000C06D7">
        <w:rPr>
          <w:rFonts w:ascii="Times New Roman" w:hAnsi="Times New Roman"/>
        </w:rPr>
        <w:t xml:space="preserve"> </w:t>
      </w:r>
      <w:r w:rsidR="00E957C9" w:rsidRPr="000C06D7">
        <w:rPr>
          <w:rFonts w:ascii="Times New Roman" w:hAnsi="Times New Roman"/>
        </w:rPr>
        <w:t>pipelines, ports and airports are often given as examples. Some</w:t>
      </w:r>
      <w:r w:rsidR="00991C98" w:rsidRPr="000C06D7">
        <w:rPr>
          <w:rFonts w:ascii="Times New Roman" w:hAnsi="Times New Roman"/>
        </w:rPr>
        <w:t xml:space="preserve"> </w:t>
      </w:r>
      <w:r w:rsidR="00E957C9" w:rsidRPr="000C06D7">
        <w:rPr>
          <w:rFonts w:ascii="Times New Roman" w:hAnsi="Times New Roman"/>
        </w:rPr>
        <w:t>facilities that exhibit these characteristics occupy strategic positions in</w:t>
      </w:r>
      <w:r w:rsidR="00991C98" w:rsidRPr="000C06D7">
        <w:rPr>
          <w:rFonts w:ascii="Times New Roman" w:hAnsi="Times New Roman"/>
        </w:rPr>
        <w:t xml:space="preserve"> </w:t>
      </w:r>
      <w:r w:rsidR="00E957C9" w:rsidRPr="000C06D7">
        <w:rPr>
          <w:rFonts w:ascii="Times New Roman" w:hAnsi="Times New Roman"/>
        </w:rPr>
        <w:t xml:space="preserve">an industry, and are thus </w:t>
      </w:r>
      <w:r w:rsidR="007C2857" w:rsidRPr="000C06D7">
        <w:rPr>
          <w:rFonts w:ascii="Times New Roman" w:hAnsi="Times New Roman"/>
        </w:rPr>
        <w:t>'</w:t>
      </w:r>
      <w:r w:rsidR="00E957C9" w:rsidRPr="000C06D7">
        <w:rPr>
          <w:rFonts w:ascii="Times New Roman" w:hAnsi="Times New Roman"/>
        </w:rPr>
        <w:t>essential facilities</w:t>
      </w:r>
      <w:r w:rsidR="007C2857" w:rsidRPr="000C06D7">
        <w:rPr>
          <w:rFonts w:ascii="Times New Roman" w:hAnsi="Times New Roman"/>
        </w:rPr>
        <w:t>'</w:t>
      </w:r>
      <w:r w:rsidR="00E957C9" w:rsidRPr="000C06D7">
        <w:rPr>
          <w:rFonts w:ascii="Times New Roman" w:hAnsi="Times New Roman"/>
        </w:rPr>
        <w:t xml:space="preserve"> in the sense that access</w:t>
      </w:r>
      <w:r w:rsidR="00991C98" w:rsidRPr="000C06D7">
        <w:rPr>
          <w:rFonts w:ascii="Times New Roman" w:hAnsi="Times New Roman"/>
        </w:rPr>
        <w:t xml:space="preserve"> </w:t>
      </w:r>
      <w:r w:rsidR="00E957C9" w:rsidRPr="000C06D7">
        <w:rPr>
          <w:rFonts w:ascii="Times New Roman" w:hAnsi="Times New Roman"/>
        </w:rPr>
        <w:t xml:space="preserve">to the facility </w:t>
      </w:r>
      <w:r w:rsidR="00C500DF" w:rsidRPr="000C06D7">
        <w:rPr>
          <w:rFonts w:ascii="Times New Roman" w:hAnsi="Times New Roman"/>
        </w:rPr>
        <w:t>is</w:t>
      </w:r>
      <w:r w:rsidR="00E957C9" w:rsidRPr="000C06D7">
        <w:rPr>
          <w:rFonts w:ascii="Times New Roman" w:hAnsi="Times New Roman"/>
        </w:rPr>
        <w:t xml:space="preserve"> required if a business is to be able to compete</w:t>
      </w:r>
      <w:r w:rsidR="00C500DF" w:rsidRPr="000C06D7">
        <w:rPr>
          <w:rFonts w:ascii="Times New Roman" w:hAnsi="Times New Roman"/>
        </w:rPr>
        <w:t xml:space="preserve"> </w:t>
      </w:r>
      <w:r w:rsidR="00E957C9" w:rsidRPr="000C06D7">
        <w:rPr>
          <w:rFonts w:ascii="Times New Roman" w:hAnsi="Times New Roman"/>
        </w:rPr>
        <w:t>effectively in upstream or downstream markets.</w:t>
      </w:r>
      <w:r w:rsidR="00DF27BC" w:rsidRPr="000C06D7">
        <w:rPr>
          <w:rFonts w:ascii="Times New Roman" w:hAnsi="Times New Roman"/>
        </w:rPr>
        <w:t xml:space="preserve"> ...</w:t>
      </w:r>
    </w:p>
    <w:p w14:paraId="3E952E19" w14:textId="4AF8590D" w:rsidR="00336802" w:rsidRPr="000C06D7" w:rsidRDefault="00DF27BC" w:rsidP="000C06D7">
      <w:pPr>
        <w:pStyle w:val="leftright"/>
        <w:spacing w:before="0" w:after="260" w:line="280" w:lineRule="exact"/>
        <w:ind w:right="0"/>
        <w:jc w:val="both"/>
        <w:rPr>
          <w:rFonts w:ascii="Times New Roman" w:hAnsi="Times New Roman"/>
        </w:rPr>
      </w:pPr>
      <w:r w:rsidRPr="000C06D7">
        <w:rPr>
          <w:rFonts w:ascii="Times New Roman" w:hAnsi="Times New Roman"/>
        </w:rPr>
        <w:tab/>
      </w:r>
      <w:r w:rsidR="00E957C9" w:rsidRPr="000C06D7">
        <w:rPr>
          <w:rFonts w:ascii="Times New Roman" w:hAnsi="Times New Roman"/>
        </w:rPr>
        <w:t xml:space="preserve">Where the owner of the </w:t>
      </w:r>
      <w:r w:rsidR="00C500DF" w:rsidRPr="000C06D7">
        <w:rPr>
          <w:rFonts w:ascii="Times New Roman" w:hAnsi="Times New Roman"/>
        </w:rPr>
        <w:t>'</w:t>
      </w:r>
      <w:r w:rsidR="00E957C9" w:rsidRPr="000C06D7">
        <w:rPr>
          <w:rFonts w:ascii="Times New Roman" w:hAnsi="Times New Roman"/>
        </w:rPr>
        <w:t>essential facility</w:t>
      </w:r>
      <w:r w:rsidR="00C500DF" w:rsidRPr="000C06D7">
        <w:rPr>
          <w:rFonts w:ascii="Times New Roman" w:hAnsi="Times New Roman"/>
        </w:rPr>
        <w:t>'</w:t>
      </w:r>
      <w:r w:rsidR="00E957C9" w:rsidRPr="000C06D7">
        <w:rPr>
          <w:rFonts w:ascii="Times New Roman" w:hAnsi="Times New Roman"/>
        </w:rPr>
        <w:t xml:space="preserve"> is not competing in</w:t>
      </w:r>
      <w:r w:rsidR="00C500DF" w:rsidRPr="000C06D7">
        <w:rPr>
          <w:rFonts w:ascii="Times New Roman" w:hAnsi="Times New Roman"/>
        </w:rPr>
        <w:t xml:space="preserve"> </w:t>
      </w:r>
      <w:r w:rsidR="00E957C9" w:rsidRPr="000C06D7">
        <w:rPr>
          <w:rFonts w:ascii="Times New Roman" w:hAnsi="Times New Roman"/>
        </w:rPr>
        <w:t>upstream or downstream markets, the owner of the facility will</w:t>
      </w:r>
      <w:r w:rsidR="00C500DF" w:rsidRPr="000C06D7">
        <w:rPr>
          <w:rFonts w:ascii="Times New Roman" w:hAnsi="Times New Roman"/>
        </w:rPr>
        <w:t xml:space="preserve"> </w:t>
      </w:r>
      <w:r w:rsidR="00E957C9" w:rsidRPr="000C06D7">
        <w:rPr>
          <w:rFonts w:ascii="Times New Roman" w:hAnsi="Times New Roman"/>
        </w:rPr>
        <w:t>usually have little incentive to deny access, for maximising</w:t>
      </w:r>
      <w:r w:rsidR="00EA5627" w:rsidRPr="000C06D7">
        <w:rPr>
          <w:rFonts w:ascii="Times New Roman" w:hAnsi="Times New Roman"/>
        </w:rPr>
        <w:t xml:space="preserve"> competition in vertically related markets maximises its own profits.</w:t>
      </w:r>
      <w:r w:rsidR="00770C35" w:rsidRPr="000C06D7">
        <w:rPr>
          <w:rFonts w:ascii="Times New Roman" w:hAnsi="Times New Roman"/>
        </w:rPr>
        <w:t xml:space="preserve"> </w:t>
      </w:r>
      <w:r w:rsidR="00EA5627" w:rsidRPr="000C06D7">
        <w:rPr>
          <w:rFonts w:ascii="Times New Roman" w:hAnsi="Times New Roman"/>
        </w:rPr>
        <w:t>Like</w:t>
      </w:r>
      <w:r w:rsidR="00770C35" w:rsidRPr="000C06D7">
        <w:rPr>
          <w:rFonts w:ascii="Times New Roman" w:hAnsi="Times New Roman"/>
        </w:rPr>
        <w:t xml:space="preserve"> </w:t>
      </w:r>
      <w:r w:rsidR="00EA5627" w:rsidRPr="000C06D7">
        <w:rPr>
          <w:rFonts w:ascii="Times New Roman" w:hAnsi="Times New Roman"/>
        </w:rPr>
        <w:t>other monopolists, however, the owner of the facility is able to</w:t>
      </w:r>
      <w:r w:rsidR="00770C35" w:rsidRPr="000C06D7">
        <w:rPr>
          <w:rFonts w:ascii="Times New Roman" w:hAnsi="Times New Roman"/>
        </w:rPr>
        <w:t xml:space="preserve"> </w:t>
      </w:r>
      <w:r w:rsidR="00EA5627" w:rsidRPr="000C06D7">
        <w:rPr>
          <w:rFonts w:ascii="Times New Roman" w:hAnsi="Times New Roman"/>
        </w:rPr>
        <w:t>use its monopoly position to charge higher prices and derive</w:t>
      </w:r>
      <w:r w:rsidR="00770C35" w:rsidRPr="000C06D7">
        <w:rPr>
          <w:rFonts w:ascii="Times New Roman" w:hAnsi="Times New Roman"/>
        </w:rPr>
        <w:t xml:space="preserve"> </w:t>
      </w:r>
      <w:r w:rsidR="00EA5627" w:rsidRPr="000C06D7">
        <w:rPr>
          <w:rFonts w:ascii="Times New Roman" w:hAnsi="Times New Roman"/>
        </w:rPr>
        <w:t>monopoly profits at the expense of consumers and economic</w:t>
      </w:r>
      <w:r w:rsidR="00770C35" w:rsidRPr="000C06D7">
        <w:rPr>
          <w:rFonts w:ascii="Times New Roman" w:hAnsi="Times New Roman"/>
        </w:rPr>
        <w:t xml:space="preserve"> </w:t>
      </w:r>
      <w:r w:rsidR="00EA5627" w:rsidRPr="000C06D7">
        <w:rPr>
          <w:rFonts w:ascii="Times New Roman" w:hAnsi="Times New Roman"/>
        </w:rPr>
        <w:t>efficiency.</w:t>
      </w:r>
      <w:r w:rsidR="007A1365" w:rsidRPr="000C06D7">
        <w:rPr>
          <w:rFonts w:ascii="Times New Roman" w:hAnsi="Times New Roman"/>
        </w:rPr>
        <w:t>"</w:t>
      </w:r>
      <w:r w:rsidR="00C32869" w:rsidRPr="000C06D7">
        <w:rPr>
          <w:rFonts w:ascii="Times New Roman" w:hAnsi="Times New Roman"/>
        </w:rPr>
        <w:t xml:space="preserve"> </w:t>
      </w:r>
    </w:p>
    <w:p w14:paraId="74FD8654" w14:textId="6161B6D3" w:rsidR="00BE468E" w:rsidRPr="000C06D7" w:rsidRDefault="00901500"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BE468E" w:rsidRPr="000C06D7">
        <w:rPr>
          <w:rFonts w:ascii="Times New Roman" w:hAnsi="Times New Roman"/>
        </w:rPr>
        <w:t>The classic example of the essential facilities problem is</w:t>
      </w:r>
      <w:r w:rsidR="00433AC6" w:rsidRPr="000C06D7">
        <w:rPr>
          <w:rFonts w:ascii="Times New Roman" w:hAnsi="Times New Roman"/>
        </w:rPr>
        <w:t xml:space="preserve"> provided by the facts in</w:t>
      </w:r>
      <w:r w:rsidR="00BE468E" w:rsidRPr="000C06D7">
        <w:rPr>
          <w:rFonts w:ascii="Times New Roman" w:hAnsi="Times New Roman"/>
        </w:rPr>
        <w:t xml:space="preserve"> </w:t>
      </w:r>
      <w:r w:rsidR="00BE468E" w:rsidRPr="000C06D7">
        <w:rPr>
          <w:rFonts w:ascii="Times New Roman" w:hAnsi="Times New Roman"/>
          <w:i/>
          <w:iCs/>
          <w:color w:val="000000"/>
          <w:shd w:val="clear" w:color="auto" w:fill="FFFFFF"/>
        </w:rPr>
        <w:t>United States v Terminal Railroad Association of St Louis</w:t>
      </w:r>
      <w:r w:rsidR="00BE468E" w:rsidRPr="000C06D7">
        <w:rPr>
          <w:rStyle w:val="FootnoteReference"/>
          <w:rFonts w:ascii="Times New Roman" w:hAnsi="Times New Roman"/>
          <w:iCs/>
          <w:color w:val="000000"/>
          <w:sz w:val="24"/>
          <w:shd w:val="clear" w:color="auto" w:fill="FFFFFF"/>
        </w:rPr>
        <w:footnoteReference w:id="21"/>
      </w:r>
      <w:r w:rsidR="00BE468E" w:rsidRPr="000C06D7">
        <w:rPr>
          <w:rFonts w:ascii="Times New Roman" w:hAnsi="Times New Roman"/>
          <w:iCs/>
          <w:color w:val="000000"/>
          <w:shd w:val="clear" w:color="auto" w:fill="FFFFFF"/>
        </w:rPr>
        <w:t xml:space="preserve">. </w:t>
      </w:r>
      <w:r w:rsidR="00BE468E" w:rsidRPr="000C06D7">
        <w:rPr>
          <w:rFonts w:ascii="Times New Roman" w:hAnsi="Times New Roman"/>
          <w:color w:val="000000"/>
          <w:shd w:val="clear" w:color="auto" w:fill="FFFFFF"/>
        </w:rPr>
        <w:t xml:space="preserve">Getting into or out of St Louis by rail required the use of either of two bridges spanning the Mississippi River. An association of railroad companies acquired control of both bridges. They charged non-members the same price as they charged themselves. The price, however, was a monopoly price that disadvantaged non-members. </w:t>
      </w:r>
    </w:p>
    <w:p w14:paraId="14F0CD37" w14:textId="7CAFB2E3" w:rsidR="00BE468E" w:rsidRPr="000C06D7" w:rsidRDefault="00BE468E"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D32A1E" w:rsidRPr="000C06D7">
        <w:rPr>
          <w:rFonts w:ascii="Times New Roman" w:hAnsi="Times New Roman"/>
        </w:rPr>
        <w:t>D</w:t>
      </w:r>
      <w:r w:rsidRPr="000C06D7">
        <w:rPr>
          <w:rFonts w:ascii="Times New Roman" w:hAnsi="Times New Roman"/>
        </w:rPr>
        <w:t>iscussions of the essential facilities problem in a regulatory context</w:t>
      </w:r>
      <w:r w:rsidR="00AB4017" w:rsidRPr="000C06D7">
        <w:rPr>
          <w:rFonts w:ascii="Times New Roman" w:hAnsi="Times New Roman"/>
        </w:rPr>
        <w:t xml:space="preserve"> often refer to</w:t>
      </w:r>
      <w:r w:rsidRPr="000C06D7">
        <w:rPr>
          <w:rFonts w:ascii="Times New Roman" w:hAnsi="Times New Roman"/>
        </w:rPr>
        <w:t xml:space="preserve"> an essential facility having natural monopoly characteristics, access to which is needed to compete </w:t>
      </w:r>
      <w:r w:rsidR="001D0F5D" w:rsidRPr="000C06D7">
        <w:rPr>
          <w:rFonts w:ascii="Times New Roman" w:hAnsi="Times New Roman"/>
        </w:rPr>
        <w:t xml:space="preserve">effectively </w:t>
      </w:r>
      <w:r w:rsidRPr="000C06D7">
        <w:rPr>
          <w:rFonts w:ascii="Times New Roman" w:hAnsi="Times New Roman"/>
        </w:rPr>
        <w:t>in an upstream or downstream market, as a "bottleneck facility" or "bottleneck monopoly". The metaphor is apt to describe the kind of facility with which Pt</w:t>
      </w:r>
      <w:r w:rsidR="003C7423" w:rsidRPr="000C06D7">
        <w:rPr>
          <w:rFonts w:ascii="Times New Roman" w:hAnsi="Times New Roman"/>
        </w:rPr>
        <w:t> </w:t>
      </w:r>
      <w:r w:rsidRPr="000C06D7">
        <w:rPr>
          <w:rFonts w:ascii="Times New Roman" w:hAnsi="Times New Roman"/>
        </w:rPr>
        <w:t xml:space="preserve">IIIA is concerned. The metaphor was taken up </w:t>
      </w:r>
      <w:r w:rsidRPr="000C06D7">
        <w:rPr>
          <w:rFonts w:ascii="Times New Roman" w:hAnsi="Times New Roman"/>
        </w:rPr>
        <w:lastRenderedPageBreak/>
        <w:t>by the Tribunal in 2000</w:t>
      </w:r>
      <w:r w:rsidRPr="000C06D7">
        <w:rPr>
          <w:rStyle w:val="FootnoteReference"/>
          <w:rFonts w:ascii="Times New Roman" w:hAnsi="Times New Roman"/>
          <w:sz w:val="24"/>
        </w:rPr>
        <w:footnoteReference w:id="22"/>
      </w:r>
      <w:r w:rsidR="006F5656" w:rsidRPr="000C06D7">
        <w:rPr>
          <w:rFonts w:ascii="Times New Roman" w:hAnsi="Times New Roman"/>
        </w:rPr>
        <w:t>,</w:t>
      </w:r>
      <w:r w:rsidRPr="000C06D7">
        <w:rPr>
          <w:rFonts w:ascii="Times New Roman" w:hAnsi="Times New Roman"/>
        </w:rPr>
        <w:t xml:space="preserve"> by the Productivity Commission in 2001</w:t>
      </w:r>
      <w:r w:rsidRPr="000C06D7">
        <w:rPr>
          <w:rStyle w:val="FootnoteReference"/>
          <w:rFonts w:ascii="Times New Roman" w:hAnsi="Times New Roman"/>
          <w:sz w:val="24"/>
        </w:rPr>
        <w:footnoteReference w:id="23"/>
      </w:r>
      <w:r w:rsidRPr="000C06D7">
        <w:rPr>
          <w:rFonts w:ascii="Times New Roman" w:hAnsi="Times New Roman"/>
        </w:rPr>
        <w:t xml:space="preserve"> and </w:t>
      </w:r>
      <w:r w:rsidR="006F5656" w:rsidRPr="000C06D7">
        <w:rPr>
          <w:rFonts w:ascii="Times New Roman" w:hAnsi="Times New Roman"/>
        </w:rPr>
        <w:t>by</w:t>
      </w:r>
      <w:r w:rsidR="00967451" w:rsidRPr="000C06D7">
        <w:rPr>
          <w:rFonts w:ascii="Times New Roman" w:hAnsi="Times New Roman"/>
        </w:rPr>
        <w:t xml:space="preserve"> the</w:t>
      </w:r>
      <w:r w:rsidRPr="000C06D7">
        <w:rPr>
          <w:rFonts w:ascii="Times New Roman" w:hAnsi="Times New Roman"/>
        </w:rPr>
        <w:t xml:space="preserve"> </w:t>
      </w:r>
      <w:r w:rsidR="00451F8B" w:rsidRPr="000C06D7">
        <w:rPr>
          <w:rFonts w:ascii="Times New Roman" w:hAnsi="Times New Roman"/>
        </w:rPr>
        <w:t>Harper Review in 2015</w:t>
      </w:r>
      <w:r w:rsidRPr="000C06D7">
        <w:rPr>
          <w:rStyle w:val="FootnoteReference"/>
          <w:rFonts w:ascii="Times New Roman" w:hAnsi="Times New Roman"/>
          <w:sz w:val="24"/>
        </w:rPr>
        <w:footnoteReference w:id="24"/>
      </w:r>
      <w:r w:rsidRPr="000C06D7">
        <w:rPr>
          <w:rFonts w:ascii="Times New Roman" w:hAnsi="Times New Roman"/>
        </w:rPr>
        <w:t>.</w:t>
      </w:r>
    </w:p>
    <w:p w14:paraId="1C1158DA" w14:textId="4331F5F6" w:rsidR="00901500" w:rsidRPr="000C06D7" w:rsidRDefault="00D06C67"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316EE6" w:rsidRPr="000C06D7">
        <w:rPr>
          <w:rFonts w:ascii="Times New Roman" w:hAnsi="Times New Roman"/>
        </w:rPr>
        <w:t>Div</w:t>
      </w:r>
      <w:r w:rsidR="008D0F79" w:rsidRPr="000C06D7">
        <w:rPr>
          <w:rFonts w:ascii="Times New Roman" w:hAnsi="Times New Roman"/>
        </w:rPr>
        <w:t>ision</w:t>
      </w:r>
      <w:r w:rsidR="00316EE6" w:rsidRPr="000C06D7">
        <w:rPr>
          <w:rFonts w:ascii="Times New Roman" w:hAnsi="Times New Roman"/>
        </w:rPr>
        <w:t xml:space="preserve"> 1</w:t>
      </w:r>
      <w:r w:rsidR="008D0F79" w:rsidRPr="000C06D7">
        <w:rPr>
          <w:rFonts w:ascii="Times New Roman" w:hAnsi="Times New Roman"/>
        </w:rPr>
        <w:t xml:space="preserve"> of </w:t>
      </w:r>
      <w:r w:rsidR="00A901C7" w:rsidRPr="000C06D7">
        <w:rPr>
          <w:rFonts w:ascii="Times New Roman" w:hAnsi="Times New Roman"/>
        </w:rPr>
        <w:t>Pt IIIA sets out</w:t>
      </w:r>
      <w:r w:rsidR="00414E98" w:rsidRPr="000C06D7">
        <w:rPr>
          <w:rFonts w:ascii="Times New Roman" w:hAnsi="Times New Roman"/>
        </w:rPr>
        <w:t xml:space="preserve"> </w:t>
      </w:r>
      <w:r w:rsidR="00E267F2" w:rsidRPr="000C06D7">
        <w:rPr>
          <w:rFonts w:ascii="Times New Roman" w:hAnsi="Times New Roman"/>
        </w:rPr>
        <w:t xml:space="preserve">a number of definitions. </w:t>
      </w:r>
      <w:r w:rsidR="00FF212E" w:rsidRPr="000C06D7">
        <w:rPr>
          <w:rFonts w:ascii="Times New Roman" w:hAnsi="Times New Roman"/>
        </w:rPr>
        <w:t>T</w:t>
      </w:r>
      <w:r w:rsidR="00414E98" w:rsidRPr="000C06D7">
        <w:rPr>
          <w:rFonts w:ascii="Times New Roman" w:hAnsi="Times New Roman"/>
        </w:rPr>
        <w:t xml:space="preserve">hree </w:t>
      </w:r>
      <w:r w:rsidR="00C32869" w:rsidRPr="000C06D7">
        <w:rPr>
          <w:rFonts w:ascii="Times New Roman" w:hAnsi="Times New Roman"/>
        </w:rPr>
        <w:t>of those definitions</w:t>
      </w:r>
      <w:r w:rsidR="00FA304A" w:rsidRPr="000C06D7">
        <w:rPr>
          <w:rFonts w:ascii="Times New Roman" w:hAnsi="Times New Roman"/>
        </w:rPr>
        <w:t>, contained within s</w:t>
      </w:r>
      <w:r w:rsidR="00C918AF" w:rsidRPr="000C06D7">
        <w:rPr>
          <w:rFonts w:ascii="Times New Roman" w:hAnsi="Times New Roman"/>
        </w:rPr>
        <w:t> </w:t>
      </w:r>
      <w:r w:rsidR="00B27059" w:rsidRPr="000C06D7">
        <w:rPr>
          <w:rFonts w:ascii="Times New Roman" w:hAnsi="Times New Roman"/>
        </w:rPr>
        <w:t xml:space="preserve">44B, </w:t>
      </w:r>
      <w:r w:rsidR="00FF212E" w:rsidRPr="000C06D7">
        <w:rPr>
          <w:rFonts w:ascii="Times New Roman" w:hAnsi="Times New Roman"/>
        </w:rPr>
        <w:t xml:space="preserve">are </w:t>
      </w:r>
      <w:r w:rsidR="00832E70" w:rsidRPr="000C06D7">
        <w:rPr>
          <w:rFonts w:ascii="Times New Roman" w:hAnsi="Times New Roman"/>
        </w:rPr>
        <w:t xml:space="preserve">central </w:t>
      </w:r>
      <w:r w:rsidR="00FF212E" w:rsidRPr="000C06D7">
        <w:rPr>
          <w:rFonts w:ascii="Times New Roman" w:hAnsi="Times New Roman"/>
        </w:rPr>
        <w:t xml:space="preserve">to </w:t>
      </w:r>
      <w:r w:rsidR="009A4538" w:rsidRPr="000C06D7">
        <w:rPr>
          <w:rFonts w:ascii="Times New Roman" w:hAnsi="Times New Roman"/>
        </w:rPr>
        <w:t xml:space="preserve">Pt IIIA's </w:t>
      </w:r>
      <w:r w:rsidR="00B965BE" w:rsidRPr="000C06D7">
        <w:rPr>
          <w:rFonts w:ascii="Times New Roman" w:hAnsi="Times New Roman"/>
        </w:rPr>
        <w:t>solution to</w:t>
      </w:r>
      <w:r w:rsidR="00832E70" w:rsidRPr="000C06D7">
        <w:rPr>
          <w:rFonts w:ascii="Times New Roman" w:hAnsi="Times New Roman"/>
        </w:rPr>
        <w:t xml:space="preserve"> the </w:t>
      </w:r>
      <w:r w:rsidR="00BF7063" w:rsidRPr="000C06D7">
        <w:rPr>
          <w:rFonts w:ascii="Times New Roman" w:hAnsi="Times New Roman"/>
        </w:rPr>
        <w:t>essential facilities problem</w:t>
      </w:r>
      <w:r w:rsidR="00C46BCF" w:rsidRPr="000C06D7">
        <w:rPr>
          <w:rFonts w:ascii="Times New Roman" w:hAnsi="Times New Roman"/>
        </w:rPr>
        <w:t xml:space="preserve">. </w:t>
      </w:r>
      <w:r w:rsidR="00E61C0C" w:rsidRPr="000C06D7">
        <w:rPr>
          <w:rFonts w:ascii="Times New Roman" w:hAnsi="Times New Roman"/>
        </w:rPr>
        <w:t xml:space="preserve">The first is </w:t>
      </w:r>
      <w:r w:rsidR="00712278" w:rsidRPr="000C06D7">
        <w:rPr>
          <w:rFonts w:ascii="Times New Roman" w:hAnsi="Times New Roman"/>
        </w:rPr>
        <w:t xml:space="preserve">the definition of </w:t>
      </w:r>
      <w:r w:rsidR="00E61C0C" w:rsidRPr="000C06D7">
        <w:rPr>
          <w:rFonts w:ascii="Times New Roman" w:hAnsi="Times New Roman"/>
        </w:rPr>
        <w:t>"service"</w:t>
      </w:r>
      <w:r w:rsidR="00ED5C48" w:rsidRPr="000C06D7">
        <w:rPr>
          <w:rFonts w:ascii="Times New Roman" w:hAnsi="Times New Roman"/>
        </w:rPr>
        <w:t xml:space="preserve">, which is </w:t>
      </w:r>
      <w:r w:rsidR="005C21DC" w:rsidRPr="000C06D7">
        <w:rPr>
          <w:rFonts w:ascii="Times New Roman" w:hAnsi="Times New Roman"/>
        </w:rPr>
        <w:t xml:space="preserve">relevantly </w:t>
      </w:r>
      <w:r w:rsidR="00ED5C48" w:rsidRPr="000C06D7">
        <w:rPr>
          <w:rFonts w:ascii="Times New Roman" w:hAnsi="Times New Roman"/>
        </w:rPr>
        <w:t>as follows:</w:t>
      </w:r>
    </w:p>
    <w:p w14:paraId="7605E13E" w14:textId="77777777" w:rsidR="00F6785B" w:rsidRPr="000C06D7" w:rsidRDefault="00F6785B" w:rsidP="000C06D7">
      <w:pPr>
        <w:pStyle w:val="leftright"/>
        <w:spacing w:before="0" w:after="260" w:line="280" w:lineRule="exact"/>
        <w:ind w:right="0"/>
        <w:jc w:val="both"/>
        <w:rPr>
          <w:rFonts w:ascii="Times New Roman" w:hAnsi="Times New Roman"/>
        </w:rPr>
      </w:pPr>
      <w:r w:rsidRPr="000C06D7">
        <w:rPr>
          <w:rFonts w:ascii="Times New Roman" w:hAnsi="Times New Roman"/>
        </w:rPr>
        <w:t>"</w:t>
      </w:r>
      <w:r w:rsidRPr="000C06D7">
        <w:rPr>
          <w:rFonts w:ascii="Times New Roman" w:hAnsi="Times New Roman"/>
          <w:b/>
          <w:i/>
        </w:rPr>
        <w:t>service</w:t>
      </w:r>
      <w:r w:rsidRPr="000C06D7">
        <w:rPr>
          <w:rFonts w:ascii="Times New Roman" w:hAnsi="Times New Roman"/>
        </w:rPr>
        <w:t xml:space="preserve"> means a service provided by means of a facility and includes: </w:t>
      </w:r>
    </w:p>
    <w:p w14:paraId="4C773AD1" w14:textId="77777777" w:rsidR="00305053" w:rsidRPr="000C06D7" w:rsidRDefault="00F6785B" w:rsidP="000C06D7">
      <w:pPr>
        <w:pStyle w:val="leftright"/>
        <w:spacing w:before="0" w:after="260" w:line="280" w:lineRule="exact"/>
        <w:ind w:left="1440" w:right="0" w:hanging="720"/>
        <w:jc w:val="both"/>
        <w:rPr>
          <w:rFonts w:ascii="Times New Roman" w:hAnsi="Times New Roman"/>
        </w:rPr>
      </w:pPr>
      <w:r w:rsidRPr="000C06D7">
        <w:rPr>
          <w:rFonts w:ascii="Times New Roman" w:hAnsi="Times New Roman"/>
        </w:rPr>
        <w:t>(a)</w:t>
      </w:r>
      <w:r w:rsidRPr="000C06D7">
        <w:rPr>
          <w:rFonts w:ascii="Times New Roman" w:hAnsi="Times New Roman"/>
        </w:rPr>
        <w:tab/>
        <w:t>the use of an infrastructure facility such as a road or railway line</w:t>
      </w:r>
      <w:r w:rsidR="001302D6" w:rsidRPr="000C06D7">
        <w:rPr>
          <w:rFonts w:ascii="Times New Roman" w:hAnsi="Times New Roman"/>
        </w:rPr>
        <w:t>;</w:t>
      </w:r>
    </w:p>
    <w:p w14:paraId="0C07F517" w14:textId="77777777" w:rsidR="000C06D7" w:rsidRDefault="00305053" w:rsidP="000C06D7">
      <w:pPr>
        <w:pStyle w:val="leftright"/>
        <w:spacing w:before="0" w:after="260" w:line="280" w:lineRule="exact"/>
        <w:ind w:left="1440" w:right="0" w:hanging="720"/>
        <w:jc w:val="both"/>
        <w:rPr>
          <w:rFonts w:ascii="Times New Roman" w:hAnsi="Times New Roman"/>
        </w:rPr>
      </w:pPr>
      <w:r w:rsidRPr="000C06D7">
        <w:rPr>
          <w:rFonts w:ascii="Times New Roman" w:hAnsi="Times New Roman"/>
        </w:rPr>
        <w:t>...</w:t>
      </w:r>
      <w:r w:rsidR="001302D6" w:rsidRPr="000C06D7">
        <w:rPr>
          <w:rFonts w:ascii="Times New Roman" w:hAnsi="Times New Roman"/>
        </w:rPr>
        <w:t>"</w:t>
      </w:r>
    </w:p>
    <w:p w14:paraId="36803B87" w14:textId="1BF11D91" w:rsidR="00ED5C48" w:rsidRPr="000C06D7" w:rsidRDefault="00ED5C48" w:rsidP="000C06D7">
      <w:pPr>
        <w:pStyle w:val="NormalBody"/>
        <w:spacing w:after="260" w:line="280" w:lineRule="exact"/>
        <w:ind w:right="0"/>
        <w:jc w:val="both"/>
        <w:rPr>
          <w:rFonts w:ascii="Times New Roman" w:hAnsi="Times New Roman"/>
        </w:rPr>
      </w:pPr>
      <w:r w:rsidRPr="000C06D7">
        <w:rPr>
          <w:rFonts w:ascii="Times New Roman" w:hAnsi="Times New Roman"/>
        </w:rPr>
        <w:t xml:space="preserve">The second is </w:t>
      </w:r>
      <w:r w:rsidR="002E0B40" w:rsidRPr="000C06D7">
        <w:rPr>
          <w:rFonts w:ascii="Times New Roman" w:hAnsi="Times New Roman"/>
        </w:rPr>
        <w:t xml:space="preserve">the definition of </w:t>
      </w:r>
      <w:r w:rsidRPr="000C06D7">
        <w:rPr>
          <w:rFonts w:ascii="Times New Roman" w:hAnsi="Times New Roman"/>
        </w:rPr>
        <w:t>"provider"</w:t>
      </w:r>
      <w:r w:rsidR="00B058F0" w:rsidRPr="000C06D7">
        <w:rPr>
          <w:rFonts w:ascii="Times New Roman" w:hAnsi="Times New Roman"/>
        </w:rPr>
        <w:t>, which is as follows:</w:t>
      </w:r>
    </w:p>
    <w:p w14:paraId="14175D17" w14:textId="77777777" w:rsidR="000C06D7" w:rsidRDefault="001302D6" w:rsidP="000C06D7">
      <w:pPr>
        <w:pStyle w:val="leftright"/>
        <w:spacing w:before="0" w:after="260" w:line="280" w:lineRule="exact"/>
        <w:ind w:right="0"/>
        <w:jc w:val="both"/>
        <w:rPr>
          <w:rFonts w:ascii="Times New Roman" w:hAnsi="Times New Roman"/>
        </w:rPr>
      </w:pPr>
      <w:r w:rsidRPr="000C06D7">
        <w:rPr>
          <w:rFonts w:ascii="Times New Roman" w:hAnsi="Times New Roman"/>
        </w:rPr>
        <w:t>"</w:t>
      </w:r>
      <w:r w:rsidRPr="000C06D7">
        <w:rPr>
          <w:rFonts w:ascii="Times New Roman" w:hAnsi="Times New Roman"/>
          <w:b/>
          <w:i/>
        </w:rPr>
        <w:t>provider</w:t>
      </w:r>
      <w:r w:rsidRPr="000C06D7">
        <w:rPr>
          <w:rFonts w:ascii="Times New Roman" w:hAnsi="Times New Roman"/>
        </w:rPr>
        <w:t>, in relation to a service, means the entity that is the owner or operator of the facility that is used (or is to be used) to provide the service.</w:t>
      </w:r>
      <w:r w:rsidR="00300655" w:rsidRPr="000C06D7">
        <w:rPr>
          <w:rFonts w:ascii="Times New Roman" w:hAnsi="Times New Roman"/>
        </w:rPr>
        <w:t>"</w:t>
      </w:r>
    </w:p>
    <w:p w14:paraId="69887E83" w14:textId="1101FB6E" w:rsidR="00B058F0" w:rsidRPr="000C06D7" w:rsidRDefault="00B058F0" w:rsidP="000C06D7">
      <w:pPr>
        <w:pStyle w:val="NormalBody"/>
        <w:spacing w:after="260" w:line="280" w:lineRule="exact"/>
        <w:ind w:right="0"/>
        <w:jc w:val="both"/>
        <w:rPr>
          <w:rFonts w:ascii="Times New Roman" w:hAnsi="Times New Roman"/>
        </w:rPr>
      </w:pPr>
      <w:r w:rsidRPr="000C06D7">
        <w:rPr>
          <w:rFonts w:ascii="Times New Roman" w:hAnsi="Times New Roman"/>
        </w:rPr>
        <w:t>The third</w:t>
      </w:r>
      <w:r w:rsidR="00240EEF" w:rsidRPr="000C06D7">
        <w:rPr>
          <w:rFonts w:ascii="Times New Roman" w:hAnsi="Times New Roman"/>
        </w:rPr>
        <w:t xml:space="preserve"> is </w:t>
      </w:r>
      <w:r w:rsidR="002E0B40" w:rsidRPr="000C06D7">
        <w:rPr>
          <w:rFonts w:ascii="Times New Roman" w:hAnsi="Times New Roman"/>
        </w:rPr>
        <w:t xml:space="preserve">the definition of </w:t>
      </w:r>
      <w:r w:rsidR="00240EEF" w:rsidRPr="000C06D7">
        <w:rPr>
          <w:rFonts w:ascii="Times New Roman" w:hAnsi="Times New Roman"/>
        </w:rPr>
        <w:t>"third party", which is as follows:</w:t>
      </w:r>
    </w:p>
    <w:p w14:paraId="4790BE67" w14:textId="77777777" w:rsidR="000C06D7" w:rsidRDefault="008B33E0" w:rsidP="000C06D7">
      <w:pPr>
        <w:pStyle w:val="leftright"/>
        <w:spacing w:before="0" w:after="260" w:line="280" w:lineRule="exact"/>
        <w:ind w:right="0"/>
        <w:jc w:val="both"/>
        <w:rPr>
          <w:rFonts w:ascii="Times New Roman" w:hAnsi="Times New Roman"/>
        </w:rPr>
      </w:pPr>
      <w:r w:rsidRPr="000C06D7">
        <w:rPr>
          <w:rFonts w:ascii="Times New Roman" w:hAnsi="Times New Roman"/>
        </w:rPr>
        <w:t>"</w:t>
      </w:r>
      <w:r w:rsidRPr="000C06D7">
        <w:rPr>
          <w:rFonts w:ascii="Times New Roman" w:hAnsi="Times New Roman"/>
          <w:b/>
          <w:i/>
        </w:rPr>
        <w:t>third party</w:t>
      </w:r>
      <w:r w:rsidR="008D2323" w:rsidRPr="000C06D7">
        <w:rPr>
          <w:rFonts w:ascii="Times New Roman" w:hAnsi="Times New Roman"/>
        </w:rPr>
        <w:t xml:space="preserve">, in relation to a service, means a person who wants access to the service or wants a change to some aspect of the person's existing access to </w:t>
      </w:r>
      <w:r w:rsidR="004C19C3" w:rsidRPr="000C06D7">
        <w:rPr>
          <w:rFonts w:ascii="Times New Roman" w:hAnsi="Times New Roman"/>
        </w:rPr>
        <w:t>the service."</w:t>
      </w:r>
    </w:p>
    <w:p w14:paraId="22FCBC1C" w14:textId="2947EE61" w:rsidR="00DE4713" w:rsidRPr="000C06D7" w:rsidRDefault="00344C67"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866426" w:rsidRPr="000C06D7">
        <w:rPr>
          <w:rFonts w:ascii="Times New Roman" w:hAnsi="Times New Roman"/>
        </w:rPr>
        <w:t>T</w:t>
      </w:r>
      <w:r w:rsidR="00B2388D" w:rsidRPr="000C06D7">
        <w:rPr>
          <w:rFonts w:ascii="Times New Roman" w:hAnsi="Times New Roman"/>
        </w:rPr>
        <w:t>he term "access"</w:t>
      </w:r>
      <w:r w:rsidR="00E95E9B" w:rsidRPr="000C06D7">
        <w:rPr>
          <w:rFonts w:ascii="Times New Roman" w:hAnsi="Times New Roman"/>
        </w:rPr>
        <w:t xml:space="preserve">, </w:t>
      </w:r>
      <w:r w:rsidR="00B2388D" w:rsidRPr="000C06D7">
        <w:rPr>
          <w:rFonts w:ascii="Times New Roman" w:hAnsi="Times New Roman"/>
        </w:rPr>
        <w:t xml:space="preserve">which </w:t>
      </w:r>
      <w:r w:rsidR="00BB24CF" w:rsidRPr="000C06D7">
        <w:rPr>
          <w:rFonts w:ascii="Times New Roman" w:hAnsi="Times New Roman"/>
        </w:rPr>
        <w:t>appears</w:t>
      </w:r>
      <w:r w:rsidR="00B2388D" w:rsidRPr="000C06D7">
        <w:rPr>
          <w:rFonts w:ascii="Times New Roman" w:hAnsi="Times New Roman"/>
        </w:rPr>
        <w:t xml:space="preserve"> </w:t>
      </w:r>
      <w:r w:rsidR="005650B6" w:rsidRPr="000C06D7">
        <w:rPr>
          <w:rFonts w:ascii="Times New Roman" w:hAnsi="Times New Roman"/>
        </w:rPr>
        <w:t xml:space="preserve">in the heading to </w:t>
      </w:r>
      <w:r w:rsidR="00594941" w:rsidRPr="000C06D7">
        <w:rPr>
          <w:rFonts w:ascii="Times New Roman" w:hAnsi="Times New Roman"/>
        </w:rPr>
        <w:t>Pt</w:t>
      </w:r>
      <w:r w:rsidR="00E0375F" w:rsidRPr="000C06D7">
        <w:rPr>
          <w:rFonts w:ascii="Times New Roman" w:hAnsi="Times New Roman"/>
        </w:rPr>
        <w:t> </w:t>
      </w:r>
      <w:r w:rsidR="00594941" w:rsidRPr="000C06D7">
        <w:rPr>
          <w:rFonts w:ascii="Times New Roman" w:hAnsi="Times New Roman"/>
        </w:rPr>
        <w:t xml:space="preserve">IIIA and </w:t>
      </w:r>
      <w:r w:rsidR="008157F6" w:rsidRPr="000C06D7">
        <w:rPr>
          <w:rFonts w:ascii="Times New Roman" w:hAnsi="Times New Roman"/>
        </w:rPr>
        <w:t>in the third of those definitions</w:t>
      </w:r>
      <w:r w:rsidR="0002452E" w:rsidRPr="000C06D7">
        <w:rPr>
          <w:rFonts w:ascii="Times New Roman" w:hAnsi="Times New Roman"/>
        </w:rPr>
        <w:t xml:space="preserve"> and throughout Pt IIIA</w:t>
      </w:r>
      <w:r w:rsidR="00D37DC0" w:rsidRPr="000C06D7">
        <w:rPr>
          <w:rFonts w:ascii="Times New Roman" w:hAnsi="Times New Roman"/>
        </w:rPr>
        <w:t>, is undefined.</w:t>
      </w:r>
      <w:r w:rsidR="00B831ED" w:rsidRPr="000C06D7">
        <w:rPr>
          <w:rFonts w:ascii="Times New Roman" w:hAnsi="Times New Roman"/>
        </w:rPr>
        <w:t xml:space="preserve"> </w:t>
      </w:r>
      <w:r w:rsidR="003A31AF" w:rsidRPr="000C06D7">
        <w:rPr>
          <w:rFonts w:ascii="Times New Roman" w:hAnsi="Times New Roman"/>
        </w:rPr>
        <w:t>T</w:t>
      </w:r>
      <w:r w:rsidR="00B831ED" w:rsidRPr="000C06D7">
        <w:rPr>
          <w:rFonts w:ascii="Times New Roman" w:hAnsi="Times New Roman"/>
        </w:rPr>
        <w:t>he meaning</w:t>
      </w:r>
      <w:r w:rsidR="009D0382" w:rsidRPr="000C06D7">
        <w:rPr>
          <w:rFonts w:ascii="Times New Roman" w:hAnsi="Times New Roman"/>
        </w:rPr>
        <w:t xml:space="preserve"> </w:t>
      </w:r>
      <w:r w:rsidR="00B831ED" w:rsidRPr="000C06D7">
        <w:rPr>
          <w:rFonts w:ascii="Times New Roman" w:hAnsi="Times New Roman"/>
        </w:rPr>
        <w:t>to be a</w:t>
      </w:r>
      <w:r w:rsidR="009D0382" w:rsidRPr="000C06D7">
        <w:rPr>
          <w:rFonts w:ascii="Times New Roman" w:hAnsi="Times New Roman"/>
        </w:rPr>
        <w:t xml:space="preserve">ttributed </w:t>
      </w:r>
      <w:r w:rsidR="00B831ED" w:rsidRPr="000C06D7">
        <w:rPr>
          <w:rFonts w:ascii="Times New Roman" w:hAnsi="Times New Roman"/>
        </w:rPr>
        <w:t xml:space="preserve">to </w:t>
      </w:r>
      <w:r w:rsidR="00E84AE5" w:rsidRPr="000C06D7">
        <w:rPr>
          <w:rFonts w:ascii="Times New Roman" w:hAnsi="Times New Roman"/>
        </w:rPr>
        <w:t xml:space="preserve">the </w:t>
      </w:r>
      <w:r w:rsidR="00E41C17" w:rsidRPr="000C06D7">
        <w:rPr>
          <w:rFonts w:ascii="Times New Roman" w:hAnsi="Times New Roman"/>
        </w:rPr>
        <w:t xml:space="preserve">undefined </w:t>
      </w:r>
      <w:r w:rsidR="00E84AE5" w:rsidRPr="000C06D7">
        <w:rPr>
          <w:rFonts w:ascii="Times New Roman" w:hAnsi="Times New Roman"/>
        </w:rPr>
        <w:t xml:space="preserve">term </w:t>
      </w:r>
      <w:r w:rsidR="00A40010" w:rsidRPr="000C06D7">
        <w:rPr>
          <w:rFonts w:ascii="Times New Roman" w:hAnsi="Times New Roman"/>
        </w:rPr>
        <w:t xml:space="preserve">in the context of the </w:t>
      </w:r>
      <w:r w:rsidR="00E95E9B" w:rsidRPr="000C06D7">
        <w:rPr>
          <w:rFonts w:ascii="Times New Roman" w:hAnsi="Times New Roman"/>
        </w:rPr>
        <w:t>P</w:t>
      </w:r>
      <w:r w:rsidR="00A40010" w:rsidRPr="000C06D7">
        <w:rPr>
          <w:rFonts w:ascii="Times New Roman" w:hAnsi="Times New Roman"/>
        </w:rPr>
        <w:t xml:space="preserve">art </w:t>
      </w:r>
      <w:r w:rsidR="0074495C" w:rsidRPr="000C06D7">
        <w:rPr>
          <w:rFonts w:ascii="Times New Roman" w:hAnsi="Times New Roman"/>
        </w:rPr>
        <w:t xml:space="preserve">is central </w:t>
      </w:r>
      <w:r w:rsidR="00A40010" w:rsidRPr="000C06D7">
        <w:rPr>
          <w:rFonts w:ascii="Times New Roman" w:hAnsi="Times New Roman"/>
        </w:rPr>
        <w:t>to the resolution of</w:t>
      </w:r>
      <w:r w:rsidR="0074495C" w:rsidRPr="000C06D7">
        <w:rPr>
          <w:rFonts w:ascii="Times New Roman" w:hAnsi="Times New Roman"/>
        </w:rPr>
        <w:t xml:space="preserve"> </w:t>
      </w:r>
      <w:r w:rsidR="00E41C17" w:rsidRPr="000C06D7">
        <w:rPr>
          <w:rFonts w:ascii="Times New Roman" w:hAnsi="Times New Roman"/>
        </w:rPr>
        <w:t xml:space="preserve">issues in the </w:t>
      </w:r>
      <w:r w:rsidR="0074495C" w:rsidRPr="000C06D7">
        <w:rPr>
          <w:rFonts w:ascii="Times New Roman" w:hAnsi="Times New Roman"/>
        </w:rPr>
        <w:t>appeal</w:t>
      </w:r>
      <w:r w:rsidR="00E41C17" w:rsidRPr="000C06D7">
        <w:rPr>
          <w:rFonts w:ascii="Times New Roman" w:hAnsi="Times New Roman"/>
        </w:rPr>
        <w:t xml:space="preserve"> that</w:t>
      </w:r>
      <w:r w:rsidR="00163C18" w:rsidRPr="000C06D7">
        <w:rPr>
          <w:rFonts w:ascii="Times New Roman" w:hAnsi="Times New Roman"/>
        </w:rPr>
        <w:t xml:space="preserve"> will be examined in due course.</w:t>
      </w:r>
    </w:p>
    <w:p w14:paraId="1E7BCC1F" w14:textId="7B6EA06D" w:rsidR="00DB7786" w:rsidRPr="000C06D7" w:rsidRDefault="00DE4713"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225FF1" w:rsidRPr="000C06D7">
        <w:rPr>
          <w:rFonts w:ascii="Times New Roman" w:hAnsi="Times New Roman"/>
        </w:rPr>
        <w:t>A</w:t>
      </w:r>
      <w:r w:rsidR="001A5CDE" w:rsidRPr="000C06D7">
        <w:rPr>
          <w:rFonts w:ascii="Times New Roman" w:hAnsi="Times New Roman"/>
        </w:rPr>
        <w:t>t this point</w:t>
      </w:r>
      <w:r w:rsidR="005A6864" w:rsidRPr="000C06D7">
        <w:rPr>
          <w:rFonts w:ascii="Times New Roman" w:hAnsi="Times New Roman"/>
        </w:rPr>
        <w:t>,</w:t>
      </w:r>
      <w:r w:rsidR="001A5CDE" w:rsidRPr="000C06D7">
        <w:rPr>
          <w:rFonts w:ascii="Times New Roman" w:hAnsi="Times New Roman"/>
        </w:rPr>
        <w:t xml:space="preserve"> </w:t>
      </w:r>
      <w:r w:rsidR="00225FF1" w:rsidRPr="000C06D7">
        <w:rPr>
          <w:rFonts w:ascii="Times New Roman" w:hAnsi="Times New Roman"/>
        </w:rPr>
        <w:t xml:space="preserve">it </w:t>
      </w:r>
      <w:r w:rsidR="00847ACE" w:rsidRPr="000C06D7">
        <w:rPr>
          <w:rFonts w:ascii="Times New Roman" w:hAnsi="Times New Roman"/>
        </w:rPr>
        <w:t xml:space="preserve">is </w:t>
      </w:r>
      <w:r w:rsidR="00225FF1" w:rsidRPr="000C06D7">
        <w:rPr>
          <w:rFonts w:ascii="Times New Roman" w:hAnsi="Times New Roman"/>
        </w:rPr>
        <w:t xml:space="preserve">convenient </w:t>
      </w:r>
      <w:r w:rsidR="00D14AED" w:rsidRPr="000C06D7">
        <w:rPr>
          <w:rFonts w:ascii="Times New Roman" w:hAnsi="Times New Roman"/>
        </w:rPr>
        <w:t xml:space="preserve">simply </w:t>
      </w:r>
      <w:r w:rsidR="00163C18" w:rsidRPr="000C06D7">
        <w:rPr>
          <w:rFonts w:ascii="Times New Roman" w:hAnsi="Times New Roman"/>
        </w:rPr>
        <w:t xml:space="preserve">to </w:t>
      </w:r>
      <w:r w:rsidR="00936682" w:rsidRPr="000C06D7">
        <w:rPr>
          <w:rFonts w:ascii="Times New Roman" w:hAnsi="Times New Roman"/>
        </w:rPr>
        <w:t xml:space="preserve">record </w:t>
      </w:r>
      <w:r w:rsidR="000A52E6" w:rsidRPr="000C06D7">
        <w:rPr>
          <w:rFonts w:ascii="Times New Roman" w:hAnsi="Times New Roman"/>
        </w:rPr>
        <w:t xml:space="preserve">an </w:t>
      </w:r>
      <w:r w:rsidR="00E706BB" w:rsidRPr="000C06D7">
        <w:rPr>
          <w:rFonts w:ascii="Times New Roman" w:hAnsi="Times New Roman"/>
        </w:rPr>
        <w:t xml:space="preserve">explanation </w:t>
      </w:r>
      <w:r w:rsidR="00931B51" w:rsidRPr="000C06D7">
        <w:rPr>
          <w:rFonts w:ascii="Times New Roman" w:hAnsi="Times New Roman"/>
        </w:rPr>
        <w:t>of the term</w:t>
      </w:r>
      <w:r w:rsidR="00B05BD4" w:rsidRPr="000C06D7">
        <w:rPr>
          <w:rFonts w:ascii="Times New Roman" w:hAnsi="Times New Roman"/>
        </w:rPr>
        <w:t xml:space="preserve"> </w:t>
      </w:r>
      <w:r w:rsidR="006C6F56" w:rsidRPr="000C06D7">
        <w:rPr>
          <w:rFonts w:ascii="Times New Roman" w:hAnsi="Times New Roman"/>
        </w:rPr>
        <w:t xml:space="preserve">given </w:t>
      </w:r>
      <w:r w:rsidR="00E519D9" w:rsidRPr="000C06D7">
        <w:rPr>
          <w:rFonts w:ascii="Times New Roman" w:hAnsi="Times New Roman"/>
        </w:rPr>
        <w:t xml:space="preserve">by </w:t>
      </w:r>
      <w:r w:rsidR="00847ACE" w:rsidRPr="000C06D7">
        <w:rPr>
          <w:rFonts w:ascii="Times New Roman" w:hAnsi="Times New Roman"/>
        </w:rPr>
        <w:t>COAG</w:t>
      </w:r>
      <w:r w:rsidR="00E519D9" w:rsidRPr="000C06D7">
        <w:rPr>
          <w:rFonts w:ascii="Times New Roman" w:hAnsi="Times New Roman"/>
        </w:rPr>
        <w:t xml:space="preserve"> </w:t>
      </w:r>
      <w:r w:rsidR="00250DB5" w:rsidRPr="000C06D7">
        <w:rPr>
          <w:rFonts w:ascii="Times New Roman" w:hAnsi="Times New Roman"/>
        </w:rPr>
        <w:t xml:space="preserve">in </w:t>
      </w:r>
      <w:r w:rsidR="00081301" w:rsidRPr="000C06D7">
        <w:rPr>
          <w:rFonts w:ascii="Times New Roman" w:hAnsi="Times New Roman"/>
        </w:rPr>
        <w:t>commentary o</w:t>
      </w:r>
      <w:r w:rsidR="003A6413" w:rsidRPr="000C06D7">
        <w:rPr>
          <w:rFonts w:ascii="Times New Roman" w:hAnsi="Times New Roman"/>
        </w:rPr>
        <w:t>n</w:t>
      </w:r>
      <w:r w:rsidR="00081301" w:rsidRPr="000C06D7">
        <w:rPr>
          <w:rFonts w:ascii="Times New Roman" w:hAnsi="Times New Roman"/>
        </w:rPr>
        <w:t xml:space="preserve"> the Bill for the 1995 Act </w:t>
      </w:r>
      <w:r w:rsidR="009F5F5D" w:rsidRPr="000C06D7">
        <w:rPr>
          <w:rFonts w:ascii="Times New Roman" w:hAnsi="Times New Roman"/>
        </w:rPr>
        <w:t>fo</w:t>
      </w:r>
      <w:r w:rsidR="003A6413" w:rsidRPr="000C06D7">
        <w:rPr>
          <w:rFonts w:ascii="Times New Roman" w:hAnsi="Times New Roman"/>
        </w:rPr>
        <w:t>rming</w:t>
      </w:r>
      <w:r w:rsidR="009F5F5D" w:rsidRPr="000C06D7">
        <w:rPr>
          <w:rFonts w:ascii="Times New Roman" w:hAnsi="Times New Roman"/>
        </w:rPr>
        <w:t xml:space="preserve"> part of </w:t>
      </w:r>
      <w:r w:rsidR="00CE1676" w:rsidRPr="000C06D7">
        <w:rPr>
          <w:rFonts w:ascii="Times New Roman" w:hAnsi="Times New Roman"/>
        </w:rPr>
        <w:t xml:space="preserve">the </w:t>
      </w:r>
      <w:r w:rsidR="00CE1676" w:rsidRPr="000C06D7">
        <w:rPr>
          <w:rFonts w:ascii="Times New Roman" w:hAnsi="Times New Roman"/>
        </w:rPr>
        <w:lastRenderedPageBreak/>
        <w:t>Information Package</w:t>
      </w:r>
      <w:r w:rsidR="00F20C6A" w:rsidRPr="000C06D7">
        <w:rPr>
          <w:rFonts w:ascii="Times New Roman" w:hAnsi="Times New Roman"/>
        </w:rPr>
        <w:t>.</w:t>
      </w:r>
      <w:r w:rsidR="001625EC" w:rsidRPr="000C06D7">
        <w:rPr>
          <w:rFonts w:ascii="Times New Roman" w:hAnsi="Times New Roman"/>
        </w:rPr>
        <w:t xml:space="preserve"> </w:t>
      </w:r>
      <w:r w:rsidR="00DB7786" w:rsidRPr="000C06D7">
        <w:rPr>
          <w:rFonts w:ascii="Times New Roman" w:hAnsi="Times New Roman"/>
        </w:rPr>
        <w:t>Linking the proposed statutory use of the term to the essential facilities problem</w:t>
      </w:r>
      <w:r w:rsidR="00885189" w:rsidRPr="000C06D7">
        <w:rPr>
          <w:rFonts w:ascii="Times New Roman" w:hAnsi="Times New Roman"/>
        </w:rPr>
        <w:t xml:space="preserve"> identified in t</w:t>
      </w:r>
      <w:r w:rsidR="00DB7786" w:rsidRPr="000C06D7">
        <w:rPr>
          <w:rFonts w:ascii="Times New Roman" w:hAnsi="Times New Roman"/>
        </w:rPr>
        <w:t xml:space="preserve">he </w:t>
      </w:r>
      <w:proofErr w:type="spellStart"/>
      <w:r w:rsidR="00DB7786" w:rsidRPr="000C06D7">
        <w:rPr>
          <w:rFonts w:ascii="Times New Roman" w:hAnsi="Times New Roman"/>
        </w:rPr>
        <w:t>Hilmer</w:t>
      </w:r>
      <w:proofErr w:type="spellEnd"/>
      <w:r w:rsidR="00DB7786" w:rsidRPr="000C06D7">
        <w:rPr>
          <w:rFonts w:ascii="Times New Roman" w:hAnsi="Times New Roman"/>
        </w:rPr>
        <w:t xml:space="preserve"> Report</w:t>
      </w:r>
      <w:r w:rsidR="00E01A58" w:rsidRPr="000C06D7">
        <w:rPr>
          <w:rFonts w:ascii="Times New Roman" w:hAnsi="Times New Roman"/>
        </w:rPr>
        <w:t xml:space="preserve">, </w:t>
      </w:r>
      <w:r w:rsidR="009F5F5D" w:rsidRPr="000C06D7">
        <w:rPr>
          <w:rFonts w:ascii="Times New Roman" w:hAnsi="Times New Roman"/>
        </w:rPr>
        <w:t>COAG</w:t>
      </w:r>
      <w:r w:rsidR="00E01A58" w:rsidRPr="000C06D7">
        <w:rPr>
          <w:rFonts w:ascii="Times New Roman" w:hAnsi="Times New Roman"/>
        </w:rPr>
        <w:t xml:space="preserve"> explained</w:t>
      </w:r>
      <w:r w:rsidR="00C95102" w:rsidRPr="000C06D7">
        <w:rPr>
          <w:rStyle w:val="FootnoteReference"/>
          <w:rFonts w:ascii="Times New Roman" w:hAnsi="Times New Roman"/>
          <w:sz w:val="24"/>
        </w:rPr>
        <w:footnoteReference w:id="25"/>
      </w:r>
      <w:r w:rsidR="00E01A58" w:rsidRPr="000C06D7">
        <w:rPr>
          <w:rFonts w:ascii="Times New Roman" w:hAnsi="Times New Roman"/>
        </w:rPr>
        <w:t>:</w:t>
      </w:r>
    </w:p>
    <w:p w14:paraId="67E14436" w14:textId="77777777" w:rsidR="000C06D7" w:rsidRDefault="00186BAC" w:rsidP="000C06D7">
      <w:pPr>
        <w:pStyle w:val="leftright"/>
        <w:spacing w:before="0" w:after="260" w:line="280" w:lineRule="exact"/>
        <w:ind w:right="0"/>
        <w:jc w:val="both"/>
        <w:rPr>
          <w:rFonts w:ascii="Times New Roman" w:hAnsi="Times New Roman"/>
        </w:rPr>
      </w:pPr>
      <w:r w:rsidRPr="000C06D7">
        <w:rPr>
          <w:rFonts w:ascii="Times New Roman" w:hAnsi="Times New Roman"/>
        </w:rPr>
        <w:tab/>
      </w:r>
      <w:r w:rsidR="00A94EEC" w:rsidRPr="000C06D7">
        <w:rPr>
          <w:rFonts w:ascii="Times New Roman" w:hAnsi="Times New Roman"/>
        </w:rPr>
        <w:t>"</w:t>
      </w:r>
      <w:r w:rsidR="00CF79E4" w:rsidRPr="000C06D7">
        <w:rPr>
          <w:rFonts w:ascii="Times New Roman" w:hAnsi="Times New Roman"/>
        </w:rPr>
        <w:t>The term 'access' means the ability of suppliers or buyers to purchase the use of essential facilities on fair and reasonable terms. An essential facility is a transportation or other system which exhibits a high degree of natural monopoly; that is, a competitor could not duplicate it economically. A natural monopoly becomes an essential facility when it occupies a strategic position in an industry such that access to it is required for a business to compete effectively in a market upstream or downstream from the facility. Possible examples of such facilities are electricity transmission lines, gas pipelines, water pipelines, railways, airports, telecommunication channels and sea ports. Such facilities can be owned by private or public sector organisations."</w:t>
      </w:r>
    </w:p>
    <w:p w14:paraId="22A1DE1D" w14:textId="6F4291D3" w:rsidR="0091084C" w:rsidRPr="000C06D7" w:rsidRDefault="00005DE7" w:rsidP="000C06D7">
      <w:pPr>
        <w:pStyle w:val="NormalBody"/>
        <w:spacing w:after="260" w:line="280" w:lineRule="exact"/>
        <w:ind w:right="0"/>
        <w:jc w:val="both"/>
        <w:rPr>
          <w:rFonts w:ascii="Times New Roman" w:hAnsi="Times New Roman"/>
        </w:rPr>
      </w:pPr>
      <w:r w:rsidRPr="000C06D7">
        <w:rPr>
          <w:rFonts w:ascii="Times New Roman" w:hAnsi="Times New Roman"/>
        </w:rPr>
        <w:t>To that</w:t>
      </w:r>
      <w:r w:rsidR="005C07E8" w:rsidRPr="000C06D7">
        <w:rPr>
          <w:rFonts w:ascii="Times New Roman" w:hAnsi="Times New Roman"/>
        </w:rPr>
        <w:t xml:space="preserve"> contextual</w:t>
      </w:r>
      <w:r w:rsidRPr="000C06D7">
        <w:rPr>
          <w:rFonts w:ascii="Times New Roman" w:hAnsi="Times New Roman"/>
        </w:rPr>
        <w:t xml:space="preserve"> explanation of the meaning of "access"</w:t>
      </w:r>
      <w:r w:rsidR="0053359C" w:rsidRPr="000C06D7">
        <w:rPr>
          <w:rFonts w:ascii="Times New Roman" w:hAnsi="Times New Roman"/>
        </w:rPr>
        <w:t xml:space="preserve">, it will be appropriate </w:t>
      </w:r>
      <w:r w:rsidR="00026E7E" w:rsidRPr="000C06D7">
        <w:rPr>
          <w:rFonts w:ascii="Times New Roman" w:hAnsi="Times New Roman"/>
        </w:rPr>
        <w:t xml:space="preserve">in due course </w:t>
      </w:r>
      <w:r w:rsidR="0053359C" w:rsidRPr="000C06D7">
        <w:rPr>
          <w:rFonts w:ascii="Times New Roman" w:hAnsi="Times New Roman"/>
        </w:rPr>
        <w:t>to return.</w:t>
      </w:r>
    </w:p>
    <w:p w14:paraId="6666E3E0" w14:textId="401ED115" w:rsidR="00EB7065" w:rsidRPr="000C06D7" w:rsidRDefault="00240EEF"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FF212E" w:rsidRPr="000C06D7">
        <w:rPr>
          <w:rFonts w:ascii="Times New Roman" w:hAnsi="Times New Roman"/>
        </w:rPr>
        <w:t xml:space="preserve">Part </w:t>
      </w:r>
      <w:r w:rsidR="00C92C01" w:rsidRPr="000C06D7">
        <w:rPr>
          <w:rFonts w:ascii="Times New Roman" w:hAnsi="Times New Roman"/>
        </w:rPr>
        <w:t xml:space="preserve">IIIA </w:t>
      </w:r>
      <w:r w:rsidR="00FF212E" w:rsidRPr="000C06D7">
        <w:rPr>
          <w:rFonts w:ascii="Times New Roman" w:hAnsi="Times New Roman"/>
        </w:rPr>
        <w:t xml:space="preserve">sets out to achieve </w:t>
      </w:r>
      <w:r w:rsidR="00B83AEF" w:rsidRPr="000C06D7">
        <w:rPr>
          <w:rFonts w:ascii="Times New Roman" w:hAnsi="Times New Roman"/>
        </w:rPr>
        <w:t>its</w:t>
      </w:r>
      <w:r w:rsidR="00BB5553" w:rsidRPr="000C06D7">
        <w:rPr>
          <w:rFonts w:ascii="Times New Roman" w:hAnsi="Times New Roman"/>
        </w:rPr>
        <w:t xml:space="preserve"> </w:t>
      </w:r>
      <w:r w:rsidR="00E34619" w:rsidRPr="000C06D7">
        <w:rPr>
          <w:rFonts w:ascii="Times New Roman" w:hAnsi="Times New Roman"/>
        </w:rPr>
        <w:t xml:space="preserve">principal </w:t>
      </w:r>
      <w:r w:rsidR="00B83AEF" w:rsidRPr="000C06D7">
        <w:rPr>
          <w:rFonts w:ascii="Times New Roman" w:hAnsi="Times New Roman"/>
        </w:rPr>
        <w:t>object of promot</w:t>
      </w:r>
      <w:r w:rsidR="00CE44AA" w:rsidRPr="000C06D7">
        <w:rPr>
          <w:rFonts w:ascii="Times New Roman" w:hAnsi="Times New Roman"/>
        </w:rPr>
        <w:t>ing</w:t>
      </w:r>
      <w:r w:rsidR="00B83AEF" w:rsidRPr="000C06D7">
        <w:rPr>
          <w:rFonts w:ascii="Times New Roman" w:hAnsi="Times New Roman"/>
        </w:rPr>
        <w:t xml:space="preserve"> the economically efficient operation of, use of and investment in the infrastructure by which services are provided</w:t>
      </w:r>
      <w:r w:rsidR="0002452E" w:rsidRPr="000C06D7">
        <w:rPr>
          <w:rFonts w:ascii="Times New Roman" w:hAnsi="Times New Roman"/>
        </w:rPr>
        <w:t>,</w:t>
      </w:r>
      <w:r w:rsidR="00CE44AA" w:rsidRPr="000C06D7">
        <w:rPr>
          <w:rFonts w:ascii="Times New Roman" w:hAnsi="Times New Roman"/>
        </w:rPr>
        <w:t xml:space="preserve"> and of </w:t>
      </w:r>
      <w:r w:rsidR="00B83AEF" w:rsidRPr="000C06D7">
        <w:rPr>
          <w:rFonts w:ascii="Times New Roman" w:hAnsi="Times New Roman"/>
        </w:rPr>
        <w:t>thereby promoting effective competition in upstream and downstream markets</w:t>
      </w:r>
      <w:r w:rsidR="00CE44AA" w:rsidRPr="000C06D7">
        <w:rPr>
          <w:rFonts w:ascii="Times New Roman" w:hAnsi="Times New Roman"/>
        </w:rPr>
        <w:t xml:space="preserve">, </w:t>
      </w:r>
      <w:r w:rsidR="00594198" w:rsidRPr="000C06D7">
        <w:rPr>
          <w:rFonts w:ascii="Times New Roman" w:hAnsi="Times New Roman"/>
        </w:rPr>
        <w:t xml:space="preserve">by </w:t>
      </w:r>
      <w:r w:rsidR="00AB6199" w:rsidRPr="000C06D7">
        <w:rPr>
          <w:rFonts w:ascii="Times New Roman" w:hAnsi="Times New Roman"/>
        </w:rPr>
        <w:t>setting up</w:t>
      </w:r>
      <w:r w:rsidR="006308CF" w:rsidRPr="000C06D7">
        <w:rPr>
          <w:rFonts w:ascii="Times New Roman" w:hAnsi="Times New Roman"/>
        </w:rPr>
        <w:t xml:space="preserve"> a</w:t>
      </w:r>
      <w:r w:rsidR="00594198" w:rsidRPr="000C06D7">
        <w:rPr>
          <w:rFonts w:ascii="Times New Roman" w:hAnsi="Times New Roman"/>
        </w:rPr>
        <w:t xml:space="preserve"> </w:t>
      </w:r>
      <w:r w:rsidR="00D82071" w:rsidRPr="000C06D7">
        <w:rPr>
          <w:rFonts w:ascii="Times New Roman" w:hAnsi="Times New Roman"/>
        </w:rPr>
        <w:t xml:space="preserve">regulatory </w:t>
      </w:r>
      <w:r w:rsidR="00594198" w:rsidRPr="000C06D7">
        <w:rPr>
          <w:rFonts w:ascii="Times New Roman" w:hAnsi="Times New Roman"/>
        </w:rPr>
        <w:t xml:space="preserve">process </w:t>
      </w:r>
      <w:r w:rsidR="00D82071" w:rsidRPr="000C06D7">
        <w:rPr>
          <w:rFonts w:ascii="Times New Roman" w:hAnsi="Times New Roman"/>
        </w:rPr>
        <w:t xml:space="preserve">by which a third party can gain access to </w:t>
      </w:r>
      <w:r w:rsidR="00B51DE3" w:rsidRPr="000C06D7">
        <w:rPr>
          <w:rFonts w:ascii="Times New Roman" w:hAnsi="Times New Roman"/>
        </w:rPr>
        <w:t>a service provided by means of a facility</w:t>
      </w:r>
      <w:r w:rsidR="00712DE1" w:rsidRPr="000C06D7">
        <w:rPr>
          <w:rFonts w:ascii="Times New Roman" w:hAnsi="Times New Roman"/>
        </w:rPr>
        <w:t xml:space="preserve">. The </w:t>
      </w:r>
      <w:r w:rsidR="00332CC1" w:rsidRPr="000C06D7">
        <w:rPr>
          <w:rFonts w:ascii="Times New Roman" w:hAnsi="Times New Roman"/>
        </w:rPr>
        <w:t xml:space="preserve">regulatory </w:t>
      </w:r>
      <w:r w:rsidR="00712DE1" w:rsidRPr="000C06D7">
        <w:rPr>
          <w:rFonts w:ascii="Times New Roman" w:hAnsi="Times New Roman"/>
        </w:rPr>
        <w:t>process</w:t>
      </w:r>
      <w:r w:rsidR="00594198" w:rsidRPr="000C06D7">
        <w:rPr>
          <w:rFonts w:ascii="Times New Roman" w:hAnsi="Times New Roman"/>
        </w:rPr>
        <w:t xml:space="preserve"> involves</w:t>
      </w:r>
      <w:r w:rsidR="00FF212E" w:rsidRPr="000C06D7">
        <w:rPr>
          <w:rFonts w:ascii="Times New Roman" w:hAnsi="Times New Roman"/>
        </w:rPr>
        <w:t xml:space="preserve"> two distinct stages. </w:t>
      </w:r>
    </w:p>
    <w:p w14:paraId="26562BAE" w14:textId="270A974A" w:rsidR="002A6AB2" w:rsidRPr="000C06D7" w:rsidRDefault="00EB7065"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BA33EE" w:rsidRPr="000C06D7">
        <w:rPr>
          <w:rFonts w:ascii="Times New Roman" w:hAnsi="Times New Roman"/>
        </w:rPr>
        <w:t>T</w:t>
      </w:r>
      <w:r w:rsidR="00E23CB1" w:rsidRPr="000C06D7">
        <w:rPr>
          <w:rFonts w:ascii="Times New Roman" w:hAnsi="Times New Roman"/>
        </w:rPr>
        <w:t xml:space="preserve">he </w:t>
      </w:r>
      <w:r w:rsidR="004B6B6C" w:rsidRPr="000C06D7">
        <w:rPr>
          <w:rFonts w:ascii="Times New Roman" w:hAnsi="Times New Roman"/>
        </w:rPr>
        <w:t>first stage</w:t>
      </w:r>
      <w:r w:rsidR="00D6104D" w:rsidRPr="000C06D7">
        <w:rPr>
          <w:rFonts w:ascii="Times New Roman" w:hAnsi="Times New Roman"/>
        </w:rPr>
        <w:t xml:space="preserve"> of the process </w:t>
      </w:r>
      <w:r w:rsidR="00125A00" w:rsidRPr="000C06D7">
        <w:rPr>
          <w:rFonts w:ascii="Times New Roman" w:hAnsi="Times New Roman"/>
        </w:rPr>
        <w:t>involves</w:t>
      </w:r>
      <w:r w:rsidR="006434AD" w:rsidRPr="000C06D7">
        <w:rPr>
          <w:rFonts w:ascii="Times New Roman" w:hAnsi="Times New Roman"/>
        </w:rPr>
        <w:t xml:space="preserve"> the declaration of a service for the purpose of the </w:t>
      </w:r>
      <w:r w:rsidR="00350549" w:rsidRPr="000C06D7">
        <w:rPr>
          <w:rFonts w:ascii="Times New Roman" w:hAnsi="Times New Roman"/>
        </w:rPr>
        <w:t xml:space="preserve">Part. </w:t>
      </w:r>
      <w:r w:rsidR="00C048A0" w:rsidRPr="000C06D7">
        <w:rPr>
          <w:rFonts w:ascii="Times New Roman" w:hAnsi="Times New Roman"/>
        </w:rPr>
        <w:t xml:space="preserve">Division </w:t>
      </w:r>
      <w:r w:rsidR="00D6104D" w:rsidRPr="000C06D7">
        <w:rPr>
          <w:rFonts w:ascii="Times New Roman" w:hAnsi="Times New Roman"/>
        </w:rPr>
        <w:t xml:space="preserve">2 </w:t>
      </w:r>
      <w:r w:rsidR="00C048A0" w:rsidRPr="000C06D7">
        <w:rPr>
          <w:rFonts w:ascii="Times New Roman" w:hAnsi="Times New Roman"/>
        </w:rPr>
        <w:t>allows a</w:t>
      </w:r>
      <w:r w:rsidR="002F6F8B" w:rsidRPr="000C06D7">
        <w:rPr>
          <w:rFonts w:ascii="Times New Roman" w:hAnsi="Times New Roman"/>
        </w:rPr>
        <w:t xml:space="preserve">ny person </w:t>
      </w:r>
      <w:r w:rsidR="00C048A0" w:rsidRPr="000C06D7">
        <w:rPr>
          <w:rFonts w:ascii="Times New Roman" w:hAnsi="Times New Roman"/>
        </w:rPr>
        <w:t>to</w:t>
      </w:r>
      <w:r w:rsidR="002F6F8B" w:rsidRPr="000C06D7">
        <w:rPr>
          <w:rFonts w:ascii="Times New Roman" w:hAnsi="Times New Roman"/>
        </w:rPr>
        <w:t xml:space="preserve"> </w:t>
      </w:r>
      <w:r w:rsidR="00DA1A30" w:rsidRPr="000C06D7">
        <w:rPr>
          <w:rFonts w:ascii="Times New Roman" w:hAnsi="Times New Roman"/>
        </w:rPr>
        <w:t>a</w:t>
      </w:r>
      <w:r w:rsidR="00B5777D" w:rsidRPr="000C06D7">
        <w:rPr>
          <w:rFonts w:ascii="Times New Roman" w:hAnsi="Times New Roman"/>
        </w:rPr>
        <w:t>sk</w:t>
      </w:r>
      <w:r w:rsidR="00DA1A30" w:rsidRPr="000C06D7">
        <w:rPr>
          <w:rFonts w:ascii="Times New Roman" w:hAnsi="Times New Roman"/>
        </w:rPr>
        <w:t xml:space="preserve"> the National Competition Council </w:t>
      </w:r>
      <w:r w:rsidRPr="000C06D7">
        <w:rPr>
          <w:rFonts w:ascii="Times New Roman" w:hAnsi="Times New Roman"/>
        </w:rPr>
        <w:t xml:space="preserve">("the NCC") </w:t>
      </w:r>
      <w:r w:rsidR="00755F8B" w:rsidRPr="000C06D7">
        <w:rPr>
          <w:rFonts w:ascii="Times New Roman" w:hAnsi="Times New Roman"/>
        </w:rPr>
        <w:t xml:space="preserve">to recommend that a particular service </w:t>
      </w:r>
      <w:r w:rsidR="00784205" w:rsidRPr="000C06D7">
        <w:rPr>
          <w:rFonts w:ascii="Times New Roman" w:hAnsi="Times New Roman"/>
        </w:rPr>
        <w:t xml:space="preserve">be </w:t>
      </w:r>
      <w:r w:rsidR="00E34619" w:rsidRPr="000C06D7">
        <w:rPr>
          <w:rFonts w:ascii="Times New Roman" w:hAnsi="Times New Roman"/>
        </w:rPr>
        <w:t>declared</w:t>
      </w:r>
      <w:r w:rsidR="00433866" w:rsidRPr="000C06D7">
        <w:rPr>
          <w:rStyle w:val="FootnoteReference"/>
          <w:rFonts w:ascii="Times New Roman" w:hAnsi="Times New Roman"/>
          <w:sz w:val="24"/>
        </w:rPr>
        <w:footnoteReference w:id="26"/>
      </w:r>
      <w:r w:rsidR="00784205" w:rsidRPr="000C06D7">
        <w:rPr>
          <w:rFonts w:ascii="Times New Roman" w:hAnsi="Times New Roman"/>
        </w:rPr>
        <w:t xml:space="preserve">. </w:t>
      </w:r>
      <w:r w:rsidR="00433866" w:rsidRPr="000C06D7">
        <w:rPr>
          <w:rFonts w:ascii="Times New Roman" w:hAnsi="Times New Roman"/>
        </w:rPr>
        <w:t xml:space="preserve">Following </w:t>
      </w:r>
      <w:r w:rsidR="00126B82" w:rsidRPr="000C06D7">
        <w:rPr>
          <w:rFonts w:ascii="Times New Roman" w:hAnsi="Times New Roman"/>
        </w:rPr>
        <w:t xml:space="preserve">consideration </w:t>
      </w:r>
      <w:r w:rsidR="00900943" w:rsidRPr="000C06D7">
        <w:rPr>
          <w:rFonts w:ascii="Times New Roman" w:hAnsi="Times New Roman"/>
        </w:rPr>
        <w:t xml:space="preserve">of the request </w:t>
      </w:r>
      <w:r w:rsidR="008845F4" w:rsidRPr="000C06D7">
        <w:rPr>
          <w:rFonts w:ascii="Times New Roman" w:hAnsi="Times New Roman"/>
        </w:rPr>
        <w:t xml:space="preserve">by the </w:t>
      </w:r>
      <w:r w:rsidRPr="000C06D7">
        <w:rPr>
          <w:rFonts w:ascii="Times New Roman" w:hAnsi="Times New Roman"/>
        </w:rPr>
        <w:t>NCC</w:t>
      </w:r>
      <w:r w:rsidR="00126B82" w:rsidRPr="000C06D7">
        <w:rPr>
          <w:rFonts w:ascii="Times New Roman" w:hAnsi="Times New Roman"/>
        </w:rPr>
        <w:t xml:space="preserve"> and the making </w:t>
      </w:r>
      <w:r w:rsidR="008845F4" w:rsidRPr="000C06D7">
        <w:rPr>
          <w:rFonts w:ascii="Times New Roman" w:hAnsi="Times New Roman"/>
        </w:rPr>
        <w:t xml:space="preserve">by the </w:t>
      </w:r>
      <w:r w:rsidRPr="000C06D7">
        <w:rPr>
          <w:rFonts w:ascii="Times New Roman" w:hAnsi="Times New Roman"/>
        </w:rPr>
        <w:t xml:space="preserve">NCC </w:t>
      </w:r>
      <w:r w:rsidR="00126B82" w:rsidRPr="000C06D7">
        <w:rPr>
          <w:rFonts w:ascii="Times New Roman" w:hAnsi="Times New Roman"/>
        </w:rPr>
        <w:t>of</w:t>
      </w:r>
      <w:r w:rsidR="00433866" w:rsidRPr="000C06D7">
        <w:rPr>
          <w:rFonts w:ascii="Times New Roman" w:hAnsi="Times New Roman"/>
        </w:rPr>
        <w:t xml:space="preserve"> a recommendation</w:t>
      </w:r>
      <w:r w:rsidR="001F6C8C" w:rsidRPr="000C06D7">
        <w:rPr>
          <w:rFonts w:ascii="Times New Roman" w:hAnsi="Times New Roman"/>
        </w:rPr>
        <w:t>,</w:t>
      </w:r>
      <w:r w:rsidR="00433866" w:rsidRPr="000C06D7">
        <w:rPr>
          <w:rFonts w:ascii="Times New Roman" w:hAnsi="Times New Roman"/>
        </w:rPr>
        <w:t xml:space="preserve"> </w:t>
      </w:r>
      <w:r w:rsidR="000F63D7" w:rsidRPr="000C06D7">
        <w:rPr>
          <w:rFonts w:ascii="Times New Roman" w:hAnsi="Times New Roman"/>
        </w:rPr>
        <w:t>one way or the other</w:t>
      </w:r>
      <w:r w:rsidR="003B3320" w:rsidRPr="000C06D7">
        <w:rPr>
          <w:rFonts w:ascii="Times New Roman" w:hAnsi="Times New Roman"/>
        </w:rPr>
        <w:t xml:space="preserve">, </w:t>
      </w:r>
      <w:r w:rsidR="00AD393D" w:rsidRPr="000C06D7">
        <w:rPr>
          <w:rFonts w:ascii="Times New Roman" w:hAnsi="Times New Roman"/>
        </w:rPr>
        <w:t>the</w:t>
      </w:r>
      <w:r w:rsidR="00700678" w:rsidRPr="000C06D7">
        <w:rPr>
          <w:rFonts w:ascii="Times New Roman" w:hAnsi="Times New Roman"/>
        </w:rPr>
        <w:t xml:space="preserve"> </w:t>
      </w:r>
      <w:r w:rsidR="005A40EC" w:rsidRPr="000C06D7">
        <w:rPr>
          <w:rFonts w:ascii="Times New Roman" w:hAnsi="Times New Roman"/>
        </w:rPr>
        <w:t>"</w:t>
      </w:r>
      <w:r w:rsidR="00B41485" w:rsidRPr="000C06D7">
        <w:rPr>
          <w:rFonts w:ascii="Times New Roman" w:hAnsi="Times New Roman"/>
        </w:rPr>
        <w:t>designated</w:t>
      </w:r>
      <w:r w:rsidR="003B3320" w:rsidRPr="000C06D7">
        <w:rPr>
          <w:rFonts w:ascii="Times New Roman" w:hAnsi="Times New Roman"/>
        </w:rPr>
        <w:t xml:space="preserve"> Minister</w:t>
      </w:r>
      <w:r w:rsidR="005A40EC" w:rsidRPr="000C06D7">
        <w:rPr>
          <w:rFonts w:ascii="Times New Roman" w:hAnsi="Times New Roman"/>
        </w:rPr>
        <w:t xml:space="preserve">", who might be a Minister </w:t>
      </w:r>
      <w:r w:rsidR="003B3320" w:rsidRPr="000C06D7">
        <w:rPr>
          <w:rFonts w:ascii="Times New Roman" w:hAnsi="Times New Roman"/>
        </w:rPr>
        <w:t xml:space="preserve">of the Commonwealth </w:t>
      </w:r>
      <w:r w:rsidR="00AD7F08" w:rsidRPr="000C06D7">
        <w:rPr>
          <w:rFonts w:ascii="Times New Roman" w:hAnsi="Times New Roman"/>
        </w:rPr>
        <w:t>or of a State or Territory</w:t>
      </w:r>
      <w:r w:rsidR="005A40EC" w:rsidRPr="000C06D7">
        <w:rPr>
          <w:rStyle w:val="FootnoteReference"/>
          <w:rFonts w:ascii="Times New Roman" w:hAnsi="Times New Roman"/>
          <w:sz w:val="24"/>
        </w:rPr>
        <w:footnoteReference w:id="27"/>
      </w:r>
      <w:r w:rsidR="005A40EC" w:rsidRPr="000C06D7">
        <w:rPr>
          <w:rFonts w:ascii="Times New Roman" w:hAnsi="Times New Roman"/>
        </w:rPr>
        <w:t xml:space="preserve">, </w:t>
      </w:r>
      <w:r w:rsidR="00DA6C1E" w:rsidRPr="000C06D7">
        <w:rPr>
          <w:rFonts w:ascii="Times New Roman" w:hAnsi="Times New Roman"/>
        </w:rPr>
        <w:t xml:space="preserve">is obliged to </w:t>
      </w:r>
      <w:r w:rsidR="0014346D" w:rsidRPr="000C06D7">
        <w:rPr>
          <w:rFonts w:ascii="Times New Roman" w:hAnsi="Times New Roman"/>
        </w:rPr>
        <w:t xml:space="preserve">declare </w:t>
      </w:r>
      <w:r w:rsidR="0014346D" w:rsidRPr="000C06D7">
        <w:rPr>
          <w:rFonts w:ascii="Times New Roman" w:hAnsi="Times New Roman"/>
        </w:rPr>
        <w:lastRenderedPageBreak/>
        <w:t xml:space="preserve">or </w:t>
      </w:r>
      <w:r w:rsidR="00A41A8C" w:rsidRPr="000C06D7">
        <w:rPr>
          <w:rFonts w:ascii="Times New Roman" w:hAnsi="Times New Roman"/>
        </w:rPr>
        <w:t>decide</w:t>
      </w:r>
      <w:r w:rsidR="00F0224B" w:rsidRPr="000C06D7">
        <w:rPr>
          <w:rFonts w:ascii="Times New Roman" w:hAnsi="Times New Roman"/>
        </w:rPr>
        <w:t xml:space="preserve"> </w:t>
      </w:r>
      <w:r w:rsidR="00E60C73" w:rsidRPr="000C06D7">
        <w:rPr>
          <w:rFonts w:ascii="Times New Roman" w:hAnsi="Times New Roman"/>
        </w:rPr>
        <w:t xml:space="preserve">not to declare </w:t>
      </w:r>
      <w:r w:rsidR="00832DE6" w:rsidRPr="000C06D7">
        <w:rPr>
          <w:rFonts w:ascii="Times New Roman" w:hAnsi="Times New Roman"/>
        </w:rPr>
        <w:t>the service</w:t>
      </w:r>
      <w:r w:rsidR="00F0224B" w:rsidRPr="000C06D7">
        <w:rPr>
          <w:rStyle w:val="FootnoteReference"/>
          <w:rFonts w:ascii="Times New Roman" w:hAnsi="Times New Roman"/>
          <w:sz w:val="24"/>
        </w:rPr>
        <w:footnoteReference w:id="28"/>
      </w:r>
      <w:r w:rsidR="00E60C73" w:rsidRPr="000C06D7">
        <w:rPr>
          <w:rFonts w:ascii="Times New Roman" w:hAnsi="Times New Roman"/>
        </w:rPr>
        <w:t xml:space="preserve">. </w:t>
      </w:r>
      <w:r w:rsidR="00D61102" w:rsidRPr="000C06D7">
        <w:rPr>
          <w:rFonts w:ascii="Times New Roman" w:hAnsi="Times New Roman"/>
        </w:rPr>
        <w:t xml:space="preserve">The decision of the </w:t>
      </w:r>
      <w:r w:rsidR="00832DE6" w:rsidRPr="000C06D7">
        <w:rPr>
          <w:rFonts w:ascii="Times New Roman" w:hAnsi="Times New Roman"/>
        </w:rPr>
        <w:t xml:space="preserve">designated </w:t>
      </w:r>
      <w:r w:rsidR="00D61102" w:rsidRPr="000C06D7">
        <w:rPr>
          <w:rFonts w:ascii="Times New Roman" w:hAnsi="Times New Roman"/>
        </w:rPr>
        <w:t>Minister</w:t>
      </w:r>
      <w:r w:rsidR="001F6C8C" w:rsidRPr="000C06D7">
        <w:rPr>
          <w:rFonts w:ascii="Times New Roman" w:hAnsi="Times New Roman"/>
        </w:rPr>
        <w:t xml:space="preserve">, </w:t>
      </w:r>
      <w:r w:rsidR="00D61102" w:rsidRPr="000C06D7">
        <w:rPr>
          <w:rFonts w:ascii="Times New Roman" w:hAnsi="Times New Roman"/>
        </w:rPr>
        <w:t>either way</w:t>
      </w:r>
      <w:r w:rsidR="001F6C8C" w:rsidRPr="000C06D7">
        <w:rPr>
          <w:rFonts w:ascii="Times New Roman" w:hAnsi="Times New Roman"/>
        </w:rPr>
        <w:t xml:space="preserve">, </w:t>
      </w:r>
      <w:r w:rsidR="00D61102" w:rsidRPr="000C06D7">
        <w:rPr>
          <w:rFonts w:ascii="Times New Roman" w:hAnsi="Times New Roman"/>
        </w:rPr>
        <w:t xml:space="preserve">is subject to </w:t>
      </w:r>
      <w:r w:rsidR="00FA4CB0" w:rsidRPr="000C06D7">
        <w:rPr>
          <w:rFonts w:ascii="Times New Roman" w:hAnsi="Times New Roman"/>
        </w:rPr>
        <w:t xml:space="preserve">merits </w:t>
      </w:r>
      <w:r w:rsidR="00997A87" w:rsidRPr="000C06D7">
        <w:rPr>
          <w:rFonts w:ascii="Times New Roman" w:hAnsi="Times New Roman"/>
        </w:rPr>
        <w:t xml:space="preserve">review by the </w:t>
      </w:r>
      <w:r w:rsidR="00FA4CB0" w:rsidRPr="000C06D7">
        <w:rPr>
          <w:rFonts w:ascii="Times New Roman" w:hAnsi="Times New Roman"/>
        </w:rPr>
        <w:t>Tribunal</w:t>
      </w:r>
      <w:r w:rsidR="00FA4CB0" w:rsidRPr="000C06D7">
        <w:rPr>
          <w:rStyle w:val="FootnoteReference"/>
          <w:rFonts w:ascii="Times New Roman" w:hAnsi="Times New Roman"/>
          <w:sz w:val="24"/>
        </w:rPr>
        <w:footnoteReference w:id="29"/>
      </w:r>
      <w:r w:rsidR="00FA4CB0" w:rsidRPr="000C06D7">
        <w:rPr>
          <w:rFonts w:ascii="Times New Roman" w:hAnsi="Times New Roman"/>
        </w:rPr>
        <w:t>.</w:t>
      </w:r>
      <w:r w:rsidR="007A2073" w:rsidRPr="000C06D7">
        <w:rPr>
          <w:rFonts w:ascii="Times New Roman" w:hAnsi="Times New Roman"/>
        </w:rPr>
        <w:t xml:space="preserve"> </w:t>
      </w:r>
    </w:p>
    <w:p w14:paraId="4343EAE1" w14:textId="200483E0" w:rsidR="00344C67" w:rsidRPr="000C06D7" w:rsidRDefault="002A6AB2"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1A2D70" w:rsidRPr="000C06D7">
        <w:rPr>
          <w:rFonts w:ascii="Times New Roman" w:hAnsi="Times New Roman"/>
        </w:rPr>
        <w:t>The</w:t>
      </w:r>
      <w:r w:rsidR="009009DD" w:rsidRPr="000C06D7">
        <w:rPr>
          <w:rFonts w:ascii="Times New Roman" w:hAnsi="Times New Roman"/>
        </w:rPr>
        <w:t xml:space="preserve"> declaration of a service, if</w:t>
      </w:r>
      <w:r w:rsidR="007A2073" w:rsidRPr="000C06D7">
        <w:rPr>
          <w:rFonts w:ascii="Times New Roman" w:hAnsi="Times New Roman"/>
        </w:rPr>
        <w:t xml:space="preserve"> made </w:t>
      </w:r>
      <w:r w:rsidR="00700678" w:rsidRPr="000C06D7">
        <w:rPr>
          <w:rFonts w:ascii="Times New Roman" w:hAnsi="Times New Roman"/>
        </w:rPr>
        <w:t xml:space="preserve">by the </w:t>
      </w:r>
      <w:r w:rsidR="00035CA5" w:rsidRPr="000C06D7">
        <w:rPr>
          <w:rFonts w:ascii="Times New Roman" w:hAnsi="Times New Roman"/>
        </w:rPr>
        <w:t xml:space="preserve">designated </w:t>
      </w:r>
      <w:r w:rsidR="00700678" w:rsidRPr="000C06D7">
        <w:rPr>
          <w:rFonts w:ascii="Times New Roman" w:hAnsi="Times New Roman"/>
        </w:rPr>
        <w:t xml:space="preserve">Minister or </w:t>
      </w:r>
      <w:r w:rsidR="00B33B30" w:rsidRPr="000C06D7">
        <w:rPr>
          <w:rFonts w:ascii="Times New Roman" w:hAnsi="Times New Roman"/>
        </w:rPr>
        <w:t>by the Tribunal on review</w:t>
      </w:r>
      <w:r w:rsidR="00700678" w:rsidRPr="000C06D7">
        <w:rPr>
          <w:rFonts w:ascii="Times New Roman" w:hAnsi="Times New Roman"/>
        </w:rPr>
        <w:t xml:space="preserve">, </w:t>
      </w:r>
      <w:r w:rsidR="00985880" w:rsidRPr="000C06D7">
        <w:rPr>
          <w:rFonts w:ascii="Times New Roman" w:hAnsi="Times New Roman"/>
        </w:rPr>
        <w:t>must be published</w:t>
      </w:r>
      <w:r w:rsidR="00A524D2" w:rsidRPr="000C06D7">
        <w:rPr>
          <w:rStyle w:val="FootnoteReference"/>
          <w:rFonts w:ascii="Times New Roman" w:hAnsi="Times New Roman"/>
          <w:sz w:val="24"/>
        </w:rPr>
        <w:footnoteReference w:id="30"/>
      </w:r>
      <w:r w:rsidR="00A524D2" w:rsidRPr="000C06D7">
        <w:rPr>
          <w:rFonts w:ascii="Times New Roman" w:hAnsi="Times New Roman"/>
        </w:rPr>
        <w:t xml:space="preserve"> </w:t>
      </w:r>
      <w:r w:rsidR="00985880" w:rsidRPr="000C06D7">
        <w:rPr>
          <w:rFonts w:ascii="Times New Roman" w:hAnsi="Times New Roman"/>
        </w:rPr>
        <w:t>and</w:t>
      </w:r>
      <w:r w:rsidR="00DF2AEA" w:rsidRPr="000C06D7">
        <w:rPr>
          <w:rFonts w:ascii="Times New Roman" w:hAnsi="Times New Roman"/>
        </w:rPr>
        <w:t xml:space="preserve"> must be included </w:t>
      </w:r>
      <w:r w:rsidR="0022426B" w:rsidRPr="000C06D7">
        <w:rPr>
          <w:rFonts w:ascii="Times New Roman" w:hAnsi="Times New Roman"/>
        </w:rPr>
        <w:t xml:space="preserve">in a public register maintained by the </w:t>
      </w:r>
      <w:r w:rsidR="00D72260" w:rsidRPr="000C06D7">
        <w:rPr>
          <w:rFonts w:ascii="Times New Roman" w:hAnsi="Times New Roman"/>
        </w:rPr>
        <w:t>ACCC</w:t>
      </w:r>
      <w:r w:rsidR="0022426B" w:rsidRPr="000C06D7">
        <w:rPr>
          <w:rStyle w:val="FootnoteReference"/>
          <w:rFonts w:ascii="Times New Roman" w:hAnsi="Times New Roman"/>
          <w:sz w:val="24"/>
        </w:rPr>
        <w:footnoteReference w:id="31"/>
      </w:r>
      <w:r w:rsidR="0022426B" w:rsidRPr="000C06D7">
        <w:rPr>
          <w:rFonts w:ascii="Times New Roman" w:hAnsi="Times New Roman"/>
        </w:rPr>
        <w:t>.</w:t>
      </w:r>
      <w:r w:rsidR="00CA4F20" w:rsidRPr="000C06D7">
        <w:rPr>
          <w:rFonts w:ascii="Times New Roman" w:hAnsi="Times New Roman"/>
        </w:rPr>
        <w:t xml:space="preserve"> The declaration</w:t>
      </w:r>
      <w:r w:rsidR="00554650" w:rsidRPr="000C06D7">
        <w:rPr>
          <w:rFonts w:ascii="Times New Roman" w:hAnsi="Times New Roman"/>
        </w:rPr>
        <w:t>,</w:t>
      </w:r>
      <w:r w:rsidR="00CA4F20" w:rsidRPr="000C06D7">
        <w:rPr>
          <w:rFonts w:ascii="Times New Roman" w:hAnsi="Times New Roman"/>
        </w:rPr>
        <w:t xml:space="preserve"> </w:t>
      </w:r>
      <w:r w:rsidR="00BC22D4" w:rsidRPr="000C06D7">
        <w:rPr>
          <w:rFonts w:ascii="Times New Roman" w:hAnsi="Times New Roman"/>
        </w:rPr>
        <w:t>once made</w:t>
      </w:r>
      <w:r w:rsidR="00EC2DF4" w:rsidRPr="000C06D7">
        <w:rPr>
          <w:rFonts w:ascii="Times New Roman" w:hAnsi="Times New Roman"/>
        </w:rPr>
        <w:t>,</w:t>
      </w:r>
      <w:r w:rsidR="00BC22D4" w:rsidRPr="000C06D7">
        <w:rPr>
          <w:rFonts w:ascii="Times New Roman" w:hAnsi="Times New Roman"/>
        </w:rPr>
        <w:t xml:space="preserve"> </w:t>
      </w:r>
      <w:r w:rsidR="00CA4F20" w:rsidRPr="000C06D7">
        <w:rPr>
          <w:rFonts w:ascii="Times New Roman" w:hAnsi="Times New Roman"/>
        </w:rPr>
        <w:t xml:space="preserve">operates </w:t>
      </w:r>
      <w:r w:rsidR="000305DF" w:rsidRPr="000C06D7">
        <w:rPr>
          <w:rFonts w:ascii="Times New Roman" w:hAnsi="Times New Roman"/>
        </w:rPr>
        <w:t xml:space="preserve">prospectively </w:t>
      </w:r>
      <w:r w:rsidR="00CA4F20" w:rsidRPr="000C06D7">
        <w:rPr>
          <w:rFonts w:ascii="Times New Roman" w:hAnsi="Times New Roman"/>
        </w:rPr>
        <w:t>for such period as is specified in the declaration</w:t>
      </w:r>
      <w:r w:rsidR="00CA4F20" w:rsidRPr="000C06D7">
        <w:rPr>
          <w:rStyle w:val="FootnoteReference"/>
          <w:rFonts w:ascii="Times New Roman" w:hAnsi="Times New Roman"/>
          <w:sz w:val="24"/>
        </w:rPr>
        <w:footnoteReference w:id="32"/>
      </w:r>
      <w:r w:rsidR="00CA4F20" w:rsidRPr="000C06D7">
        <w:rPr>
          <w:rFonts w:ascii="Times New Roman" w:hAnsi="Times New Roman"/>
        </w:rPr>
        <w:t xml:space="preserve"> unless earlier revoked</w:t>
      </w:r>
      <w:r w:rsidR="00CA4F20" w:rsidRPr="000C06D7">
        <w:rPr>
          <w:rStyle w:val="FootnoteReference"/>
          <w:rFonts w:ascii="Times New Roman" w:hAnsi="Times New Roman"/>
          <w:sz w:val="24"/>
        </w:rPr>
        <w:footnoteReference w:id="33"/>
      </w:r>
      <w:r w:rsidR="00CA4F20" w:rsidRPr="000C06D7">
        <w:rPr>
          <w:rFonts w:ascii="Times New Roman" w:hAnsi="Times New Roman"/>
        </w:rPr>
        <w:t xml:space="preserve">. </w:t>
      </w:r>
    </w:p>
    <w:p w14:paraId="1D27BC94" w14:textId="6843F21A" w:rsidR="00806510" w:rsidRPr="000C06D7" w:rsidRDefault="008537EB"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2F0042" w:rsidRPr="000C06D7">
        <w:rPr>
          <w:rFonts w:ascii="Times New Roman" w:hAnsi="Times New Roman"/>
        </w:rPr>
        <w:t>T</w:t>
      </w:r>
      <w:r w:rsidR="00243A70" w:rsidRPr="000C06D7">
        <w:rPr>
          <w:rFonts w:ascii="Times New Roman" w:hAnsi="Times New Roman"/>
        </w:rPr>
        <w:t>he</w:t>
      </w:r>
      <w:r w:rsidR="00DD1AD3" w:rsidRPr="000C06D7">
        <w:rPr>
          <w:rFonts w:ascii="Times New Roman" w:hAnsi="Times New Roman"/>
        </w:rPr>
        <w:t xml:space="preserve"> criteri</w:t>
      </w:r>
      <w:r w:rsidR="00243A70" w:rsidRPr="000C06D7">
        <w:rPr>
          <w:rFonts w:ascii="Times New Roman" w:hAnsi="Times New Roman"/>
        </w:rPr>
        <w:t>a</w:t>
      </w:r>
      <w:r w:rsidR="00DD1AD3" w:rsidRPr="000C06D7">
        <w:rPr>
          <w:rFonts w:ascii="Times New Roman" w:hAnsi="Times New Roman"/>
        </w:rPr>
        <w:t xml:space="preserve"> </w:t>
      </w:r>
      <w:r w:rsidR="003470B8" w:rsidRPr="000C06D7">
        <w:rPr>
          <w:rFonts w:ascii="Times New Roman" w:hAnsi="Times New Roman"/>
        </w:rPr>
        <w:t>governing the decision of</w:t>
      </w:r>
      <w:r w:rsidR="004F09F2" w:rsidRPr="000C06D7">
        <w:rPr>
          <w:rFonts w:ascii="Times New Roman" w:hAnsi="Times New Roman"/>
        </w:rPr>
        <w:t xml:space="preserve"> </w:t>
      </w:r>
      <w:r w:rsidR="00DA1B2D" w:rsidRPr="000C06D7">
        <w:rPr>
          <w:rFonts w:ascii="Times New Roman" w:hAnsi="Times New Roman"/>
        </w:rPr>
        <w:t xml:space="preserve">the </w:t>
      </w:r>
      <w:r w:rsidR="00152276" w:rsidRPr="000C06D7">
        <w:rPr>
          <w:rFonts w:ascii="Times New Roman" w:hAnsi="Times New Roman"/>
        </w:rPr>
        <w:t xml:space="preserve">designated </w:t>
      </w:r>
      <w:r w:rsidR="00DA1B2D" w:rsidRPr="000C06D7">
        <w:rPr>
          <w:rFonts w:ascii="Times New Roman" w:hAnsi="Times New Roman"/>
        </w:rPr>
        <w:t>Minister</w:t>
      </w:r>
      <w:r w:rsidR="00227F0F" w:rsidRPr="000C06D7">
        <w:rPr>
          <w:rFonts w:ascii="Times New Roman" w:hAnsi="Times New Roman"/>
        </w:rPr>
        <w:t xml:space="preserve"> </w:t>
      </w:r>
      <w:r w:rsidR="00DA1B2D" w:rsidRPr="000C06D7">
        <w:rPr>
          <w:rFonts w:ascii="Times New Roman" w:hAnsi="Times New Roman"/>
        </w:rPr>
        <w:t>or</w:t>
      </w:r>
      <w:r w:rsidR="00227F0F" w:rsidRPr="000C06D7">
        <w:rPr>
          <w:rFonts w:ascii="Times New Roman" w:hAnsi="Times New Roman"/>
        </w:rPr>
        <w:t xml:space="preserve"> </w:t>
      </w:r>
      <w:r w:rsidR="007811CB" w:rsidRPr="000C06D7">
        <w:rPr>
          <w:rFonts w:ascii="Times New Roman" w:hAnsi="Times New Roman"/>
        </w:rPr>
        <w:t xml:space="preserve">of </w:t>
      </w:r>
      <w:r w:rsidR="00DA1B2D" w:rsidRPr="000C06D7">
        <w:rPr>
          <w:rFonts w:ascii="Times New Roman" w:hAnsi="Times New Roman"/>
        </w:rPr>
        <w:t xml:space="preserve">the Tribunal </w:t>
      </w:r>
      <w:r w:rsidR="00227F0F" w:rsidRPr="000C06D7">
        <w:rPr>
          <w:rFonts w:ascii="Times New Roman" w:hAnsi="Times New Roman"/>
        </w:rPr>
        <w:t>on review,</w:t>
      </w:r>
      <w:r w:rsidR="004D5ED8" w:rsidRPr="000C06D7">
        <w:rPr>
          <w:rFonts w:ascii="Times New Roman" w:hAnsi="Times New Roman"/>
        </w:rPr>
        <w:t xml:space="preserve"> </w:t>
      </w:r>
      <w:r w:rsidR="00074742" w:rsidRPr="000C06D7">
        <w:rPr>
          <w:rFonts w:ascii="Times New Roman" w:hAnsi="Times New Roman"/>
        </w:rPr>
        <w:t>to</w:t>
      </w:r>
      <w:r w:rsidR="00377CD3" w:rsidRPr="000C06D7">
        <w:rPr>
          <w:rFonts w:ascii="Times New Roman" w:hAnsi="Times New Roman"/>
        </w:rPr>
        <w:t xml:space="preserve"> </w:t>
      </w:r>
      <w:r w:rsidR="00074742" w:rsidRPr="000C06D7">
        <w:rPr>
          <w:rFonts w:ascii="Times New Roman" w:hAnsi="Times New Roman"/>
        </w:rPr>
        <w:t>declar</w:t>
      </w:r>
      <w:r w:rsidR="00377CD3" w:rsidRPr="000C06D7">
        <w:rPr>
          <w:rFonts w:ascii="Times New Roman" w:hAnsi="Times New Roman"/>
        </w:rPr>
        <w:t xml:space="preserve">e </w:t>
      </w:r>
      <w:r w:rsidR="0037246D" w:rsidRPr="000C06D7">
        <w:rPr>
          <w:rFonts w:ascii="Times New Roman" w:hAnsi="Times New Roman"/>
        </w:rPr>
        <w:t>or not to</w:t>
      </w:r>
      <w:r w:rsidR="00CD1350" w:rsidRPr="000C06D7">
        <w:rPr>
          <w:rFonts w:ascii="Times New Roman" w:hAnsi="Times New Roman"/>
        </w:rPr>
        <w:t xml:space="preserve"> declare </w:t>
      </w:r>
      <w:r w:rsidR="00377CD3" w:rsidRPr="000C06D7">
        <w:rPr>
          <w:rFonts w:ascii="Times New Roman" w:hAnsi="Times New Roman"/>
        </w:rPr>
        <w:t>a service</w:t>
      </w:r>
      <w:r w:rsidR="00C60AAD" w:rsidRPr="000C06D7">
        <w:rPr>
          <w:rFonts w:ascii="Times New Roman" w:hAnsi="Times New Roman"/>
        </w:rPr>
        <w:t xml:space="preserve">, </w:t>
      </w:r>
      <w:r w:rsidR="00261EC4" w:rsidRPr="000C06D7">
        <w:rPr>
          <w:rFonts w:ascii="Times New Roman" w:hAnsi="Times New Roman"/>
        </w:rPr>
        <w:t>have</w:t>
      </w:r>
      <w:r w:rsidR="009B54DD" w:rsidRPr="000C06D7">
        <w:rPr>
          <w:rFonts w:ascii="Times New Roman" w:hAnsi="Times New Roman"/>
        </w:rPr>
        <w:t xml:space="preserve"> altered </w:t>
      </w:r>
      <w:r w:rsidR="00261EC4" w:rsidRPr="000C06D7">
        <w:rPr>
          <w:rFonts w:ascii="Times New Roman" w:hAnsi="Times New Roman"/>
        </w:rPr>
        <w:t>as a result of</w:t>
      </w:r>
      <w:r w:rsidR="00573E19" w:rsidRPr="000C06D7">
        <w:rPr>
          <w:rFonts w:ascii="Times New Roman" w:hAnsi="Times New Roman"/>
        </w:rPr>
        <w:t xml:space="preserve"> the </w:t>
      </w:r>
      <w:r w:rsidR="008870D7" w:rsidRPr="000C06D7">
        <w:rPr>
          <w:rFonts w:ascii="Times New Roman" w:hAnsi="Times New Roman"/>
        </w:rPr>
        <w:t>2017</w:t>
      </w:r>
      <w:r w:rsidR="00563792" w:rsidRPr="000C06D7">
        <w:rPr>
          <w:rFonts w:ascii="Times New Roman" w:hAnsi="Times New Roman"/>
        </w:rPr>
        <w:t xml:space="preserve"> Act</w:t>
      </w:r>
      <w:r w:rsidR="008870D7" w:rsidRPr="000C06D7">
        <w:rPr>
          <w:rFonts w:ascii="Times New Roman" w:hAnsi="Times New Roman"/>
        </w:rPr>
        <w:t>. Before th</w:t>
      </w:r>
      <w:r w:rsidR="00563792" w:rsidRPr="000C06D7">
        <w:rPr>
          <w:rFonts w:ascii="Times New Roman" w:hAnsi="Times New Roman"/>
        </w:rPr>
        <w:t>e 2017 Act</w:t>
      </w:r>
      <w:r w:rsidR="008870D7" w:rsidRPr="000C06D7">
        <w:rPr>
          <w:rFonts w:ascii="Times New Roman" w:hAnsi="Times New Roman"/>
        </w:rPr>
        <w:t xml:space="preserve">, </w:t>
      </w:r>
      <w:r w:rsidR="00782257" w:rsidRPr="000C06D7">
        <w:rPr>
          <w:rFonts w:ascii="Times New Roman" w:hAnsi="Times New Roman"/>
        </w:rPr>
        <w:t>the first of the</w:t>
      </w:r>
      <w:r w:rsidR="00A34D52" w:rsidRPr="000C06D7">
        <w:rPr>
          <w:rFonts w:ascii="Times New Roman" w:hAnsi="Times New Roman"/>
        </w:rPr>
        <w:t xml:space="preserve"> </w:t>
      </w:r>
      <w:r w:rsidR="00782257" w:rsidRPr="000C06D7">
        <w:rPr>
          <w:rFonts w:ascii="Times New Roman" w:hAnsi="Times New Roman"/>
        </w:rPr>
        <w:t>criteria</w:t>
      </w:r>
      <w:r w:rsidR="00A34D52" w:rsidRPr="000C06D7">
        <w:rPr>
          <w:rFonts w:ascii="Times New Roman" w:hAnsi="Times New Roman"/>
        </w:rPr>
        <w:t xml:space="preserve"> </w:t>
      </w:r>
      <w:r w:rsidR="00B03C4B" w:rsidRPr="000C06D7">
        <w:rPr>
          <w:rFonts w:ascii="Times New Roman" w:hAnsi="Times New Roman"/>
        </w:rPr>
        <w:t>of which the</w:t>
      </w:r>
      <w:r w:rsidR="00C33E87" w:rsidRPr="000C06D7">
        <w:rPr>
          <w:rFonts w:ascii="Times New Roman" w:hAnsi="Times New Roman"/>
        </w:rPr>
        <w:t xml:space="preserve"> designated</w:t>
      </w:r>
      <w:r w:rsidR="00B03C4B" w:rsidRPr="000C06D7">
        <w:rPr>
          <w:rFonts w:ascii="Times New Roman" w:hAnsi="Times New Roman"/>
        </w:rPr>
        <w:t xml:space="preserve"> Minister or</w:t>
      </w:r>
      <w:r w:rsidR="008A5B62" w:rsidRPr="000C06D7">
        <w:rPr>
          <w:rFonts w:ascii="Times New Roman" w:hAnsi="Times New Roman"/>
        </w:rPr>
        <w:t xml:space="preserve"> the</w:t>
      </w:r>
      <w:r w:rsidR="00B03C4B" w:rsidRPr="000C06D7">
        <w:rPr>
          <w:rFonts w:ascii="Times New Roman" w:hAnsi="Times New Roman"/>
        </w:rPr>
        <w:t xml:space="preserve"> Tribunal </w:t>
      </w:r>
      <w:r w:rsidR="00103BF7" w:rsidRPr="000C06D7">
        <w:rPr>
          <w:rFonts w:ascii="Times New Roman" w:hAnsi="Times New Roman"/>
        </w:rPr>
        <w:t xml:space="preserve">needed to be satisfied </w:t>
      </w:r>
      <w:r w:rsidR="00C33E87" w:rsidRPr="000C06D7">
        <w:rPr>
          <w:rFonts w:ascii="Times New Roman" w:hAnsi="Times New Roman"/>
        </w:rPr>
        <w:t xml:space="preserve">in order </w:t>
      </w:r>
      <w:r w:rsidR="00D37248" w:rsidRPr="000C06D7">
        <w:rPr>
          <w:rFonts w:ascii="Times New Roman" w:hAnsi="Times New Roman"/>
        </w:rPr>
        <w:t xml:space="preserve">to declare a service </w:t>
      </w:r>
      <w:r w:rsidR="00B3100F" w:rsidRPr="000C06D7">
        <w:rPr>
          <w:rFonts w:ascii="Times New Roman" w:hAnsi="Times New Roman"/>
        </w:rPr>
        <w:t>–</w:t>
      </w:r>
      <w:r w:rsidR="00761A74" w:rsidRPr="000C06D7">
        <w:rPr>
          <w:rFonts w:ascii="Times New Roman" w:hAnsi="Times New Roman"/>
        </w:rPr>
        <w:t xml:space="preserve"> </w:t>
      </w:r>
      <w:r w:rsidR="00D77B7F" w:rsidRPr="000C06D7">
        <w:rPr>
          <w:rFonts w:ascii="Times New Roman" w:hAnsi="Times New Roman"/>
        </w:rPr>
        <w:t xml:space="preserve">"criterion (a)" </w:t>
      </w:r>
      <w:r w:rsidR="00B3100F" w:rsidRPr="000C06D7">
        <w:rPr>
          <w:rFonts w:ascii="Times New Roman" w:hAnsi="Times New Roman"/>
        </w:rPr>
        <w:t>–</w:t>
      </w:r>
      <w:r w:rsidR="00E776CD" w:rsidRPr="000C06D7">
        <w:rPr>
          <w:rFonts w:ascii="Times New Roman" w:hAnsi="Times New Roman"/>
        </w:rPr>
        <w:t xml:space="preserve"> </w:t>
      </w:r>
      <w:r w:rsidR="00103BF7" w:rsidRPr="000C06D7">
        <w:rPr>
          <w:rFonts w:ascii="Times New Roman" w:hAnsi="Times New Roman"/>
        </w:rPr>
        <w:t>was</w:t>
      </w:r>
      <w:r w:rsidR="00074742" w:rsidRPr="000C06D7">
        <w:rPr>
          <w:rFonts w:ascii="Times New Roman" w:hAnsi="Times New Roman"/>
        </w:rPr>
        <w:t xml:space="preserve"> </w:t>
      </w:r>
      <w:r w:rsidR="00957CE0" w:rsidRPr="000C06D7">
        <w:rPr>
          <w:rFonts w:ascii="Times New Roman" w:hAnsi="Times New Roman"/>
        </w:rPr>
        <w:t>"</w:t>
      </w:r>
      <w:r w:rsidR="00DC4D9F" w:rsidRPr="000C06D7">
        <w:rPr>
          <w:rFonts w:ascii="Times New Roman" w:hAnsi="Times New Roman"/>
        </w:rPr>
        <w:t>that access</w:t>
      </w:r>
      <w:r w:rsidR="0030422F" w:rsidRPr="000C06D7">
        <w:rPr>
          <w:rFonts w:ascii="Times New Roman" w:hAnsi="Times New Roman"/>
        </w:rPr>
        <w:t xml:space="preserve"> (or increased access) to the service would promote </w:t>
      </w:r>
      <w:r w:rsidR="003F51E0" w:rsidRPr="000C06D7">
        <w:rPr>
          <w:rFonts w:ascii="Times New Roman" w:hAnsi="Times New Roman"/>
        </w:rPr>
        <w:t xml:space="preserve">a material </w:t>
      </w:r>
      <w:r w:rsidR="00B12005" w:rsidRPr="000C06D7">
        <w:rPr>
          <w:rFonts w:ascii="Times New Roman" w:hAnsi="Times New Roman"/>
        </w:rPr>
        <w:t xml:space="preserve">increase in </w:t>
      </w:r>
      <w:r w:rsidR="00B411E4" w:rsidRPr="000C06D7">
        <w:rPr>
          <w:rFonts w:ascii="Times New Roman" w:hAnsi="Times New Roman"/>
        </w:rPr>
        <w:t>competition</w:t>
      </w:r>
      <w:r w:rsidR="0030422F" w:rsidRPr="000C06D7">
        <w:rPr>
          <w:rFonts w:ascii="Times New Roman" w:hAnsi="Times New Roman"/>
        </w:rPr>
        <w:t xml:space="preserve"> in at least one market (whether or not in Australia), other than the market for the service</w:t>
      </w:r>
      <w:r w:rsidR="00070266" w:rsidRPr="000C06D7">
        <w:rPr>
          <w:rFonts w:ascii="Times New Roman" w:hAnsi="Times New Roman"/>
        </w:rPr>
        <w:t>"</w:t>
      </w:r>
      <w:r w:rsidR="00070266" w:rsidRPr="000C06D7">
        <w:rPr>
          <w:rStyle w:val="FootnoteReference"/>
          <w:rFonts w:ascii="Times New Roman" w:hAnsi="Times New Roman"/>
          <w:sz w:val="24"/>
        </w:rPr>
        <w:footnoteReference w:id="34"/>
      </w:r>
      <w:r w:rsidR="00070266" w:rsidRPr="000C06D7">
        <w:rPr>
          <w:rFonts w:ascii="Times New Roman" w:hAnsi="Times New Roman"/>
        </w:rPr>
        <w:t xml:space="preserve">. </w:t>
      </w:r>
      <w:r w:rsidR="00103BF7" w:rsidRPr="000C06D7">
        <w:rPr>
          <w:rFonts w:ascii="Times New Roman" w:hAnsi="Times New Roman"/>
        </w:rPr>
        <w:t>As a consequence of</w:t>
      </w:r>
      <w:r w:rsidR="00563792" w:rsidRPr="000C06D7">
        <w:rPr>
          <w:rFonts w:ascii="Times New Roman" w:hAnsi="Times New Roman"/>
        </w:rPr>
        <w:t xml:space="preserve"> the 2017 Act</w:t>
      </w:r>
      <w:r w:rsidR="00070266" w:rsidRPr="000C06D7">
        <w:rPr>
          <w:rFonts w:ascii="Times New Roman" w:hAnsi="Times New Roman"/>
        </w:rPr>
        <w:t>, criterion</w:t>
      </w:r>
      <w:r w:rsidR="009967C4" w:rsidRPr="000C06D7">
        <w:rPr>
          <w:rFonts w:ascii="Times New Roman" w:hAnsi="Times New Roman"/>
        </w:rPr>
        <w:t xml:space="preserve"> </w:t>
      </w:r>
      <w:r w:rsidR="00C33E87" w:rsidRPr="000C06D7">
        <w:rPr>
          <w:rFonts w:ascii="Times New Roman" w:hAnsi="Times New Roman"/>
        </w:rPr>
        <w:t xml:space="preserve">(a) has been </w:t>
      </w:r>
      <w:r w:rsidR="00806510" w:rsidRPr="000C06D7">
        <w:rPr>
          <w:rFonts w:ascii="Times New Roman" w:hAnsi="Times New Roman"/>
        </w:rPr>
        <w:t>recast</w:t>
      </w:r>
      <w:r w:rsidR="00537B55" w:rsidRPr="000C06D7">
        <w:rPr>
          <w:rFonts w:ascii="Times New Roman" w:hAnsi="Times New Roman"/>
        </w:rPr>
        <w:t>. Now it requires</w:t>
      </w:r>
      <w:r w:rsidR="00C33E87" w:rsidRPr="000C06D7">
        <w:rPr>
          <w:rFonts w:ascii="Times New Roman" w:hAnsi="Times New Roman"/>
        </w:rPr>
        <w:t xml:space="preserve"> </w:t>
      </w:r>
      <w:r w:rsidR="00806510" w:rsidRPr="000C06D7">
        <w:rPr>
          <w:rFonts w:ascii="Times New Roman" w:hAnsi="Times New Roman"/>
        </w:rPr>
        <w:t>satisfaction</w:t>
      </w:r>
      <w:r w:rsidR="00C33E87" w:rsidRPr="000C06D7">
        <w:rPr>
          <w:rFonts w:ascii="Times New Roman" w:hAnsi="Times New Roman"/>
        </w:rPr>
        <w:t xml:space="preserve"> </w:t>
      </w:r>
      <w:r w:rsidR="009967C4" w:rsidRPr="000C06D7">
        <w:rPr>
          <w:rFonts w:ascii="Times New Roman" w:hAnsi="Times New Roman"/>
        </w:rPr>
        <w:t>"</w:t>
      </w:r>
      <w:r w:rsidR="00FD6018" w:rsidRPr="000C06D7">
        <w:rPr>
          <w:rFonts w:ascii="Times New Roman" w:hAnsi="Times New Roman"/>
        </w:rPr>
        <w:t>t</w:t>
      </w:r>
      <w:r w:rsidR="00D573E4" w:rsidRPr="000C06D7">
        <w:rPr>
          <w:rFonts w:ascii="Times New Roman" w:hAnsi="Times New Roman"/>
        </w:rPr>
        <w:t>hat access (or increased access) to the service, on reasonable terms and conditions, as a result of a declaration of the service would promote a material increase in competition in at least one market (whether or not in Australia), other than the market for the service</w:t>
      </w:r>
      <w:r w:rsidR="009967C4" w:rsidRPr="000C06D7">
        <w:rPr>
          <w:rFonts w:ascii="Times New Roman" w:hAnsi="Times New Roman"/>
        </w:rPr>
        <w:t>"</w:t>
      </w:r>
      <w:r w:rsidR="009967C4" w:rsidRPr="000C06D7">
        <w:rPr>
          <w:rStyle w:val="FootnoteReference"/>
          <w:rFonts w:ascii="Times New Roman" w:hAnsi="Times New Roman"/>
          <w:sz w:val="24"/>
        </w:rPr>
        <w:footnoteReference w:id="35"/>
      </w:r>
      <w:r w:rsidR="009967C4" w:rsidRPr="000C06D7">
        <w:rPr>
          <w:rFonts w:ascii="Times New Roman" w:hAnsi="Times New Roman"/>
        </w:rPr>
        <w:t>.</w:t>
      </w:r>
      <w:r w:rsidR="00FC7C17" w:rsidRPr="000C06D7">
        <w:rPr>
          <w:rFonts w:ascii="Times New Roman" w:hAnsi="Times New Roman"/>
        </w:rPr>
        <w:t xml:space="preserve"> </w:t>
      </w:r>
    </w:p>
    <w:p w14:paraId="019B864D" w14:textId="11ABC576" w:rsidR="009A681D" w:rsidRPr="000C06D7" w:rsidRDefault="00806510"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FC7C17" w:rsidRPr="000C06D7">
        <w:rPr>
          <w:rFonts w:ascii="Times New Roman" w:hAnsi="Times New Roman"/>
        </w:rPr>
        <w:t>Th</w:t>
      </w:r>
      <w:r w:rsidR="00763371" w:rsidRPr="000C06D7">
        <w:rPr>
          <w:rFonts w:ascii="Times New Roman" w:hAnsi="Times New Roman"/>
        </w:rPr>
        <w:t>at change to criterion (a)</w:t>
      </w:r>
      <w:r w:rsidR="00FC7C17" w:rsidRPr="000C06D7">
        <w:rPr>
          <w:rFonts w:ascii="Times New Roman" w:hAnsi="Times New Roman"/>
        </w:rPr>
        <w:t xml:space="preserve"> </w:t>
      </w:r>
      <w:r w:rsidR="00BD74EA" w:rsidRPr="000C06D7">
        <w:rPr>
          <w:rFonts w:ascii="Times New Roman" w:hAnsi="Times New Roman"/>
        </w:rPr>
        <w:t xml:space="preserve">has </w:t>
      </w:r>
      <w:r w:rsidR="0065291A" w:rsidRPr="000C06D7">
        <w:rPr>
          <w:rFonts w:ascii="Times New Roman" w:hAnsi="Times New Roman"/>
        </w:rPr>
        <w:t>changed</w:t>
      </w:r>
      <w:r w:rsidR="000C790F" w:rsidRPr="000C06D7">
        <w:rPr>
          <w:rFonts w:ascii="Times New Roman" w:hAnsi="Times New Roman"/>
        </w:rPr>
        <w:t xml:space="preserve"> </w:t>
      </w:r>
      <w:r w:rsidR="00FC7C17" w:rsidRPr="000C06D7">
        <w:rPr>
          <w:rFonts w:ascii="Times New Roman" w:hAnsi="Times New Roman"/>
        </w:rPr>
        <w:t xml:space="preserve">the </w:t>
      </w:r>
      <w:r w:rsidR="007402DD" w:rsidRPr="000C06D7">
        <w:rPr>
          <w:rFonts w:ascii="Times New Roman" w:hAnsi="Times New Roman"/>
        </w:rPr>
        <w:t xml:space="preserve">analysis </w:t>
      </w:r>
      <w:r w:rsidR="006419A8" w:rsidRPr="000C06D7">
        <w:rPr>
          <w:rFonts w:ascii="Times New Roman" w:hAnsi="Times New Roman"/>
        </w:rPr>
        <w:t>required to be undertaken by the</w:t>
      </w:r>
      <w:r w:rsidRPr="000C06D7">
        <w:rPr>
          <w:rFonts w:ascii="Times New Roman" w:hAnsi="Times New Roman"/>
        </w:rPr>
        <w:t xml:space="preserve"> NCC in making a </w:t>
      </w:r>
      <w:r w:rsidR="00763371" w:rsidRPr="000C06D7">
        <w:rPr>
          <w:rFonts w:ascii="Times New Roman" w:hAnsi="Times New Roman"/>
        </w:rPr>
        <w:t>recommendation</w:t>
      </w:r>
      <w:r w:rsidRPr="000C06D7">
        <w:rPr>
          <w:rFonts w:ascii="Times New Roman" w:hAnsi="Times New Roman"/>
        </w:rPr>
        <w:t xml:space="preserve">, </w:t>
      </w:r>
      <w:r w:rsidR="00763371" w:rsidRPr="000C06D7">
        <w:rPr>
          <w:rFonts w:ascii="Times New Roman" w:hAnsi="Times New Roman"/>
        </w:rPr>
        <w:t xml:space="preserve">by </w:t>
      </w:r>
      <w:r w:rsidRPr="000C06D7">
        <w:rPr>
          <w:rFonts w:ascii="Times New Roman" w:hAnsi="Times New Roman"/>
        </w:rPr>
        <w:t>the</w:t>
      </w:r>
      <w:r w:rsidR="006419A8" w:rsidRPr="000C06D7">
        <w:rPr>
          <w:rFonts w:ascii="Times New Roman" w:hAnsi="Times New Roman"/>
        </w:rPr>
        <w:t xml:space="preserve"> designated Minister</w:t>
      </w:r>
      <w:r w:rsidR="00763371" w:rsidRPr="000C06D7">
        <w:rPr>
          <w:rFonts w:ascii="Times New Roman" w:hAnsi="Times New Roman"/>
        </w:rPr>
        <w:t xml:space="preserve"> in deciding to declare or not to declare a service</w:t>
      </w:r>
      <w:r w:rsidR="008753AE" w:rsidRPr="000C06D7">
        <w:rPr>
          <w:rFonts w:ascii="Times New Roman" w:hAnsi="Times New Roman"/>
        </w:rPr>
        <w:t xml:space="preserve">, </w:t>
      </w:r>
      <w:r w:rsidRPr="000C06D7">
        <w:rPr>
          <w:rFonts w:ascii="Times New Roman" w:hAnsi="Times New Roman"/>
        </w:rPr>
        <w:t>and</w:t>
      </w:r>
      <w:r w:rsidR="008753AE" w:rsidRPr="000C06D7">
        <w:rPr>
          <w:rFonts w:ascii="Times New Roman" w:hAnsi="Times New Roman"/>
        </w:rPr>
        <w:t xml:space="preserve"> by the Tribunal on review</w:t>
      </w:r>
      <w:r w:rsidR="002E50DE" w:rsidRPr="000C06D7">
        <w:rPr>
          <w:rFonts w:ascii="Times New Roman" w:hAnsi="Times New Roman"/>
        </w:rPr>
        <w:t xml:space="preserve"> of </w:t>
      </w:r>
      <w:r w:rsidR="002E50DE" w:rsidRPr="000C06D7">
        <w:rPr>
          <w:rFonts w:ascii="Times New Roman" w:hAnsi="Times New Roman"/>
        </w:rPr>
        <w:lastRenderedPageBreak/>
        <w:t>a decision of the designated Minister</w:t>
      </w:r>
      <w:r w:rsidR="007F1DBD" w:rsidRPr="000C06D7">
        <w:rPr>
          <w:rFonts w:ascii="Times New Roman" w:hAnsi="Times New Roman"/>
        </w:rPr>
        <w:t xml:space="preserve">. </w:t>
      </w:r>
      <w:r w:rsidR="00B44840" w:rsidRPr="000C06D7">
        <w:rPr>
          <w:rFonts w:ascii="Times New Roman" w:hAnsi="Times New Roman"/>
        </w:rPr>
        <w:t>Formerly, the analysis involved comparing the extent of future competition in an upstream or downstream market if there was access with the same if there was no access</w:t>
      </w:r>
      <w:r w:rsidR="00DD0A76" w:rsidRPr="000C06D7">
        <w:rPr>
          <w:rStyle w:val="FootnoteReference"/>
          <w:rFonts w:ascii="Times New Roman" w:hAnsi="Times New Roman"/>
          <w:sz w:val="24"/>
        </w:rPr>
        <w:footnoteReference w:id="36"/>
      </w:r>
      <w:r w:rsidR="00A55F8D" w:rsidRPr="000C06D7">
        <w:rPr>
          <w:rFonts w:ascii="Times New Roman" w:hAnsi="Times New Roman"/>
        </w:rPr>
        <w:t xml:space="preserve">. </w:t>
      </w:r>
      <w:r w:rsidR="00B44840" w:rsidRPr="000C06D7">
        <w:rPr>
          <w:rFonts w:ascii="Times New Roman" w:hAnsi="Times New Roman"/>
        </w:rPr>
        <w:t>Latterly, the analysis involves a comparison of the extent of future competition in an upstream or downstream market were there to be declaration of the service with the same if there was no declaration of the service.</w:t>
      </w:r>
      <w:r w:rsidR="00C63149" w:rsidRPr="000C06D7">
        <w:rPr>
          <w:rFonts w:ascii="Times New Roman" w:hAnsi="Times New Roman"/>
        </w:rPr>
        <w:t xml:space="preserve"> </w:t>
      </w:r>
      <w:r w:rsidR="00C33CFC" w:rsidRPr="000C06D7">
        <w:rPr>
          <w:rFonts w:ascii="Times New Roman" w:hAnsi="Times New Roman"/>
        </w:rPr>
        <w:t xml:space="preserve"> </w:t>
      </w:r>
    </w:p>
    <w:p w14:paraId="74569F3E" w14:textId="0D8B634E" w:rsidR="008537EB" w:rsidRPr="000C06D7" w:rsidRDefault="00A22C81"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681456" w:rsidRPr="000C06D7">
        <w:rPr>
          <w:rFonts w:ascii="Times New Roman" w:hAnsi="Times New Roman"/>
        </w:rPr>
        <w:t xml:space="preserve">The 2017 </w:t>
      </w:r>
      <w:r w:rsidR="0005538B" w:rsidRPr="000C06D7">
        <w:rPr>
          <w:rFonts w:ascii="Times New Roman" w:hAnsi="Times New Roman"/>
        </w:rPr>
        <w:t xml:space="preserve">Act </w:t>
      </w:r>
      <w:r w:rsidR="00AA3FC9" w:rsidRPr="000C06D7">
        <w:rPr>
          <w:rFonts w:ascii="Times New Roman" w:hAnsi="Times New Roman"/>
        </w:rPr>
        <w:t xml:space="preserve">affected the events relating to the subject matter of the appeal in ways that will be noted in explaining </w:t>
      </w:r>
      <w:r w:rsidR="00681456" w:rsidRPr="000C06D7">
        <w:rPr>
          <w:rFonts w:ascii="Times New Roman" w:hAnsi="Times New Roman"/>
        </w:rPr>
        <w:t xml:space="preserve">the procedural </w:t>
      </w:r>
      <w:r w:rsidR="00A04803" w:rsidRPr="000C06D7">
        <w:rPr>
          <w:rFonts w:ascii="Times New Roman" w:hAnsi="Times New Roman"/>
        </w:rPr>
        <w:t>background to the appeal</w:t>
      </w:r>
      <w:r w:rsidR="00A151FD" w:rsidRPr="000C06D7">
        <w:rPr>
          <w:rFonts w:ascii="Times New Roman" w:hAnsi="Times New Roman"/>
        </w:rPr>
        <w:t xml:space="preserve">. </w:t>
      </w:r>
      <w:r w:rsidR="002C69C5" w:rsidRPr="000C06D7">
        <w:rPr>
          <w:rFonts w:ascii="Times New Roman" w:hAnsi="Times New Roman"/>
        </w:rPr>
        <w:t>N</w:t>
      </w:r>
      <w:r w:rsidR="00870207" w:rsidRPr="000C06D7">
        <w:rPr>
          <w:rFonts w:ascii="Times New Roman" w:hAnsi="Times New Roman"/>
        </w:rPr>
        <w:t xml:space="preserve">o </w:t>
      </w:r>
      <w:r w:rsidR="005F4B5B" w:rsidRPr="000C06D7">
        <w:rPr>
          <w:rFonts w:ascii="Times New Roman" w:hAnsi="Times New Roman"/>
        </w:rPr>
        <w:t xml:space="preserve">party to </w:t>
      </w:r>
      <w:r w:rsidR="004030CA" w:rsidRPr="000C06D7">
        <w:rPr>
          <w:rFonts w:ascii="Times New Roman" w:hAnsi="Times New Roman"/>
        </w:rPr>
        <w:t xml:space="preserve">the appeal </w:t>
      </w:r>
      <w:r w:rsidR="005F4B5B" w:rsidRPr="000C06D7">
        <w:rPr>
          <w:rFonts w:ascii="Times New Roman" w:hAnsi="Times New Roman"/>
        </w:rPr>
        <w:t xml:space="preserve">has argued </w:t>
      </w:r>
      <w:r w:rsidR="00870207" w:rsidRPr="000C06D7">
        <w:rPr>
          <w:rFonts w:ascii="Times New Roman" w:hAnsi="Times New Roman"/>
        </w:rPr>
        <w:t xml:space="preserve">that </w:t>
      </w:r>
      <w:r w:rsidR="00C7772F" w:rsidRPr="000C06D7">
        <w:rPr>
          <w:rFonts w:ascii="Times New Roman" w:hAnsi="Times New Roman"/>
        </w:rPr>
        <w:t>the</w:t>
      </w:r>
      <w:r w:rsidR="00857815" w:rsidRPr="000C06D7">
        <w:rPr>
          <w:rFonts w:ascii="Times New Roman" w:hAnsi="Times New Roman"/>
        </w:rPr>
        <w:t xml:space="preserve"> </w:t>
      </w:r>
      <w:r w:rsidR="002C69C5" w:rsidRPr="000C06D7">
        <w:rPr>
          <w:rFonts w:ascii="Times New Roman" w:hAnsi="Times New Roman"/>
        </w:rPr>
        <w:t>change to criterion (a)</w:t>
      </w:r>
      <w:r w:rsidR="007E5C06" w:rsidRPr="000C06D7">
        <w:rPr>
          <w:rFonts w:ascii="Times New Roman" w:hAnsi="Times New Roman"/>
        </w:rPr>
        <w:t xml:space="preserve"> </w:t>
      </w:r>
      <w:r w:rsidR="008F731C" w:rsidRPr="000C06D7">
        <w:rPr>
          <w:rFonts w:ascii="Times New Roman" w:hAnsi="Times New Roman"/>
        </w:rPr>
        <w:t xml:space="preserve">altered </w:t>
      </w:r>
      <w:r w:rsidR="004965FF" w:rsidRPr="000C06D7">
        <w:rPr>
          <w:rFonts w:ascii="Times New Roman" w:hAnsi="Times New Roman"/>
        </w:rPr>
        <w:t xml:space="preserve">the underlying meaning of </w:t>
      </w:r>
      <w:r w:rsidR="00E60689" w:rsidRPr="000C06D7">
        <w:rPr>
          <w:rFonts w:ascii="Times New Roman" w:hAnsi="Times New Roman"/>
        </w:rPr>
        <w:t>the term "access"</w:t>
      </w:r>
      <w:r w:rsidR="001B68E6" w:rsidRPr="000C06D7">
        <w:rPr>
          <w:rFonts w:ascii="Times New Roman" w:hAnsi="Times New Roman"/>
        </w:rPr>
        <w:t>.</w:t>
      </w:r>
      <w:r w:rsidR="00E60689" w:rsidRPr="000C06D7">
        <w:rPr>
          <w:rFonts w:ascii="Times New Roman" w:hAnsi="Times New Roman"/>
        </w:rPr>
        <w:t xml:space="preserve"> </w:t>
      </w:r>
      <w:r w:rsidR="00AA3FC9" w:rsidRPr="000C06D7">
        <w:rPr>
          <w:rFonts w:ascii="Times New Roman" w:hAnsi="Times New Roman"/>
        </w:rPr>
        <w:t>As</w:t>
      </w:r>
      <w:r w:rsidR="00E7088F" w:rsidRPr="000C06D7">
        <w:rPr>
          <w:rFonts w:ascii="Times New Roman" w:hAnsi="Times New Roman"/>
        </w:rPr>
        <w:t xml:space="preserve"> will be seen, </w:t>
      </w:r>
      <w:r w:rsidR="00B254B9" w:rsidRPr="000C06D7">
        <w:rPr>
          <w:rFonts w:ascii="Times New Roman" w:hAnsi="Times New Roman"/>
        </w:rPr>
        <w:t>criterion (a) in the form</w:t>
      </w:r>
      <w:r w:rsidR="00A20186" w:rsidRPr="000C06D7">
        <w:rPr>
          <w:rFonts w:ascii="Times New Roman" w:hAnsi="Times New Roman"/>
        </w:rPr>
        <w:t xml:space="preserve"> in which</w:t>
      </w:r>
      <w:r w:rsidR="00B254B9" w:rsidRPr="000C06D7">
        <w:rPr>
          <w:rFonts w:ascii="Times New Roman" w:hAnsi="Times New Roman"/>
        </w:rPr>
        <w:t xml:space="preserve"> it </w:t>
      </w:r>
      <w:r w:rsidR="002B55E6" w:rsidRPr="000C06D7">
        <w:rPr>
          <w:rFonts w:ascii="Times New Roman" w:hAnsi="Times New Roman"/>
        </w:rPr>
        <w:t xml:space="preserve">now stands as a result of </w:t>
      </w:r>
      <w:r w:rsidR="00CC460A" w:rsidRPr="000C06D7">
        <w:rPr>
          <w:rFonts w:ascii="Times New Roman" w:hAnsi="Times New Roman"/>
        </w:rPr>
        <w:t xml:space="preserve">the </w:t>
      </w:r>
      <w:r w:rsidR="00B254B9" w:rsidRPr="000C06D7">
        <w:rPr>
          <w:rFonts w:ascii="Times New Roman" w:hAnsi="Times New Roman"/>
        </w:rPr>
        <w:t xml:space="preserve">2017 Act </w:t>
      </w:r>
      <w:r w:rsidR="002A6C02" w:rsidRPr="000C06D7">
        <w:rPr>
          <w:rFonts w:ascii="Times New Roman" w:hAnsi="Times New Roman"/>
        </w:rPr>
        <w:t xml:space="preserve">nevertheless </w:t>
      </w:r>
      <w:r w:rsidR="00B254B9" w:rsidRPr="000C06D7">
        <w:rPr>
          <w:rFonts w:ascii="Times New Roman" w:hAnsi="Times New Roman"/>
        </w:rPr>
        <w:t>has a bearing on how th</w:t>
      </w:r>
      <w:r w:rsidR="002A6C02" w:rsidRPr="000C06D7">
        <w:rPr>
          <w:rFonts w:ascii="Times New Roman" w:hAnsi="Times New Roman"/>
        </w:rPr>
        <w:t>e</w:t>
      </w:r>
      <w:r w:rsidR="00B254B9" w:rsidRPr="000C06D7">
        <w:rPr>
          <w:rFonts w:ascii="Times New Roman" w:hAnsi="Times New Roman"/>
        </w:rPr>
        <w:t xml:space="preserve"> term </w:t>
      </w:r>
      <w:r w:rsidR="002A6C02" w:rsidRPr="000C06D7">
        <w:rPr>
          <w:rFonts w:ascii="Times New Roman" w:hAnsi="Times New Roman"/>
        </w:rPr>
        <w:t xml:space="preserve">"access" </w:t>
      </w:r>
      <w:r w:rsidR="00B254B9" w:rsidRPr="000C06D7">
        <w:rPr>
          <w:rFonts w:ascii="Times New Roman" w:hAnsi="Times New Roman"/>
        </w:rPr>
        <w:t xml:space="preserve">is </w:t>
      </w:r>
      <w:r w:rsidR="002A6C02" w:rsidRPr="000C06D7">
        <w:rPr>
          <w:rFonts w:ascii="Times New Roman" w:hAnsi="Times New Roman"/>
        </w:rPr>
        <w:t xml:space="preserve">best </w:t>
      </w:r>
      <w:r w:rsidR="00B254B9" w:rsidRPr="000C06D7">
        <w:rPr>
          <w:rFonts w:ascii="Times New Roman" w:hAnsi="Times New Roman"/>
        </w:rPr>
        <w:t>to be understood.</w:t>
      </w:r>
    </w:p>
    <w:p w14:paraId="6230D041" w14:textId="05C2F692" w:rsidR="009967C4" w:rsidRPr="000C06D7" w:rsidRDefault="009967C4"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122A4F" w:rsidRPr="000C06D7">
        <w:rPr>
          <w:rFonts w:ascii="Times New Roman" w:hAnsi="Times New Roman"/>
        </w:rPr>
        <w:t>T</w:t>
      </w:r>
      <w:r w:rsidRPr="000C06D7">
        <w:rPr>
          <w:rFonts w:ascii="Times New Roman" w:hAnsi="Times New Roman"/>
        </w:rPr>
        <w:t>he second stage</w:t>
      </w:r>
      <w:r w:rsidR="00803119" w:rsidRPr="000C06D7">
        <w:rPr>
          <w:rFonts w:ascii="Times New Roman" w:hAnsi="Times New Roman"/>
        </w:rPr>
        <w:t xml:space="preserve"> of the </w:t>
      </w:r>
      <w:r w:rsidR="002A6C02" w:rsidRPr="000C06D7">
        <w:rPr>
          <w:rFonts w:ascii="Times New Roman" w:hAnsi="Times New Roman"/>
        </w:rPr>
        <w:t xml:space="preserve">regulatory </w:t>
      </w:r>
      <w:r w:rsidR="00803119" w:rsidRPr="000C06D7">
        <w:rPr>
          <w:rFonts w:ascii="Times New Roman" w:hAnsi="Times New Roman"/>
        </w:rPr>
        <w:t>process</w:t>
      </w:r>
      <w:r w:rsidR="00A20186" w:rsidRPr="000C06D7">
        <w:rPr>
          <w:rFonts w:ascii="Times New Roman" w:hAnsi="Times New Roman"/>
        </w:rPr>
        <w:t>,</w:t>
      </w:r>
      <w:r w:rsidR="00F92654" w:rsidRPr="000C06D7">
        <w:rPr>
          <w:rFonts w:ascii="Times New Roman" w:hAnsi="Times New Roman"/>
        </w:rPr>
        <w:t xml:space="preserve"> </w:t>
      </w:r>
      <w:r w:rsidR="002A6C02" w:rsidRPr="000C06D7">
        <w:rPr>
          <w:rFonts w:ascii="Times New Roman" w:hAnsi="Times New Roman"/>
        </w:rPr>
        <w:t xml:space="preserve">dealt with </w:t>
      </w:r>
      <w:r w:rsidRPr="000C06D7">
        <w:rPr>
          <w:rFonts w:ascii="Times New Roman" w:hAnsi="Times New Roman"/>
        </w:rPr>
        <w:t xml:space="preserve">in </w:t>
      </w:r>
      <w:proofErr w:type="spellStart"/>
      <w:r w:rsidRPr="000C06D7">
        <w:rPr>
          <w:rFonts w:ascii="Times New Roman" w:hAnsi="Times New Roman"/>
        </w:rPr>
        <w:t>Div</w:t>
      </w:r>
      <w:proofErr w:type="spellEnd"/>
      <w:r w:rsidR="00534488" w:rsidRPr="000C06D7">
        <w:rPr>
          <w:rFonts w:ascii="Times New Roman" w:hAnsi="Times New Roman"/>
        </w:rPr>
        <w:t> </w:t>
      </w:r>
      <w:r w:rsidR="00122A4F" w:rsidRPr="000C06D7">
        <w:rPr>
          <w:rFonts w:ascii="Times New Roman" w:hAnsi="Times New Roman"/>
        </w:rPr>
        <w:t>3</w:t>
      </w:r>
      <w:r w:rsidRPr="000C06D7">
        <w:rPr>
          <w:rFonts w:ascii="Times New Roman" w:hAnsi="Times New Roman"/>
        </w:rPr>
        <w:t>,</w:t>
      </w:r>
      <w:r w:rsidR="00392CD8" w:rsidRPr="000C06D7">
        <w:rPr>
          <w:rFonts w:ascii="Times New Roman" w:hAnsi="Times New Roman"/>
        </w:rPr>
        <w:t xml:space="preserve"> </w:t>
      </w:r>
      <w:r w:rsidR="00F212D0" w:rsidRPr="000C06D7">
        <w:rPr>
          <w:rFonts w:ascii="Times New Roman" w:hAnsi="Times New Roman"/>
        </w:rPr>
        <w:t>involves</w:t>
      </w:r>
      <w:r w:rsidR="007E6B85" w:rsidRPr="000C06D7">
        <w:rPr>
          <w:rFonts w:ascii="Times New Roman" w:hAnsi="Times New Roman"/>
        </w:rPr>
        <w:t xml:space="preserve"> </w:t>
      </w:r>
      <w:r w:rsidR="001B6777" w:rsidRPr="000C06D7">
        <w:rPr>
          <w:rFonts w:ascii="Times New Roman" w:hAnsi="Times New Roman"/>
        </w:rPr>
        <w:t xml:space="preserve">a </w:t>
      </w:r>
      <w:r w:rsidR="00392CD8" w:rsidRPr="000C06D7">
        <w:rPr>
          <w:rFonts w:ascii="Times New Roman" w:hAnsi="Times New Roman"/>
        </w:rPr>
        <w:t>third party</w:t>
      </w:r>
      <w:r w:rsidR="00F212D0" w:rsidRPr="000C06D7">
        <w:rPr>
          <w:rFonts w:ascii="Times New Roman" w:hAnsi="Times New Roman"/>
        </w:rPr>
        <w:t xml:space="preserve"> </w:t>
      </w:r>
      <w:r w:rsidR="000D1CBB" w:rsidRPr="000C06D7">
        <w:rPr>
          <w:rFonts w:ascii="Times New Roman" w:hAnsi="Times New Roman"/>
        </w:rPr>
        <w:t>gaining "</w:t>
      </w:r>
      <w:r w:rsidR="00392CD8" w:rsidRPr="000C06D7">
        <w:rPr>
          <w:rFonts w:ascii="Times New Roman" w:hAnsi="Times New Roman"/>
        </w:rPr>
        <w:t>access</w:t>
      </w:r>
      <w:r w:rsidR="000D1CBB" w:rsidRPr="000C06D7">
        <w:rPr>
          <w:rFonts w:ascii="Times New Roman" w:hAnsi="Times New Roman"/>
        </w:rPr>
        <w:t>"</w:t>
      </w:r>
      <w:r w:rsidR="00392CD8" w:rsidRPr="000C06D7">
        <w:rPr>
          <w:rFonts w:ascii="Times New Roman" w:hAnsi="Times New Roman"/>
        </w:rPr>
        <w:t xml:space="preserve"> to </w:t>
      </w:r>
      <w:r w:rsidR="006F69A9" w:rsidRPr="000C06D7">
        <w:rPr>
          <w:rFonts w:ascii="Times New Roman" w:hAnsi="Times New Roman"/>
        </w:rPr>
        <w:t xml:space="preserve">the service </w:t>
      </w:r>
      <w:r w:rsidR="00392CD8" w:rsidRPr="000C06D7">
        <w:rPr>
          <w:rFonts w:ascii="Times New Roman" w:hAnsi="Times New Roman"/>
        </w:rPr>
        <w:t xml:space="preserve">declared </w:t>
      </w:r>
      <w:r w:rsidR="002054F8" w:rsidRPr="000C06D7">
        <w:rPr>
          <w:rFonts w:ascii="Times New Roman" w:hAnsi="Times New Roman"/>
        </w:rPr>
        <w:t>through</w:t>
      </w:r>
      <w:r w:rsidR="00F92514" w:rsidRPr="000C06D7">
        <w:rPr>
          <w:rFonts w:ascii="Times New Roman" w:hAnsi="Times New Roman"/>
        </w:rPr>
        <w:t xml:space="preserve"> conferral of what</w:t>
      </w:r>
      <w:r w:rsidR="0075480C" w:rsidRPr="000C06D7">
        <w:rPr>
          <w:rFonts w:ascii="Times New Roman" w:hAnsi="Times New Roman"/>
        </w:rPr>
        <w:t xml:space="preserve"> has been described as "an enforceable right to negotiate"</w:t>
      </w:r>
      <w:r w:rsidR="00230E19" w:rsidRPr="000C06D7">
        <w:rPr>
          <w:rStyle w:val="FootnoteReference"/>
          <w:rFonts w:ascii="Times New Roman" w:hAnsi="Times New Roman"/>
          <w:sz w:val="24"/>
        </w:rPr>
        <w:footnoteReference w:id="37"/>
      </w:r>
      <w:r w:rsidR="0075480C" w:rsidRPr="000C06D7">
        <w:rPr>
          <w:rFonts w:ascii="Times New Roman" w:hAnsi="Times New Roman"/>
        </w:rPr>
        <w:t>.</w:t>
      </w:r>
      <w:r w:rsidR="00230E19" w:rsidRPr="000C06D7">
        <w:rPr>
          <w:rFonts w:ascii="Times New Roman" w:hAnsi="Times New Roman"/>
        </w:rPr>
        <w:t xml:space="preserve"> </w:t>
      </w:r>
      <w:r w:rsidR="000E6211" w:rsidRPr="000C06D7">
        <w:rPr>
          <w:rFonts w:ascii="Times New Roman" w:hAnsi="Times New Roman"/>
        </w:rPr>
        <w:t>The</w:t>
      </w:r>
      <w:r w:rsidR="002F5C9C" w:rsidRPr="000C06D7">
        <w:rPr>
          <w:rFonts w:ascii="Times New Roman" w:hAnsi="Times New Roman"/>
        </w:rPr>
        <w:t xml:space="preserve"> provision conferring th</w:t>
      </w:r>
      <w:r w:rsidR="000D1CBB" w:rsidRPr="000C06D7">
        <w:rPr>
          <w:rFonts w:ascii="Times New Roman" w:hAnsi="Times New Roman"/>
        </w:rPr>
        <w:t>at</w:t>
      </w:r>
      <w:r w:rsidR="000E6211" w:rsidRPr="000C06D7">
        <w:rPr>
          <w:rFonts w:ascii="Times New Roman" w:hAnsi="Times New Roman"/>
        </w:rPr>
        <w:t xml:space="preserve"> </w:t>
      </w:r>
      <w:r w:rsidR="00EF1975" w:rsidRPr="000C06D7">
        <w:rPr>
          <w:rFonts w:ascii="Times New Roman" w:hAnsi="Times New Roman"/>
        </w:rPr>
        <w:t xml:space="preserve">right is </w:t>
      </w:r>
      <w:r w:rsidR="000E304F" w:rsidRPr="000C06D7">
        <w:rPr>
          <w:rFonts w:ascii="Times New Roman" w:hAnsi="Times New Roman"/>
        </w:rPr>
        <w:t>s </w:t>
      </w:r>
      <w:r w:rsidR="00E748BA" w:rsidRPr="000C06D7">
        <w:rPr>
          <w:rFonts w:ascii="Times New Roman" w:hAnsi="Times New Roman"/>
        </w:rPr>
        <w:t>44S(1)</w:t>
      </w:r>
      <w:r w:rsidR="00EF1975" w:rsidRPr="000C06D7">
        <w:rPr>
          <w:rFonts w:ascii="Times New Roman" w:hAnsi="Times New Roman"/>
        </w:rPr>
        <w:t>:</w:t>
      </w:r>
    </w:p>
    <w:p w14:paraId="095E13CA" w14:textId="77777777" w:rsidR="000C06D7" w:rsidRDefault="00C901D7" w:rsidP="000C06D7">
      <w:pPr>
        <w:pStyle w:val="leftright"/>
        <w:spacing w:before="0" w:after="260" w:line="280" w:lineRule="exact"/>
        <w:ind w:right="0"/>
        <w:jc w:val="both"/>
        <w:rPr>
          <w:rFonts w:ascii="Times New Roman" w:hAnsi="Times New Roman"/>
        </w:rPr>
      </w:pPr>
      <w:r w:rsidRPr="000C06D7">
        <w:rPr>
          <w:rFonts w:ascii="Times New Roman" w:hAnsi="Times New Roman"/>
        </w:rPr>
        <w:t xml:space="preserve">"If a third party is unable to agree with the provider on one or more aspects of access to a declared service, either the provider or the third party may notify the </w:t>
      </w:r>
      <w:r w:rsidR="006C5D21" w:rsidRPr="000C06D7">
        <w:rPr>
          <w:rFonts w:ascii="Times New Roman" w:hAnsi="Times New Roman"/>
        </w:rPr>
        <w:t>[</w:t>
      </w:r>
      <w:r w:rsidR="00733689" w:rsidRPr="000C06D7">
        <w:rPr>
          <w:rFonts w:ascii="Times New Roman" w:hAnsi="Times New Roman"/>
        </w:rPr>
        <w:t>ACCC</w:t>
      </w:r>
      <w:r w:rsidR="006C5D21" w:rsidRPr="000C06D7">
        <w:rPr>
          <w:rFonts w:ascii="Times New Roman" w:hAnsi="Times New Roman"/>
        </w:rPr>
        <w:t>]</w:t>
      </w:r>
      <w:r w:rsidRPr="000C06D7">
        <w:rPr>
          <w:rFonts w:ascii="Times New Roman" w:hAnsi="Times New Roman"/>
        </w:rPr>
        <w:t xml:space="preserve"> in writing that an access dispute exists, but only to the extent that those aspects of access are not the subject of an access undertaking that is in operation in relation to the service."</w:t>
      </w:r>
    </w:p>
    <w:p w14:paraId="112469E0" w14:textId="2379E315" w:rsidR="00D44DD1" w:rsidRPr="000C06D7" w:rsidRDefault="00893EC4"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596767" w:rsidRPr="000C06D7">
        <w:rPr>
          <w:rFonts w:ascii="Times New Roman" w:hAnsi="Times New Roman"/>
        </w:rPr>
        <w:t xml:space="preserve">Notification of an access dispute </w:t>
      </w:r>
      <w:r w:rsidR="00A505AB" w:rsidRPr="000C06D7">
        <w:rPr>
          <w:rFonts w:ascii="Times New Roman" w:hAnsi="Times New Roman"/>
        </w:rPr>
        <w:t>in the exercise of th</w:t>
      </w:r>
      <w:r w:rsidR="00CC460A" w:rsidRPr="000C06D7">
        <w:rPr>
          <w:rFonts w:ascii="Times New Roman" w:hAnsi="Times New Roman"/>
        </w:rPr>
        <w:t>e</w:t>
      </w:r>
      <w:r w:rsidR="00A505AB" w:rsidRPr="000C06D7">
        <w:rPr>
          <w:rFonts w:ascii="Times New Roman" w:hAnsi="Times New Roman"/>
        </w:rPr>
        <w:t xml:space="preserve"> right</w:t>
      </w:r>
      <w:r w:rsidR="00CC460A" w:rsidRPr="000C06D7">
        <w:rPr>
          <w:rFonts w:ascii="Times New Roman" w:hAnsi="Times New Roman"/>
        </w:rPr>
        <w:t xml:space="preserve"> conferred by s</w:t>
      </w:r>
      <w:r w:rsidR="00B018EB" w:rsidRPr="000C06D7">
        <w:rPr>
          <w:rFonts w:ascii="Times New Roman" w:hAnsi="Times New Roman"/>
        </w:rPr>
        <w:t> </w:t>
      </w:r>
      <w:r w:rsidR="00CC460A" w:rsidRPr="000C06D7">
        <w:rPr>
          <w:rFonts w:ascii="Times New Roman" w:hAnsi="Times New Roman"/>
        </w:rPr>
        <w:t>44</w:t>
      </w:r>
      <w:r w:rsidR="00B018EB" w:rsidRPr="000C06D7">
        <w:rPr>
          <w:rFonts w:ascii="Times New Roman" w:hAnsi="Times New Roman"/>
        </w:rPr>
        <w:t>S(1)</w:t>
      </w:r>
      <w:r w:rsidR="00745D50" w:rsidRPr="000C06D7">
        <w:rPr>
          <w:rFonts w:ascii="Times New Roman" w:hAnsi="Times New Roman"/>
        </w:rPr>
        <w:t xml:space="preserve"> </w:t>
      </w:r>
      <w:r w:rsidR="00815E00" w:rsidRPr="000C06D7">
        <w:rPr>
          <w:rFonts w:ascii="Times New Roman" w:hAnsi="Times New Roman"/>
        </w:rPr>
        <w:t xml:space="preserve">has the effect of </w:t>
      </w:r>
      <w:r w:rsidR="0047187E" w:rsidRPr="000C06D7">
        <w:rPr>
          <w:rFonts w:ascii="Times New Roman" w:hAnsi="Times New Roman"/>
        </w:rPr>
        <w:t>commenc</w:t>
      </w:r>
      <w:r w:rsidR="00815E00" w:rsidRPr="000C06D7">
        <w:rPr>
          <w:rFonts w:ascii="Times New Roman" w:hAnsi="Times New Roman"/>
        </w:rPr>
        <w:t>ing</w:t>
      </w:r>
      <w:r w:rsidR="0036394F" w:rsidRPr="000C06D7">
        <w:rPr>
          <w:rFonts w:ascii="Times New Roman" w:hAnsi="Times New Roman"/>
        </w:rPr>
        <w:t xml:space="preserve"> an arbitration</w:t>
      </w:r>
      <w:r w:rsidR="00B55116" w:rsidRPr="000C06D7">
        <w:rPr>
          <w:rFonts w:ascii="Times New Roman" w:hAnsi="Times New Roman"/>
        </w:rPr>
        <w:t xml:space="preserve"> before the </w:t>
      </w:r>
      <w:r w:rsidR="00733689" w:rsidRPr="000C06D7">
        <w:rPr>
          <w:rFonts w:ascii="Times New Roman" w:hAnsi="Times New Roman"/>
        </w:rPr>
        <w:t>ACCC</w:t>
      </w:r>
      <w:r w:rsidR="00831247" w:rsidRPr="000C06D7">
        <w:rPr>
          <w:rFonts w:ascii="Times New Roman" w:hAnsi="Times New Roman"/>
        </w:rPr>
        <w:t xml:space="preserve">. </w:t>
      </w:r>
      <w:r w:rsidR="005D289F" w:rsidRPr="000C06D7">
        <w:rPr>
          <w:rFonts w:ascii="Times New Roman" w:hAnsi="Times New Roman"/>
        </w:rPr>
        <w:t>T</w:t>
      </w:r>
      <w:r w:rsidR="008519D3" w:rsidRPr="000C06D7">
        <w:rPr>
          <w:rFonts w:ascii="Times New Roman" w:hAnsi="Times New Roman"/>
        </w:rPr>
        <w:t xml:space="preserve">he parties </w:t>
      </w:r>
      <w:r w:rsidR="005D289F" w:rsidRPr="000C06D7">
        <w:rPr>
          <w:rFonts w:ascii="Times New Roman" w:hAnsi="Times New Roman"/>
        </w:rPr>
        <w:t>to th</w:t>
      </w:r>
      <w:r w:rsidR="0087753C" w:rsidRPr="000C06D7">
        <w:rPr>
          <w:rFonts w:ascii="Times New Roman" w:hAnsi="Times New Roman"/>
        </w:rPr>
        <w:t>at</w:t>
      </w:r>
      <w:r w:rsidR="005D289F" w:rsidRPr="000C06D7">
        <w:rPr>
          <w:rFonts w:ascii="Times New Roman" w:hAnsi="Times New Roman"/>
        </w:rPr>
        <w:t xml:space="preserve"> arbitration </w:t>
      </w:r>
      <w:r w:rsidR="008519D3" w:rsidRPr="000C06D7">
        <w:rPr>
          <w:rFonts w:ascii="Times New Roman" w:hAnsi="Times New Roman"/>
        </w:rPr>
        <w:t xml:space="preserve">are </w:t>
      </w:r>
      <w:r w:rsidR="0036394F" w:rsidRPr="000C06D7">
        <w:rPr>
          <w:rFonts w:ascii="Times New Roman" w:hAnsi="Times New Roman"/>
        </w:rPr>
        <w:t xml:space="preserve">the provider </w:t>
      </w:r>
      <w:r w:rsidR="00B55116" w:rsidRPr="000C06D7">
        <w:rPr>
          <w:rFonts w:ascii="Times New Roman" w:hAnsi="Times New Roman"/>
        </w:rPr>
        <w:t xml:space="preserve">and </w:t>
      </w:r>
      <w:r w:rsidR="0036394F" w:rsidRPr="000C06D7">
        <w:rPr>
          <w:rFonts w:ascii="Times New Roman" w:hAnsi="Times New Roman"/>
        </w:rPr>
        <w:t xml:space="preserve">the third party </w:t>
      </w:r>
      <w:r w:rsidR="00BD0B8F" w:rsidRPr="000C06D7">
        <w:rPr>
          <w:rFonts w:ascii="Times New Roman" w:hAnsi="Times New Roman"/>
        </w:rPr>
        <w:t>as well as</w:t>
      </w:r>
      <w:r w:rsidR="0036394F" w:rsidRPr="000C06D7">
        <w:rPr>
          <w:rFonts w:ascii="Times New Roman" w:hAnsi="Times New Roman"/>
        </w:rPr>
        <w:t xml:space="preserve"> </w:t>
      </w:r>
      <w:r w:rsidR="00F4357A" w:rsidRPr="000C06D7">
        <w:rPr>
          <w:rFonts w:ascii="Times New Roman" w:hAnsi="Times New Roman"/>
        </w:rPr>
        <w:t>"</w:t>
      </w:r>
      <w:r w:rsidR="009B527E" w:rsidRPr="000C06D7">
        <w:rPr>
          <w:rFonts w:ascii="Times New Roman" w:hAnsi="Times New Roman"/>
        </w:rPr>
        <w:t xml:space="preserve">any other person who applies in writing </w:t>
      </w:r>
      <w:r w:rsidR="002F03CE" w:rsidRPr="000C06D7">
        <w:rPr>
          <w:rFonts w:ascii="Times New Roman" w:hAnsi="Times New Roman"/>
        </w:rPr>
        <w:t xml:space="preserve">to be made a party and is accepted by the </w:t>
      </w:r>
      <w:r w:rsidR="006C5D21" w:rsidRPr="000C06D7">
        <w:rPr>
          <w:rFonts w:ascii="Times New Roman" w:hAnsi="Times New Roman"/>
        </w:rPr>
        <w:t>[ACCC]</w:t>
      </w:r>
      <w:r w:rsidR="002F03CE" w:rsidRPr="000C06D7">
        <w:rPr>
          <w:rFonts w:ascii="Times New Roman" w:hAnsi="Times New Roman"/>
        </w:rPr>
        <w:t xml:space="preserve"> as having a sufficient interest</w:t>
      </w:r>
      <w:r w:rsidR="00F4357A" w:rsidRPr="000C06D7">
        <w:rPr>
          <w:rFonts w:ascii="Times New Roman" w:hAnsi="Times New Roman"/>
        </w:rPr>
        <w:t>"</w:t>
      </w:r>
      <w:r w:rsidR="00F4357A" w:rsidRPr="000C06D7">
        <w:rPr>
          <w:rStyle w:val="FootnoteReference"/>
          <w:rFonts w:ascii="Times New Roman" w:hAnsi="Times New Roman"/>
          <w:sz w:val="24"/>
        </w:rPr>
        <w:footnoteReference w:id="38"/>
      </w:r>
      <w:r w:rsidR="00F4357A" w:rsidRPr="000C06D7">
        <w:rPr>
          <w:rFonts w:ascii="Times New Roman" w:hAnsi="Times New Roman"/>
        </w:rPr>
        <w:t xml:space="preserve">. </w:t>
      </w:r>
    </w:p>
    <w:p w14:paraId="385235CB" w14:textId="0072350B" w:rsidR="008E1BB4" w:rsidRPr="000C06D7" w:rsidRDefault="00D44DD1" w:rsidP="000C06D7">
      <w:pPr>
        <w:pStyle w:val="FixListStyle"/>
        <w:spacing w:after="260" w:line="280" w:lineRule="exact"/>
        <w:ind w:right="0"/>
        <w:jc w:val="both"/>
        <w:rPr>
          <w:rFonts w:ascii="Times New Roman" w:hAnsi="Times New Roman"/>
        </w:rPr>
      </w:pPr>
      <w:r w:rsidRPr="000C06D7">
        <w:rPr>
          <w:rFonts w:ascii="Times New Roman" w:hAnsi="Times New Roman"/>
        </w:rPr>
        <w:lastRenderedPageBreak/>
        <w:tab/>
      </w:r>
      <w:r w:rsidR="00B72283" w:rsidRPr="000C06D7">
        <w:rPr>
          <w:rFonts w:ascii="Times New Roman" w:hAnsi="Times New Roman"/>
        </w:rPr>
        <w:t xml:space="preserve">Unless </w:t>
      </w:r>
      <w:r w:rsidR="00F27F0F" w:rsidRPr="000C06D7">
        <w:rPr>
          <w:rFonts w:ascii="Times New Roman" w:hAnsi="Times New Roman"/>
        </w:rPr>
        <w:t>it</w:t>
      </w:r>
      <w:r w:rsidR="00825116" w:rsidRPr="000C06D7">
        <w:rPr>
          <w:rFonts w:ascii="Times New Roman" w:hAnsi="Times New Roman"/>
        </w:rPr>
        <w:t xml:space="preserve"> </w:t>
      </w:r>
      <w:r w:rsidR="00B72283" w:rsidRPr="000C06D7">
        <w:rPr>
          <w:rFonts w:ascii="Times New Roman" w:hAnsi="Times New Roman"/>
        </w:rPr>
        <w:t>terminates th</w:t>
      </w:r>
      <w:r w:rsidR="00825116" w:rsidRPr="000C06D7">
        <w:rPr>
          <w:rFonts w:ascii="Times New Roman" w:hAnsi="Times New Roman"/>
        </w:rPr>
        <w:t>e</w:t>
      </w:r>
      <w:r w:rsidR="00B72283" w:rsidRPr="000C06D7">
        <w:rPr>
          <w:rFonts w:ascii="Times New Roman" w:hAnsi="Times New Roman"/>
        </w:rPr>
        <w:t xml:space="preserve"> arbitration, </w:t>
      </w:r>
      <w:r w:rsidR="00825116" w:rsidRPr="000C06D7">
        <w:rPr>
          <w:rFonts w:ascii="Times New Roman" w:hAnsi="Times New Roman"/>
        </w:rPr>
        <w:t xml:space="preserve">the </w:t>
      </w:r>
      <w:r w:rsidR="006C5D21" w:rsidRPr="000C06D7">
        <w:rPr>
          <w:rFonts w:ascii="Times New Roman" w:hAnsi="Times New Roman"/>
        </w:rPr>
        <w:t>ACCC</w:t>
      </w:r>
      <w:r w:rsidR="00825116" w:rsidRPr="000C06D7">
        <w:rPr>
          <w:rFonts w:ascii="Times New Roman" w:hAnsi="Times New Roman"/>
        </w:rPr>
        <w:t xml:space="preserve"> </w:t>
      </w:r>
      <w:r w:rsidR="00B72283" w:rsidRPr="000C06D7">
        <w:rPr>
          <w:rFonts w:ascii="Times New Roman" w:hAnsi="Times New Roman"/>
        </w:rPr>
        <w:t>is obliged to make a written final determination "on access by the third party to the service"</w:t>
      </w:r>
      <w:r w:rsidR="00B72283" w:rsidRPr="000C06D7">
        <w:rPr>
          <w:rStyle w:val="FootnoteReference"/>
          <w:rFonts w:ascii="Times New Roman" w:hAnsi="Times New Roman"/>
          <w:sz w:val="24"/>
        </w:rPr>
        <w:footnoteReference w:id="39"/>
      </w:r>
      <w:r w:rsidR="00B72283" w:rsidRPr="000C06D7">
        <w:rPr>
          <w:rFonts w:ascii="Times New Roman" w:hAnsi="Times New Roman"/>
        </w:rPr>
        <w:t xml:space="preserve">. </w:t>
      </w:r>
      <w:r w:rsidR="000702E8" w:rsidRPr="000C06D7">
        <w:rPr>
          <w:rFonts w:ascii="Times New Roman" w:hAnsi="Times New Roman"/>
        </w:rPr>
        <w:t>Amongst the circumstances in which the ACCC is permitted to terminate the</w:t>
      </w:r>
      <w:r w:rsidR="005B2417" w:rsidRPr="000C06D7">
        <w:rPr>
          <w:rFonts w:ascii="Times New Roman" w:hAnsi="Times New Roman"/>
        </w:rPr>
        <w:t xml:space="preserve"> arbitration are where it considers the </w:t>
      </w:r>
      <w:r w:rsidR="007B0C97" w:rsidRPr="000C06D7">
        <w:rPr>
          <w:rFonts w:ascii="Times New Roman" w:hAnsi="Times New Roman"/>
        </w:rPr>
        <w:t>notification of the dispute to have been vexatious</w:t>
      </w:r>
      <w:r w:rsidR="00575A2F" w:rsidRPr="000C06D7">
        <w:rPr>
          <w:rFonts w:ascii="Times New Roman" w:hAnsi="Times New Roman"/>
        </w:rPr>
        <w:t xml:space="preserve"> and where it considers</w:t>
      </w:r>
      <w:r w:rsidR="007B0C97" w:rsidRPr="000C06D7">
        <w:rPr>
          <w:rFonts w:ascii="Times New Roman" w:hAnsi="Times New Roman"/>
        </w:rPr>
        <w:t xml:space="preserve"> the subject matter of the dispute </w:t>
      </w:r>
      <w:r w:rsidR="008F084D" w:rsidRPr="000C06D7">
        <w:rPr>
          <w:rFonts w:ascii="Times New Roman" w:hAnsi="Times New Roman"/>
        </w:rPr>
        <w:t>to be trivial, misconceived or lacking in substance</w:t>
      </w:r>
      <w:r w:rsidR="008F084D" w:rsidRPr="000C06D7">
        <w:rPr>
          <w:rStyle w:val="FootnoteReference"/>
          <w:rFonts w:ascii="Times New Roman" w:hAnsi="Times New Roman"/>
          <w:sz w:val="24"/>
        </w:rPr>
        <w:footnoteReference w:id="40"/>
      </w:r>
      <w:r w:rsidR="008F084D" w:rsidRPr="000C06D7">
        <w:rPr>
          <w:rFonts w:ascii="Times New Roman" w:hAnsi="Times New Roman"/>
        </w:rPr>
        <w:t>.</w:t>
      </w:r>
    </w:p>
    <w:p w14:paraId="757B94B0" w14:textId="2D8AE2CC" w:rsidR="007C4A41" w:rsidRPr="000C06D7" w:rsidRDefault="008E1BB4"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3432CF" w:rsidRPr="000C06D7">
        <w:rPr>
          <w:rFonts w:ascii="Times New Roman" w:hAnsi="Times New Roman"/>
        </w:rPr>
        <w:t>T</w:t>
      </w:r>
      <w:r w:rsidR="001D08D3" w:rsidRPr="000C06D7">
        <w:rPr>
          <w:rFonts w:ascii="Times New Roman" w:hAnsi="Times New Roman"/>
        </w:rPr>
        <w:t xml:space="preserve">he </w:t>
      </w:r>
      <w:r w:rsidR="001E3F8E" w:rsidRPr="000C06D7">
        <w:rPr>
          <w:rFonts w:ascii="Times New Roman" w:hAnsi="Times New Roman"/>
        </w:rPr>
        <w:t>permi</w:t>
      </w:r>
      <w:r w:rsidR="00AF33C1" w:rsidRPr="000C06D7">
        <w:rPr>
          <w:rFonts w:ascii="Times New Roman" w:hAnsi="Times New Roman"/>
        </w:rPr>
        <w:t>tted</w:t>
      </w:r>
      <w:r w:rsidR="00AF6E89" w:rsidRPr="000C06D7">
        <w:rPr>
          <w:rFonts w:ascii="Times New Roman" w:hAnsi="Times New Roman"/>
        </w:rPr>
        <w:t xml:space="preserve"> scope of the </w:t>
      </w:r>
      <w:r w:rsidR="0087753C" w:rsidRPr="000C06D7">
        <w:rPr>
          <w:rFonts w:ascii="Times New Roman" w:hAnsi="Times New Roman"/>
        </w:rPr>
        <w:t xml:space="preserve">final </w:t>
      </w:r>
      <w:r w:rsidR="001D08D3" w:rsidRPr="000C06D7">
        <w:rPr>
          <w:rFonts w:ascii="Times New Roman" w:hAnsi="Times New Roman"/>
        </w:rPr>
        <w:t>determination</w:t>
      </w:r>
      <w:r w:rsidR="003B062D" w:rsidRPr="000C06D7">
        <w:rPr>
          <w:rFonts w:ascii="Times New Roman" w:hAnsi="Times New Roman"/>
        </w:rPr>
        <w:t xml:space="preserve"> </w:t>
      </w:r>
      <w:r w:rsidRPr="000C06D7">
        <w:rPr>
          <w:rFonts w:ascii="Times New Roman" w:hAnsi="Times New Roman"/>
        </w:rPr>
        <w:t>to be made by the ACCC</w:t>
      </w:r>
      <w:r w:rsidR="005F513B" w:rsidRPr="000C06D7">
        <w:rPr>
          <w:rFonts w:ascii="Times New Roman" w:hAnsi="Times New Roman"/>
        </w:rPr>
        <w:t xml:space="preserve">, </w:t>
      </w:r>
      <w:r w:rsidR="008E1ED8" w:rsidRPr="000C06D7">
        <w:rPr>
          <w:rFonts w:ascii="Times New Roman" w:hAnsi="Times New Roman"/>
        </w:rPr>
        <w:t xml:space="preserve">and the considerations </w:t>
      </w:r>
      <w:r w:rsidR="001A7021" w:rsidRPr="000C06D7">
        <w:rPr>
          <w:rFonts w:ascii="Times New Roman" w:hAnsi="Times New Roman"/>
        </w:rPr>
        <w:t>t</w:t>
      </w:r>
      <w:r w:rsidR="002641AC" w:rsidRPr="000C06D7">
        <w:rPr>
          <w:rFonts w:ascii="Times New Roman" w:hAnsi="Times New Roman"/>
        </w:rPr>
        <w:t>hat must</w:t>
      </w:r>
      <w:r w:rsidR="001A7021" w:rsidRPr="000C06D7">
        <w:rPr>
          <w:rFonts w:ascii="Times New Roman" w:hAnsi="Times New Roman"/>
        </w:rPr>
        <w:t xml:space="preserve"> be taken into account </w:t>
      </w:r>
      <w:r w:rsidR="008970FF" w:rsidRPr="000C06D7">
        <w:rPr>
          <w:rFonts w:ascii="Times New Roman" w:hAnsi="Times New Roman"/>
        </w:rPr>
        <w:t>in making it</w:t>
      </w:r>
      <w:r w:rsidR="005F513B" w:rsidRPr="000C06D7">
        <w:rPr>
          <w:rFonts w:ascii="Times New Roman" w:hAnsi="Times New Roman"/>
        </w:rPr>
        <w:t xml:space="preserve">, </w:t>
      </w:r>
      <w:r w:rsidR="008970FF" w:rsidRPr="000C06D7">
        <w:rPr>
          <w:rFonts w:ascii="Times New Roman" w:hAnsi="Times New Roman"/>
        </w:rPr>
        <w:t xml:space="preserve">are </w:t>
      </w:r>
      <w:r w:rsidR="002641AC" w:rsidRPr="000C06D7">
        <w:rPr>
          <w:rFonts w:ascii="Times New Roman" w:hAnsi="Times New Roman"/>
        </w:rPr>
        <w:t xml:space="preserve">set out </w:t>
      </w:r>
      <w:r w:rsidR="00E371A0" w:rsidRPr="000C06D7">
        <w:rPr>
          <w:rFonts w:ascii="Times New Roman" w:hAnsi="Times New Roman"/>
        </w:rPr>
        <w:t>in</w:t>
      </w:r>
      <w:r w:rsidR="001D08D3" w:rsidRPr="000C06D7">
        <w:rPr>
          <w:rFonts w:ascii="Times New Roman" w:hAnsi="Times New Roman"/>
        </w:rPr>
        <w:t xml:space="preserve"> </w:t>
      </w:r>
      <w:r w:rsidR="007C4A41" w:rsidRPr="000C06D7">
        <w:rPr>
          <w:rFonts w:ascii="Times New Roman" w:hAnsi="Times New Roman"/>
        </w:rPr>
        <w:t>some detail</w:t>
      </w:r>
      <w:r w:rsidR="004F1BF7" w:rsidRPr="000C06D7">
        <w:rPr>
          <w:rFonts w:ascii="Times New Roman" w:hAnsi="Times New Roman"/>
        </w:rPr>
        <w:t xml:space="preserve"> in</w:t>
      </w:r>
      <w:r w:rsidR="00D1793D" w:rsidRPr="000C06D7">
        <w:rPr>
          <w:rFonts w:ascii="Times New Roman" w:hAnsi="Times New Roman"/>
        </w:rPr>
        <w:t xml:space="preserve"> </w:t>
      </w:r>
      <w:proofErr w:type="spellStart"/>
      <w:r w:rsidR="004F1BF7" w:rsidRPr="000C06D7">
        <w:rPr>
          <w:rFonts w:ascii="Times New Roman" w:hAnsi="Times New Roman"/>
        </w:rPr>
        <w:t>Div</w:t>
      </w:r>
      <w:proofErr w:type="spellEnd"/>
      <w:r w:rsidR="00534488" w:rsidRPr="000C06D7">
        <w:rPr>
          <w:rFonts w:ascii="Times New Roman" w:hAnsi="Times New Roman"/>
        </w:rPr>
        <w:t> </w:t>
      </w:r>
      <w:r w:rsidR="004F1BF7" w:rsidRPr="000C06D7">
        <w:rPr>
          <w:rFonts w:ascii="Times New Roman" w:hAnsi="Times New Roman"/>
        </w:rPr>
        <w:t>3</w:t>
      </w:r>
      <w:r w:rsidR="007C4A41" w:rsidRPr="000C06D7">
        <w:rPr>
          <w:rFonts w:ascii="Times New Roman" w:hAnsi="Times New Roman"/>
        </w:rPr>
        <w:t>.</w:t>
      </w:r>
    </w:p>
    <w:p w14:paraId="167532B7" w14:textId="31DE2656" w:rsidR="00893EC4" w:rsidRPr="000C06D7" w:rsidRDefault="004F1BF7" w:rsidP="000C06D7">
      <w:pPr>
        <w:pStyle w:val="FixListStyle"/>
        <w:spacing w:after="260" w:line="280" w:lineRule="exact"/>
        <w:ind w:right="0"/>
        <w:jc w:val="both"/>
        <w:rPr>
          <w:rFonts w:ascii="Times New Roman" w:hAnsi="Times New Roman"/>
        </w:rPr>
      </w:pPr>
      <w:r w:rsidRPr="000C06D7">
        <w:rPr>
          <w:rFonts w:ascii="Times New Roman" w:hAnsi="Times New Roman"/>
        </w:rPr>
        <w:tab/>
        <w:t>Section</w:t>
      </w:r>
      <w:r w:rsidR="001D08D3" w:rsidRPr="000C06D7">
        <w:rPr>
          <w:rFonts w:ascii="Times New Roman" w:hAnsi="Times New Roman"/>
        </w:rPr>
        <w:t xml:space="preserve"> 44V(2)</w:t>
      </w:r>
      <w:r w:rsidR="00BA54C2" w:rsidRPr="000C06D7">
        <w:rPr>
          <w:rFonts w:ascii="Times New Roman" w:hAnsi="Times New Roman"/>
        </w:rPr>
        <w:t xml:space="preserve"> </w:t>
      </w:r>
      <w:r w:rsidR="001D08D3" w:rsidRPr="000C06D7">
        <w:rPr>
          <w:rFonts w:ascii="Times New Roman" w:hAnsi="Times New Roman"/>
        </w:rPr>
        <w:t>provides</w:t>
      </w:r>
      <w:r w:rsidR="00DC45D8" w:rsidRPr="000C06D7">
        <w:rPr>
          <w:rFonts w:ascii="Times New Roman" w:hAnsi="Times New Roman"/>
        </w:rPr>
        <w:t xml:space="preserve"> in part</w:t>
      </w:r>
      <w:r w:rsidR="001D08D3" w:rsidRPr="000C06D7">
        <w:rPr>
          <w:rFonts w:ascii="Times New Roman" w:hAnsi="Times New Roman"/>
        </w:rPr>
        <w:t>:</w:t>
      </w:r>
    </w:p>
    <w:p w14:paraId="34EAF71F" w14:textId="77777777" w:rsidR="00F55A8B" w:rsidRPr="000C06D7" w:rsidRDefault="003D4ED0" w:rsidP="000C06D7">
      <w:pPr>
        <w:pStyle w:val="leftright"/>
        <w:spacing w:before="0" w:after="260" w:line="280" w:lineRule="exact"/>
        <w:ind w:right="0"/>
        <w:jc w:val="both"/>
        <w:rPr>
          <w:rFonts w:ascii="Times New Roman" w:hAnsi="Times New Roman"/>
        </w:rPr>
      </w:pPr>
      <w:r w:rsidRPr="000C06D7">
        <w:rPr>
          <w:rFonts w:ascii="Times New Roman" w:hAnsi="Times New Roman"/>
        </w:rPr>
        <w:t xml:space="preserve">"A determination may deal with any matter relating to access by the third party to the service, including matters that were not the basis for notification of the dispute. By way of example, the determination may: </w:t>
      </w:r>
    </w:p>
    <w:p w14:paraId="57C9415B" w14:textId="3249FDBD" w:rsidR="00F55A8B" w:rsidRPr="000C06D7" w:rsidRDefault="003D4ED0" w:rsidP="000C06D7">
      <w:pPr>
        <w:pStyle w:val="leftright"/>
        <w:spacing w:before="0" w:after="260" w:line="280" w:lineRule="exact"/>
        <w:ind w:left="1440" w:right="0" w:hanging="720"/>
        <w:jc w:val="both"/>
        <w:rPr>
          <w:rFonts w:ascii="Times New Roman" w:hAnsi="Times New Roman"/>
        </w:rPr>
      </w:pPr>
      <w:r w:rsidRPr="000C06D7">
        <w:rPr>
          <w:rFonts w:ascii="Times New Roman" w:hAnsi="Times New Roman"/>
        </w:rPr>
        <w:t>(a)</w:t>
      </w:r>
      <w:r w:rsidR="00F55A8B" w:rsidRPr="000C06D7">
        <w:rPr>
          <w:rFonts w:ascii="Times New Roman" w:hAnsi="Times New Roman"/>
        </w:rPr>
        <w:tab/>
      </w:r>
      <w:r w:rsidRPr="000C06D7">
        <w:rPr>
          <w:rFonts w:ascii="Times New Roman" w:hAnsi="Times New Roman"/>
        </w:rPr>
        <w:t xml:space="preserve">require the provider to provide access to the service by the third party; </w:t>
      </w:r>
    </w:p>
    <w:p w14:paraId="66567A46" w14:textId="5F954A52" w:rsidR="00F55A8B" w:rsidRPr="000C06D7" w:rsidRDefault="003D4ED0" w:rsidP="000C06D7">
      <w:pPr>
        <w:pStyle w:val="leftright"/>
        <w:spacing w:before="0" w:after="260" w:line="280" w:lineRule="exact"/>
        <w:ind w:left="1440" w:right="0" w:hanging="720"/>
        <w:jc w:val="both"/>
        <w:rPr>
          <w:rFonts w:ascii="Times New Roman" w:hAnsi="Times New Roman"/>
        </w:rPr>
      </w:pPr>
      <w:r w:rsidRPr="000C06D7">
        <w:rPr>
          <w:rFonts w:ascii="Times New Roman" w:hAnsi="Times New Roman"/>
        </w:rPr>
        <w:t>(b)</w:t>
      </w:r>
      <w:r w:rsidR="00F55A8B" w:rsidRPr="000C06D7">
        <w:rPr>
          <w:rFonts w:ascii="Times New Roman" w:hAnsi="Times New Roman"/>
        </w:rPr>
        <w:tab/>
      </w:r>
      <w:r w:rsidRPr="000C06D7">
        <w:rPr>
          <w:rFonts w:ascii="Times New Roman" w:hAnsi="Times New Roman"/>
        </w:rPr>
        <w:t xml:space="preserve">require the third party to accept, and pay for, access to the service; </w:t>
      </w:r>
    </w:p>
    <w:p w14:paraId="222B8577" w14:textId="0FA4DBA3" w:rsidR="00F55A8B" w:rsidRPr="000C06D7" w:rsidRDefault="003D4ED0" w:rsidP="000C06D7">
      <w:pPr>
        <w:pStyle w:val="leftright"/>
        <w:spacing w:before="0" w:after="260" w:line="280" w:lineRule="exact"/>
        <w:ind w:left="1440" w:right="0" w:hanging="720"/>
        <w:jc w:val="both"/>
        <w:rPr>
          <w:rFonts w:ascii="Times New Roman" w:hAnsi="Times New Roman"/>
        </w:rPr>
      </w:pPr>
      <w:r w:rsidRPr="000C06D7">
        <w:rPr>
          <w:rFonts w:ascii="Times New Roman" w:hAnsi="Times New Roman"/>
        </w:rPr>
        <w:t>(c)</w:t>
      </w:r>
      <w:r w:rsidR="00F55A8B" w:rsidRPr="000C06D7">
        <w:rPr>
          <w:rFonts w:ascii="Times New Roman" w:hAnsi="Times New Roman"/>
        </w:rPr>
        <w:tab/>
      </w:r>
      <w:r w:rsidR="00D16A52" w:rsidRPr="000C06D7">
        <w:rPr>
          <w:rFonts w:ascii="Times New Roman" w:hAnsi="Times New Roman"/>
        </w:rPr>
        <w:t>specify</w:t>
      </w:r>
      <w:r w:rsidR="00D33256" w:rsidRPr="000C06D7">
        <w:rPr>
          <w:rFonts w:ascii="Times New Roman" w:hAnsi="Times New Roman"/>
        </w:rPr>
        <w:t xml:space="preserve"> the terms and conditions of the third party's access to </w:t>
      </w:r>
      <w:r w:rsidRPr="000C06D7">
        <w:rPr>
          <w:rFonts w:ascii="Times New Roman" w:hAnsi="Times New Roman"/>
        </w:rPr>
        <w:t xml:space="preserve">the service; </w:t>
      </w:r>
    </w:p>
    <w:p w14:paraId="2E727EED" w14:textId="397ABF8D" w:rsidR="00F55A8B" w:rsidRPr="000C06D7" w:rsidRDefault="003D4ED0" w:rsidP="000C06D7">
      <w:pPr>
        <w:pStyle w:val="leftright"/>
        <w:spacing w:before="0" w:after="260" w:line="280" w:lineRule="exact"/>
        <w:ind w:right="0"/>
        <w:jc w:val="both"/>
        <w:rPr>
          <w:rFonts w:ascii="Times New Roman" w:hAnsi="Times New Roman"/>
        </w:rPr>
      </w:pPr>
      <w:r w:rsidRPr="000C06D7">
        <w:rPr>
          <w:rFonts w:ascii="Times New Roman" w:hAnsi="Times New Roman"/>
        </w:rPr>
        <w:t>(d)</w:t>
      </w:r>
      <w:r w:rsidR="00F55A8B" w:rsidRPr="000C06D7">
        <w:rPr>
          <w:rFonts w:ascii="Times New Roman" w:hAnsi="Times New Roman"/>
        </w:rPr>
        <w:tab/>
      </w:r>
      <w:r w:rsidRPr="000C06D7">
        <w:rPr>
          <w:rFonts w:ascii="Times New Roman" w:hAnsi="Times New Roman"/>
        </w:rPr>
        <w:t xml:space="preserve">require the provider to extend the facility; </w:t>
      </w:r>
    </w:p>
    <w:p w14:paraId="3BB9CD41" w14:textId="77777777" w:rsidR="000C06D7" w:rsidRDefault="00BB0166" w:rsidP="000C06D7">
      <w:pPr>
        <w:pStyle w:val="leftright"/>
        <w:spacing w:before="0" w:after="260" w:line="280" w:lineRule="exact"/>
        <w:ind w:right="0"/>
        <w:jc w:val="both"/>
        <w:rPr>
          <w:rFonts w:ascii="Times New Roman" w:hAnsi="Times New Roman"/>
        </w:rPr>
      </w:pPr>
      <w:r w:rsidRPr="000C06D7">
        <w:rPr>
          <w:rFonts w:ascii="Times New Roman" w:hAnsi="Times New Roman"/>
        </w:rPr>
        <w:t>...</w:t>
      </w:r>
      <w:r w:rsidR="000E76C5" w:rsidRPr="000C06D7">
        <w:rPr>
          <w:rFonts w:ascii="Times New Roman" w:hAnsi="Times New Roman"/>
        </w:rPr>
        <w:t>"</w:t>
      </w:r>
    </w:p>
    <w:p w14:paraId="6598C79C" w14:textId="2AACA16E" w:rsidR="00A26D35" w:rsidRPr="000C06D7" w:rsidRDefault="00A26D35" w:rsidP="000C06D7">
      <w:pPr>
        <w:pStyle w:val="NormalBody"/>
        <w:spacing w:after="260" w:line="280" w:lineRule="exact"/>
        <w:ind w:right="0"/>
        <w:jc w:val="both"/>
        <w:rPr>
          <w:rFonts w:ascii="Times New Roman" w:hAnsi="Times New Roman"/>
        </w:rPr>
      </w:pPr>
      <w:r w:rsidRPr="000C06D7">
        <w:rPr>
          <w:rFonts w:ascii="Times New Roman" w:hAnsi="Times New Roman"/>
        </w:rPr>
        <w:t xml:space="preserve">Section 44V(2A) </w:t>
      </w:r>
      <w:r w:rsidR="0075232E" w:rsidRPr="000C06D7">
        <w:rPr>
          <w:rFonts w:ascii="Times New Roman" w:hAnsi="Times New Roman"/>
        </w:rPr>
        <w:t>add</w:t>
      </w:r>
      <w:r w:rsidRPr="000C06D7">
        <w:rPr>
          <w:rFonts w:ascii="Times New Roman" w:hAnsi="Times New Roman"/>
        </w:rPr>
        <w:t>s:</w:t>
      </w:r>
    </w:p>
    <w:p w14:paraId="3204153C" w14:textId="0F2C7FF2" w:rsidR="00F65F5E" w:rsidRPr="000C06D7" w:rsidRDefault="00F65F5E" w:rsidP="000C06D7">
      <w:pPr>
        <w:pStyle w:val="leftright"/>
        <w:spacing w:before="0" w:after="260" w:line="280" w:lineRule="exact"/>
        <w:ind w:right="0"/>
        <w:jc w:val="both"/>
        <w:rPr>
          <w:rFonts w:ascii="Times New Roman" w:hAnsi="Times New Roman"/>
        </w:rPr>
      </w:pPr>
      <w:r w:rsidRPr="000C06D7">
        <w:rPr>
          <w:rFonts w:ascii="Times New Roman" w:hAnsi="Times New Roman"/>
        </w:rPr>
        <w:t xml:space="preserve">"Without limiting paragraph (2)(d), a requirement referred to in that paragraph may do either or both of the following: </w:t>
      </w:r>
    </w:p>
    <w:p w14:paraId="61AF7A48" w14:textId="77777777" w:rsidR="00F65F5E" w:rsidRPr="000C06D7" w:rsidRDefault="00F65F5E" w:rsidP="000C06D7">
      <w:pPr>
        <w:pStyle w:val="leftright"/>
        <w:spacing w:before="0" w:after="260" w:line="280" w:lineRule="exact"/>
        <w:ind w:left="1440" w:right="0" w:hanging="720"/>
        <w:jc w:val="both"/>
        <w:rPr>
          <w:rFonts w:ascii="Times New Roman" w:hAnsi="Times New Roman"/>
        </w:rPr>
      </w:pPr>
      <w:r w:rsidRPr="000C06D7">
        <w:rPr>
          <w:rFonts w:ascii="Times New Roman" w:hAnsi="Times New Roman"/>
        </w:rPr>
        <w:t>(a)</w:t>
      </w:r>
      <w:r w:rsidRPr="000C06D7">
        <w:rPr>
          <w:rFonts w:ascii="Times New Roman" w:hAnsi="Times New Roman"/>
        </w:rPr>
        <w:tab/>
        <w:t xml:space="preserve">require the provider to expand the capacity of the facility; </w:t>
      </w:r>
    </w:p>
    <w:p w14:paraId="48C0A2D6" w14:textId="77777777" w:rsidR="000C06D7" w:rsidRDefault="00F65F5E" w:rsidP="000C06D7">
      <w:pPr>
        <w:pStyle w:val="leftright"/>
        <w:spacing w:before="0" w:after="260" w:line="280" w:lineRule="exact"/>
        <w:ind w:left="1440" w:right="0" w:hanging="720"/>
        <w:jc w:val="both"/>
        <w:rPr>
          <w:rFonts w:ascii="Times New Roman" w:hAnsi="Times New Roman"/>
        </w:rPr>
      </w:pPr>
      <w:r w:rsidRPr="000C06D7">
        <w:rPr>
          <w:rFonts w:ascii="Times New Roman" w:hAnsi="Times New Roman"/>
        </w:rPr>
        <w:t>(b)</w:t>
      </w:r>
      <w:r w:rsidRPr="000C06D7">
        <w:rPr>
          <w:rFonts w:ascii="Times New Roman" w:hAnsi="Times New Roman"/>
        </w:rPr>
        <w:tab/>
        <w:t>require the provider to expand the geographical reach of the facility."</w:t>
      </w:r>
    </w:p>
    <w:p w14:paraId="0DF076FD" w14:textId="05F951B8" w:rsidR="001D08D3" w:rsidRPr="000C06D7" w:rsidRDefault="00A26D35" w:rsidP="000C06D7">
      <w:pPr>
        <w:pStyle w:val="FixListStyle"/>
        <w:spacing w:after="260" w:line="280" w:lineRule="exact"/>
        <w:ind w:right="0"/>
        <w:jc w:val="both"/>
        <w:rPr>
          <w:rFonts w:ascii="Times New Roman" w:hAnsi="Times New Roman"/>
        </w:rPr>
      </w:pPr>
      <w:r w:rsidRPr="000C06D7">
        <w:rPr>
          <w:rFonts w:ascii="Times New Roman" w:hAnsi="Times New Roman"/>
        </w:rPr>
        <w:lastRenderedPageBreak/>
        <w:tab/>
      </w:r>
      <w:r w:rsidR="007D395D" w:rsidRPr="000C06D7">
        <w:rPr>
          <w:rFonts w:ascii="Times New Roman" w:hAnsi="Times New Roman"/>
        </w:rPr>
        <w:t>Section</w:t>
      </w:r>
      <w:r w:rsidR="00387B66" w:rsidRPr="000C06D7">
        <w:rPr>
          <w:rFonts w:ascii="Times New Roman" w:hAnsi="Times New Roman"/>
        </w:rPr>
        <w:t xml:space="preserve"> 44W</w:t>
      </w:r>
      <w:r w:rsidR="00E65D6C" w:rsidRPr="000C06D7">
        <w:rPr>
          <w:rFonts w:ascii="Times New Roman" w:hAnsi="Times New Roman"/>
        </w:rPr>
        <w:t>(1)</w:t>
      </w:r>
      <w:r w:rsidR="00387B66" w:rsidRPr="000C06D7">
        <w:rPr>
          <w:rFonts w:ascii="Times New Roman" w:hAnsi="Times New Roman"/>
        </w:rPr>
        <w:t xml:space="preserve"> provides</w:t>
      </w:r>
      <w:r w:rsidR="00732EE2" w:rsidRPr="000C06D7">
        <w:rPr>
          <w:rFonts w:ascii="Times New Roman" w:hAnsi="Times New Roman"/>
        </w:rPr>
        <w:t xml:space="preserve"> in part</w:t>
      </w:r>
      <w:r w:rsidR="00387B66" w:rsidRPr="000C06D7">
        <w:rPr>
          <w:rFonts w:ascii="Times New Roman" w:hAnsi="Times New Roman"/>
        </w:rPr>
        <w:t>:</w:t>
      </w:r>
    </w:p>
    <w:p w14:paraId="25D83230" w14:textId="4B8E0BEA" w:rsidR="001B7F30" w:rsidRPr="000C06D7" w:rsidRDefault="001B7F30" w:rsidP="000C06D7">
      <w:pPr>
        <w:pStyle w:val="leftright"/>
        <w:spacing w:before="0" w:after="260" w:line="280" w:lineRule="exact"/>
        <w:ind w:right="0"/>
        <w:jc w:val="both"/>
        <w:rPr>
          <w:rFonts w:ascii="Times New Roman" w:hAnsi="Times New Roman"/>
        </w:rPr>
      </w:pPr>
      <w:r w:rsidRPr="000C06D7">
        <w:rPr>
          <w:rFonts w:ascii="Times New Roman" w:hAnsi="Times New Roman"/>
        </w:rPr>
        <w:t>"</w:t>
      </w:r>
      <w:r w:rsidR="00F066F6" w:rsidRPr="000C06D7">
        <w:rPr>
          <w:rFonts w:ascii="Times New Roman" w:hAnsi="Times New Roman"/>
        </w:rPr>
        <w:t xml:space="preserve">The </w:t>
      </w:r>
      <w:r w:rsidR="00955F31" w:rsidRPr="000C06D7">
        <w:rPr>
          <w:rFonts w:ascii="Times New Roman" w:hAnsi="Times New Roman"/>
        </w:rPr>
        <w:t>[ACCC]</w:t>
      </w:r>
      <w:r w:rsidR="00F066F6" w:rsidRPr="000C06D7">
        <w:rPr>
          <w:rFonts w:ascii="Times New Roman" w:hAnsi="Times New Roman"/>
        </w:rPr>
        <w:t xml:space="preserve"> must not make a determination that would have any of the following effects:</w:t>
      </w:r>
    </w:p>
    <w:p w14:paraId="030DE6EA" w14:textId="712A7662" w:rsidR="00F066F6" w:rsidRPr="000C06D7" w:rsidRDefault="00765C64" w:rsidP="000C06D7">
      <w:pPr>
        <w:pStyle w:val="leftright"/>
        <w:spacing w:before="0" w:after="260" w:line="280" w:lineRule="exact"/>
        <w:ind w:right="0"/>
        <w:jc w:val="both"/>
        <w:rPr>
          <w:rFonts w:ascii="Times New Roman" w:hAnsi="Times New Roman"/>
        </w:rPr>
      </w:pPr>
      <w:r w:rsidRPr="000C06D7">
        <w:rPr>
          <w:rFonts w:ascii="Times New Roman" w:hAnsi="Times New Roman"/>
        </w:rPr>
        <w:t>...</w:t>
      </w:r>
    </w:p>
    <w:p w14:paraId="442FCE17" w14:textId="77777777" w:rsidR="00765C64" w:rsidRPr="000C06D7" w:rsidRDefault="00765C64" w:rsidP="000C06D7">
      <w:pPr>
        <w:pStyle w:val="leftright"/>
        <w:spacing w:before="0" w:after="260" w:line="280" w:lineRule="exact"/>
        <w:ind w:left="1440" w:right="0" w:hanging="720"/>
        <w:jc w:val="both"/>
        <w:rPr>
          <w:rFonts w:ascii="Times New Roman" w:hAnsi="Times New Roman"/>
        </w:rPr>
      </w:pPr>
      <w:r w:rsidRPr="000C06D7">
        <w:rPr>
          <w:rFonts w:ascii="Times New Roman" w:hAnsi="Times New Roman"/>
        </w:rPr>
        <w:t>(d)</w:t>
      </w:r>
      <w:r w:rsidRPr="000C06D7">
        <w:rPr>
          <w:rFonts w:ascii="Times New Roman" w:hAnsi="Times New Roman"/>
        </w:rPr>
        <w:tab/>
        <w:t xml:space="preserve">resulting in the third party becoming the owner (or one of the owners) of any part of the facility, or of extensions of the facility (including expansions of the capacity of the facility and expansions of the geographical reach of the facility), without the consent of the provider; </w:t>
      </w:r>
    </w:p>
    <w:p w14:paraId="3F720EA3" w14:textId="77777777" w:rsidR="00765C64" w:rsidRPr="000C06D7" w:rsidRDefault="00765C64" w:rsidP="000C06D7">
      <w:pPr>
        <w:pStyle w:val="leftright"/>
        <w:spacing w:before="0" w:after="260" w:line="280" w:lineRule="exact"/>
        <w:ind w:left="1440" w:right="0" w:hanging="720"/>
        <w:jc w:val="both"/>
        <w:rPr>
          <w:rFonts w:ascii="Times New Roman" w:hAnsi="Times New Roman"/>
        </w:rPr>
      </w:pPr>
      <w:r w:rsidRPr="000C06D7">
        <w:rPr>
          <w:rFonts w:ascii="Times New Roman" w:hAnsi="Times New Roman"/>
        </w:rPr>
        <w:t>(e)</w:t>
      </w:r>
      <w:r w:rsidRPr="000C06D7">
        <w:rPr>
          <w:rFonts w:ascii="Times New Roman" w:hAnsi="Times New Roman"/>
        </w:rPr>
        <w:tab/>
        <w:t xml:space="preserve">requiring the provider to bear some or all of the costs of extending the facility (including expanding the capacity of the facility and expanding the geographical reach of the facility); </w:t>
      </w:r>
    </w:p>
    <w:p w14:paraId="7E9F3FA1" w14:textId="77777777" w:rsidR="00851C4C" w:rsidRPr="000C06D7" w:rsidRDefault="00765C64" w:rsidP="000C06D7">
      <w:pPr>
        <w:pStyle w:val="leftright"/>
        <w:spacing w:before="0" w:after="260" w:line="280" w:lineRule="exact"/>
        <w:ind w:left="1440" w:right="0" w:hanging="720"/>
        <w:jc w:val="both"/>
        <w:rPr>
          <w:rFonts w:ascii="Times New Roman" w:hAnsi="Times New Roman"/>
        </w:rPr>
      </w:pPr>
      <w:r w:rsidRPr="000C06D7">
        <w:rPr>
          <w:rFonts w:ascii="Times New Roman" w:hAnsi="Times New Roman"/>
        </w:rPr>
        <w:t>(</w:t>
      </w:r>
      <w:proofErr w:type="spellStart"/>
      <w:r w:rsidRPr="000C06D7">
        <w:rPr>
          <w:rFonts w:ascii="Times New Roman" w:hAnsi="Times New Roman"/>
        </w:rPr>
        <w:t>ea</w:t>
      </w:r>
      <w:proofErr w:type="spellEnd"/>
      <w:r w:rsidRPr="000C06D7">
        <w:rPr>
          <w:rFonts w:ascii="Times New Roman" w:hAnsi="Times New Roman"/>
        </w:rPr>
        <w:t>)</w:t>
      </w:r>
      <w:r w:rsidRPr="000C06D7">
        <w:rPr>
          <w:rFonts w:ascii="Times New Roman" w:hAnsi="Times New Roman"/>
        </w:rPr>
        <w:tab/>
        <w:t xml:space="preserve">requiring the provider to bear some or all of the costs of maintaining extensions of the facility (including expansions of the capacity of the facility and expansions of the geographical reach of the facility); </w:t>
      </w:r>
    </w:p>
    <w:p w14:paraId="141C0947" w14:textId="77777777" w:rsidR="000C06D7" w:rsidRDefault="005B370B" w:rsidP="000C06D7">
      <w:pPr>
        <w:pStyle w:val="leftright"/>
        <w:spacing w:before="0" w:after="260" w:line="280" w:lineRule="exact"/>
        <w:ind w:left="1440" w:right="0" w:hanging="720"/>
        <w:jc w:val="both"/>
        <w:rPr>
          <w:rFonts w:ascii="Times New Roman" w:hAnsi="Times New Roman"/>
        </w:rPr>
      </w:pPr>
      <w:r w:rsidRPr="000C06D7">
        <w:rPr>
          <w:rFonts w:ascii="Times New Roman" w:hAnsi="Times New Roman"/>
        </w:rPr>
        <w:t>...</w:t>
      </w:r>
      <w:r w:rsidR="000E76C5" w:rsidRPr="000C06D7">
        <w:rPr>
          <w:rFonts w:ascii="Times New Roman" w:hAnsi="Times New Roman"/>
        </w:rPr>
        <w:t>"</w:t>
      </w:r>
    </w:p>
    <w:p w14:paraId="7782A316" w14:textId="374CB081" w:rsidR="00387B66" w:rsidRPr="000C06D7" w:rsidRDefault="00FB51F1" w:rsidP="000C06D7">
      <w:pPr>
        <w:pStyle w:val="FixListStyle"/>
        <w:spacing w:after="260" w:line="280" w:lineRule="exact"/>
        <w:ind w:right="0"/>
        <w:jc w:val="both"/>
        <w:rPr>
          <w:rFonts w:ascii="Times New Roman" w:hAnsi="Times New Roman"/>
        </w:rPr>
      </w:pPr>
      <w:r w:rsidRPr="000C06D7">
        <w:rPr>
          <w:rFonts w:ascii="Times New Roman" w:hAnsi="Times New Roman"/>
        </w:rPr>
        <w:tab/>
        <w:t>Section 44X</w:t>
      </w:r>
      <w:r w:rsidR="00F86B63" w:rsidRPr="000C06D7">
        <w:rPr>
          <w:rFonts w:ascii="Times New Roman" w:hAnsi="Times New Roman"/>
        </w:rPr>
        <w:t>(1)</w:t>
      </w:r>
      <w:r w:rsidRPr="000C06D7">
        <w:rPr>
          <w:rFonts w:ascii="Times New Roman" w:hAnsi="Times New Roman"/>
        </w:rPr>
        <w:t xml:space="preserve"> provides</w:t>
      </w:r>
      <w:r w:rsidR="00B368E5" w:rsidRPr="000C06D7">
        <w:rPr>
          <w:rFonts w:ascii="Times New Roman" w:hAnsi="Times New Roman"/>
        </w:rPr>
        <w:t xml:space="preserve"> in part</w:t>
      </w:r>
      <w:r w:rsidRPr="000C06D7">
        <w:rPr>
          <w:rFonts w:ascii="Times New Roman" w:hAnsi="Times New Roman"/>
        </w:rPr>
        <w:t>:</w:t>
      </w:r>
    </w:p>
    <w:p w14:paraId="174F6101" w14:textId="3AA85CFD" w:rsidR="00A577E7" w:rsidRPr="000C06D7" w:rsidRDefault="0018661D" w:rsidP="000C06D7">
      <w:pPr>
        <w:pStyle w:val="leftright"/>
        <w:spacing w:before="0" w:after="260" w:line="280" w:lineRule="exact"/>
        <w:ind w:right="0"/>
        <w:jc w:val="both"/>
        <w:rPr>
          <w:rFonts w:ascii="Times New Roman" w:hAnsi="Times New Roman"/>
        </w:rPr>
      </w:pPr>
      <w:r w:rsidRPr="000C06D7">
        <w:rPr>
          <w:rFonts w:ascii="Times New Roman" w:hAnsi="Times New Roman"/>
        </w:rPr>
        <w:t>"</w:t>
      </w:r>
      <w:r w:rsidR="00A577E7" w:rsidRPr="000C06D7">
        <w:rPr>
          <w:rFonts w:ascii="Times New Roman" w:hAnsi="Times New Roman"/>
        </w:rPr>
        <w:t xml:space="preserve">The </w:t>
      </w:r>
      <w:r w:rsidR="00955F31" w:rsidRPr="000C06D7">
        <w:rPr>
          <w:rFonts w:ascii="Times New Roman" w:hAnsi="Times New Roman"/>
        </w:rPr>
        <w:t>[ACCC]</w:t>
      </w:r>
      <w:r w:rsidR="00A577E7" w:rsidRPr="000C06D7">
        <w:rPr>
          <w:rFonts w:ascii="Times New Roman" w:hAnsi="Times New Roman"/>
        </w:rPr>
        <w:t xml:space="preserve"> must take the following matters into account in making a final determination: </w:t>
      </w:r>
    </w:p>
    <w:p w14:paraId="36050962" w14:textId="77777777" w:rsidR="00AC6BC1" w:rsidRPr="000C06D7" w:rsidRDefault="00A577E7" w:rsidP="000C06D7">
      <w:pPr>
        <w:pStyle w:val="leftright"/>
        <w:spacing w:before="0" w:after="260" w:line="280" w:lineRule="exact"/>
        <w:ind w:right="0"/>
        <w:jc w:val="both"/>
        <w:rPr>
          <w:rFonts w:ascii="Times New Roman" w:hAnsi="Times New Roman"/>
        </w:rPr>
      </w:pPr>
      <w:r w:rsidRPr="000C06D7">
        <w:rPr>
          <w:rFonts w:ascii="Times New Roman" w:hAnsi="Times New Roman"/>
        </w:rPr>
        <w:t>(aa)</w:t>
      </w:r>
      <w:r w:rsidR="00AC6BC1" w:rsidRPr="000C06D7">
        <w:rPr>
          <w:rFonts w:ascii="Times New Roman" w:hAnsi="Times New Roman"/>
        </w:rPr>
        <w:tab/>
      </w:r>
      <w:r w:rsidRPr="000C06D7">
        <w:rPr>
          <w:rFonts w:ascii="Times New Roman" w:hAnsi="Times New Roman"/>
        </w:rPr>
        <w:t xml:space="preserve">the objects of this Part; </w:t>
      </w:r>
    </w:p>
    <w:p w14:paraId="61FC8302" w14:textId="6AF438FB" w:rsidR="00AC6BC1" w:rsidRPr="000C06D7" w:rsidRDefault="00A577E7" w:rsidP="000C06D7">
      <w:pPr>
        <w:pStyle w:val="leftright"/>
        <w:spacing w:before="0" w:after="260" w:line="280" w:lineRule="exact"/>
        <w:ind w:left="1440" w:right="0" w:hanging="720"/>
        <w:jc w:val="both"/>
        <w:rPr>
          <w:rFonts w:ascii="Times New Roman" w:hAnsi="Times New Roman"/>
        </w:rPr>
      </w:pPr>
      <w:r w:rsidRPr="000C06D7">
        <w:rPr>
          <w:rFonts w:ascii="Times New Roman" w:hAnsi="Times New Roman"/>
        </w:rPr>
        <w:t>(a)</w:t>
      </w:r>
      <w:r w:rsidR="0059790F" w:rsidRPr="000C06D7">
        <w:rPr>
          <w:rFonts w:ascii="Times New Roman" w:hAnsi="Times New Roman"/>
        </w:rPr>
        <w:tab/>
      </w:r>
      <w:r w:rsidRPr="000C06D7">
        <w:rPr>
          <w:rFonts w:ascii="Times New Roman" w:hAnsi="Times New Roman"/>
        </w:rPr>
        <w:t xml:space="preserve">the legitimate business interests of the provider, and the </w:t>
      </w:r>
      <w:r w:rsidR="008C4083" w:rsidRPr="000C06D7">
        <w:rPr>
          <w:rFonts w:ascii="Times New Roman" w:hAnsi="Times New Roman"/>
        </w:rPr>
        <w:t>provider's investment in the facility;</w:t>
      </w:r>
    </w:p>
    <w:p w14:paraId="7CA6A869" w14:textId="2AF5026D" w:rsidR="00AC6BC1" w:rsidRPr="000C06D7" w:rsidRDefault="00A577E7" w:rsidP="000C06D7">
      <w:pPr>
        <w:pStyle w:val="leftright"/>
        <w:spacing w:before="0" w:after="260" w:line="280" w:lineRule="exact"/>
        <w:ind w:left="1440" w:right="0" w:hanging="720"/>
        <w:jc w:val="both"/>
        <w:rPr>
          <w:rFonts w:ascii="Times New Roman" w:hAnsi="Times New Roman"/>
        </w:rPr>
      </w:pPr>
      <w:r w:rsidRPr="000C06D7">
        <w:rPr>
          <w:rFonts w:ascii="Times New Roman" w:hAnsi="Times New Roman"/>
        </w:rPr>
        <w:t>(b)</w:t>
      </w:r>
      <w:r w:rsidR="0059790F" w:rsidRPr="000C06D7">
        <w:rPr>
          <w:rFonts w:ascii="Times New Roman" w:hAnsi="Times New Roman"/>
        </w:rPr>
        <w:tab/>
      </w:r>
      <w:r w:rsidRPr="000C06D7">
        <w:rPr>
          <w:rFonts w:ascii="Times New Roman" w:hAnsi="Times New Roman"/>
        </w:rPr>
        <w:t xml:space="preserve">the public interest, including the public interest in having competition in markets (whether or not in Australia); </w:t>
      </w:r>
    </w:p>
    <w:p w14:paraId="7ABE8BC8" w14:textId="5070EFC1" w:rsidR="00AC6BC1" w:rsidRPr="000C06D7" w:rsidRDefault="00A577E7" w:rsidP="000C06D7">
      <w:pPr>
        <w:pStyle w:val="leftright"/>
        <w:spacing w:before="0" w:after="260" w:line="280" w:lineRule="exact"/>
        <w:ind w:left="1440" w:right="0" w:hanging="720"/>
        <w:jc w:val="both"/>
        <w:rPr>
          <w:rFonts w:ascii="Times New Roman" w:hAnsi="Times New Roman"/>
        </w:rPr>
      </w:pPr>
      <w:r w:rsidRPr="000C06D7">
        <w:rPr>
          <w:rFonts w:ascii="Times New Roman" w:hAnsi="Times New Roman"/>
        </w:rPr>
        <w:t>(c)</w:t>
      </w:r>
      <w:r w:rsidR="0059790F" w:rsidRPr="000C06D7">
        <w:rPr>
          <w:rFonts w:ascii="Times New Roman" w:hAnsi="Times New Roman"/>
        </w:rPr>
        <w:tab/>
      </w:r>
      <w:r w:rsidRPr="000C06D7">
        <w:rPr>
          <w:rFonts w:ascii="Times New Roman" w:hAnsi="Times New Roman"/>
        </w:rPr>
        <w:t xml:space="preserve">the interests of all persons who have rights to use the service; </w:t>
      </w:r>
    </w:p>
    <w:p w14:paraId="55A96AEF" w14:textId="77777777" w:rsidR="00DF55BA" w:rsidRPr="000C06D7" w:rsidRDefault="00A577E7" w:rsidP="000C06D7">
      <w:pPr>
        <w:pStyle w:val="leftright"/>
        <w:spacing w:before="0" w:after="260" w:line="280" w:lineRule="exact"/>
        <w:ind w:right="0"/>
        <w:jc w:val="both"/>
        <w:rPr>
          <w:rFonts w:ascii="Times New Roman" w:hAnsi="Times New Roman"/>
        </w:rPr>
      </w:pPr>
      <w:r w:rsidRPr="000C06D7">
        <w:rPr>
          <w:rFonts w:ascii="Times New Roman" w:hAnsi="Times New Roman"/>
        </w:rPr>
        <w:t>(d)</w:t>
      </w:r>
      <w:r w:rsidR="0059790F" w:rsidRPr="000C06D7">
        <w:rPr>
          <w:rFonts w:ascii="Times New Roman" w:hAnsi="Times New Roman"/>
        </w:rPr>
        <w:tab/>
      </w:r>
      <w:r w:rsidRPr="000C06D7">
        <w:rPr>
          <w:rFonts w:ascii="Times New Roman" w:hAnsi="Times New Roman"/>
        </w:rPr>
        <w:t xml:space="preserve">the direct costs of providing access to the service; </w:t>
      </w:r>
    </w:p>
    <w:p w14:paraId="19BA7CC8" w14:textId="071580E1" w:rsidR="00AC6BC1" w:rsidRPr="000C06D7" w:rsidRDefault="00A577E7" w:rsidP="000C06D7">
      <w:pPr>
        <w:pStyle w:val="leftright"/>
        <w:spacing w:before="0" w:after="260" w:line="280" w:lineRule="exact"/>
        <w:ind w:left="1440" w:right="0" w:hanging="720"/>
        <w:jc w:val="both"/>
        <w:rPr>
          <w:rFonts w:ascii="Times New Roman" w:hAnsi="Times New Roman"/>
        </w:rPr>
      </w:pPr>
      <w:r w:rsidRPr="000C06D7">
        <w:rPr>
          <w:rFonts w:ascii="Times New Roman" w:hAnsi="Times New Roman"/>
        </w:rPr>
        <w:t>(e)</w:t>
      </w:r>
      <w:r w:rsidR="00DF55BA" w:rsidRPr="000C06D7">
        <w:rPr>
          <w:rFonts w:ascii="Times New Roman" w:hAnsi="Times New Roman"/>
        </w:rPr>
        <w:tab/>
      </w:r>
      <w:r w:rsidRPr="000C06D7">
        <w:rPr>
          <w:rFonts w:ascii="Times New Roman" w:hAnsi="Times New Roman"/>
        </w:rPr>
        <w:t xml:space="preserve">the value to the provider of extensions (including expansions of capacity and expansions of geographical reach) whose cost is borne by someone else; </w:t>
      </w:r>
    </w:p>
    <w:p w14:paraId="79A4AC31" w14:textId="77777777" w:rsidR="00A71720" w:rsidRPr="000C06D7" w:rsidRDefault="00173D93" w:rsidP="000C06D7">
      <w:pPr>
        <w:pStyle w:val="leftright"/>
        <w:spacing w:before="0" w:after="260" w:line="280" w:lineRule="exact"/>
        <w:ind w:left="1440" w:right="0" w:hanging="720"/>
        <w:jc w:val="both"/>
        <w:rPr>
          <w:rFonts w:ascii="Times New Roman" w:hAnsi="Times New Roman"/>
        </w:rPr>
      </w:pPr>
      <w:r w:rsidRPr="000C06D7">
        <w:rPr>
          <w:rFonts w:ascii="Times New Roman" w:hAnsi="Times New Roman"/>
        </w:rPr>
        <w:lastRenderedPageBreak/>
        <w:t>...</w:t>
      </w:r>
    </w:p>
    <w:p w14:paraId="6B48450C" w14:textId="65B231E9" w:rsidR="0059790F" w:rsidRPr="000C06D7" w:rsidRDefault="00A577E7" w:rsidP="000C06D7">
      <w:pPr>
        <w:pStyle w:val="leftright"/>
        <w:spacing w:before="0" w:after="260" w:line="280" w:lineRule="exact"/>
        <w:ind w:left="1440" w:right="0" w:hanging="720"/>
        <w:jc w:val="both"/>
        <w:rPr>
          <w:rFonts w:ascii="Times New Roman" w:hAnsi="Times New Roman"/>
        </w:rPr>
      </w:pPr>
      <w:r w:rsidRPr="000C06D7">
        <w:rPr>
          <w:rFonts w:ascii="Times New Roman" w:hAnsi="Times New Roman"/>
        </w:rPr>
        <w:t>(f)</w:t>
      </w:r>
      <w:r w:rsidR="00DF55BA" w:rsidRPr="000C06D7">
        <w:rPr>
          <w:rFonts w:ascii="Times New Roman" w:hAnsi="Times New Roman"/>
        </w:rPr>
        <w:tab/>
      </w:r>
      <w:r w:rsidRPr="000C06D7">
        <w:rPr>
          <w:rFonts w:ascii="Times New Roman" w:hAnsi="Times New Roman"/>
        </w:rPr>
        <w:t xml:space="preserve">the operational and technical requirements necessary for the safe and reliable operation of the facility; </w:t>
      </w:r>
    </w:p>
    <w:p w14:paraId="33C46BB3" w14:textId="117E3796" w:rsidR="0059790F" w:rsidRPr="000C06D7" w:rsidRDefault="00A577E7" w:rsidP="000C06D7">
      <w:pPr>
        <w:pStyle w:val="leftright"/>
        <w:spacing w:before="0" w:after="260" w:line="280" w:lineRule="exact"/>
        <w:ind w:right="0"/>
        <w:jc w:val="both"/>
        <w:rPr>
          <w:rFonts w:ascii="Times New Roman" w:hAnsi="Times New Roman"/>
        </w:rPr>
      </w:pPr>
      <w:r w:rsidRPr="000C06D7">
        <w:rPr>
          <w:rFonts w:ascii="Times New Roman" w:hAnsi="Times New Roman"/>
        </w:rPr>
        <w:t>(g)</w:t>
      </w:r>
      <w:r w:rsidR="00DF55BA" w:rsidRPr="000C06D7">
        <w:rPr>
          <w:rFonts w:ascii="Times New Roman" w:hAnsi="Times New Roman"/>
        </w:rPr>
        <w:tab/>
      </w:r>
      <w:r w:rsidRPr="000C06D7">
        <w:rPr>
          <w:rFonts w:ascii="Times New Roman" w:hAnsi="Times New Roman"/>
        </w:rPr>
        <w:t xml:space="preserve">the economically efficient operation of the facility; </w:t>
      </w:r>
    </w:p>
    <w:p w14:paraId="5DD99BA6" w14:textId="77777777" w:rsidR="000C06D7" w:rsidRDefault="00A577E7" w:rsidP="000C06D7">
      <w:pPr>
        <w:pStyle w:val="leftright"/>
        <w:spacing w:before="0" w:after="260" w:line="280" w:lineRule="exact"/>
        <w:ind w:right="0"/>
        <w:jc w:val="both"/>
        <w:rPr>
          <w:rFonts w:ascii="Times New Roman" w:hAnsi="Times New Roman"/>
        </w:rPr>
      </w:pPr>
      <w:r w:rsidRPr="000C06D7">
        <w:rPr>
          <w:rFonts w:ascii="Times New Roman" w:hAnsi="Times New Roman"/>
        </w:rPr>
        <w:t>(h)</w:t>
      </w:r>
      <w:r w:rsidR="00DF55BA" w:rsidRPr="000C06D7">
        <w:rPr>
          <w:rFonts w:ascii="Times New Roman" w:hAnsi="Times New Roman"/>
        </w:rPr>
        <w:tab/>
      </w:r>
      <w:r w:rsidRPr="000C06D7">
        <w:rPr>
          <w:rFonts w:ascii="Times New Roman" w:hAnsi="Times New Roman"/>
        </w:rPr>
        <w:t>the pricing principles specified in section 44ZZCA.</w:t>
      </w:r>
      <w:r w:rsidR="0059790F" w:rsidRPr="000C06D7">
        <w:rPr>
          <w:rFonts w:ascii="Times New Roman" w:hAnsi="Times New Roman"/>
        </w:rPr>
        <w:t>"</w:t>
      </w:r>
    </w:p>
    <w:p w14:paraId="38060337" w14:textId="5209D267" w:rsidR="004E4032" w:rsidRPr="000C06D7" w:rsidRDefault="004E4032" w:rsidP="000C06D7">
      <w:pPr>
        <w:pStyle w:val="FixListStyle"/>
        <w:spacing w:after="260" w:line="280" w:lineRule="exact"/>
        <w:ind w:right="0"/>
        <w:jc w:val="both"/>
        <w:rPr>
          <w:rFonts w:ascii="Times New Roman" w:hAnsi="Times New Roman"/>
        </w:rPr>
      </w:pPr>
      <w:r w:rsidRPr="000C06D7">
        <w:rPr>
          <w:rFonts w:ascii="Times New Roman" w:hAnsi="Times New Roman"/>
        </w:rPr>
        <w:tab/>
        <w:t>Section 44ZZCA</w:t>
      </w:r>
      <w:r w:rsidR="00CA5D7D" w:rsidRPr="000C06D7">
        <w:rPr>
          <w:rFonts w:ascii="Times New Roman" w:hAnsi="Times New Roman"/>
        </w:rPr>
        <w:t>, to which reference is made in s</w:t>
      </w:r>
      <w:r w:rsidR="00D31EAF" w:rsidRPr="000C06D7">
        <w:rPr>
          <w:rFonts w:ascii="Times New Roman" w:hAnsi="Times New Roman"/>
        </w:rPr>
        <w:t> </w:t>
      </w:r>
      <w:r w:rsidR="00CA5D7D" w:rsidRPr="000C06D7">
        <w:rPr>
          <w:rFonts w:ascii="Times New Roman" w:hAnsi="Times New Roman"/>
        </w:rPr>
        <w:t>44X(1)</w:t>
      </w:r>
      <w:r w:rsidR="00CD19FA" w:rsidRPr="000C06D7">
        <w:rPr>
          <w:rFonts w:ascii="Times New Roman" w:hAnsi="Times New Roman"/>
        </w:rPr>
        <w:t>(</w:t>
      </w:r>
      <w:r w:rsidR="00CA5D7D" w:rsidRPr="000C06D7">
        <w:rPr>
          <w:rFonts w:ascii="Times New Roman" w:hAnsi="Times New Roman"/>
        </w:rPr>
        <w:t xml:space="preserve">h), </w:t>
      </w:r>
      <w:r w:rsidRPr="000C06D7">
        <w:rPr>
          <w:rFonts w:ascii="Times New Roman" w:hAnsi="Times New Roman"/>
        </w:rPr>
        <w:t>provides</w:t>
      </w:r>
      <w:r w:rsidR="00B368E5" w:rsidRPr="000C06D7">
        <w:rPr>
          <w:rFonts w:ascii="Times New Roman" w:hAnsi="Times New Roman"/>
        </w:rPr>
        <w:t xml:space="preserve"> in part</w:t>
      </w:r>
      <w:r w:rsidRPr="000C06D7">
        <w:rPr>
          <w:rFonts w:ascii="Times New Roman" w:hAnsi="Times New Roman"/>
        </w:rPr>
        <w:t>:</w:t>
      </w:r>
    </w:p>
    <w:p w14:paraId="0C35106A" w14:textId="77777777" w:rsidR="00567B8B" w:rsidRPr="000C06D7" w:rsidRDefault="009C044D" w:rsidP="000C06D7">
      <w:pPr>
        <w:pStyle w:val="leftright"/>
        <w:spacing w:before="0" w:after="260" w:line="280" w:lineRule="exact"/>
        <w:ind w:right="0"/>
        <w:jc w:val="both"/>
        <w:rPr>
          <w:rFonts w:ascii="Times New Roman" w:hAnsi="Times New Roman"/>
        </w:rPr>
      </w:pPr>
      <w:r w:rsidRPr="000C06D7">
        <w:rPr>
          <w:rFonts w:ascii="Times New Roman" w:hAnsi="Times New Roman"/>
        </w:rPr>
        <w:t>"</w:t>
      </w:r>
      <w:r w:rsidR="00567B8B" w:rsidRPr="000C06D7">
        <w:rPr>
          <w:rFonts w:ascii="Times New Roman" w:hAnsi="Times New Roman"/>
        </w:rPr>
        <w:t xml:space="preserve">The pricing principles relating to the price of access to a service are: </w:t>
      </w:r>
    </w:p>
    <w:p w14:paraId="39874E14" w14:textId="39352B2D" w:rsidR="008B005B" w:rsidRPr="000C06D7" w:rsidRDefault="00567B8B" w:rsidP="000C06D7">
      <w:pPr>
        <w:pStyle w:val="leftright"/>
        <w:spacing w:before="0" w:after="260" w:line="280" w:lineRule="exact"/>
        <w:ind w:right="0"/>
        <w:jc w:val="both"/>
        <w:rPr>
          <w:rFonts w:ascii="Times New Roman" w:hAnsi="Times New Roman"/>
        </w:rPr>
      </w:pPr>
      <w:r w:rsidRPr="000C06D7">
        <w:rPr>
          <w:rFonts w:ascii="Times New Roman" w:hAnsi="Times New Roman"/>
        </w:rPr>
        <w:t>(a)</w:t>
      </w:r>
      <w:r w:rsidR="008B005B" w:rsidRPr="000C06D7">
        <w:rPr>
          <w:rFonts w:ascii="Times New Roman" w:hAnsi="Times New Roman"/>
        </w:rPr>
        <w:tab/>
      </w:r>
      <w:r w:rsidRPr="000C06D7">
        <w:rPr>
          <w:rFonts w:ascii="Times New Roman" w:hAnsi="Times New Roman"/>
        </w:rPr>
        <w:t xml:space="preserve">that regulated access prices should: </w:t>
      </w:r>
    </w:p>
    <w:p w14:paraId="188C9EE7" w14:textId="49D453B5" w:rsidR="008B005B" w:rsidRPr="000C06D7" w:rsidRDefault="007535DC" w:rsidP="000C06D7">
      <w:pPr>
        <w:pStyle w:val="leftright"/>
        <w:spacing w:before="0" w:after="260" w:line="280" w:lineRule="exact"/>
        <w:ind w:left="2160" w:right="0" w:hanging="1440"/>
        <w:jc w:val="both"/>
        <w:rPr>
          <w:rFonts w:ascii="Times New Roman" w:hAnsi="Times New Roman"/>
        </w:rPr>
      </w:pPr>
      <w:r w:rsidRPr="000C06D7">
        <w:rPr>
          <w:rFonts w:ascii="Times New Roman" w:hAnsi="Times New Roman"/>
        </w:rPr>
        <w:tab/>
      </w:r>
      <w:r w:rsidR="00567B8B" w:rsidRPr="000C06D7">
        <w:rPr>
          <w:rFonts w:ascii="Times New Roman" w:hAnsi="Times New Roman"/>
        </w:rPr>
        <w:t>(</w:t>
      </w:r>
      <w:proofErr w:type="spellStart"/>
      <w:r w:rsidR="00567B8B" w:rsidRPr="000C06D7">
        <w:rPr>
          <w:rFonts w:ascii="Times New Roman" w:hAnsi="Times New Roman"/>
        </w:rPr>
        <w:t>i</w:t>
      </w:r>
      <w:proofErr w:type="spellEnd"/>
      <w:r w:rsidR="00567B8B" w:rsidRPr="000C06D7">
        <w:rPr>
          <w:rFonts w:ascii="Times New Roman" w:hAnsi="Times New Roman"/>
        </w:rPr>
        <w:t>)</w:t>
      </w:r>
      <w:r w:rsidR="00445ACA" w:rsidRPr="000C06D7">
        <w:rPr>
          <w:rFonts w:ascii="Times New Roman" w:hAnsi="Times New Roman"/>
        </w:rPr>
        <w:tab/>
      </w:r>
      <w:r w:rsidR="00567B8B" w:rsidRPr="000C06D7">
        <w:rPr>
          <w:rFonts w:ascii="Times New Roman" w:hAnsi="Times New Roman"/>
        </w:rPr>
        <w:t>be set so as to generate expected revenu</w:t>
      </w:r>
      <w:r w:rsidR="000F2437" w:rsidRPr="000C06D7">
        <w:rPr>
          <w:rFonts w:ascii="Times New Roman" w:hAnsi="Times New Roman"/>
        </w:rPr>
        <w:t xml:space="preserve">e </w:t>
      </w:r>
      <w:r w:rsidR="00567B8B" w:rsidRPr="000C06D7">
        <w:rPr>
          <w:rFonts w:ascii="Times New Roman" w:hAnsi="Times New Roman"/>
        </w:rPr>
        <w:t xml:space="preserve">for a regulated service or services that is at least sufficient to meet the efficient costs of providing access to the regulated service or services; and </w:t>
      </w:r>
    </w:p>
    <w:p w14:paraId="18AD7E3C" w14:textId="1D26E704" w:rsidR="00052A83" w:rsidRPr="000C06D7" w:rsidRDefault="00445ACA" w:rsidP="000C06D7">
      <w:pPr>
        <w:pStyle w:val="leftright"/>
        <w:spacing w:before="0" w:after="260" w:line="280" w:lineRule="exact"/>
        <w:ind w:left="2160" w:right="0" w:hanging="1440"/>
        <w:jc w:val="both"/>
        <w:rPr>
          <w:rFonts w:ascii="Times New Roman" w:hAnsi="Times New Roman"/>
        </w:rPr>
      </w:pPr>
      <w:r w:rsidRPr="000C06D7">
        <w:rPr>
          <w:rFonts w:ascii="Times New Roman" w:hAnsi="Times New Roman"/>
        </w:rPr>
        <w:tab/>
      </w:r>
      <w:r w:rsidR="00567B8B" w:rsidRPr="000C06D7">
        <w:rPr>
          <w:rFonts w:ascii="Times New Roman" w:hAnsi="Times New Roman"/>
        </w:rPr>
        <w:t>(ii)</w:t>
      </w:r>
      <w:r w:rsidR="00052A83" w:rsidRPr="000C06D7">
        <w:rPr>
          <w:rFonts w:ascii="Times New Roman" w:hAnsi="Times New Roman"/>
        </w:rPr>
        <w:tab/>
      </w:r>
      <w:r w:rsidR="00567B8B" w:rsidRPr="000C06D7">
        <w:rPr>
          <w:rFonts w:ascii="Times New Roman" w:hAnsi="Times New Roman"/>
        </w:rPr>
        <w:t xml:space="preserve">include a return on investment commensurate with the regulatory and commercial risks involved; and </w:t>
      </w:r>
    </w:p>
    <w:p w14:paraId="023B40D6" w14:textId="72500B96" w:rsidR="00AD3F52" w:rsidRPr="000C06D7" w:rsidRDefault="00AD3F52" w:rsidP="000C06D7">
      <w:pPr>
        <w:pStyle w:val="leftright"/>
        <w:spacing w:before="0" w:after="260" w:line="280" w:lineRule="exact"/>
        <w:ind w:left="2160" w:right="0" w:hanging="1440"/>
        <w:jc w:val="both"/>
        <w:rPr>
          <w:rFonts w:ascii="Times New Roman" w:hAnsi="Times New Roman"/>
        </w:rPr>
      </w:pPr>
      <w:r w:rsidRPr="000C06D7">
        <w:rPr>
          <w:rFonts w:ascii="Times New Roman" w:hAnsi="Times New Roman"/>
        </w:rPr>
        <w:t>...</w:t>
      </w:r>
    </w:p>
    <w:p w14:paraId="2953EB8C" w14:textId="77777777" w:rsidR="000C06D7" w:rsidRDefault="00567B8B" w:rsidP="000C06D7">
      <w:pPr>
        <w:pStyle w:val="leftright"/>
        <w:spacing w:before="0" w:after="260" w:line="280" w:lineRule="exact"/>
        <w:ind w:left="1440" w:right="0" w:hanging="720"/>
        <w:jc w:val="both"/>
        <w:rPr>
          <w:rFonts w:ascii="Times New Roman" w:hAnsi="Times New Roman"/>
        </w:rPr>
      </w:pPr>
      <w:r w:rsidRPr="000C06D7">
        <w:rPr>
          <w:rFonts w:ascii="Times New Roman" w:hAnsi="Times New Roman"/>
        </w:rPr>
        <w:t>(c)</w:t>
      </w:r>
      <w:r w:rsidR="00D84D5F" w:rsidRPr="000C06D7">
        <w:rPr>
          <w:rFonts w:ascii="Times New Roman" w:hAnsi="Times New Roman"/>
        </w:rPr>
        <w:tab/>
      </w:r>
      <w:r w:rsidRPr="000C06D7">
        <w:rPr>
          <w:rFonts w:ascii="Times New Roman" w:hAnsi="Times New Roman"/>
        </w:rPr>
        <w:t>that access pricing regimes should provide incentives to reduce costs or otherwise improve productivity.</w:t>
      </w:r>
      <w:r w:rsidR="00D84D5F" w:rsidRPr="000C06D7">
        <w:rPr>
          <w:rFonts w:ascii="Times New Roman" w:hAnsi="Times New Roman"/>
        </w:rPr>
        <w:t>"</w:t>
      </w:r>
    </w:p>
    <w:p w14:paraId="18ED10D2" w14:textId="44891A74" w:rsidR="008628EA" w:rsidRPr="000C06D7" w:rsidRDefault="002E25D7" w:rsidP="000C06D7">
      <w:pPr>
        <w:pStyle w:val="FixListStyle"/>
        <w:spacing w:after="260" w:line="280" w:lineRule="exact"/>
        <w:ind w:right="0"/>
        <w:jc w:val="both"/>
        <w:rPr>
          <w:rFonts w:ascii="Times New Roman" w:hAnsi="Times New Roman"/>
        </w:rPr>
      </w:pPr>
      <w:r w:rsidRPr="000C06D7">
        <w:rPr>
          <w:rFonts w:ascii="Times New Roman" w:hAnsi="Times New Roman"/>
        </w:rPr>
        <w:tab/>
        <w:t xml:space="preserve">The </w:t>
      </w:r>
      <w:r w:rsidR="0019664F" w:rsidRPr="000C06D7">
        <w:rPr>
          <w:rFonts w:ascii="Times New Roman" w:hAnsi="Times New Roman"/>
        </w:rPr>
        <w:t xml:space="preserve">final </w:t>
      </w:r>
      <w:r w:rsidRPr="000C06D7">
        <w:rPr>
          <w:rFonts w:ascii="Times New Roman" w:hAnsi="Times New Roman"/>
        </w:rPr>
        <w:t xml:space="preserve">determination </w:t>
      </w:r>
      <w:r w:rsidR="00CC56A9" w:rsidRPr="000C06D7">
        <w:rPr>
          <w:rFonts w:ascii="Times New Roman" w:hAnsi="Times New Roman"/>
        </w:rPr>
        <w:t>made</w:t>
      </w:r>
      <w:r w:rsidR="0019664F" w:rsidRPr="000C06D7">
        <w:rPr>
          <w:rFonts w:ascii="Times New Roman" w:hAnsi="Times New Roman"/>
        </w:rPr>
        <w:t xml:space="preserve"> </w:t>
      </w:r>
      <w:r w:rsidR="00CC56A9" w:rsidRPr="000C06D7">
        <w:rPr>
          <w:rFonts w:ascii="Times New Roman" w:hAnsi="Times New Roman"/>
        </w:rPr>
        <w:t xml:space="preserve">by </w:t>
      </w:r>
      <w:r w:rsidR="0019664F" w:rsidRPr="000C06D7">
        <w:rPr>
          <w:rFonts w:ascii="Times New Roman" w:hAnsi="Times New Roman"/>
        </w:rPr>
        <w:t xml:space="preserve">the </w:t>
      </w:r>
      <w:r w:rsidR="00496EA8" w:rsidRPr="000C06D7">
        <w:rPr>
          <w:rFonts w:ascii="Times New Roman" w:hAnsi="Times New Roman"/>
        </w:rPr>
        <w:t>ACCC</w:t>
      </w:r>
      <w:r w:rsidR="0019664F" w:rsidRPr="000C06D7">
        <w:rPr>
          <w:rFonts w:ascii="Times New Roman" w:hAnsi="Times New Roman"/>
        </w:rPr>
        <w:t xml:space="preserve"> </w:t>
      </w:r>
      <w:r w:rsidR="00EF33C8" w:rsidRPr="000C06D7">
        <w:rPr>
          <w:rFonts w:ascii="Times New Roman" w:hAnsi="Times New Roman"/>
        </w:rPr>
        <w:t xml:space="preserve">is subject to review by the Tribunal </w:t>
      </w:r>
      <w:r w:rsidR="00231367" w:rsidRPr="000C06D7">
        <w:rPr>
          <w:rFonts w:ascii="Times New Roman" w:hAnsi="Times New Roman"/>
        </w:rPr>
        <w:t xml:space="preserve">at the </w:t>
      </w:r>
      <w:r w:rsidR="005E5C2A" w:rsidRPr="000C06D7">
        <w:rPr>
          <w:rFonts w:ascii="Times New Roman" w:hAnsi="Times New Roman"/>
        </w:rPr>
        <w:t xml:space="preserve">request </w:t>
      </w:r>
      <w:r w:rsidR="00231367" w:rsidRPr="000C06D7">
        <w:rPr>
          <w:rFonts w:ascii="Times New Roman" w:hAnsi="Times New Roman"/>
        </w:rPr>
        <w:t>of any party</w:t>
      </w:r>
      <w:r w:rsidR="00C713E3" w:rsidRPr="000C06D7">
        <w:rPr>
          <w:rFonts w:ascii="Times New Roman" w:hAnsi="Times New Roman"/>
        </w:rPr>
        <w:t xml:space="preserve"> to the arbitration</w:t>
      </w:r>
      <w:r w:rsidR="00BB39B3" w:rsidRPr="000C06D7">
        <w:rPr>
          <w:rStyle w:val="FootnoteReference"/>
          <w:rFonts w:ascii="Times New Roman" w:hAnsi="Times New Roman"/>
          <w:sz w:val="24"/>
        </w:rPr>
        <w:footnoteReference w:id="41"/>
      </w:r>
      <w:r w:rsidR="00BB39B3" w:rsidRPr="000C06D7">
        <w:rPr>
          <w:rFonts w:ascii="Times New Roman" w:hAnsi="Times New Roman"/>
        </w:rPr>
        <w:t xml:space="preserve">. The review </w:t>
      </w:r>
      <w:r w:rsidR="001D7A1D" w:rsidRPr="000C06D7">
        <w:rPr>
          <w:rFonts w:ascii="Times New Roman" w:hAnsi="Times New Roman"/>
        </w:rPr>
        <w:t xml:space="preserve">by the Tribunal </w:t>
      </w:r>
      <w:r w:rsidR="00BB39B3" w:rsidRPr="000C06D7">
        <w:rPr>
          <w:rFonts w:ascii="Times New Roman" w:hAnsi="Times New Roman"/>
        </w:rPr>
        <w:t xml:space="preserve">is </w:t>
      </w:r>
      <w:r w:rsidR="005332F6" w:rsidRPr="000C06D7">
        <w:rPr>
          <w:rFonts w:ascii="Times New Roman" w:hAnsi="Times New Roman"/>
        </w:rPr>
        <w:t>"</w:t>
      </w:r>
      <w:r w:rsidR="00BB39B3" w:rsidRPr="000C06D7">
        <w:rPr>
          <w:rFonts w:ascii="Times New Roman" w:hAnsi="Times New Roman"/>
        </w:rPr>
        <w:t xml:space="preserve">a </w:t>
      </w:r>
      <w:r w:rsidR="005332F6" w:rsidRPr="000C06D7">
        <w:rPr>
          <w:rFonts w:ascii="Times New Roman" w:hAnsi="Times New Roman"/>
        </w:rPr>
        <w:t>re-arbitration of the access dispute"</w:t>
      </w:r>
      <w:r w:rsidR="00B51F85" w:rsidRPr="000C06D7">
        <w:rPr>
          <w:rFonts w:ascii="Times New Roman" w:hAnsi="Times New Roman"/>
        </w:rPr>
        <w:t>,</w:t>
      </w:r>
      <w:r w:rsidR="001C2470" w:rsidRPr="000C06D7">
        <w:rPr>
          <w:rFonts w:ascii="Times New Roman" w:hAnsi="Times New Roman"/>
        </w:rPr>
        <w:t xml:space="preserve"> </w:t>
      </w:r>
      <w:r w:rsidR="000B6305" w:rsidRPr="000C06D7">
        <w:rPr>
          <w:rFonts w:ascii="Times New Roman" w:hAnsi="Times New Roman"/>
        </w:rPr>
        <w:t xml:space="preserve">for the purposes </w:t>
      </w:r>
      <w:r w:rsidR="00CE3312" w:rsidRPr="000C06D7">
        <w:rPr>
          <w:rFonts w:ascii="Times New Roman" w:hAnsi="Times New Roman"/>
        </w:rPr>
        <w:t xml:space="preserve">of which the Tribunal </w:t>
      </w:r>
      <w:r w:rsidR="00CE3312" w:rsidRPr="000C06D7">
        <w:rPr>
          <w:rFonts w:ascii="Times New Roman" w:hAnsi="Times New Roman"/>
        </w:rPr>
        <w:lastRenderedPageBreak/>
        <w:t>has the same powers as the ACCC</w:t>
      </w:r>
      <w:r w:rsidR="00487FA0" w:rsidRPr="000C06D7">
        <w:rPr>
          <w:rStyle w:val="FootnoteReference"/>
          <w:rFonts w:ascii="Times New Roman" w:hAnsi="Times New Roman"/>
          <w:sz w:val="24"/>
        </w:rPr>
        <w:footnoteReference w:id="42"/>
      </w:r>
      <w:r w:rsidR="00487FA0" w:rsidRPr="000C06D7">
        <w:rPr>
          <w:rFonts w:ascii="Times New Roman" w:hAnsi="Times New Roman"/>
        </w:rPr>
        <w:t xml:space="preserve">. </w:t>
      </w:r>
      <w:r w:rsidR="001C2470" w:rsidRPr="000C06D7">
        <w:rPr>
          <w:rFonts w:ascii="Times New Roman" w:hAnsi="Times New Roman"/>
        </w:rPr>
        <w:t>The result of the review is a decision of</w:t>
      </w:r>
      <w:r w:rsidR="00625E16" w:rsidRPr="000C06D7">
        <w:rPr>
          <w:rFonts w:ascii="Times New Roman" w:hAnsi="Times New Roman"/>
        </w:rPr>
        <w:t xml:space="preserve"> the Tribunal</w:t>
      </w:r>
      <w:r w:rsidR="007C34D9" w:rsidRPr="000C06D7">
        <w:rPr>
          <w:rFonts w:ascii="Times New Roman" w:hAnsi="Times New Roman"/>
        </w:rPr>
        <w:t>,</w:t>
      </w:r>
      <w:r w:rsidR="00625E16" w:rsidRPr="000C06D7">
        <w:rPr>
          <w:rFonts w:ascii="Times New Roman" w:hAnsi="Times New Roman"/>
        </w:rPr>
        <w:t xml:space="preserve"> either affirm</w:t>
      </w:r>
      <w:r w:rsidR="00211436" w:rsidRPr="000C06D7">
        <w:rPr>
          <w:rFonts w:ascii="Times New Roman" w:hAnsi="Times New Roman"/>
        </w:rPr>
        <w:t>ing</w:t>
      </w:r>
      <w:r w:rsidR="00625E16" w:rsidRPr="000C06D7">
        <w:rPr>
          <w:rFonts w:ascii="Times New Roman" w:hAnsi="Times New Roman"/>
        </w:rPr>
        <w:t xml:space="preserve"> or var</w:t>
      </w:r>
      <w:r w:rsidR="00211436" w:rsidRPr="000C06D7">
        <w:rPr>
          <w:rFonts w:ascii="Times New Roman" w:hAnsi="Times New Roman"/>
        </w:rPr>
        <w:t>ying</w:t>
      </w:r>
      <w:r w:rsidR="00625E16" w:rsidRPr="000C06D7">
        <w:rPr>
          <w:rFonts w:ascii="Times New Roman" w:hAnsi="Times New Roman"/>
        </w:rPr>
        <w:t xml:space="preserve"> the </w:t>
      </w:r>
      <w:r w:rsidR="00FF0623" w:rsidRPr="000C06D7">
        <w:rPr>
          <w:rFonts w:ascii="Times New Roman" w:hAnsi="Times New Roman"/>
        </w:rPr>
        <w:t>final determination</w:t>
      </w:r>
      <w:r w:rsidR="00585DAB" w:rsidRPr="000C06D7">
        <w:rPr>
          <w:rStyle w:val="FootnoteReference"/>
          <w:rFonts w:ascii="Times New Roman" w:hAnsi="Times New Roman"/>
          <w:sz w:val="24"/>
        </w:rPr>
        <w:footnoteReference w:id="43"/>
      </w:r>
      <w:r w:rsidR="005332F6" w:rsidRPr="000C06D7">
        <w:rPr>
          <w:rFonts w:ascii="Times New Roman" w:hAnsi="Times New Roman"/>
        </w:rPr>
        <w:t>.</w:t>
      </w:r>
      <w:r w:rsidR="00475B9B" w:rsidRPr="000C06D7">
        <w:rPr>
          <w:rFonts w:ascii="Times New Roman" w:hAnsi="Times New Roman"/>
        </w:rPr>
        <w:t xml:space="preserve"> </w:t>
      </w:r>
    </w:p>
    <w:p w14:paraId="78EBCB26" w14:textId="5D602388" w:rsidR="00923D15" w:rsidRPr="000C06D7" w:rsidRDefault="008628EA"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923D15" w:rsidRPr="000C06D7">
        <w:rPr>
          <w:rFonts w:ascii="Times New Roman" w:hAnsi="Times New Roman"/>
        </w:rPr>
        <w:t>The final determination</w:t>
      </w:r>
      <w:r w:rsidR="004E158E" w:rsidRPr="000C06D7">
        <w:rPr>
          <w:rFonts w:ascii="Times New Roman" w:hAnsi="Times New Roman"/>
        </w:rPr>
        <w:t>,</w:t>
      </w:r>
      <w:r w:rsidR="00CC56A9" w:rsidRPr="000C06D7">
        <w:rPr>
          <w:rFonts w:ascii="Times New Roman" w:hAnsi="Times New Roman"/>
        </w:rPr>
        <w:t xml:space="preserve"> </w:t>
      </w:r>
      <w:r w:rsidR="00923D15" w:rsidRPr="000C06D7">
        <w:rPr>
          <w:rFonts w:ascii="Times New Roman" w:hAnsi="Times New Roman"/>
        </w:rPr>
        <w:t>as</w:t>
      </w:r>
      <w:r w:rsidR="00496EA8" w:rsidRPr="000C06D7">
        <w:rPr>
          <w:rFonts w:ascii="Times New Roman" w:hAnsi="Times New Roman"/>
        </w:rPr>
        <w:t xml:space="preserve"> </w:t>
      </w:r>
      <w:r w:rsidR="00923D15" w:rsidRPr="000C06D7">
        <w:rPr>
          <w:rFonts w:ascii="Times New Roman" w:hAnsi="Times New Roman"/>
        </w:rPr>
        <w:t xml:space="preserve">made by the </w:t>
      </w:r>
      <w:r w:rsidR="00496EA8" w:rsidRPr="000C06D7">
        <w:rPr>
          <w:rFonts w:ascii="Times New Roman" w:hAnsi="Times New Roman"/>
        </w:rPr>
        <w:t>ACCC</w:t>
      </w:r>
      <w:r w:rsidR="00923D15" w:rsidRPr="000C06D7">
        <w:rPr>
          <w:rFonts w:ascii="Times New Roman" w:hAnsi="Times New Roman"/>
        </w:rPr>
        <w:t xml:space="preserve"> </w:t>
      </w:r>
      <w:r w:rsidR="004E158E" w:rsidRPr="000C06D7">
        <w:rPr>
          <w:rFonts w:ascii="Times New Roman" w:hAnsi="Times New Roman"/>
        </w:rPr>
        <w:t>or</w:t>
      </w:r>
      <w:r w:rsidR="008723B6" w:rsidRPr="000C06D7">
        <w:rPr>
          <w:rFonts w:ascii="Times New Roman" w:hAnsi="Times New Roman"/>
        </w:rPr>
        <w:t xml:space="preserve"> as it might be </w:t>
      </w:r>
      <w:r w:rsidR="00923D15" w:rsidRPr="000C06D7">
        <w:rPr>
          <w:rFonts w:ascii="Times New Roman" w:hAnsi="Times New Roman"/>
        </w:rPr>
        <w:t>affirmed or varied by the Tribunal</w:t>
      </w:r>
      <w:r w:rsidR="00F7333B" w:rsidRPr="000C06D7">
        <w:rPr>
          <w:rFonts w:ascii="Times New Roman" w:hAnsi="Times New Roman"/>
        </w:rPr>
        <w:t xml:space="preserve"> on review</w:t>
      </w:r>
      <w:r w:rsidR="00923D15" w:rsidRPr="000C06D7">
        <w:rPr>
          <w:rFonts w:ascii="Times New Roman" w:hAnsi="Times New Roman"/>
        </w:rPr>
        <w:t xml:space="preserve">, </w:t>
      </w:r>
      <w:r w:rsidR="00921414" w:rsidRPr="000C06D7">
        <w:rPr>
          <w:rFonts w:ascii="Times New Roman" w:hAnsi="Times New Roman"/>
        </w:rPr>
        <w:t xml:space="preserve">operates to bind </w:t>
      </w:r>
      <w:r w:rsidR="009B14DF" w:rsidRPr="000C06D7">
        <w:rPr>
          <w:rFonts w:ascii="Times New Roman" w:hAnsi="Times New Roman"/>
        </w:rPr>
        <w:t xml:space="preserve">the parties to </w:t>
      </w:r>
      <w:r w:rsidR="005E6D2A" w:rsidRPr="000C06D7">
        <w:rPr>
          <w:rFonts w:ascii="Times New Roman" w:hAnsi="Times New Roman"/>
        </w:rPr>
        <w:t>the arbitration</w:t>
      </w:r>
      <w:r w:rsidR="009B14DF" w:rsidRPr="000C06D7">
        <w:rPr>
          <w:rFonts w:ascii="Times New Roman" w:hAnsi="Times New Roman"/>
        </w:rPr>
        <w:t xml:space="preserve"> </w:t>
      </w:r>
      <w:r w:rsidR="00923D15" w:rsidRPr="000C06D7">
        <w:rPr>
          <w:rFonts w:ascii="Times New Roman" w:hAnsi="Times New Roman"/>
        </w:rPr>
        <w:t>for the period specified in the determination</w:t>
      </w:r>
      <w:r w:rsidR="00923D15" w:rsidRPr="000C06D7">
        <w:rPr>
          <w:rStyle w:val="FootnoteReference"/>
          <w:rFonts w:ascii="Times New Roman" w:hAnsi="Times New Roman"/>
          <w:sz w:val="24"/>
        </w:rPr>
        <w:footnoteReference w:id="44"/>
      </w:r>
      <w:r w:rsidR="005213D9" w:rsidRPr="000C06D7">
        <w:rPr>
          <w:rFonts w:ascii="Times New Roman" w:hAnsi="Times New Roman"/>
        </w:rPr>
        <w:t xml:space="preserve">, </w:t>
      </w:r>
      <w:r w:rsidR="008A27D6" w:rsidRPr="000C06D7">
        <w:rPr>
          <w:rFonts w:ascii="Times New Roman" w:hAnsi="Times New Roman"/>
        </w:rPr>
        <w:t>subject to variation by consent</w:t>
      </w:r>
      <w:r w:rsidR="00923D15" w:rsidRPr="000C06D7">
        <w:rPr>
          <w:rStyle w:val="FootnoteReference"/>
          <w:rFonts w:ascii="Times New Roman" w:hAnsi="Times New Roman"/>
          <w:sz w:val="24"/>
        </w:rPr>
        <w:footnoteReference w:id="45"/>
      </w:r>
      <w:r w:rsidR="005213D9" w:rsidRPr="000C06D7">
        <w:rPr>
          <w:rFonts w:ascii="Times New Roman" w:hAnsi="Times New Roman"/>
        </w:rPr>
        <w:t xml:space="preserve">, </w:t>
      </w:r>
      <w:r w:rsidR="00923D15" w:rsidRPr="000C06D7">
        <w:rPr>
          <w:rFonts w:ascii="Times New Roman" w:hAnsi="Times New Roman"/>
        </w:rPr>
        <w:t xml:space="preserve">and must be recorded in a public register maintained by the </w:t>
      </w:r>
      <w:r w:rsidR="006C4D29" w:rsidRPr="000C06D7">
        <w:rPr>
          <w:rFonts w:ascii="Times New Roman" w:hAnsi="Times New Roman"/>
        </w:rPr>
        <w:t>ACCC</w:t>
      </w:r>
      <w:r w:rsidR="00923D15" w:rsidRPr="000C06D7">
        <w:rPr>
          <w:rStyle w:val="FootnoteReference"/>
          <w:rFonts w:ascii="Times New Roman" w:hAnsi="Times New Roman"/>
          <w:sz w:val="24"/>
        </w:rPr>
        <w:footnoteReference w:id="46"/>
      </w:r>
      <w:r w:rsidR="00923D15" w:rsidRPr="000C06D7">
        <w:rPr>
          <w:rFonts w:ascii="Times New Roman" w:hAnsi="Times New Roman"/>
        </w:rPr>
        <w:t>.</w:t>
      </w:r>
    </w:p>
    <w:p w14:paraId="7817CF12" w14:textId="36964CA7" w:rsidR="004E4032" w:rsidRPr="000C06D7" w:rsidRDefault="00923D15"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072CCB" w:rsidRPr="000C06D7">
        <w:rPr>
          <w:rFonts w:ascii="Times New Roman" w:hAnsi="Times New Roman"/>
        </w:rPr>
        <w:t xml:space="preserve">A party </w:t>
      </w:r>
      <w:r w:rsidR="0055440E" w:rsidRPr="000C06D7">
        <w:rPr>
          <w:rFonts w:ascii="Times New Roman" w:hAnsi="Times New Roman"/>
        </w:rPr>
        <w:t xml:space="preserve">to </w:t>
      </w:r>
      <w:r w:rsidR="00FC35B6" w:rsidRPr="000C06D7">
        <w:rPr>
          <w:rFonts w:ascii="Times New Roman" w:hAnsi="Times New Roman"/>
        </w:rPr>
        <w:t>a</w:t>
      </w:r>
      <w:r w:rsidR="00506EA3" w:rsidRPr="000C06D7">
        <w:rPr>
          <w:rFonts w:ascii="Times New Roman" w:hAnsi="Times New Roman"/>
        </w:rPr>
        <w:t xml:space="preserve"> final</w:t>
      </w:r>
      <w:r w:rsidR="00FC35B6" w:rsidRPr="000C06D7">
        <w:rPr>
          <w:rFonts w:ascii="Times New Roman" w:hAnsi="Times New Roman"/>
        </w:rPr>
        <w:t xml:space="preserve"> </w:t>
      </w:r>
      <w:r w:rsidR="0055440E" w:rsidRPr="000C06D7">
        <w:rPr>
          <w:rFonts w:ascii="Times New Roman" w:hAnsi="Times New Roman"/>
        </w:rPr>
        <w:t xml:space="preserve">determination </w:t>
      </w:r>
      <w:r w:rsidR="000D50E8" w:rsidRPr="000C06D7">
        <w:rPr>
          <w:rFonts w:ascii="Times New Roman" w:hAnsi="Times New Roman"/>
        </w:rPr>
        <w:t xml:space="preserve">that has been affirmed or varied by the Tribunal on review </w:t>
      </w:r>
      <w:r w:rsidR="00427CA0" w:rsidRPr="000C06D7">
        <w:rPr>
          <w:rFonts w:ascii="Times New Roman" w:hAnsi="Times New Roman"/>
        </w:rPr>
        <w:t>has a right to</w:t>
      </w:r>
      <w:r w:rsidR="004D3917" w:rsidRPr="000C06D7">
        <w:rPr>
          <w:rFonts w:ascii="Times New Roman" w:hAnsi="Times New Roman"/>
        </w:rPr>
        <w:t xml:space="preserve"> "</w:t>
      </w:r>
      <w:r w:rsidR="00714F34" w:rsidRPr="000C06D7">
        <w:rPr>
          <w:rFonts w:ascii="Times New Roman" w:hAnsi="Times New Roman"/>
        </w:rPr>
        <w:t>appeal</w:t>
      </w:r>
      <w:r w:rsidR="004D3917" w:rsidRPr="000C06D7">
        <w:rPr>
          <w:rFonts w:ascii="Times New Roman" w:hAnsi="Times New Roman"/>
        </w:rPr>
        <w:t>"</w:t>
      </w:r>
      <w:r w:rsidR="00714F34" w:rsidRPr="000C06D7">
        <w:rPr>
          <w:rFonts w:ascii="Times New Roman" w:hAnsi="Times New Roman"/>
        </w:rPr>
        <w:t xml:space="preserve"> to the Federal </w:t>
      </w:r>
      <w:r w:rsidR="00882C52" w:rsidRPr="000C06D7">
        <w:rPr>
          <w:rFonts w:ascii="Times New Roman" w:hAnsi="Times New Roman"/>
        </w:rPr>
        <w:t xml:space="preserve">Court from </w:t>
      </w:r>
      <w:r w:rsidR="006C4D29" w:rsidRPr="000C06D7">
        <w:rPr>
          <w:rFonts w:ascii="Times New Roman" w:hAnsi="Times New Roman"/>
        </w:rPr>
        <w:t>the</w:t>
      </w:r>
      <w:r w:rsidR="00882C52" w:rsidRPr="000C06D7">
        <w:rPr>
          <w:rFonts w:ascii="Times New Roman" w:hAnsi="Times New Roman"/>
        </w:rPr>
        <w:t xml:space="preserve"> decision of the Tribunal</w:t>
      </w:r>
      <w:r w:rsidR="00882C52" w:rsidRPr="000C06D7">
        <w:rPr>
          <w:rStyle w:val="FootnoteReference"/>
          <w:rFonts w:ascii="Times New Roman" w:hAnsi="Times New Roman"/>
          <w:sz w:val="24"/>
        </w:rPr>
        <w:footnoteReference w:id="47"/>
      </w:r>
      <w:r w:rsidR="00882C52" w:rsidRPr="000C06D7">
        <w:rPr>
          <w:rFonts w:ascii="Times New Roman" w:hAnsi="Times New Roman"/>
        </w:rPr>
        <w:t>. Th</w:t>
      </w:r>
      <w:r w:rsidR="008A44CD" w:rsidRPr="000C06D7">
        <w:rPr>
          <w:rFonts w:ascii="Times New Roman" w:hAnsi="Times New Roman"/>
        </w:rPr>
        <w:t>at</w:t>
      </w:r>
      <w:r w:rsidR="00882C52" w:rsidRPr="000C06D7">
        <w:rPr>
          <w:rFonts w:ascii="Times New Roman" w:hAnsi="Times New Roman"/>
        </w:rPr>
        <w:t xml:space="preserve"> "appeal", which is in truth a proceeding in the original jurisdiction of th</w:t>
      </w:r>
      <w:r w:rsidR="00957B14" w:rsidRPr="000C06D7">
        <w:rPr>
          <w:rFonts w:ascii="Times New Roman" w:hAnsi="Times New Roman"/>
        </w:rPr>
        <w:t>e Federal</w:t>
      </w:r>
      <w:r w:rsidR="00882C52" w:rsidRPr="000C06D7">
        <w:rPr>
          <w:rFonts w:ascii="Times New Roman" w:hAnsi="Times New Roman"/>
        </w:rPr>
        <w:t xml:space="preserve"> Court</w:t>
      </w:r>
      <w:r w:rsidR="008A44CD" w:rsidRPr="000C06D7">
        <w:rPr>
          <w:rStyle w:val="FootnoteReference"/>
          <w:rFonts w:ascii="Times New Roman" w:hAnsi="Times New Roman"/>
          <w:sz w:val="24"/>
        </w:rPr>
        <w:footnoteReference w:id="48"/>
      </w:r>
      <w:r w:rsidR="00882C52" w:rsidRPr="000C06D7">
        <w:rPr>
          <w:rFonts w:ascii="Times New Roman" w:hAnsi="Times New Roman"/>
        </w:rPr>
        <w:t xml:space="preserve">, </w:t>
      </w:r>
      <w:r w:rsidR="000A6D7F" w:rsidRPr="000C06D7">
        <w:rPr>
          <w:rFonts w:ascii="Times New Roman" w:hAnsi="Times New Roman"/>
        </w:rPr>
        <w:t>i</w:t>
      </w:r>
      <w:r w:rsidR="00D42AF6" w:rsidRPr="000C06D7">
        <w:rPr>
          <w:rFonts w:ascii="Times New Roman" w:hAnsi="Times New Roman"/>
        </w:rPr>
        <w:t>s</w:t>
      </w:r>
      <w:r w:rsidR="000A6D7F" w:rsidRPr="000C06D7">
        <w:rPr>
          <w:rFonts w:ascii="Times New Roman" w:hAnsi="Times New Roman"/>
        </w:rPr>
        <w:t xml:space="preserve"> "on" and therefore limited to "a question of law"</w:t>
      </w:r>
      <w:r w:rsidR="00427CA0" w:rsidRPr="000C06D7">
        <w:rPr>
          <w:rStyle w:val="FootnoteReference"/>
          <w:rFonts w:ascii="Times New Roman" w:hAnsi="Times New Roman"/>
          <w:sz w:val="24"/>
        </w:rPr>
        <w:footnoteReference w:id="49"/>
      </w:r>
      <w:r w:rsidR="000A6D7F" w:rsidRPr="000C06D7">
        <w:rPr>
          <w:rFonts w:ascii="Times New Roman" w:hAnsi="Times New Roman"/>
        </w:rPr>
        <w:t>.</w:t>
      </w:r>
      <w:r w:rsidR="00C2011B" w:rsidRPr="000C06D7">
        <w:rPr>
          <w:rFonts w:ascii="Times New Roman" w:hAnsi="Times New Roman"/>
        </w:rPr>
        <w:t xml:space="preserve"> A question of law on an appeal can include a question about whether the decision of the Tribunal </w:t>
      </w:r>
      <w:r w:rsidR="00DC35C2" w:rsidRPr="000C06D7">
        <w:rPr>
          <w:rFonts w:ascii="Times New Roman" w:hAnsi="Times New Roman"/>
        </w:rPr>
        <w:t>to make the final determination</w:t>
      </w:r>
      <w:r w:rsidR="00C2011B" w:rsidRPr="000C06D7">
        <w:rPr>
          <w:rFonts w:ascii="Times New Roman" w:hAnsi="Times New Roman"/>
        </w:rPr>
        <w:t xml:space="preserve"> was arrived at by a process of reasoning that was compliant with s</w:t>
      </w:r>
      <w:r w:rsidR="00375DF8" w:rsidRPr="000C06D7">
        <w:rPr>
          <w:rFonts w:ascii="Times New Roman" w:hAnsi="Times New Roman"/>
        </w:rPr>
        <w:t> </w:t>
      </w:r>
      <w:r w:rsidR="00C2011B" w:rsidRPr="000C06D7">
        <w:rPr>
          <w:rFonts w:ascii="Times New Roman" w:hAnsi="Times New Roman"/>
        </w:rPr>
        <w:t>44X(1).</w:t>
      </w:r>
    </w:p>
    <w:p w14:paraId="0AACD6EF" w14:textId="1AD654B5" w:rsidR="00110CA4" w:rsidRPr="000C06D7" w:rsidRDefault="00110CA4"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7C7986" w:rsidRPr="000C06D7">
        <w:rPr>
          <w:rFonts w:ascii="Times New Roman" w:hAnsi="Times New Roman"/>
        </w:rPr>
        <w:t xml:space="preserve">The final </w:t>
      </w:r>
      <w:r w:rsidR="00E03DCA" w:rsidRPr="000C06D7">
        <w:rPr>
          <w:rFonts w:ascii="Times New Roman" w:hAnsi="Times New Roman"/>
        </w:rPr>
        <w:t>aspect of</w:t>
      </w:r>
      <w:r w:rsidR="007C7986" w:rsidRPr="000C06D7">
        <w:rPr>
          <w:rFonts w:ascii="Times New Roman" w:hAnsi="Times New Roman"/>
        </w:rPr>
        <w:t xml:space="preserve"> the scheme of </w:t>
      </w:r>
      <w:r w:rsidR="00E03DCA" w:rsidRPr="000C06D7">
        <w:rPr>
          <w:rFonts w:ascii="Times New Roman" w:hAnsi="Times New Roman"/>
        </w:rPr>
        <w:t>Pt IIIA to be noted is t</w:t>
      </w:r>
      <w:r w:rsidR="008D6C55" w:rsidRPr="000C06D7">
        <w:rPr>
          <w:rFonts w:ascii="Times New Roman" w:hAnsi="Times New Roman"/>
        </w:rPr>
        <w:t xml:space="preserve">he </w:t>
      </w:r>
      <w:r w:rsidR="00E631E0" w:rsidRPr="000C06D7">
        <w:rPr>
          <w:rFonts w:ascii="Times New Roman" w:hAnsi="Times New Roman"/>
        </w:rPr>
        <w:t>power</w:t>
      </w:r>
      <w:r w:rsidR="00E631E0" w:rsidRPr="000C06D7">
        <w:rPr>
          <w:rStyle w:val="FootnoteReference"/>
          <w:rFonts w:ascii="Times New Roman" w:hAnsi="Times New Roman"/>
          <w:sz w:val="24"/>
        </w:rPr>
        <w:footnoteReference w:id="50"/>
      </w:r>
      <w:r w:rsidR="00E631E0" w:rsidRPr="000C06D7">
        <w:rPr>
          <w:rFonts w:ascii="Times New Roman" w:hAnsi="Times New Roman"/>
        </w:rPr>
        <w:t xml:space="preserve"> and </w:t>
      </w:r>
      <w:r w:rsidR="00C16483" w:rsidRPr="000C06D7">
        <w:rPr>
          <w:rFonts w:ascii="Times New Roman" w:hAnsi="Times New Roman"/>
        </w:rPr>
        <w:t>jurisdiction</w:t>
      </w:r>
      <w:r w:rsidR="00E631E0" w:rsidRPr="000C06D7">
        <w:rPr>
          <w:rStyle w:val="FootnoteReference"/>
          <w:rFonts w:ascii="Times New Roman" w:hAnsi="Times New Roman"/>
          <w:sz w:val="24"/>
        </w:rPr>
        <w:footnoteReference w:id="51"/>
      </w:r>
      <w:r w:rsidR="00C16483" w:rsidRPr="000C06D7">
        <w:rPr>
          <w:rFonts w:ascii="Times New Roman" w:hAnsi="Times New Roman"/>
        </w:rPr>
        <w:t xml:space="preserve"> </w:t>
      </w:r>
      <w:r w:rsidR="00F270EA" w:rsidRPr="000C06D7">
        <w:rPr>
          <w:rFonts w:ascii="Times New Roman" w:hAnsi="Times New Roman"/>
        </w:rPr>
        <w:t xml:space="preserve">conferred on </w:t>
      </w:r>
      <w:r w:rsidR="00C16483" w:rsidRPr="000C06D7">
        <w:rPr>
          <w:rFonts w:ascii="Times New Roman" w:hAnsi="Times New Roman"/>
        </w:rPr>
        <w:t xml:space="preserve">the </w:t>
      </w:r>
      <w:r w:rsidR="008D6C55" w:rsidRPr="000C06D7">
        <w:rPr>
          <w:rFonts w:ascii="Times New Roman" w:hAnsi="Times New Roman"/>
        </w:rPr>
        <w:t>Federal Court</w:t>
      </w:r>
      <w:r w:rsidR="00A600F5" w:rsidRPr="000C06D7">
        <w:rPr>
          <w:rFonts w:ascii="Times New Roman" w:hAnsi="Times New Roman"/>
        </w:rPr>
        <w:t xml:space="preserve"> to enforce</w:t>
      </w:r>
      <w:r w:rsidR="00D1213D" w:rsidRPr="000C06D7">
        <w:rPr>
          <w:rFonts w:ascii="Times New Roman" w:hAnsi="Times New Roman"/>
        </w:rPr>
        <w:t xml:space="preserve"> a </w:t>
      </w:r>
      <w:r w:rsidR="00F270EA" w:rsidRPr="000C06D7">
        <w:rPr>
          <w:rFonts w:ascii="Times New Roman" w:hAnsi="Times New Roman"/>
        </w:rPr>
        <w:t xml:space="preserve">final </w:t>
      </w:r>
      <w:r w:rsidR="00D1213D" w:rsidRPr="000C06D7">
        <w:rPr>
          <w:rFonts w:ascii="Times New Roman" w:hAnsi="Times New Roman"/>
        </w:rPr>
        <w:t>determination</w:t>
      </w:r>
      <w:r w:rsidR="001E4A9C" w:rsidRPr="000C06D7">
        <w:rPr>
          <w:rFonts w:ascii="Times New Roman" w:hAnsi="Times New Roman"/>
        </w:rPr>
        <w:t xml:space="preserve">. </w:t>
      </w:r>
      <w:r w:rsidR="00751C0B" w:rsidRPr="000C06D7">
        <w:rPr>
          <w:rFonts w:ascii="Times New Roman" w:hAnsi="Times New Roman"/>
        </w:rPr>
        <w:t>O</w:t>
      </w:r>
      <w:r w:rsidR="009E44E8" w:rsidRPr="000C06D7">
        <w:rPr>
          <w:rFonts w:ascii="Times New Roman" w:hAnsi="Times New Roman"/>
        </w:rPr>
        <w:t xml:space="preserve">n </w:t>
      </w:r>
      <w:r w:rsidR="001E30FA" w:rsidRPr="000C06D7">
        <w:rPr>
          <w:rFonts w:ascii="Times New Roman" w:hAnsi="Times New Roman"/>
        </w:rPr>
        <w:t xml:space="preserve">the </w:t>
      </w:r>
      <w:r w:rsidR="009E44E8" w:rsidRPr="000C06D7">
        <w:rPr>
          <w:rFonts w:ascii="Times New Roman" w:hAnsi="Times New Roman"/>
        </w:rPr>
        <w:t>application of a party to the determination,</w:t>
      </w:r>
      <w:r w:rsidR="00751C0B" w:rsidRPr="000C06D7">
        <w:rPr>
          <w:rFonts w:ascii="Times New Roman" w:hAnsi="Times New Roman"/>
        </w:rPr>
        <w:t xml:space="preserve"> t</w:t>
      </w:r>
      <w:r w:rsidR="00CB2C69" w:rsidRPr="000C06D7">
        <w:rPr>
          <w:rFonts w:ascii="Times New Roman" w:hAnsi="Times New Roman"/>
        </w:rPr>
        <w:t xml:space="preserve">he </w:t>
      </w:r>
      <w:r w:rsidR="009E44E8" w:rsidRPr="000C06D7">
        <w:rPr>
          <w:rFonts w:ascii="Times New Roman" w:hAnsi="Times New Roman"/>
        </w:rPr>
        <w:t>Federal Court can enforce</w:t>
      </w:r>
      <w:r w:rsidR="00C16483" w:rsidRPr="000C06D7">
        <w:rPr>
          <w:rFonts w:ascii="Times New Roman" w:hAnsi="Times New Roman"/>
        </w:rPr>
        <w:t xml:space="preserve"> </w:t>
      </w:r>
      <w:r w:rsidR="009E44E8" w:rsidRPr="000C06D7">
        <w:rPr>
          <w:rFonts w:ascii="Times New Roman" w:hAnsi="Times New Roman"/>
        </w:rPr>
        <w:t xml:space="preserve">the </w:t>
      </w:r>
      <w:r w:rsidR="009E44E8" w:rsidRPr="000C06D7">
        <w:rPr>
          <w:rFonts w:ascii="Times New Roman" w:hAnsi="Times New Roman"/>
        </w:rPr>
        <w:lastRenderedPageBreak/>
        <w:t xml:space="preserve">determination </w:t>
      </w:r>
      <w:r w:rsidR="002A6C5D" w:rsidRPr="000C06D7">
        <w:rPr>
          <w:rFonts w:ascii="Times New Roman" w:hAnsi="Times New Roman"/>
        </w:rPr>
        <w:t xml:space="preserve">by injunction, </w:t>
      </w:r>
      <w:r w:rsidR="001E30FA" w:rsidRPr="000C06D7">
        <w:rPr>
          <w:rFonts w:ascii="Times New Roman" w:hAnsi="Times New Roman"/>
        </w:rPr>
        <w:t xml:space="preserve">by </w:t>
      </w:r>
      <w:r w:rsidR="002A6C5D" w:rsidRPr="000C06D7">
        <w:rPr>
          <w:rFonts w:ascii="Times New Roman" w:hAnsi="Times New Roman"/>
        </w:rPr>
        <w:t>order for compensation or</w:t>
      </w:r>
      <w:r w:rsidR="001E30FA" w:rsidRPr="000C06D7">
        <w:rPr>
          <w:rFonts w:ascii="Times New Roman" w:hAnsi="Times New Roman"/>
        </w:rPr>
        <w:t xml:space="preserve"> by</w:t>
      </w:r>
      <w:r w:rsidR="002A6C5D" w:rsidRPr="000C06D7">
        <w:rPr>
          <w:rFonts w:ascii="Times New Roman" w:hAnsi="Times New Roman"/>
        </w:rPr>
        <w:t xml:space="preserve"> </w:t>
      </w:r>
      <w:r w:rsidR="00A600F5" w:rsidRPr="000C06D7">
        <w:rPr>
          <w:rFonts w:ascii="Times New Roman" w:hAnsi="Times New Roman"/>
        </w:rPr>
        <w:t>other appropriate order,</w:t>
      </w:r>
      <w:r w:rsidR="00F07F61" w:rsidRPr="000C06D7">
        <w:rPr>
          <w:rFonts w:ascii="Times New Roman" w:hAnsi="Times New Roman"/>
        </w:rPr>
        <w:t xml:space="preserve"> if satisfied "</w:t>
      </w:r>
      <w:r w:rsidR="00934D3C" w:rsidRPr="000C06D7">
        <w:rPr>
          <w:rFonts w:ascii="Times New Roman" w:hAnsi="Times New Roman"/>
        </w:rPr>
        <w:t>that another party to the determination has engaged,</w:t>
      </w:r>
      <w:r w:rsidR="004C05B6" w:rsidRPr="000C06D7">
        <w:rPr>
          <w:rFonts w:ascii="Times New Roman" w:hAnsi="Times New Roman"/>
        </w:rPr>
        <w:t xml:space="preserve"> is engaging, or is proposing to engage in conduct that constitutes a cont</w:t>
      </w:r>
      <w:r w:rsidR="001A0338" w:rsidRPr="000C06D7">
        <w:rPr>
          <w:rFonts w:ascii="Times New Roman" w:hAnsi="Times New Roman"/>
        </w:rPr>
        <w:t>r</w:t>
      </w:r>
      <w:r w:rsidR="004C05B6" w:rsidRPr="000C06D7">
        <w:rPr>
          <w:rFonts w:ascii="Times New Roman" w:hAnsi="Times New Roman"/>
        </w:rPr>
        <w:t>avention of the determination</w:t>
      </w:r>
      <w:r w:rsidR="00F07F61" w:rsidRPr="000C06D7">
        <w:rPr>
          <w:rFonts w:ascii="Times New Roman" w:hAnsi="Times New Roman"/>
        </w:rPr>
        <w:t>".</w:t>
      </w:r>
    </w:p>
    <w:p w14:paraId="00B8523C" w14:textId="463F626D" w:rsidR="00180DB9" w:rsidRPr="000C06D7" w:rsidRDefault="00180DB9" w:rsidP="000C06D7">
      <w:pPr>
        <w:pStyle w:val="HeadingL1"/>
        <w:spacing w:after="260" w:line="280" w:lineRule="exact"/>
        <w:ind w:right="0"/>
        <w:jc w:val="both"/>
        <w:rPr>
          <w:rFonts w:ascii="Times New Roman" w:hAnsi="Times New Roman"/>
        </w:rPr>
      </w:pPr>
      <w:r w:rsidRPr="000C06D7">
        <w:rPr>
          <w:rFonts w:ascii="Times New Roman" w:hAnsi="Times New Roman"/>
        </w:rPr>
        <w:t>The PMA Act</w:t>
      </w:r>
    </w:p>
    <w:p w14:paraId="5F0D567D" w14:textId="48E686DC" w:rsidR="000D6F6A" w:rsidRPr="000C06D7" w:rsidRDefault="00180DB9"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9A7847" w:rsidRPr="000C06D7">
        <w:rPr>
          <w:rFonts w:ascii="Times New Roman" w:hAnsi="Times New Roman"/>
        </w:rPr>
        <w:t>T</w:t>
      </w:r>
      <w:r w:rsidR="00714AE5" w:rsidRPr="000C06D7">
        <w:rPr>
          <w:rFonts w:ascii="Times New Roman" w:hAnsi="Times New Roman"/>
        </w:rPr>
        <w:t xml:space="preserve">he </w:t>
      </w:r>
      <w:r w:rsidR="00DE70EF" w:rsidRPr="000C06D7">
        <w:rPr>
          <w:rFonts w:ascii="Times New Roman" w:hAnsi="Times New Roman"/>
        </w:rPr>
        <w:t>rights</w:t>
      </w:r>
      <w:r w:rsidR="009A7847" w:rsidRPr="000C06D7">
        <w:rPr>
          <w:rFonts w:ascii="Times New Roman" w:hAnsi="Times New Roman"/>
        </w:rPr>
        <w:t>,</w:t>
      </w:r>
      <w:r w:rsidR="00DE70EF" w:rsidRPr="000C06D7">
        <w:rPr>
          <w:rFonts w:ascii="Times New Roman" w:hAnsi="Times New Roman"/>
        </w:rPr>
        <w:t xml:space="preserve"> obligations </w:t>
      </w:r>
      <w:r w:rsidR="009A7847" w:rsidRPr="000C06D7">
        <w:rPr>
          <w:rFonts w:ascii="Times New Roman" w:hAnsi="Times New Roman"/>
        </w:rPr>
        <w:t xml:space="preserve">and powers </w:t>
      </w:r>
      <w:r w:rsidR="00DE70EF" w:rsidRPr="000C06D7">
        <w:rPr>
          <w:rFonts w:ascii="Times New Roman" w:hAnsi="Times New Roman"/>
        </w:rPr>
        <w:t xml:space="preserve">of </w:t>
      </w:r>
      <w:r w:rsidR="0018217B" w:rsidRPr="000C06D7">
        <w:rPr>
          <w:rFonts w:ascii="Times New Roman" w:hAnsi="Times New Roman"/>
        </w:rPr>
        <w:t xml:space="preserve">PNO as </w:t>
      </w:r>
      <w:r w:rsidR="00F24D8B" w:rsidRPr="000C06D7">
        <w:rPr>
          <w:rFonts w:ascii="Times New Roman" w:hAnsi="Times New Roman"/>
        </w:rPr>
        <w:t xml:space="preserve">the operator of the Port </w:t>
      </w:r>
      <w:r w:rsidR="00DE70EF" w:rsidRPr="000C06D7">
        <w:rPr>
          <w:rFonts w:ascii="Times New Roman" w:hAnsi="Times New Roman"/>
        </w:rPr>
        <w:t>are</w:t>
      </w:r>
      <w:r w:rsidR="003457B8" w:rsidRPr="000C06D7">
        <w:rPr>
          <w:rFonts w:ascii="Times New Roman" w:hAnsi="Times New Roman"/>
        </w:rPr>
        <w:t xml:space="preserve"> </w:t>
      </w:r>
      <w:r w:rsidR="00003305" w:rsidRPr="000C06D7">
        <w:rPr>
          <w:rFonts w:ascii="Times New Roman" w:hAnsi="Times New Roman"/>
        </w:rPr>
        <w:t>regulated</w:t>
      </w:r>
      <w:r w:rsidR="003A12C1" w:rsidRPr="000C06D7">
        <w:rPr>
          <w:rFonts w:ascii="Times New Roman" w:hAnsi="Times New Roman"/>
        </w:rPr>
        <w:t xml:space="preserve"> </w:t>
      </w:r>
      <w:r w:rsidR="00DE70EF" w:rsidRPr="000C06D7">
        <w:rPr>
          <w:rFonts w:ascii="Times New Roman" w:hAnsi="Times New Roman"/>
        </w:rPr>
        <w:t>under</w:t>
      </w:r>
      <w:r w:rsidR="00824BF3" w:rsidRPr="000C06D7">
        <w:rPr>
          <w:rFonts w:ascii="Times New Roman" w:hAnsi="Times New Roman"/>
        </w:rPr>
        <w:t xml:space="preserve"> the PMA Act</w:t>
      </w:r>
      <w:r w:rsidR="00A4603B" w:rsidRPr="000C06D7">
        <w:rPr>
          <w:rFonts w:ascii="Times New Roman" w:hAnsi="Times New Roman"/>
        </w:rPr>
        <w:t xml:space="preserve">. </w:t>
      </w:r>
      <w:r w:rsidR="009A7847" w:rsidRPr="000C06D7">
        <w:rPr>
          <w:rFonts w:ascii="Times New Roman" w:hAnsi="Times New Roman"/>
        </w:rPr>
        <w:t>That</w:t>
      </w:r>
      <w:r w:rsidR="0012771F" w:rsidRPr="000C06D7">
        <w:rPr>
          <w:rFonts w:ascii="Times New Roman" w:hAnsi="Times New Roman"/>
        </w:rPr>
        <w:t xml:space="preserve"> </w:t>
      </w:r>
      <w:r w:rsidR="00F372DE" w:rsidRPr="000C06D7">
        <w:rPr>
          <w:rFonts w:ascii="Times New Roman" w:hAnsi="Times New Roman"/>
        </w:rPr>
        <w:t>includes imposing limits on the kind</w:t>
      </w:r>
      <w:r w:rsidR="002A00E4" w:rsidRPr="000C06D7">
        <w:rPr>
          <w:rFonts w:ascii="Times New Roman" w:hAnsi="Times New Roman"/>
        </w:rPr>
        <w:t xml:space="preserve"> of charges </w:t>
      </w:r>
      <w:r w:rsidR="00D7242D" w:rsidRPr="000C06D7">
        <w:rPr>
          <w:rFonts w:ascii="Times New Roman" w:hAnsi="Times New Roman"/>
        </w:rPr>
        <w:t>th</w:t>
      </w:r>
      <w:r w:rsidR="00CB2B67" w:rsidRPr="000C06D7">
        <w:rPr>
          <w:rFonts w:ascii="Times New Roman" w:hAnsi="Times New Roman"/>
        </w:rPr>
        <w:t xml:space="preserve">at PNO </w:t>
      </w:r>
      <w:r w:rsidR="002A00E4" w:rsidRPr="000C06D7">
        <w:rPr>
          <w:rFonts w:ascii="Times New Roman" w:hAnsi="Times New Roman"/>
        </w:rPr>
        <w:t xml:space="preserve">is permitted to </w:t>
      </w:r>
      <w:r w:rsidR="00CB2B67" w:rsidRPr="000C06D7">
        <w:rPr>
          <w:rFonts w:ascii="Times New Roman" w:hAnsi="Times New Roman"/>
        </w:rPr>
        <w:t>fix and to recover</w:t>
      </w:r>
      <w:r w:rsidR="002A00E4" w:rsidRPr="000C06D7">
        <w:rPr>
          <w:rFonts w:ascii="Times New Roman" w:hAnsi="Times New Roman"/>
        </w:rPr>
        <w:t xml:space="preserve">. </w:t>
      </w:r>
    </w:p>
    <w:p w14:paraId="06FF7174" w14:textId="2714AA2F" w:rsidR="00180DB9" w:rsidRPr="000C06D7" w:rsidRDefault="000D6F6A"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9A7847" w:rsidRPr="000C06D7">
        <w:rPr>
          <w:rFonts w:ascii="Times New Roman" w:hAnsi="Times New Roman"/>
        </w:rPr>
        <w:t>In relation to</w:t>
      </w:r>
      <w:r w:rsidR="00E171D1" w:rsidRPr="000C06D7">
        <w:rPr>
          <w:rFonts w:ascii="Times New Roman" w:hAnsi="Times New Roman"/>
        </w:rPr>
        <w:t xml:space="preserve"> </w:t>
      </w:r>
      <w:r w:rsidR="007C78ED" w:rsidRPr="000C06D7">
        <w:rPr>
          <w:rFonts w:ascii="Times New Roman" w:hAnsi="Times New Roman"/>
        </w:rPr>
        <w:t xml:space="preserve">use of </w:t>
      </w:r>
      <w:r w:rsidR="00E171D1" w:rsidRPr="000C06D7">
        <w:rPr>
          <w:rFonts w:ascii="Times New Roman" w:hAnsi="Times New Roman"/>
        </w:rPr>
        <w:t xml:space="preserve">the navigation channels and </w:t>
      </w:r>
      <w:r w:rsidR="00EB20F7" w:rsidRPr="000C06D7">
        <w:rPr>
          <w:rFonts w:ascii="Times New Roman" w:hAnsi="Times New Roman"/>
        </w:rPr>
        <w:t>loading</w:t>
      </w:r>
      <w:r w:rsidR="00E171D1" w:rsidRPr="000C06D7">
        <w:rPr>
          <w:rFonts w:ascii="Times New Roman" w:hAnsi="Times New Roman"/>
        </w:rPr>
        <w:t xml:space="preserve"> berths </w:t>
      </w:r>
      <w:r w:rsidR="00EB20F7" w:rsidRPr="000C06D7">
        <w:rPr>
          <w:rFonts w:ascii="Times New Roman" w:hAnsi="Times New Roman"/>
        </w:rPr>
        <w:t>at the Port</w:t>
      </w:r>
      <w:r w:rsidR="009E30D2" w:rsidRPr="000C06D7">
        <w:rPr>
          <w:rFonts w:ascii="Times New Roman" w:hAnsi="Times New Roman"/>
        </w:rPr>
        <w:t xml:space="preserve">, </w:t>
      </w:r>
      <w:r w:rsidR="00F35B41" w:rsidRPr="000C06D7">
        <w:rPr>
          <w:rFonts w:ascii="Times New Roman" w:hAnsi="Times New Roman"/>
        </w:rPr>
        <w:t xml:space="preserve">the PMA Act </w:t>
      </w:r>
      <w:r w:rsidR="009A7847" w:rsidRPr="000C06D7">
        <w:rPr>
          <w:rFonts w:ascii="Times New Roman" w:hAnsi="Times New Roman"/>
        </w:rPr>
        <w:t xml:space="preserve">limits PNO </w:t>
      </w:r>
      <w:r w:rsidR="007B695B" w:rsidRPr="000C06D7">
        <w:rPr>
          <w:rFonts w:ascii="Times New Roman" w:hAnsi="Times New Roman"/>
        </w:rPr>
        <w:t xml:space="preserve">to </w:t>
      </w:r>
      <w:r w:rsidR="00E602CD" w:rsidRPr="000C06D7">
        <w:rPr>
          <w:rFonts w:ascii="Times New Roman" w:hAnsi="Times New Roman"/>
        </w:rPr>
        <w:t>fixing and recovering</w:t>
      </w:r>
      <w:r w:rsidR="00EB215E" w:rsidRPr="000C06D7">
        <w:rPr>
          <w:rFonts w:ascii="Times New Roman" w:hAnsi="Times New Roman"/>
        </w:rPr>
        <w:t xml:space="preserve"> </w:t>
      </w:r>
      <w:r w:rsidR="00F372DE" w:rsidRPr="000C06D7">
        <w:rPr>
          <w:rFonts w:ascii="Times New Roman" w:hAnsi="Times New Roman"/>
        </w:rPr>
        <w:t>"</w:t>
      </w:r>
      <w:r w:rsidR="00416946" w:rsidRPr="000C06D7">
        <w:rPr>
          <w:rFonts w:ascii="Times New Roman" w:hAnsi="Times New Roman"/>
        </w:rPr>
        <w:t>navigation service charge</w:t>
      </w:r>
      <w:r w:rsidR="00F372DE" w:rsidRPr="000C06D7">
        <w:rPr>
          <w:rFonts w:ascii="Times New Roman" w:hAnsi="Times New Roman"/>
        </w:rPr>
        <w:t>"</w:t>
      </w:r>
      <w:r w:rsidR="00416946" w:rsidRPr="000C06D7">
        <w:rPr>
          <w:rFonts w:ascii="Times New Roman" w:hAnsi="Times New Roman"/>
        </w:rPr>
        <w:t xml:space="preserve"> and </w:t>
      </w:r>
      <w:r w:rsidR="00F372DE" w:rsidRPr="000C06D7">
        <w:rPr>
          <w:rFonts w:ascii="Times New Roman" w:hAnsi="Times New Roman"/>
        </w:rPr>
        <w:t>"</w:t>
      </w:r>
      <w:r w:rsidR="00D92D7B" w:rsidRPr="000C06D7">
        <w:rPr>
          <w:rFonts w:ascii="Times New Roman" w:hAnsi="Times New Roman"/>
        </w:rPr>
        <w:t>wharfage charge</w:t>
      </w:r>
      <w:r w:rsidR="00F372DE" w:rsidRPr="000C06D7">
        <w:rPr>
          <w:rFonts w:ascii="Times New Roman" w:hAnsi="Times New Roman"/>
        </w:rPr>
        <w:t>"</w:t>
      </w:r>
      <w:r w:rsidR="00D92D7B" w:rsidRPr="000C06D7">
        <w:rPr>
          <w:rFonts w:ascii="Times New Roman" w:hAnsi="Times New Roman"/>
        </w:rPr>
        <w:t>.</w:t>
      </w:r>
    </w:p>
    <w:p w14:paraId="5B7E8CCC" w14:textId="5CA6DE8B" w:rsidR="00D92D7B" w:rsidRPr="000C06D7" w:rsidRDefault="00D92D7B"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C06C80" w:rsidRPr="000C06D7">
        <w:rPr>
          <w:rFonts w:ascii="Times New Roman" w:hAnsi="Times New Roman"/>
        </w:rPr>
        <w:t>The</w:t>
      </w:r>
      <w:r w:rsidR="009A0CFC" w:rsidRPr="000C06D7">
        <w:rPr>
          <w:rFonts w:ascii="Times New Roman" w:hAnsi="Times New Roman"/>
        </w:rPr>
        <w:t xml:space="preserve"> navigation service charge</w:t>
      </w:r>
      <w:r w:rsidR="00A6133D" w:rsidRPr="000C06D7">
        <w:rPr>
          <w:rFonts w:ascii="Times New Roman" w:hAnsi="Times New Roman"/>
        </w:rPr>
        <w:t xml:space="preserve"> </w:t>
      </w:r>
      <w:r w:rsidR="006B182C" w:rsidRPr="000C06D7">
        <w:rPr>
          <w:rFonts w:ascii="Times New Roman" w:hAnsi="Times New Roman"/>
        </w:rPr>
        <w:t xml:space="preserve">that can be </w:t>
      </w:r>
      <w:r w:rsidR="00AB0FA0" w:rsidRPr="000C06D7">
        <w:rPr>
          <w:rFonts w:ascii="Times New Roman" w:hAnsi="Times New Roman"/>
        </w:rPr>
        <w:t>fixed by PNO</w:t>
      </w:r>
      <w:r w:rsidR="00B84400" w:rsidRPr="000C06D7">
        <w:rPr>
          <w:rStyle w:val="FootnoteReference"/>
          <w:rFonts w:ascii="Times New Roman" w:hAnsi="Times New Roman"/>
          <w:sz w:val="24"/>
        </w:rPr>
        <w:footnoteReference w:id="52"/>
      </w:r>
      <w:r w:rsidR="00AB0FA0" w:rsidRPr="000C06D7">
        <w:rPr>
          <w:rFonts w:ascii="Times New Roman" w:hAnsi="Times New Roman"/>
        </w:rPr>
        <w:t xml:space="preserve"> </w:t>
      </w:r>
      <w:r w:rsidR="00B84400" w:rsidRPr="000C06D7">
        <w:rPr>
          <w:rFonts w:ascii="Times New Roman" w:hAnsi="Times New Roman"/>
        </w:rPr>
        <w:t xml:space="preserve">is </w:t>
      </w:r>
      <w:r w:rsidR="00342F86" w:rsidRPr="000C06D7">
        <w:rPr>
          <w:rFonts w:ascii="Times New Roman" w:hAnsi="Times New Roman"/>
        </w:rPr>
        <w:t xml:space="preserve">in respect of </w:t>
      </w:r>
      <w:r w:rsidR="004D647C" w:rsidRPr="000C06D7">
        <w:rPr>
          <w:rFonts w:ascii="Times New Roman" w:hAnsi="Times New Roman"/>
        </w:rPr>
        <w:t>"</w:t>
      </w:r>
      <w:r w:rsidR="00342F86" w:rsidRPr="000C06D7">
        <w:rPr>
          <w:rFonts w:ascii="Times New Roman" w:hAnsi="Times New Roman"/>
        </w:rPr>
        <w:t xml:space="preserve">the general use" </w:t>
      </w:r>
      <w:r w:rsidR="004D647C" w:rsidRPr="000C06D7">
        <w:rPr>
          <w:rFonts w:ascii="Times New Roman" w:hAnsi="Times New Roman"/>
        </w:rPr>
        <w:t xml:space="preserve">by </w:t>
      </w:r>
      <w:r w:rsidR="00B84400" w:rsidRPr="000C06D7">
        <w:rPr>
          <w:rFonts w:ascii="Times New Roman" w:hAnsi="Times New Roman"/>
        </w:rPr>
        <w:t xml:space="preserve">a </w:t>
      </w:r>
      <w:r w:rsidR="004D647C" w:rsidRPr="000C06D7">
        <w:rPr>
          <w:rFonts w:ascii="Times New Roman" w:hAnsi="Times New Roman"/>
        </w:rPr>
        <w:t xml:space="preserve">vessel </w:t>
      </w:r>
      <w:r w:rsidR="009A50EE" w:rsidRPr="000C06D7">
        <w:rPr>
          <w:rFonts w:ascii="Times New Roman" w:hAnsi="Times New Roman"/>
        </w:rPr>
        <w:t>of the Port</w:t>
      </w:r>
      <w:r w:rsidR="00B84400" w:rsidRPr="000C06D7">
        <w:rPr>
          <w:rFonts w:ascii="Times New Roman" w:hAnsi="Times New Roman"/>
        </w:rPr>
        <w:t xml:space="preserve">, </w:t>
      </w:r>
      <w:r w:rsidR="000D29F7" w:rsidRPr="000C06D7">
        <w:rPr>
          <w:rFonts w:ascii="Times New Roman" w:hAnsi="Times New Roman"/>
        </w:rPr>
        <w:t>imposed by refer</w:t>
      </w:r>
      <w:r w:rsidR="000B7D06" w:rsidRPr="000C06D7">
        <w:rPr>
          <w:rFonts w:ascii="Times New Roman" w:hAnsi="Times New Roman"/>
        </w:rPr>
        <w:t>e</w:t>
      </w:r>
      <w:r w:rsidR="000D29F7" w:rsidRPr="000C06D7">
        <w:rPr>
          <w:rFonts w:ascii="Times New Roman" w:hAnsi="Times New Roman"/>
        </w:rPr>
        <w:t>nce to the gross tonnage of the vessel</w:t>
      </w:r>
      <w:r w:rsidR="00F80846" w:rsidRPr="000C06D7">
        <w:rPr>
          <w:rFonts w:ascii="Times New Roman" w:hAnsi="Times New Roman"/>
        </w:rPr>
        <w:t>,</w:t>
      </w:r>
      <w:r w:rsidR="000D29F7" w:rsidRPr="000C06D7">
        <w:rPr>
          <w:rFonts w:ascii="Times New Roman" w:hAnsi="Times New Roman"/>
        </w:rPr>
        <w:t xml:space="preserve"> </w:t>
      </w:r>
      <w:r w:rsidR="004D647C" w:rsidRPr="000C06D7">
        <w:rPr>
          <w:rFonts w:ascii="Times New Roman" w:hAnsi="Times New Roman"/>
        </w:rPr>
        <w:t>on each entry of th</w:t>
      </w:r>
      <w:r w:rsidR="009A50EE" w:rsidRPr="000C06D7">
        <w:rPr>
          <w:rFonts w:ascii="Times New Roman" w:hAnsi="Times New Roman"/>
        </w:rPr>
        <w:t>e</w:t>
      </w:r>
      <w:r w:rsidR="004D647C" w:rsidRPr="000C06D7">
        <w:rPr>
          <w:rFonts w:ascii="Times New Roman" w:hAnsi="Times New Roman"/>
        </w:rPr>
        <w:t xml:space="preserve"> vessel into the Port</w:t>
      </w:r>
      <w:r w:rsidR="009A50EE" w:rsidRPr="000C06D7">
        <w:rPr>
          <w:rStyle w:val="FootnoteReference"/>
          <w:rFonts w:ascii="Times New Roman" w:hAnsi="Times New Roman"/>
          <w:sz w:val="24"/>
        </w:rPr>
        <w:footnoteReference w:id="53"/>
      </w:r>
      <w:r w:rsidR="009A50EE" w:rsidRPr="000C06D7">
        <w:rPr>
          <w:rFonts w:ascii="Times New Roman" w:hAnsi="Times New Roman"/>
        </w:rPr>
        <w:t xml:space="preserve">. </w:t>
      </w:r>
      <w:r w:rsidR="00357134" w:rsidRPr="000C06D7">
        <w:rPr>
          <w:rFonts w:ascii="Times New Roman" w:hAnsi="Times New Roman"/>
        </w:rPr>
        <w:t>The charge</w:t>
      </w:r>
      <w:r w:rsidR="00C94099" w:rsidRPr="000C06D7">
        <w:rPr>
          <w:rFonts w:ascii="Times New Roman" w:hAnsi="Times New Roman"/>
        </w:rPr>
        <w:t xml:space="preserve"> therefore covers </w:t>
      </w:r>
      <w:r w:rsidR="0078169E" w:rsidRPr="000C06D7">
        <w:rPr>
          <w:rFonts w:ascii="Times New Roman" w:hAnsi="Times New Roman"/>
        </w:rPr>
        <w:t xml:space="preserve">the use by the vessel of </w:t>
      </w:r>
      <w:r w:rsidR="00572646" w:rsidRPr="000C06D7">
        <w:rPr>
          <w:rFonts w:ascii="Times New Roman" w:hAnsi="Times New Roman"/>
        </w:rPr>
        <w:t>navigation channels</w:t>
      </w:r>
      <w:r w:rsidR="0078169E" w:rsidRPr="000C06D7">
        <w:rPr>
          <w:rFonts w:ascii="Times New Roman" w:hAnsi="Times New Roman"/>
        </w:rPr>
        <w:t xml:space="preserve">. </w:t>
      </w:r>
      <w:r w:rsidR="00C23307" w:rsidRPr="000C06D7">
        <w:rPr>
          <w:rFonts w:ascii="Times New Roman" w:hAnsi="Times New Roman"/>
        </w:rPr>
        <w:t xml:space="preserve">The charge is payable by the "owner" of the vessel. </w:t>
      </w:r>
      <w:r w:rsidR="00AC294D" w:rsidRPr="000C06D7">
        <w:rPr>
          <w:rFonts w:ascii="Times New Roman" w:hAnsi="Times New Roman"/>
        </w:rPr>
        <w:t xml:space="preserve">The </w:t>
      </w:r>
      <w:r w:rsidR="006A18A2" w:rsidRPr="000C06D7">
        <w:rPr>
          <w:rFonts w:ascii="Times New Roman" w:hAnsi="Times New Roman"/>
        </w:rPr>
        <w:t xml:space="preserve">meaning of </w:t>
      </w:r>
      <w:r w:rsidR="00C91BCB" w:rsidRPr="000C06D7">
        <w:rPr>
          <w:rFonts w:ascii="Times New Roman" w:hAnsi="Times New Roman"/>
        </w:rPr>
        <w:t xml:space="preserve">"owner" for </w:t>
      </w:r>
      <w:r w:rsidR="00345E22" w:rsidRPr="000C06D7">
        <w:rPr>
          <w:rFonts w:ascii="Times New Roman" w:hAnsi="Times New Roman"/>
        </w:rPr>
        <w:t xml:space="preserve">this purpose </w:t>
      </w:r>
      <w:r w:rsidR="006A62AA" w:rsidRPr="000C06D7">
        <w:rPr>
          <w:rFonts w:ascii="Times New Roman" w:hAnsi="Times New Roman"/>
        </w:rPr>
        <w:t>is extended by s</w:t>
      </w:r>
      <w:r w:rsidR="00523F2A" w:rsidRPr="000C06D7">
        <w:rPr>
          <w:rFonts w:ascii="Times New Roman" w:hAnsi="Times New Roman"/>
        </w:rPr>
        <w:t> </w:t>
      </w:r>
      <w:r w:rsidR="006A62AA" w:rsidRPr="000C06D7">
        <w:rPr>
          <w:rFonts w:ascii="Times New Roman" w:hAnsi="Times New Roman"/>
        </w:rPr>
        <w:t>48(4</w:t>
      </w:r>
      <w:r w:rsidR="00AD7E5C" w:rsidRPr="000C06D7">
        <w:rPr>
          <w:rFonts w:ascii="Times New Roman" w:hAnsi="Times New Roman"/>
        </w:rPr>
        <w:t>)</w:t>
      </w:r>
      <w:r w:rsidR="006A62AA" w:rsidRPr="000C06D7">
        <w:rPr>
          <w:rFonts w:ascii="Times New Roman" w:hAnsi="Times New Roman"/>
        </w:rPr>
        <w:t xml:space="preserve"> of the PMA</w:t>
      </w:r>
      <w:r w:rsidR="00BB3D4D" w:rsidRPr="000C06D7">
        <w:rPr>
          <w:rFonts w:ascii="Times New Roman" w:hAnsi="Times New Roman"/>
        </w:rPr>
        <w:t xml:space="preserve"> Act</w:t>
      </w:r>
      <w:r w:rsidR="00C42DEC" w:rsidRPr="000C06D7">
        <w:rPr>
          <w:rFonts w:ascii="Times New Roman" w:hAnsi="Times New Roman"/>
        </w:rPr>
        <w:t xml:space="preserve"> to include a person </w:t>
      </w:r>
      <w:r w:rsidR="001F2BD8" w:rsidRPr="000C06D7">
        <w:rPr>
          <w:rFonts w:ascii="Times New Roman" w:hAnsi="Times New Roman"/>
        </w:rPr>
        <w:t>who</w:t>
      </w:r>
      <w:r w:rsidR="001413B3" w:rsidRPr="000C06D7">
        <w:rPr>
          <w:rFonts w:ascii="Times New Roman" w:hAnsi="Times New Roman"/>
        </w:rPr>
        <w:t xml:space="preserve">, </w:t>
      </w:r>
      <w:r w:rsidR="00C23307" w:rsidRPr="000C06D7">
        <w:rPr>
          <w:rFonts w:ascii="Times New Roman" w:hAnsi="Times New Roman"/>
        </w:rPr>
        <w:t>"</w:t>
      </w:r>
      <w:r w:rsidR="001413B3" w:rsidRPr="000C06D7">
        <w:rPr>
          <w:rFonts w:ascii="Times New Roman" w:hAnsi="Times New Roman"/>
        </w:rPr>
        <w:t>on the person's own behalf or on behalf of another</w:t>
      </w:r>
      <w:r w:rsidR="00C23307" w:rsidRPr="000C06D7">
        <w:rPr>
          <w:rFonts w:ascii="Times New Roman" w:hAnsi="Times New Roman"/>
        </w:rPr>
        <w:t>"</w:t>
      </w:r>
      <w:r w:rsidR="001413B3" w:rsidRPr="000C06D7">
        <w:rPr>
          <w:rFonts w:ascii="Times New Roman" w:hAnsi="Times New Roman"/>
        </w:rPr>
        <w:t>,</w:t>
      </w:r>
      <w:r w:rsidR="001F2BD8" w:rsidRPr="000C06D7">
        <w:rPr>
          <w:rFonts w:ascii="Times New Roman" w:hAnsi="Times New Roman"/>
        </w:rPr>
        <w:t xml:space="preserve"> "</w:t>
      </w:r>
      <w:r w:rsidR="00C44486" w:rsidRPr="000C06D7">
        <w:rPr>
          <w:rFonts w:ascii="Times New Roman" w:hAnsi="Times New Roman"/>
        </w:rPr>
        <w:t xml:space="preserve">(a) </w:t>
      </w:r>
      <w:r w:rsidR="001F2BD8" w:rsidRPr="000C06D7">
        <w:rPr>
          <w:rFonts w:ascii="Times New Roman" w:hAnsi="Times New Roman"/>
        </w:rPr>
        <w:t>exercises any of the functions</w:t>
      </w:r>
      <w:r w:rsidR="00EA12EC" w:rsidRPr="000C06D7">
        <w:rPr>
          <w:rFonts w:ascii="Times New Roman" w:hAnsi="Times New Roman"/>
        </w:rPr>
        <w:t xml:space="preserve"> of the owner of the vessel" or who "</w:t>
      </w:r>
      <w:r w:rsidR="00C44486" w:rsidRPr="000C06D7">
        <w:rPr>
          <w:rFonts w:ascii="Times New Roman" w:hAnsi="Times New Roman"/>
        </w:rPr>
        <w:t xml:space="preserve">(b) </w:t>
      </w:r>
      <w:r w:rsidR="00EA12EC" w:rsidRPr="000C06D7">
        <w:rPr>
          <w:rFonts w:ascii="Times New Roman" w:hAnsi="Times New Roman"/>
        </w:rPr>
        <w:t xml:space="preserve">represents to </w:t>
      </w:r>
      <w:r w:rsidR="003E4256" w:rsidRPr="000C06D7">
        <w:rPr>
          <w:rFonts w:ascii="Times New Roman" w:hAnsi="Times New Roman"/>
        </w:rPr>
        <w:t>[PNO] that the person has those functions</w:t>
      </w:r>
      <w:r w:rsidR="000C11DD" w:rsidRPr="000C06D7">
        <w:rPr>
          <w:rFonts w:ascii="Times New Roman" w:hAnsi="Times New Roman"/>
        </w:rPr>
        <w:t xml:space="preserve"> or accepts the obligation to exercise those functions".</w:t>
      </w:r>
    </w:p>
    <w:p w14:paraId="0B9C5646" w14:textId="51D46FBB" w:rsidR="00DE0491" w:rsidRPr="000C06D7" w:rsidRDefault="00DE0491"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CE573F" w:rsidRPr="000C06D7">
        <w:rPr>
          <w:rFonts w:ascii="Times New Roman" w:hAnsi="Times New Roman"/>
        </w:rPr>
        <w:t>The</w:t>
      </w:r>
      <w:r w:rsidR="00C8755A" w:rsidRPr="000C06D7">
        <w:rPr>
          <w:rFonts w:ascii="Times New Roman" w:hAnsi="Times New Roman"/>
        </w:rPr>
        <w:t xml:space="preserve"> wharfage charge </w:t>
      </w:r>
      <w:r w:rsidR="004D7FBB" w:rsidRPr="000C06D7">
        <w:rPr>
          <w:rFonts w:ascii="Times New Roman" w:hAnsi="Times New Roman"/>
        </w:rPr>
        <w:t xml:space="preserve">that can be </w:t>
      </w:r>
      <w:r w:rsidR="00C8755A" w:rsidRPr="000C06D7">
        <w:rPr>
          <w:rFonts w:ascii="Times New Roman" w:hAnsi="Times New Roman"/>
        </w:rPr>
        <w:t>fixed by PNO</w:t>
      </w:r>
      <w:r w:rsidR="00C8755A" w:rsidRPr="000C06D7">
        <w:rPr>
          <w:rStyle w:val="FootnoteReference"/>
          <w:rFonts w:ascii="Times New Roman" w:hAnsi="Times New Roman"/>
          <w:sz w:val="24"/>
        </w:rPr>
        <w:footnoteReference w:id="54"/>
      </w:r>
      <w:r w:rsidR="004A0AC6" w:rsidRPr="000C06D7">
        <w:rPr>
          <w:rFonts w:ascii="Times New Roman" w:hAnsi="Times New Roman"/>
        </w:rPr>
        <w:t xml:space="preserve"> is payable in respect of</w:t>
      </w:r>
      <w:r w:rsidR="00FB6297" w:rsidRPr="000C06D7">
        <w:rPr>
          <w:rFonts w:ascii="Times New Roman" w:hAnsi="Times New Roman"/>
        </w:rPr>
        <w:t xml:space="preserve"> "availability of a site at which stevedoring operations may be carried out"</w:t>
      </w:r>
      <w:r w:rsidR="0077702C" w:rsidRPr="000C06D7">
        <w:rPr>
          <w:rStyle w:val="FootnoteReference"/>
          <w:rFonts w:ascii="Times New Roman" w:hAnsi="Times New Roman"/>
          <w:sz w:val="24"/>
        </w:rPr>
        <w:footnoteReference w:id="55"/>
      </w:r>
      <w:r w:rsidR="004D7FBB" w:rsidRPr="000C06D7">
        <w:rPr>
          <w:rFonts w:ascii="Times New Roman" w:hAnsi="Times New Roman"/>
        </w:rPr>
        <w:t xml:space="preserve">, </w:t>
      </w:r>
      <w:r w:rsidR="00553704" w:rsidRPr="000C06D7">
        <w:rPr>
          <w:rFonts w:ascii="Times New Roman" w:hAnsi="Times New Roman"/>
        </w:rPr>
        <w:t xml:space="preserve">and therefore covers </w:t>
      </w:r>
      <w:r w:rsidR="00730E11" w:rsidRPr="000C06D7">
        <w:rPr>
          <w:rFonts w:ascii="Times New Roman" w:hAnsi="Times New Roman"/>
        </w:rPr>
        <w:t xml:space="preserve">the availability of </w:t>
      </w:r>
      <w:r w:rsidR="009C5600" w:rsidRPr="000C06D7">
        <w:rPr>
          <w:rFonts w:ascii="Times New Roman" w:hAnsi="Times New Roman"/>
        </w:rPr>
        <w:t xml:space="preserve">a </w:t>
      </w:r>
      <w:r w:rsidR="000F15AC" w:rsidRPr="000C06D7">
        <w:rPr>
          <w:rFonts w:ascii="Times New Roman" w:hAnsi="Times New Roman"/>
        </w:rPr>
        <w:t xml:space="preserve">loading berth. </w:t>
      </w:r>
      <w:r w:rsidR="002563D4" w:rsidRPr="000C06D7">
        <w:rPr>
          <w:rFonts w:ascii="Times New Roman" w:hAnsi="Times New Roman"/>
        </w:rPr>
        <w:t>The charge is</w:t>
      </w:r>
      <w:r w:rsidR="005C416E" w:rsidRPr="000C06D7">
        <w:rPr>
          <w:rFonts w:ascii="Times New Roman" w:hAnsi="Times New Roman"/>
        </w:rPr>
        <w:t xml:space="preserve"> </w:t>
      </w:r>
      <w:r w:rsidR="006E63FE" w:rsidRPr="000C06D7">
        <w:rPr>
          <w:rFonts w:ascii="Times New Roman" w:hAnsi="Times New Roman"/>
        </w:rPr>
        <w:t xml:space="preserve">calculated </w:t>
      </w:r>
      <w:r w:rsidR="000967D4" w:rsidRPr="000C06D7">
        <w:rPr>
          <w:rFonts w:ascii="Times New Roman" w:hAnsi="Times New Roman"/>
        </w:rPr>
        <w:t xml:space="preserve">by reference to the quantity of cargo </w:t>
      </w:r>
      <w:r w:rsidR="00B75624" w:rsidRPr="000C06D7">
        <w:rPr>
          <w:rFonts w:ascii="Times New Roman" w:hAnsi="Times New Roman"/>
        </w:rPr>
        <w:t>loaded</w:t>
      </w:r>
      <w:r w:rsidR="00F16C9C" w:rsidRPr="000C06D7">
        <w:rPr>
          <w:rFonts w:ascii="Times New Roman" w:hAnsi="Times New Roman"/>
        </w:rPr>
        <w:t xml:space="preserve"> or unloaded</w:t>
      </w:r>
      <w:r w:rsidR="00B75624" w:rsidRPr="000C06D7">
        <w:rPr>
          <w:rFonts w:ascii="Times New Roman" w:hAnsi="Times New Roman"/>
        </w:rPr>
        <w:t xml:space="preserve"> at the site </w:t>
      </w:r>
      <w:r w:rsidR="003E15E9" w:rsidRPr="000C06D7">
        <w:rPr>
          <w:rFonts w:ascii="Times New Roman" w:hAnsi="Times New Roman"/>
        </w:rPr>
        <w:t xml:space="preserve">and is payable </w:t>
      </w:r>
      <w:r w:rsidR="00B75624" w:rsidRPr="000C06D7">
        <w:rPr>
          <w:rFonts w:ascii="Times New Roman" w:hAnsi="Times New Roman"/>
        </w:rPr>
        <w:t xml:space="preserve">by </w:t>
      </w:r>
      <w:r w:rsidR="00B75624" w:rsidRPr="000C06D7">
        <w:rPr>
          <w:rFonts w:ascii="Times New Roman" w:hAnsi="Times New Roman"/>
        </w:rPr>
        <w:lastRenderedPageBreak/>
        <w:t>the person who</w:t>
      </w:r>
      <w:r w:rsidR="006827B9" w:rsidRPr="000C06D7">
        <w:rPr>
          <w:rFonts w:ascii="Times New Roman" w:hAnsi="Times New Roman"/>
        </w:rPr>
        <w:t xml:space="preserve"> is the owner of the cargo</w:t>
      </w:r>
      <w:r w:rsidR="00B75624" w:rsidRPr="000C06D7">
        <w:rPr>
          <w:rFonts w:ascii="Times New Roman" w:hAnsi="Times New Roman"/>
        </w:rPr>
        <w:t xml:space="preserve"> immediately </w:t>
      </w:r>
      <w:r w:rsidR="00E173A3" w:rsidRPr="000C06D7">
        <w:rPr>
          <w:rFonts w:ascii="Times New Roman" w:hAnsi="Times New Roman"/>
        </w:rPr>
        <w:t>before it is loaded</w:t>
      </w:r>
      <w:r w:rsidR="00BA0D7D" w:rsidRPr="000C06D7">
        <w:rPr>
          <w:rFonts w:ascii="Times New Roman" w:hAnsi="Times New Roman"/>
        </w:rPr>
        <w:t xml:space="preserve"> or unloaded</w:t>
      </w:r>
      <w:r w:rsidR="00C83F84" w:rsidRPr="000C06D7">
        <w:rPr>
          <w:rStyle w:val="FootnoteReference"/>
          <w:rFonts w:ascii="Times New Roman" w:hAnsi="Times New Roman"/>
          <w:sz w:val="24"/>
        </w:rPr>
        <w:footnoteReference w:id="56"/>
      </w:r>
      <w:r w:rsidR="006827B9" w:rsidRPr="000C06D7">
        <w:rPr>
          <w:rFonts w:ascii="Times New Roman" w:hAnsi="Times New Roman"/>
        </w:rPr>
        <w:t>.</w:t>
      </w:r>
    </w:p>
    <w:p w14:paraId="26C63AF6" w14:textId="1D934B9B" w:rsidR="00B974E5" w:rsidRPr="000C06D7" w:rsidRDefault="00B974E5"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AE4C83" w:rsidRPr="000C06D7">
        <w:rPr>
          <w:rFonts w:ascii="Times New Roman" w:hAnsi="Times New Roman"/>
        </w:rPr>
        <w:t>Section 67 of t</w:t>
      </w:r>
      <w:r w:rsidRPr="000C06D7">
        <w:rPr>
          <w:rFonts w:ascii="Times New Roman" w:hAnsi="Times New Roman"/>
        </w:rPr>
        <w:t xml:space="preserve">he </w:t>
      </w:r>
      <w:r w:rsidR="00527BC7" w:rsidRPr="000C06D7">
        <w:rPr>
          <w:rFonts w:ascii="Times New Roman" w:hAnsi="Times New Roman"/>
        </w:rPr>
        <w:t xml:space="preserve">PMA </w:t>
      </w:r>
      <w:r w:rsidR="00E56040" w:rsidRPr="000C06D7">
        <w:rPr>
          <w:rFonts w:ascii="Times New Roman" w:hAnsi="Times New Roman"/>
        </w:rPr>
        <w:t xml:space="preserve">Act </w:t>
      </w:r>
      <w:r w:rsidR="005111BC" w:rsidRPr="000C06D7">
        <w:rPr>
          <w:rFonts w:ascii="Times New Roman" w:hAnsi="Times New Roman"/>
        </w:rPr>
        <w:t xml:space="preserve">permits </w:t>
      </w:r>
      <w:r w:rsidR="00251F20" w:rsidRPr="000C06D7">
        <w:rPr>
          <w:rFonts w:ascii="Times New Roman" w:hAnsi="Times New Roman"/>
        </w:rPr>
        <w:t>PNO</w:t>
      </w:r>
      <w:r w:rsidR="005111BC" w:rsidRPr="000C06D7">
        <w:rPr>
          <w:rFonts w:ascii="Times New Roman" w:hAnsi="Times New Roman"/>
        </w:rPr>
        <w:t xml:space="preserve"> to enter into an agreement </w:t>
      </w:r>
      <w:r w:rsidR="000A6065" w:rsidRPr="000C06D7">
        <w:rPr>
          <w:rFonts w:ascii="Times New Roman" w:hAnsi="Times New Roman"/>
        </w:rPr>
        <w:t xml:space="preserve">with a person </w:t>
      </w:r>
      <w:r w:rsidR="00CC012A" w:rsidRPr="000C06D7">
        <w:rPr>
          <w:rFonts w:ascii="Times New Roman" w:hAnsi="Times New Roman"/>
        </w:rPr>
        <w:t xml:space="preserve">who is </w:t>
      </w:r>
      <w:r w:rsidR="000A6065" w:rsidRPr="000C06D7">
        <w:rPr>
          <w:rFonts w:ascii="Times New Roman" w:hAnsi="Times New Roman"/>
        </w:rPr>
        <w:t xml:space="preserve">liable to pay either </w:t>
      </w:r>
      <w:r w:rsidR="00CC012A" w:rsidRPr="000C06D7">
        <w:rPr>
          <w:rFonts w:ascii="Times New Roman" w:hAnsi="Times New Roman"/>
        </w:rPr>
        <w:t xml:space="preserve">navigation service charge or wharfage </w:t>
      </w:r>
      <w:r w:rsidR="000A6065" w:rsidRPr="000C06D7">
        <w:rPr>
          <w:rFonts w:ascii="Times New Roman" w:hAnsi="Times New Roman"/>
        </w:rPr>
        <w:t>charge</w:t>
      </w:r>
      <w:r w:rsidR="00C75D85" w:rsidRPr="000C06D7">
        <w:rPr>
          <w:rFonts w:ascii="Times New Roman" w:hAnsi="Times New Roman"/>
        </w:rPr>
        <w:t xml:space="preserve">. </w:t>
      </w:r>
      <w:r w:rsidR="00C4247A" w:rsidRPr="000C06D7">
        <w:rPr>
          <w:rFonts w:ascii="Times New Roman" w:hAnsi="Times New Roman"/>
        </w:rPr>
        <w:t xml:space="preserve">The agreement </w:t>
      </w:r>
      <w:r w:rsidR="00CC012A" w:rsidRPr="000C06D7">
        <w:rPr>
          <w:rFonts w:ascii="Times New Roman" w:hAnsi="Times New Roman"/>
        </w:rPr>
        <w:t xml:space="preserve">into which PNO is permitted to enter </w:t>
      </w:r>
      <w:r w:rsidR="00C4247A" w:rsidRPr="000C06D7">
        <w:rPr>
          <w:rFonts w:ascii="Times New Roman" w:hAnsi="Times New Roman"/>
        </w:rPr>
        <w:t>can make provision</w:t>
      </w:r>
      <w:r w:rsidR="00A962CC" w:rsidRPr="000C06D7">
        <w:rPr>
          <w:rFonts w:ascii="Times New Roman" w:hAnsi="Times New Roman"/>
        </w:rPr>
        <w:t xml:space="preserve"> </w:t>
      </w:r>
      <w:r w:rsidR="005F28B3" w:rsidRPr="000C06D7">
        <w:rPr>
          <w:rFonts w:ascii="Times New Roman" w:hAnsi="Times New Roman"/>
        </w:rPr>
        <w:t>f</w:t>
      </w:r>
      <w:r w:rsidR="00A962CC" w:rsidRPr="000C06D7">
        <w:rPr>
          <w:rFonts w:ascii="Times New Roman" w:hAnsi="Times New Roman"/>
        </w:rPr>
        <w:t>or</w:t>
      </w:r>
      <w:r w:rsidR="00CC012A" w:rsidRPr="000C06D7">
        <w:rPr>
          <w:rFonts w:ascii="Times New Roman" w:hAnsi="Times New Roman"/>
        </w:rPr>
        <w:t>,</w:t>
      </w:r>
      <w:r w:rsidR="00A962CC" w:rsidRPr="000C06D7">
        <w:rPr>
          <w:rFonts w:ascii="Times New Roman" w:hAnsi="Times New Roman"/>
        </w:rPr>
        <w:t xml:space="preserve"> </w:t>
      </w:r>
      <w:r w:rsidR="005F28B3" w:rsidRPr="000C06D7">
        <w:rPr>
          <w:rFonts w:ascii="Times New Roman" w:hAnsi="Times New Roman"/>
        </w:rPr>
        <w:t xml:space="preserve">or </w:t>
      </w:r>
      <w:r w:rsidR="00A962CC" w:rsidRPr="000C06D7">
        <w:rPr>
          <w:rFonts w:ascii="Times New Roman" w:hAnsi="Times New Roman"/>
        </w:rPr>
        <w:t>with respect to</w:t>
      </w:r>
      <w:r w:rsidR="00CC012A" w:rsidRPr="000C06D7">
        <w:rPr>
          <w:rFonts w:ascii="Times New Roman" w:hAnsi="Times New Roman"/>
        </w:rPr>
        <w:t>,</w:t>
      </w:r>
      <w:r w:rsidR="00A962CC" w:rsidRPr="000C06D7">
        <w:rPr>
          <w:rFonts w:ascii="Times New Roman" w:hAnsi="Times New Roman"/>
        </w:rPr>
        <w:t xml:space="preserve"> fixing </w:t>
      </w:r>
      <w:r w:rsidR="005F28B3" w:rsidRPr="000C06D7">
        <w:rPr>
          <w:rFonts w:ascii="Times New Roman" w:hAnsi="Times New Roman"/>
        </w:rPr>
        <w:t xml:space="preserve">the amount of </w:t>
      </w:r>
      <w:r w:rsidR="00CC012A" w:rsidRPr="000C06D7">
        <w:rPr>
          <w:rFonts w:ascii="Times New Roman" w:hAnsi="Times New Roman"/>
        </w:rPr>
        <w:t xml:space="preserve">either kind of </w:t>
      </w:r>
      <w:r w:rsidR="00162D8F" w:rsidRPr="000C06D7">
        <w:rPr>
          <w:rFonts w:ascii="Times New Roman" w:hAnsi="Times New Roman"/>
        </w:rPr>
        <w:t>charge payable by th</w:t>
      </w:r>
      <w:r w:rsidR="00322BA7" w:rsidRPr="000C06D7">
        <w:rPr>
          <w:rFonts w:ascii="Times New Roman" w:hAnsi="Times New Roman"/>
        </w:rPr>
        <w:t>at</w:t>
      </w:r>
      <w:r w:rsidR="00162D8F" w:rsidRPr="000C06D7">
        <w:rPr>
          <w:rFonts w:ascii="Times New Roman" w:hAnsi="Times New Roman"/>
        </w:rPr>
        <w:t xml:space="preserve"> person. </w:t>
      </w:r>
      <w:r w:rsidR="002C74B6" w:rsidRPr="000C06D7">
        <w:rPr>
          <w:rFonts w:ascii="Times New Roman" w:hAnsi="Times New Roman"/>
        </w:rPr>
        <w:t xml:space="preserve">To the extent that </w:t>
      </w:r>
      <w:r w:rsidR="0041598E" w:rsidRPr="000C06D7">
        <w:rPr>
          <w:rFonts w:ascii="Times New Roman" w:hAnsi="Times New Roman"/>
        </w:rPr>
        <w:t>provision is made</w:t>
      </w:r>
      <w:r w:rsidR="00CC012A" w:rsidRPr="000C06D7">
        <w:rPr>
          <w:rFonts w:ascii="Times New Roman" w:hAnsi="Times New Roman"/>
        </w:rPr>
        <w:t xml:space="preserve"> in an agreement</w:t>
      </w:r>
      <w:r w:rsidR="009E5600" w:rsidRPr="000C06D7">
        <w:rPr>
          <w:rFonts w:ascii="Times New Roman" w:hAnsi="Times New Roman"/>
        </w:rPr>
        <w:t xml:space="preserve">, the agreement </w:t>
      </w:r>
      <w:r w:rsidR="00032D37" w:rsidRPr="000C06D7">
        <w:rPr>
          <w:rFonts w:ascii="Times New Roman" w:hAnsi="Times New Roman"/>
        </w:rPr>
        <w:t xml:space="preserve">displaces </w:t>
      </w:r>
      <w:r w:rsidR="00B20BFD" w:rsidRPr="000C06D7">
        <w:rPr>
          <w:rFonts w:ascii="Times New Roman" w:hAnsi="Times New Roman"/>
        </w:rPr>
        <w:t>the</w:t>
      </w:r>
      <w:r w:rsidR="00032D37" w:rsidRPr="000C06D7">
        <w:rPr>
          <w:rFonts w:ascii="Times New Roman" w:hAnsi="Times New Roman"/>
        </w:rPr>
        <w:t xml:space="preserve"> amount </w:t>
      </w:r>
      <w:r w:rsidR="00B20BFD" w:rsidRPr="000C06D7">
        <w:rPr>
          <w:rFonts w:ascii="Times New Roman" w:hAnsi="Times New Roman"/>
        </w:rPr>
        <w:t xml:space="preserve">of the charge </w:t>
      </w:r>
      <w:r w:rsidR="00032D37" w:rsidRPr="000C06D7">
        <w:rPr>
          <w:rFonts w:ascii="Times New Roman" w:hAnsi="Times New Roman"/>
        </w:rPr>
        <w:t xml:space="preserve">otherwise </w:t>
      </w:r>
      <w:r w:rsidR="006A74EB" w:rsidRPr="000C06D7">
        <w:rPr>
          <w:rFonts w:ascii="Times New Roman" w:hAnsi="Times New Roman"/>
        </w:rPr>
        <w:t>determined</w:t>
      </w:r>
      <w:r w:rsidR="00032D37" w:rsidRPr="000C06D7">
        <w:rPr>
          <w:rFonts w:ascii="Times New Roman" w:hAnsi="Times New Roman"/>
        </w:rPr>
        <w:t xml:space="preserve"> by </w:t>
      </w:r>
      <w:r w:rsidR="0077487E" w:rsidRPr="000C06D7">
        <w:rPr>
          <w:rFonts w:ascii="Times New Roman" w:hAnsi="Times New Roman"/>
        </w:rPr>
        <w:t>PNO.</w:t>
      </w:r>
    </w:p>
    <w:p w14:paraId="70ADC9A8" w14:textId="5DCF479A" w:rsidR="00D459FB" w:rsidRPr="000C06D7" w:rsidRDefault="00D459FB"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525114" w:rsidRPr="000C06D7">
        <w:rPr>
          <w:rFonts w:ascii="Times New Roman" w:hAnsi="Times New Roman"/>
        </w:rPr>
        <w:t>The mechanism in s 67</w:t>
      </w:r>
      <w:r w:rsidR="00C84C6B" w:rsidRPr="000C06D7">
        <w:rPr>
          <w:rFonts w:ascii="Times New Roman" w:hAnsi="Times New Roman"/>
        </w:rPr>
        <w:t>,</w:t>
      </w:r>
      <w:r w:rsidR="009120D9" w:rsidRPr="000C06D7">
        <w:rPr>
          <w:rFonts w:ascii="Times New Roman" w:hAnsi="Times New Roman"/>
        </w:rPr>
        <w:t xml:space="preserve"> in combination</w:t>
      </w:r>
      <w:r w:rsidR="00965A54" w:rsidRPr="000C06D7">
        <w:rPr>
          <w:rFonts w:ascii="Times New Roman" w:hAnsi="Times New Roman"/>
        </w:rPr>
        <w:t xml:space="preserve"> </w:t>
      </w:r>
      <w:r w:rsidR="00AA784E" w:rsidRPr="000C06D7">
        <w:rPr>
          <w:rFonts w:ascii="Times New Roman" w:hAnsi="Times New Roman"/>
        </w:rPr>
        <w:t xml:space="preserve">with the capacity for </w:t>
      </w:r>
      <w:r w:rsidR="005E3D48" w:rsidRPr="000C06D7">
        <w:rPr>
          <w:rFonts w:ascii="Times New Roman" w:hAnsi="Times New Roman"/>
        </w:rPr>
        <w:t xml:space="preserve">Glencore to </w:t>
      </w:r>
      <w:r w:rsidR="008010F5" w:rsidRPr="000C06D7">
        <w:rPr>
          <w:rFonts w:ascii="Times New Roman" w:hAnsi="Times New Roman"/>
        </w:rPr>
        <w:t>make use of the extended meaning of "owner" in s</w:t>
      </w:r>
      <w:r w:rsidR="000C618A" w:rsidRPr="000C06D7">
        <w:rPr>
          <w:rFonts w:ascii="Times New Roman" w:hAnsi="Times New Roman"/>
        </w:rPr>
        <w:t> </w:t>
      </w:r>
      <w:r w:rsidR="008010F5" w:rsidRPr="000C06D7">
        <w:rPr>
          <w:rFonts w:ascii="Times New Roman" w:hAnsi="Times New Roman"/>
        </w:rPr>
        <w:t>48(4)(b)</w:t>
      </w:r>
      <w:r w:rsidR="00CF1C18" w:rsidRPr="000C06D7">
        <w:rPr>
          <w:rFonts w:ascii="Times New Roman" w:hAnsi="Times New Roman"/>
        </w:rPr>
        <w:t xml:space="preserve"> so as to become liable to pay the navigation service charge even whe</w:t>
      </w:r>
      <w:r w:rsidR="0077712F" w:rsidRPr="000C06D7">
        <w:rPr>
          <w:rFonts w:ascii="Times New Roman" w:hAnsi="Times New Roman"/>
        </w:rPr>
        <w:t>n</w:t>
      </w:r>
      <w:r w:rsidR="00CF1C18" w:rsidRPr="000C06D7">
        <w:rPr>
          <w:rFonts w:ascii="Times New Roman" w:hAnsi="Times New Roman"/>
        </w:rPr>
        <w:t xml:space="preserve"> it sells FOB</w:t>
      </w:r>
      <w:r w:rsidR="009120D9" w:rsidRPr="000C06D7">
        <w:rPr>
          <w:rFonts w:ascii="Times New Roman" w:hAnsi="Times New Roman"/>
        </w:rPr>
        <w:t>,</w:t>
      </w:r>
      <w:r w:rsidR="007E216D" w:rsidRPr="000C06D7">
        <w:rPr>
          <w:rFonts w:ascii="Times New Roman" w:hAnsi="Times New Roman"/>
        </w:rPr>
        <w:t xml:space="preserve"> </w:t>
      </w:r>
      <w:r w:rsidR="00D7590B" w:rsidRPr="000C06D7">
        <w:rPr>
          <w:rFonts w:ascii="Times New Roman" w:hAnsi="Times New Roman"/>
        </w:rPr>
        <w:t>means</w:t>
      </w:r>
      <w:r w:rsidR="00CE2E18" w:rsidRPr="000C06D7">
        <w:rPr>
          <w:rFonts w:ascii="Times New Roman" w:hAnsi="Times New Roman"/>
        </w:rPr>
        <w:t xml:space="preserve"> </w:t>
      </w:r>
      <w:r w:rsidRPr="000C06D7">
        <w:rPr>
          <w:rFonts w:ascii="Times New Roman" w:hAnsi="Times New Roman"/>
        </w:rPr>
        <w:t>that</w:t>
      </w:r>
      <w:r w:rsidR="00405B71" w:rsidRPr="000C06D7">
        <w:rPr>
          <w:rFonts w:ascii="Times New Roman" w:hAnsi="Times New Roman"/>
        </w:rPr>
        <w:t xml:space="preserve"> </w:t>
      </w:r>
      <w:r w:rsidR="00137508" w:rsidRPr="000C06D7">
        <w:rPr>
          <w:rFonts w:ascii="Times New Roman" w:hAnsi="Times New Roman"/>
        </w:rPr>
        <w:t>an</w:t>
      </w:r>
      <w:r w:rsidR="00405B71" w:rsidRPr="000C06D7">
        <w:rPr>
          <w:rFonts w:ascii="Times New Roman" w:hAnsi="Times New Roman"/>
        </w:rPr>
        <w:t xml:space="preserve"> obligation</w:t>
      </w:r>
      <w:r w:rsidR="00E72EA4" w:rsidRPr="000C06D7">
        <w:rPr>
          <w:rFonts w:ascii="Times New Roman" w:hAnsi="Times New Roman"/>
        </w:rPr>
        <w:t xml:space="preserve"> </w:t>
      </w:r>
      <w:r w:rsidR="00DE1805" w:rsidRPr="000C06D7">
        <w:rPr>
          <w:rFonts w:ascii="Times New Roman" w:hAnsi="Times New Roman"/>
        </w:rPr>
        <w:t>pertaining to</w:t>
      </w:r>
      <w:r w:rsidR="00E72EA4" w:rsidRPr="000C06D7">
        <w:rPr>
          <w:rFonts w:ascii="Times New Roman" w:hAnsi="Times New Roman"/>
        </w:rPr>
        <w:t xml:space="preserve"> the amount of the navigation service charge</w:t>
      </w:r>
      <w:r w:rsidR="00CC012A" w:rsidRPr="000C06D7">
        <w:rPr>
          <w:rFonts w:ascii="Times New Roman" w:hAnsi="Times New Roman"/>
        </w:rPr>
        <w:t xml:space="preserve"> or wharfage charge</w:t>
      </w:r>
      <w:r w:rsidR="00405B71" w:rsidRPr="000C06D7">
        <w:rPr>
          <w:rFonts w:ascii="Times New Roman" w:hAnsi="Times New Roman"/>
        </w:rPr>
        <w:t xml:space="preserve"> </w:t>
      </w:r>
      <w:r w:rsidR="00BF0765" w:rsidRPr="000C06D7">
        <w:rPr>
          <w:rFonts w:ascii="Times New Roman" w:hAnsi="Times New Roman"/>
        </w:rPr>
        <w:t xml:space="preserve">payable by </w:t>
      </w:r>
      <w:r w:rsidR="0035638D" w:rsidRPr="000C06D7">
        <w:rPr>
          <w:rFonts w:ascii="Times New Roman" w:hAnsi="Times New Roman"/>
        </w:rPr>
        <w:t xml:space="preserve">Glencore </w:t>
      </w:r>
      <w:r w:rsidR="00BF0765" w:rsidRPr="000C06D7">
        <w:rPr>
          <w:rFonts w:ascii="Times New Roman" w:hAnsi="Times New Roman"/>
        </w:rPr>
        <w:t xml:space="preserve">to PNO </w:t>
      </w:r>
      <w:r w:rsidRPr="000C06D7">
        <w:rPr>
          <w:rFonts w:ascii="Times New Roman" w:hAnsi="Times New Roman"/>
        </w:rPr>
        <w:t xml:space="preserve">as the result of the </w:t>
      </w:r>
      <w:r w:rsidR="00D548D4" w:rsidRPr="000C06D7">
        <w:rPr>
          <w:rFonts w:ascii="Times New Roman" w:hAnsi="Times New Roman"/>
        </w:rPr>
        <w:t xml:space="preserve">final </w:t>
      </w:r>
      <w:r w:rsidRPr="000C06D7">
        <w:rPr>
          <w:rFonts w:ascii="Times New Roman" w:hAnsi="Times New Roman"/>
        </w:rPr>
        <w:t>determination of a</w:t>
      </w:r>
      <w:r w:rsidR="00407C2F" w:rsidRPr="000C06D7">
        <w:rPr>
          <w:rFonts w:ascii="Times New Roman" w:hAnsi="Times New Roman"/>
        </w:rPr>
        <w:t>n access</w:t>
      </w:r>
      <w:r w:rsidR="00D548D4" w:rsidRPr="000C06D7">
        <w:rPr>
          <w:rFonts w:ascii="Times New Roman" w:hAnsi="Times New Roman"/>
        </w:rPr>
        <w:t xml:space="preserve"> </w:t>
      </w:r>
      <w:r w:rsidRPr="000C06D7">
        <w:rPr>
          <w:rFonts w:ascii="Times New Roman" w:hAnsi="Times New Roman"/>
        </w:rPr>
        <w:t>dispute under Pt</w:t>
      </w:r>
      <w:r w:rsidR="00A85737" w:rsidRPr="000C06D7">
        <w:rPr>
          <w:rFonts w:ascii="Times New Roman" w:hAnsi="Times New Roman"/>
        </w:rPr>
        <w:t> </w:t>
      </w:r>
      <w:r w:rsidRPr="000C06D7">
        <w:rPr>
          <w:rFonts w:ascii="Times New Roman" w:hAnsi="Times New Roman"/>
        </w:rPr>
        <w:t xml:space="preserve">IIIA </w:t>
      </w:r>
      <w:r w:rsidR="00CC012A" w:rsidRPr="000C06D7">
        <w:rPr>
          <w:rFonts w:ascii="Times New Roman" w:hAnsi="Times New Roman"/>
        </w:rPr>
        <w:t>can be</w:t>
      </w:r>
      <w:r w:rsidR="0006556A" w:rsidRPr="000C06D7">
        <w:rPr>
          <w:rFonts w:ascii="Times New Roman" w:hAnsi="Times New Roman"/>
        </w:rPr>
        <w:t xml:space="preserve"> fashioned so </w:t>
      </w:r>
      <w:r w:rsidR="00210E11" w:rsidRPr="000C06D7">
        <w:rPr>
          <w:rFonts w:ascii="Times New Roman" w:hAnsi="Times New Roman"/>
        </w:rPr>
        <w:t>as to be</w:t>
      </w:r>
      <w:r w:rsidR="00137508" w:rsidRPr="000C06D7">
        <w:rPr>
          <w:rFonts w:ascii="Times New Roman" w:hAnsi="Times New Roman"/>
        </w:rPr>
        <w:t xml:space="preserve"> able to</w:t>
      </w:r>
      <w:r w:rsidR="00FE5165" w:rsidRPr="000C06D7">
        <w:rPr>
          <w:rFonts w:ascii="Times New Roman" w:hAnsi="Times New Roman"/>
        </w:rPr>
        <w:t xml:space="preserve"> be performed</w:t>
      </w:r>
      <w:r w:rsidR="00E72EA4" w:rsidRPr="000C06D7">
        <w:rPr>
          <w:rFonts w:ascii="Times New Roman" w:hAnsi="Times New Roman"/>
        </w:rPr>
        <w:t xml:space="preserve"> </w:t>
      </w:r>
      <w:r w:rsidR="006D2265" w:rsidRPr="000C06D7">
        <w:rPr>
          <w:rFonts w:ascii="Times New Roman" w:hAnsi="Times New Roman"/>
        </w:rPr>
        <w:t xml:space="preserve">within the </w:t>
      </w:r>
      <w:r w:rsidR="001F5127" w:rsidRPr="000C06D7">
        <w:rPr>
          <w:rFonts w:ascii="Times New Roman" w:hAnsi="Times New Roman"/>
        </w:rPr>
        <w:t>scope of the PMA Act</w:t>
      </w:r>
      <w:r w:rsidR="004C76B2" w:rsidRPr="000C06D7">
        <w:rPr>
          <w:rFonts w:ascii="Times New Roman" w:hAnsi="Times New Roman"/>
        </w:rPr>
        <w:t xml:space="preserve">. </w:t>
      </w:r>
      <w:r w:rsidR="00AC44F9" w:rsidRPr="000C06D7">
        <w:rPr>
          <w:rFonts w:ascii="Times New Roman" w:hAnsi="Times New Roman"/>
        </w:rPr>
        <w:t xml:space="preserve">No question </w:t>
      </w:r>
      <w:r w:rsidR="00993AF6" w:rsidRPr="000C06D7">
        <w:rPr>
          <w:rFonts w:ascii="Times New Roman" w:hAnsi="Times New Roman"/>
        </w:rPr>
        <w:t>of</w:t>
      </w:r>
      <w:r w:rsidR="00987F13" w:rsidRPr="000C06D7">
        <w:rPr>
          <w:rFonts w:ascii="Times New Roman" w:hAnsi="Times New Roman"/>
        </w:rPr>
        <w:t xml:space="preserve"> "operational inconsistency"</w:t>
      </w:r>
      <w:r w:rsidR="00046F97" w:rsidRPr="000C06D7">
        <w:rPr>
          <w:rStyle w:val="FootnoteReference"/>
          <w:rFonts w:ascii="Times New Roman" w:hAnsi="Times New Roman"/>
          <w:sz w:val="24"/>
        </w:rPr>
        <w:footnoteReference w:id="57"/>
      </w:r>
      <w:r w:rsidR="00987F13" w:rsidRPr="000C06D7">
        <w:rPr>
          <w:rFonts w:ascii="Times New Roman" w:hAnsi="Times New Roman"/>
        </w:rPr>
        <w:t xml:space="preserve"> </w:t>
      </w:r>
      <w:r w:rsidR="003C05AB" w:rsidRPr="000C06D7">
        <w:rPr>
          <w:rFonts w:ascii="Times New Roman" w:hAnsi="Times New Roman"/>
        </w:rPr>
        <w:t xml:space="preserve">between </w:t>
      </w:r>
      <w:r w:rsidR="005F1E62" w:rsidRPr="000C06D7">
        <w:rPr>
          <w:rFonts w:ascii="Times New Roman" w:hAnsi="Times New Roman"/>
        </w:rPr>
        <w:t>Pt</w:t>
      </w:r>
      <w:r w:rsidR="000C618A" w:rsidRPr="000C06D7">
        <w:rPr>
          <w:rFonts w:ascii="Times New Roman" w:hAnsi="Times New Roman"/>
        </w:rPr>
        <w:t> </w:t>
      </w:r>
      <w:r w:rsidR="005F1E62" w:rsidRPr="000C06D7">
        <w:rPr>
          <w:rFonts w:ascii="Times New Roman" w:hAnsi="Times New Roman"/>
        </w:rPr>
        <w:t>IIIA of the Act and the PMA Act</w:t>
      </w:r>
      <w:r w:rsidR="00993AF6" w:rsidRPr="000C06D7">
        <w:rPr>
          <w:rFonts w:ascii="Times New Roman" w:hAnsi="Times New Roman"/>
        </w:rPr>
        <w:t xml:space="preserve"> arises for consideration</w:t>
      </w:r>
      <w:r w:rsidR="00526A43" w:rsidRPr="000C06D7">
        <w:rPr>
          <w:rFonts w:ascii="Times New Roman" w:hAnsi="Times New Roman"/>
        </w:rPr>
        <w:t xml:space="preserve"> </w:t>
      </w:r>
      <w:r w:rsidR="00AF6338" w:rsidRPr="000C06D7">
        <w:rPr>
          <w:rFonts w:ascii="Times New Roman" w:hAnsi="Times New Roman"/>
        </w:rPr>
        <w:t>i</w:t>
      </w:r>
      <w:r w:rsidR="00526A43" w:rsidRPr="000C06D7">
        <w:rPr>
          <w:rFonts w:ascii="Times New Roman" w:hAnsi="Times New Roman"/>
        </w:rPr>
        <w:t>n the appeal</w:t>
      </w:r>
      <w:r w:rsidR="005F1E62" w:rsidRPr="000C06D7">
        <w:rPr>
          <w:rFonts w:ascii="Times New Roman" w:hAnsi="Times New Roman"/>
        </w:rPr>
        <w:t>.</w:t>
      </w:r>
    </w:p>
    <w:p w14:paraId="60F0CF9D" w14:textId="634F6BB3" w:rsidR="00180DB9" w:rsidRPr="000C06D7" w:rsidRDefault="00A833EC" w:rsidP="000C06D7">
      <w:pPr>
        <w:pStyle w:val="HeadingL1"/>
        <w:spacing w:after="260" w:line="280" w:lineRule="exact"/>
        <w:ind w:right="0"/>
        <w:jc w:val="both"/>
        <w:rPr>
          <w:rFonts w:ascii="Times New Roman" w:hAnsi="Times New Roman"/>
        </w:rPr>
      </w:pPr>
      <w:r w:rsidRPr="000C06D7">
        <w:rPr>
          <w:rFonts w:ascii="Times New Roman" w:hAnsi="Times New Roman"/>
        </w:rPr>
        <w:t>Procedural history</w:t>
      </w:r>
    </w:p>
    <w:p w14:paraId="7CFDB95C" w14:textId="7B48EF4B" w:rsidR="00C559BE" w:rsidRPr="000C06D7" w:rsidRDefault="00921042"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837346" w:rsidRPr="000C06D7">
        <w:rPr>
          <w:rFonts w:ascii="Times New Roman" w:hAnsi="Times New Roman"/>
        </w:rPr>
        <w:t xml:space="preserve">Following increases in </w:t>
      </w:r>
      <w:r w:rsidR="00EC4876" w:rsidRPr="000C06D7">
        <w:rPr>
          <w:rFonts w:ascii="Times New Roman" w:hAnsi="Times New Roman"/>
        </w:rPr>
        <w:t>amounts fixed as navigation service charge and as wharfage charge</w:t>
      </w:r>
      <w:r w:rsidR="00FB620D" w:rsidRPr="000C06D7">
        <w:rPr>
          <w:rFonts w:ascii="Times New Roman" w:hAnsi="Times New Roman"/>
        </w:rPr>
        <w:t xml:space="preserve"> </w:t>
      </w:r>
      <w:r w:rsidR="004528E4" w:rsidRPr="000C06D7">
        <w:rPr>
          <w:rFonts w:ascii="Times New Roman" w:hAnsi="Times New Roman"/>
        </w:rPr>
        <w:t>after</w:t>
      </w:r>
      <w:r w:rsidR="00FB620D" w:rsidRPr="000C06D7">
        <w:rPr>
          <w:rFonts w:ascii="Times New Roman" w:hAnsi="Times New Roman"/>
        </w:rPr>
        <w:t xml:space="preserve"> PNO </w:t>
      </w:r>
      <w:r w:rsidR="006841C3" w:rsidRPr="000C06D7">
        <w:rPr>
          <w:rFonts w:ascii="Times New Roman" w:hAnsi="Times New Roman"/>
        </w:rPr>
        <w:t>became operator of the Port</w:t>
      </w:r>
      <w:r w:rsidR="00C07D57" w:rsidRPr="000C06D7">
        <w:rPr>
          <w:rFonts w:ascii="Times New Roman" w:hAnsi="Times New Roman"/>
        </w:rPr>
        <w:t xml:space="preserve"> in 2014</w:t>
      </w:r>
      <w:r w:rsidR="00CE6510" w:rsidRPr="000C06D7">
        <w:rPr>
          <w:rFonts w:ascii="Times New Roman" w:hAnsi="Times New Roman"/>
        </w:rPr>
        <w:t xml:space="preserve">, </w:t>
      </w:r>
      <w:r w:rsidR="00D942DC" w:rsidRPr="000C06D7">
        <w:rPr>
          <w:rFonts w:ascii="Times New Roman" w:hAnsi="Times New Roman"/>
        </w:rPr>
        <w:t xml:space="preserve">Glencore </w:t>
      </w:r>
      <w:r w:rsidR="00837346" w:rsidRPr="000C06D7">
        <w:rPr>
          <w:rFonts w:ascii="Times New Roman" w:hAnsi="Times New Roman"/>
        </w:rPr>
        <w:t xml:space="preserve">in 2015 </w:t>
      </w:r>
      <w:r w:rsidR="00D942DC" w:rsidRPr="000C06D7">
        <w:rPr>
          <w:rFonts w:ascii="Times New Roman" w:hAnsi="Times New Roman"/>
        </w:rPr>
        <w:t>asked the N</w:t>
      </w:r>
      <w:r w:rsidR="00EC314A" w:rsidRPr="000C06D7">
        <w:rPr>
          <w:rFonts w:ascii="Times New Roman" w:hAnsi="Times New Roman"/>
        </w:rPr>
        <w:t>CC</w:t>
      </w:r>
      <w:r w:rsidR="00877A93" w:rsidRPr="000C06D7">
        <w:rPr>
          <w:rFonts w:ascii="Times New Roman" w:hAnsi="Times New Roman"/>
        </w:rPr>
        <w:t xml:space="preserve"> to recommend declaration of </w:t>
      </w:r>
      <w:r w:rsidR="0072682F" w:rsidRPr="000C06D7">
        <w:rPr>
          <w:rFonts w:ascii="Times New Roman" w:hAnsi="Times New Roman"/>
        </w:rPr>
        <w:t>the</w:t>
      </w:r>
      <w:r w:rsidR="00877A93" w:rsidRPr="000C06D7">
        <w:rPr>
          <w:rFonts w:ascii="Times New Roman" w:hAnsi="Times New Roman"/>
        </w:rPr>
        <w:t xml:space="preserve"> service </w:t>
      </w:r>
      <w:r w:rsidR="00E54D16" w:rsidRPr="000C06D7">
        <w:rPr>
          <w:rFonts w:ascii="Times New Roman" w:hAnsi="Times New Roman"/>
        </w:rPr>
        <w:t xml:space="preserve">provided by PNO by means of the </w:t>
      </w:r>
      <w:r w:rsidR="00D72742" w:rsidRPr="000C06D7">
        <w:rPr>
          <w:rFonts w:ascii="Times New Roman" w:hAnsi="Times New Roman"/>
        </w:rPr>
        <w:t xml:space="preserve">shipping channels and loading berths at the </w:t>
      </w:r>
      <w:r w:rsidR="00D806A7" w:rsidRPr="000C06D7">
        <w:rPr>
          <w:rFonts w:ascii="Times New Roman" w:hAnsi="Times New Roman"/>
        </w:rPr>
        <w:t>Port.</w:t>
      </w:r>
      <w:r w:rsidR="00373624" w:rsidRPr="000C06D7">
        <w:rPr>
          <w:rFonts w:ascii="Times New Roman" w:hAnsi="Times New Roman"/>
        </w:rPr>
        <w:t xml:space="preserve"> The </w:t>
      </w:r>
      <w:r w:rsidR="00EC314A" w:rsidRPr="000C06D7">
        <w:rPr>
          <w:rFonts w:ascii="Times New Roman" w:hAnsi="Times New Roman"/>
        </w:rPr>
        <w:t>NCC</w:t>
      </w:r>
      <w:r w:rsidR="00373624" w:rsidRPr="000C06D7">
        <w:rPr>
          <w:rFonts w:ascii="Times New Roman" w:hAnsi="Times New Roman"/>
        </w:rPr>
        <w:t xml:space="preserve"> recommended against </w:t>
      </w:r>
      <w:r w:rsidR="00F723B5" w:rsidRPr="000C06D7">
        <w:rPr>
          <w:rFonts w:ascii="Times New Roman" w:hAnsi="Times New Roman"/>
        </w:rPr>
        <w:t xml:space="preserve">that </w:t>
      </w:r>
      <w:r w:rsidR="00373624" w:rsidRPr="000C06D7">
        <w:rPr>
          <w:rFonts w:ascii="Times New Roman" w:hAnsi="Times New Roman"/>
        </w:rPr>
        <w:t>declaration</w:t>
      </w:r>
      <w:r w:rsidR="00F723B5" w:rsidRPr="000C06D7">
        <w:rPr>
          <w:rFonts w:ascii="Times New Roman" w:hAnsi="Times New Roman"/>
        </w:rPr>
        <w:t>. T</w:t>
      </w:r>
      <w:r w:rsidR="00373624" w:rsidRPr="000C06D7">
        <w:rPr>
          <w:rFonts w:ascii="Times New Roman" w:hAnsi="Times New Roman"/>
        </w:rPr>
        <w:t>he</w:t>
      </w:r>
      <w:r w:rsidR="00F723B5" w:rsidRPr="000C06D7">
        <w:rPr>
          <w:rFonts w:ascii="Times New Roman" w:hAnsi="Times New Roman"/>
        </w:rPr>
        <w:t xml:space="preserve"> designated Minister, </w:t>
      </w:r>
      <w:r w:rsidR="00042114" w:rsidRPr="000C06D7">
        <w:rPr>
          <w:rFonts w:ascii="Times New Roman" w:hAnsi="Times New Roman"/>
        </w:rPr>
        <w:t xml:space="preserve">who was then the Acting Treasurer, </w:t>
      </w:r>
      <w:r w:rsidR="00373624" w:rsidRPr="000C06D7">
        <w:rPr>
          <w:rFonts w:ascii="Times New Roman" w:hAnsi="Times New Roman"/>
        </w:rPr>
        <w:t>decided not to make the declaration.</w:t>
      </w:r>
      <w:r w:rsidR="00C559BE" w:rsidRPr="000C06D7">
        <w:rPr>
          <w:rFonts w:ascii="Times New Roman" w:hAnsi="Times New Roman"/>
        </w:rPr>
        <w:t xml:space="preserve"> </w:t>
      </w:r>
    </w:p>
    <w:p w14:paraId="0BB245E6" w14:textId="347D351E" w:rsidR="00921042" w:rsidRPr="000C06D7" w:rsidRDefault="00C559BE"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3463D5" w:rsidRPr="000C06D7">
        <w:rPr>
          <w:rFonts w:ascii="Times New Roman" w:hAnsi="Times New Roman"/>
        </w:rPr>
        <w:t>Glencore applied to the Tribunal for review of th</w:t>
      </w:r>
      <w:r w:rsidR="008F0DE5" w:rsidRPr="000C06D7">
        <w:rPr>
          <w:rFonts w:ascii="Times New Roman" w:hAnsi="Times New Roman"/>
        </w:rPr>
        <w:t>e</w:t>
      </w:r>
      <w:r w:rsidR="003463D5" w:rsidRPr="000C06D7">
        <w:rPr>
          <w:rFonts w:ascii="Times New Roman" w:hAnsi="Times New Roman"/>
        </w:rPr>
        <w:t xml:space="preserve"> decision</w:t>
      </w:r>
      <w:r w:rsidR="008F0DE5" w:rsidRPr="000C06D7">
        <w:rPr>
          <w:rFonts w:ascii="Times New Roman" w:hAnsi="Times New Roman"/>
        </w:rPr>
        <w:t xml:space="preserve"> of the Acting Treasurer</w:t>
      </w:r>
      <w:r w:rsidR="003463D5" w:rsidRPr="000C06D7">
        <w:rPr>
          <w:rFonts w:ascii="Times New Roman" w:hAnsi="Times New Roman"/>
        </w:rPr>
        <w:t xml:space="preserve">. </w:t>
      </w:r>
      <w:r w:rsidRPr="000C06D7">
        <w:rPr>
          <w:rFonts w:ascii="Times New Roman" w:hAnsi="Times New Roman"/>
        </w:rPr>
        <w:t xml:space="preserve">The outcome </w:t>
      </w:r>
      <w:r w:rsidR="00AF30E3" w:rsidRPr="000C06D7">
        <w:rPr>
          <w:rFonts w:ascii="Times New Roman" w:hAnsi="Times New Roman"/>
        </w:rPr>
        <w:t xml:space="preserve">of the review </w:t>
      </w:r>
      <w:r w:rsidRPr="000C06D7">
        <w:rPr>
          <w:rFonts w:ascii="Times New Roman" w:hAnsi="Times New Roman"/>
        </w:rPr>
        <w:t xml:space="preserve">was that the Tribunal </w:t>
      </w:r>
      <w:r w:rsidR="004126CD" w:rsidRPr="000C06D7">
        <w:rPr>
          <w:rFonts w:ascii="Times New Roman" w:hAnsi="Times New Roman"/>
        </w:rPr>
        <w:t xml:space="preserve">in 2016 </w:t>
      </w:r>
      <w:r w:rsidR="00CF2948" w:rsidRPr="000C06D7">
        <w:rPr>
          <w:rFonts w:ascii="Times New Roman" w:hAnsi="Times New Roman"/>
        </w:rPr>
        <w:t xml:space="preserve">set aside the decision of the Acting Treasurer </w:t>
      </w:r>
      <w:r w:rsidR="006429C2" w:rsidRPr="000C06D7">
        <w:rPr>
          <w:rFonts w:ascii="Times New Roman" w:hAnsi="Times New Roman"/>
        </w:rPr>
        <w:t xml:space="preserve">and </w:t>
      </w:r>
      <w:r w:rsidR="004126CD" w:rsidRPr="000C06D7">
        <w:rPr>
          <w:rFonts w:ascii="Times New Roman" w:hAnsi="Times New Roman"/>
        </w:rPr>
        <w:t xml:space="preserve">declared a </w:t>
      </w:r>
      <w:r w:rsidR="00D70FB1" w:rsidRPr="000C06D7">
        <w:rPr>
          <w:rFonts w:ascii="Times New Roman" w:hAnsi="Times New Roman"/>
        </w:rPr>
        <w:t>service</w:t>
      </w:r>
      <w:r w:rsidR="000966EE" w:rsidRPr="000C06D7">
        <w:rPr>
          <w:rFonts w:ascii="Times New Roman" w:hAnsi="Times New Roman"/>
        </w:rPr>
        <w:t xml:space="preserve"> </w:t>
      </w:r>
      <w:r w:rsidR="00877A93" w:rsidRPr="000C06D7">
        <w:rPr>
          <w:rFonts w:ascii="Times New Roman" w:hAnsi="Times New Roman"/>
        </w:rPr>
        <w:t>identif</w:t>
      </w:r>
      <w:r w:rsidR="007232EA" w:rsidRPr="000C06D7">
        <w:rPr>
          <w:rFonts w:ascii="Times New Roman" w:hAnsi="Times New Roman"/>
        </w:rPr>
        <w:t>i</w:t>
      </w:r>
      <w:r w:rsidR="00877A93" w:rsidRPr="000C06D7">
        <w:rPr>
          <w:rFonts w:ascii="Times New Roman" w:hAnsi="Times New Roman"/>
        </w:rPr>
        <w:t>ed in the following terms</w:t>
      </w:r>
      <w:r w:rsidR="000C4F63" w:rsidRPr="000C06D7">
        <w:rPr>
          <w:rStyle w:val="FootnoteReference"/>
          <w:rFonts w:ascii="Times New Roman" w:hAnsi="Times New Roman"/>
          <w:sz w:val="24"/>
        </w:rPr>
        <w:footnoteReference w:id="58"/>
      </w:r>
      <w:r w:rsidR="00323FE5" w:rsidRPr="000C06D7">
        <w:rPr>
          <w:rFonts w:ascii="Times New Roman" w:hAnsi="Times New Roman"/>
        </w:rPr>
        <w:t>:</w:t>
      </w:r>
    </w:p>
    <w:p w14:paraId="2C54CC9A" w14:textId="77777777" w:rsidR="000C06D7" w:rsidRDefault="00916285" w:rsidP="000C06D7">
      <w:pPr>
        <w:pStyle w:val="leftright"/>
        <w:spacing w:before="0" w:after="260" w:line="280" w:lineRule="exact"/>
        <w:ind w:right="0"/>
        <w:jc w:val="both"/>
        <w:rPr>
          <w:rFonts w:ascii="Times New Roman" w:hAnsi="Times New Roman"/>
        </w:rPr>
      </w:pPr>
      <w:r w:rsidRPr="000C06D7">
        <w:rPr>
          <w:rFonts w:ascii="Times New Roman" w:hAnsi="Times New Roman"/>
        </w:rPr>
        <w:lastRenderedPageBreak/>
        <w:t>"</w:t>
      </w:r>
      <w:r w:rsidR="00652C39" w:rsidRPr="000C06D7">
        <w:rPr>
          <w:rFonts w:ascii="Times New Roman" w:hAnsi="Times New Roman"/>
        </w:rPr>
        <w:t>[</w:t>
      </w:r>
      <w:r w:rsidR="00940C4D" w:rsidRPr="000C06D7">
        <w:rPr>
          <w:rFonts w:ascii="Times New Roman" w:hAnsi="Times New Roman"/>
        </w:rPr>
        <w:t>T</w:t>
      </w:r>
      <w:r w:rsidR="00652C39" w:rsidRPr="000C06D7">
        <w:rPr>
          <w:rFonts w:ascii="Times New Roman" w:hAnsi="Times New Roman"/>
        </w:rPr>
        <w:t>]</w:t>
      </w:r>
      <w:r w:rsidRPr="000C06D7">
        <w:rPr>
          <w:rFonts w:ascii="Times New Roman" w:hAnsi="Times New Roman"/>
        </w:rPr>
        <w:t>he provision of the right to access and use the shipping</w:t>
      </w:r>
      <w:r w:rsidR="000F14DB" w:rsidRPr="000C06D7">
        <w:rPr>
          <w:rFonts w:ascii="Times New Roman" w:hAnsi="Times New Roman"/>
        </w:rPr>
        <w:t xml:space="preserve"> channels (including berths next to wharves as part of the channels) a</w:t>
      </w:r>
      <w:r w:rsidR="008E5641" w:rsidRPr="000C06D7">
        <w:rPr>
          <w:rFonts w:ascii="Times New Roman" w:hAnsi="Times New Roman"/>
        </w:rPr>
        <w:t>t</w:t>
      </w:r>
      <w:r w:rsidR="000F14DB" w:rsidRPr="000C06D7">
        <w:rPr>
          <w:rFonts w:ascii="Times New Roman" w:hAnsi="Times New Roman"/>
        </w:rPr>
        <w:t xml:space="preserve"> the </w:t>
      </w:r>
      <w:r w:rsidR="00F3165C" w:rsidRPr="000C06D7">
        <w:rPr>
          <w:rFonts w:ascii="Times New Roman" w:hAnsi="Times New Roman"/>
        </w:rPr>
        <w:t>P</w:t>
      </w:r>
      <w:r w:rsidR="000F14DB" w:rsidRPr="000C06D7">
        <w:rPr>
          <w:rFonts w:ascii="Times New Roman" w:hAnsi="Times New Roman"/>
        </w:rPr>
        <w:t>ort of Newcastle (Port)</w:t>
      </w:r>
      <w:r w:rsidR="00C953F1" w:rsidRPr="000C06D7">
        <w:rPr>
          <w:rFonts w:ascii="Times New Roman" w:hAnsi="Times New Roman"/>
        </w:rPr>
        <w:t xml:space="preserve">, by virtue of which vessels may enter </w:t>
      </w:r>
      <w:r w:rsidR="0029036F" w:rsidRPr="000C06D7">
        <w:rPr>
          <w:rFonts w:ascii="Times New Roman" w:hAnsi="Times New Roman"/>
        </w:rPr>
        <w:t>a</w:t>
      </w:r>
      <w:r w:rsidR="00C953F1" w:rsidRPr="000C06D7">
        <w:rPr>
          <w:rFonts w:ascii="Times New Roman" w:hAnsi="Times New Roman"/>
        </w:rPr>
        <w:t xml:space="preserve"> Port precinct and load and unload at relevant terminals located within the Port </w:t>
      </w:r>
      <w:r w:rsidR="00F3165C" w:rsidRPr="000C06D7">
        <w:rPr>
          <w:rFonts w:ascii="Times New Roman" w:hAnsi="Times New Roman"/>
        </w:rPr>
        <w:t>precinct</w:t>
      </w:r>
      <w:r w:rsidR="00C953F1" w:rsidRPr="000C06D7">
        <w:rPr>
          <w:rFonts w:ascii="Times New Roman" w:hAnsi="Times New Roman"/>
        </w:rPr>
        <w:t xml:space="preserve"> and then depart the Port precinct</w:t>
      </w:r>
      <w:r w:rsidR="007232EA" w:rsidRPr="000C06D7">
        <w:rPr>
          <w:rFonts w:ascii="Times New Roman" w:hAnsi="Times New Roman"/>
        </w:rPr>
        <w:t>."</w:t>
      </w:r>
    </w:p>
    <w:p w14:paraId="52E3903C" w14:textId="1891CC3C" w:rsidR="00C367EB" w:rsidRPr="000C06D7" w:rsidRDefault="00E53053" w:rsidP="000C06D7">
      <w:pPr>
        <w:pStyle w:val="NormalBody"/>
        <w:spacing w:after="260" w:line="280" w:lineRule="exact"/>
        <w:ind w:right="0"/>
        <w:jc w:val="both"/>
        <w:rPr>
          <w:rFonts w:ascii="Times New Roman" w:hAnsi="Times New Roman"/>
        </w:rPr>
      </w:pPr>
      <w:r w:rsidRPr="000C06D7">
        <w:rPr>
          <w:rFonts w:ascii="Times New Roman" w:hAnsi="Times New Roman"/>
        </w:rPr>
        <w:t>That</w:t>
      </w:r>
      <w:r w:rsidR="00C367EB" w:rsidRPr="000C06D7">
        <w:rPr>
          <w:rFonts w:ascii="Times New Roman" w:hAnsi="Times New Roman"/>
        </w:rPr>
        <w:t xml:space="preserve"> </w:t>
      </w:r>
      <w:r w:rsidR="009559C7" w:rsidRPr="000C06D7">
        <w:rPr>
          <w:rFonts w:ascii="Times New Roman" w:hAnsi="Times New Roman"/>
        </w:rPr>
        <w:t xml:space="preserve">declaration </w:t>
      </w:r>
      <w:r w:rsidRPr="000C06D7">
        <w:rPr>
          <w:rFonts w:ascii="Times New Roman" w:hAnsi="Times New Roman"/>
        </w:rPr>
        <w:t xml:space="preserve">will be referred to in these reasons </w:t>
      </w:r>
      <w:r w:rsidR="009559C7" w:rsidRPr="000C06D7">
        <w:rPr>
          <w:rFonts w:ascii="Times New Roman" w:hAnsi="Times New Roman"/>
        </w:rPr>
        <w:t>as "the Declaration"</w:t>
      </w:r>
      <w:r w:rsidRPr="000C06D7">
        <w:rPr>
          <w:rFonts w:ascii="Times New Roman" w:hAnsi="Times New Roman"/>
        </w:rPr>
        <w:t>.</w:t>
      </w:r>
      <w:r w:rsidR="009559C7" w:rsidRPr="000C06D7">
        <w:rPr>
          <w:rFonts w:ascii="Times New Roman" w:hAnsi="Times New Roman"/>
        </w:rPr>
        <w:t xml:space="preserve"> </w:t>
      </w:r>
      <w:r w:rsidR="00A04FCB" w:rsidRPr="000C06D7">
        <w:rPr>
          <w:rFonts w:ascii="Times New Roman" w:hAnsi="Times New Roman"/>
        </w:rPr>
        <w:t xml:space="preserve">The </w:t>
      </w:r>
      <w:r w:rsidR="00C367EB" w:rsidRPr="000C06D7">
        <w:rPr>
          <w:rFonts w:ascii="Times New Roman" w:hAnsi="Times New Roman"/>
        </w:rPr>
        <w:t xml:space="preserve">service </w:t>
      </w:r>
      <w:r w:rsidR="00A04FCB" w:rsidRPr="000C06D7">
        <w:rPr>
          <w:rFonts w:ascii="Times New Roman" w:hAnsi="Times New Roman"/>
        </w:rPr>
        <w:t xml:space="preserve">identified in the Declaration will be referred to </w:t>
      </w:r>
      <w:r w:rsidR="00C367EB" w:rsidRPr="000C06D7">
        <w:rPr>
          <w:rFonts w:ascii="Times New Roman" w:hAnsi="Times New Roman"/>
        </w:rPr>
        <w:t>as "the Service".</w:t>
      </w:r>
      <w:r w:rsidR="00833602" w:rsidRPr="000C06D7">
        <w:rPr>
          <w:rFonts w:ascii="Times New Roman" w:hAnsi="Times New Roman"/>
        </w:rPr>
        <w:t xml:space="preserve"> The </w:t>
      </w:r>
      <w:r w:rsidR="0032721C" w:rsidRPr="000C06D7">
        <w:rPr>
          <w:rFonts w:ascii="Times New Roman" w:hAnsi="Times New Roman"/>
        </w:rPr>
        <w:t>Declaration</w:t>
      </w:r>
      <w:r w:rsidR="00833602" w:rsidRPr="000C06D7">
        <w:rPr>
          <w:rFonts w:ascii="Times New Roman" w:hAnsi="Times New Roman"/>
        </w:rPr>
        <w:t xml:space="preserve"> was for a period specified to expire in 203</w:t>
      </w:r>
      <w:r w:rsidR="0072316A" w:rsidRPr="000C06D7">
        <w:rPr>
          <w:rFonts w:ascii="Times New Roman" w:hAnsi="Times New Roman"/>
        </w:rPr>
        <w:t>1</w:t>
      </w:r>
      <w:r w:rsidR="00833602" w:rsidRPr="000C06D7">
        <w:rPr>
          <w:rFonts w:ascii="Times New Roman" w:hAnsi="Times New Roman"/>
        </w:rPr>
        <w:t>.</w:t>
      </w:r>
    </w:p>
    <w:p w14:paraId="1B320E3F" w14:textId="763095F0" w:rsidR="003E2C94" w:rsidRPr="000C06D7" w:rsidRDefault="00C367EB"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6429C2" w:rsidRPr="000C06D7">
        <w:rPr>
          <w:rFonts w:ascii="Times New Roman" w:hAnsi="Times New Roman"/>
        </w:rPr>
        <w:t xml:space="preserve">In </w:t>
      </w:r>
      <w:r w:rsidR="00A04FCB" w:rsidRPr="000C06D7">
        <w:rPr>
          <w:rFonts w:ascii="Times New Roman" w:hAnsi="Times New Roman"/>
        </w:rPr>
        <w:t xml:space="preserve">deciding </w:t>
      </w:r>
      <w:r w:rsidR="00F7274D" w:rsidRPr="000C06D7">
        <w:rPr>
          <w:rFonts w:ascii="Times New Roman" w:hAnsi="Times New Roman"/>
        </w:rPr>
        <w:t xml:space="preserve">to </w:t>
      </w:r>
      <w:r w:rsidR="00A04FCB" w:rsidRPr="000C06D7">
        <w:rPr>
          <w:rFonts w:ascii="Times New Roman" w:hAnsi="Times New Roman"/>
        </w:rPr>
        <w:t>make the Declaration</w:t>
      </w:r>
      <w:r w:rsidR="00F7274D" w:rsidRPr="000C06D7">
        <w:rPr>
          <w:rFonts w:ascii="Times New Roman" w:hAnsi="Times New Roman"/>
        </w:rPr>
        <w:t>, the Tribunal found th</w:t>
      </w:r>
      <w:r w:rsidR="00B945F8" w:rsidRPr="000C06D7">
        <w:rPr>
          <w:rFonts w:ascii="Times New Roman" w:hAnsi="Times New Roman"/>
        </w:rPr>
        <w:t xml:space="preserve">e </w:t>
      </w:r>
      <w:r w:rsidR="00132A4A" w:rsidRPr="000C06D7">
        <w:rPr>
          <w:rFonts w:ascii="Times New Roman" w:hAnsi="Times New Roman"/>
        </w:rPr>
        <w:t>S</w:t>
      </w:r>
      <w:r w:rsidR="00B945F8" w:rsidRPr="000C06D7">
        <w:rPr>
          <w:rFonts w:ascii="Times New Roman" w:hAnsi="Times New Roman"/>
        </w:rPr>
        <w:t xml:space="preserve">ervice to be </w:t>
      </w:r>
      <w:r w:rsidR="008D190E" w:rsidRPr="000C06D7">
        <w:rPr>
          <w:rFonts w:ascii="Times New Roman" w:hAnsi="Times New Roman"/>
        </w:rPr>
        <w:t>"a necessary input for effective competition</w:t>
      </w:r>
      <w:r w:rsidR="0072707D" w:rsidRPr="000C06D7">
        <w:rPr>
          <w:rFonts w:ascii="Times New Roman" w:hAnsi="Times New Roman"/>
        </w:rPr>
        <w:t xml:space="preserve">" </w:t>
      </w:r>
      <w:r w:rsidR="008C40BF" w:rsidRPr="000C06D7">
        <w:rPr>
          <w:rFonts w:ascii="Times New Roman" w:hAnsi="Times New Roman"/>
        </w:rPr>
        <w:t xml:space="preserve">in </w:t>
      </w:r>
      <w:r w:rsidR="00C57C06" w:rsidRPr="000C06D7">
        <w:rPr>
          <w:rFonts w:ascii="Times New Roman" w:hAnsi="Times New Roman"/>
        </w:rPr>
        <w:t>what</w:t>
      </w:r>
      <w:r w:rsidR="008C40BF" w:rsidRPr="000C06D7">
        <w:rPr>
          <w:rFonts w:ascii="Times New Roman" w:hAnsi="Times New Roman"/>
        </w:rPr>
        <w:t xml:space="preserve"> </w:t>
      </w:r>
      <w:r w:rsidR="00A92598" w:rsidRPr="000C06D7">
        <w:rPr>
          <w:rFonts w:ascii="Times New Roman" w:hAnsi="Times New Roman"/>
        </w:rPr>
        <w:t>the Tribunal identified</w:t>
      </w:r>
      <w:r w:rsidR="008C40BF" w:rsidRPr="000C06D7">
        <w:rPr>
          <w:rFonts w:ascii="Times New Roman" w:hAnsi="Times New Roman"/>
        </w:rPr>
        <w:t xml:space="preserve"> </w:t>
      </w:r>
      <w:r w:rsidR="00045329" w:rsidRPr="000C06D7">
        <w:rPr>
          <w:rFonts w:ascii="Times New Roman" w:hAnsi="Times New Roman"/>
        </w:rPr>
        <w:t>to be</w:t>
      </w:r>
      <w:r w:rsidR="008C40BF" w:rsidRPr="000C06D7">
        <w:rPr>
          <w:rFonts w:ascii="Times New Roman" w:hAnsi="Times New Roman"/>
        </w:rPr>
        <w:t xml:space="preserve"> the "market</w:t>
      </w:r>
      <w:r w:rsidR="00D65ED4" w:rsidRPr="000C06D7">
        <w:rPr>
          <w:rFonts w:ascii="Times New Roman" w:hAnsi="Times New Roman"/>
        </w:rPr>
        <w:t xml:space="preserve"> for the export of coal from the Hunter Valley</w:t>
      </w:r>
      <w:r w:rsidR="008C40BF" w:rsidRPr="000C06D7">
        <w:rPr>
          <w:rFonts w:ascii="Times New Roman" w:hAnsi="Times New Roman"/>
        </w:rPr>
        <w:t>"</w:t>
      </w:r>
      <w:r w:rsidR="00DF6114" w:rsidRPr="000C06D7">
        <w:rPr>
          <w:rFonts w:ascii="Times New Roman" w:hAnsi="Times New Roman"/>
        </w:rPr>
        <w:t xml:space="preserve">. </w:t>
      </w:r>
      <w:r w:rsidR="009A0779" w:rsidRPr="000C06D7">
        <w:rPr>
          <w:rFonts w:ascii="Times New Roman" w:hAnsi="Times New Roman"/>
        </w:rPr>
        <w:t>Applying criterion (a) as it then stood, t</w:t>
      </w:r>
      <w:r w:rsidR="00DF6114" w:rsidRPr="000C06D7">
        <w:rPr>
          <w:rFonts w:ascii="Times New Roman" w:hAnsi="Times New Roman"/>
        </w:rPr>
        <w:t xml:space="preserve">he Tribunal </w:t>
      </w:r>
      <w:r w:rsidR="00692646" w:rsidRPr="000C06D7">
        <w:rPr>
          <w:rFonts w:ascii="Times New Roman" w:hAnsi="Times New Roman"/>
        </w:rPr>
        <w:t xml:space="preserve">concluded </w:t>
      </w:r>
      <w:r w:rsidR="004A52A4" w:rsidRPr="000C06D7">
        <w:rPr>
          <w:rFonts w:ascii="Times New Roman" w:hAnsi="Times New Roman"/>
        </w:rPr>
        <w:t xml:space="preserve">that access to the </w:t>
      </w:r>
      <w:r w:rsidR="001E2612" w:rsidRPr="000C06D7">
        <w:rPr>
          <w:rFonts w:ascii="Times New Roman" w:hAnsi="Times New Roman"/>
        </w:rPr>
        <w:t>S</w:t>
      </w:r>
      <w:r w:rsidR="004A52A4" w:rsidRPr="000C06D7">
        <w:rPr>
          <w:rFonts w:ascii="Times New Roman" w:hAnsi="Times New Roman"/>
        </w:rPr>
        <w:t xml:space="preserve">ervice would promote </w:t>
      </w:r>
      <w:r w:rsidR="00405B8A" w:rsidRPr="000C06D7">
        <w:rPr>
          <w:rFonts w:ascii="Times New Roman" w:hAnsi="Times New Roman"/>
        </w:rPr>
        <w:t xml:space="preserve">a material increase in </w:t>
      </w:r>
      <w:r w:rsidR="004A52A4" w:rsidRPr="000C06D7">
        <w:rPr>
          <w:rFonts w:ascii="Times New Roman" w:hAnsi="Times New Roman"/>
        </w:rPr>
        <w:t>competition in</w:t>
      </w:r>
      <w:r w:rsidR="00AE638D" w:rsidRPr="000C06D7">
        <w:rPr>
          <w:rFonts w:ascii="Times New Roman" w:hAnsi="Times New Roman"/>
        </w:rPr>
        <w:t xml:space="preserve"> </w:t>
      </w:r>
      <w:r w:rsidR="00D65ED4" w:rsidRPr="000C06D7">
        <w:rPr>
          <w:rFonts w:ascii="Times New Roman" w:hAnsi="Times New Roman"/>
        </w:rPr>
        <w:t>that market</w:t>
      </w:r>
      <w:r w:rsidR="00A83C58" w:rsidRPr="000C06D7">
        <w:rPr>
          <w:rFonts w:ascii="Times New Roman" w:hAnsi="Times New Roman"/>
        </w:rPr>
        <w:t>,</w:t>
      </w:r>
      <w:r w:rsidR="007E0566" w:rsidRPr="000C06D7">
        <w:rPr>
          <w:rFonts w:ascii="Times New Roman" w:hAnsi="Times New Roman"/>
        </w:rPr>
        <w:t xml:space="preserve"> </w:t>
      </w:r>
      <w:r w:rsidR="00692646" w:rsidRPr="000C06D7">
        <w:rPr>
          <w:rFonts w:ascii="Times New Roman" w:hAnsi="Times New Roman"/>
        </w:rPr>
        <w:t>and</w:t>
      </w:r>
      <w:r w:rsidR="00A83C58" w:rsidRPr="000C06D7">
        <w:rPr>
          <w:rFonts w:ascii="Times New Roman" w:hAnsi="Times New Roman"/>
        </w:rPr>
        <w:t xml:space="preserve"> in</w:t>
      </w:r>
      <w:r w:rsidR="00692646" w:rsidRPr="000C06D7">
        <w:rPr>
          <w:rFonts w:ascii="Times New Roman" w:hAnsi="Times New Roman"/>
        </w:rPr>
        <w:t xml:space="preserve"> other</w:t>
      </w:r>
      <w:r w:rsidR="00A83C58" w:rsidRPr="000C06D7">
        <w:rPr>
          <w:rFonts w:ascii="Times New Roman" w:hAnsi="Times New Roman"/>
        </w:rPr>
        <w:t xml:space="preserve"> identified</w:t>
      </w:r>
      <w:r w:rsidR="00692646" w:rsidRPr="000C06D7">
        <w:rPr>
          <w:rFonts w:ascii="Times New Roman" w:hAnsi="Times New Roman"/>
        </w:rPr>
        <w:t xml:space="preserve"> dependent markets</w:t>
      </w:r>
      <w:r w:rsidR="007126AC" w:rsidRPr="000C06D7">
        <w:rPr>
          <w:rFonts w:ascii="Times New Roman" w:hAnsi="Times New Roman"/>
        </w:rPr>
        <w:t>,</w:t>
      </w:r>
      <w:r w:rsidR="00692646" w:rsidRPr="000C06D7">
        <w:rPr>
          <w:rFonts w:ascii="Times New Roman" w:hAnsi="Times New Roman"/>
        </w:rPr>
        <w:t xml:space="preserve"> </w:t>
      </w:r>
      <w:r w:rsidR="007E0566" w:rsidRPr="000C06D7">
        <w:rPr>
          <w:rFonts w:ascii="Times New Roman" w:hAnsi="Times New Roman"/>
        </w:rPr>
        <w:t xml:space="preserve">in comparison to </w:t>
      </w:r>
      <w:r w:rsidR="009D22F5" w:rsidRPr="000C06D7">
        <w:rPr>
          <w:rFonts w:ascii="Times New Roman" w:hAnsi="Times New Roman"/>
        </w:rPr>
        <w:t xml:space="preserve">the </w:t>
      </w:r>
      <w:r w:rsidR="00F37AC5" w:rsidRPr="000C06D7">
        <w:rPr>
          <w:rFonts w:ascii="Times New Roman" w:hAnsi="Times New Roman"/>
        </w:rPr>
        <w:t xml:space="preserve">competition </w:t>
      </w:r>
      <w:r w:rsidR="00714237" w:rsidRPr="000C06D7">
        <w:rPr>
          <w:rFonts w:ascii="Times New Roman" w:hAnsi="Times New Roman"/>
        </w:rPr>
        <w:t xml:space="preserve">that would exist </w:t>
      </w:r>
      <w:r w:rsidR="00F37AC5" w:rsidRPr="000C06D7">
        <w:rPr>
          <w:rFonts w:ascii="Times New Roman" w:hAnsi="Times New Roman"/>
        </w:rPr>
        <w:t xml:space="preserve">were </w:t>
      </w:r>
      <w:r w:rsidR="00AD3372" w:rsidRPr="000C06D7">
        <w:rPr>
          <w:rFonts w:ascii="Times New Roman" w:hAnsi="Times New Roman"/>
        </w:rPr>
        <w:t xml:space="preserve">there to be no </w:t>
      </w:r>
      <w:r w:rsidR="00F37AC5" w:rsidRPr="000C06D7">
        <w:rPr>
          <w:rFonts w:ascii="Times New Roman" w:hAnsi="Times New Roman"/>
        </w:rPr>
        <w:t xml:space="preserve">access </w:t>
      </w:r>
      <w:r w:rsidR="001F553C" w:rsidRPr="000C06D7">
        <w:rPr>
          <w:rFonts w:ascii="Times New Roman" w:hAnsi="Times New Roman"/>
        </w:rPr>
        <w:t>to the service</w:t>
      </w:r>
      <w:r w:rsidR="00D65ED4" w:rsidRPr="000C06D7">
        <w:rPr>
          <w:rStyle w:val="FootnoteReference"/>
          <w:rFonts w:ascii="Times New Roman" w:hAnsi="Times New Roman"/>
          <w:sz w:val="24"/>
        </w:rPr>
        <w:footnoteReference w:id="59"/>
      </w:r>
      <w:r w:rsidR="0006659C" w:rsidRPr="000C06D7">
        <w:rPr>
          <w:rFonts w:ascii="Times New Roman" w:hAnsi="Times New Roman"/>
        </w:rPr>
        <w:t xml:space="preserve">. </w:t>
      </w:r>
    </w:p>
    <w:p w14:paraId="0C8D5B11" w14:textId="40F501E9" w:rsidR="00E75DA0" w:rsidRPr="000C06D7" w:rsidRDefault="003E2C94"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E75DA0" w:rsidRPr="000C06D7">
        <w:rPr>
          <w:rFonts w:ascii="Times New Roman" w:hAnsi="Times New Roman"/>
        </w:rPr>
        <w:t>An application by P</w:t>
      </w:r>
      <w:r w:rsidR="00407022" w:rsidRPr="000C06D7">
        <w:rPr>
          <w:rFonts w:ascii="Times New Roman" w:hAnsi="Times New Roman"/>
        </w:rPr>
        <w:t>N</w:t>
      </w:r>
      <w:r w:rsidR="00E75DA0" w:rsidRPr="000C06D7">
        <w:rPr>
          <w:rFonts w:ascii="Times New Roman" w:hAnsi="Times New Roman"/>
        </w:rPr>
        <w:t xml:space="preserve">O for judicial </w:t>
      </w:r>
      <w:r w:rsidR="0023667E" w:rsidRPr="000C06D7">
        <w:rPr>
          <w:rFonts w:ascii="Times New Roman" w:hAnsi="Times New Roman"/>
        </w:rPr>
        <w:t xml:space="preserve">review of the decision of the </w:t>
      </w:r>
      <w:r w:rsidR="00EA29A7" w:rsidRPr="000C06D7">
        <w:rPr>
          <w:rFonts w:ascii="Times New Roman" w:hAnsi="Times New Roman"/>
        </w:rPr>
        <w:t>T</w:t>
      </w:r>
      <w:r w:rsidR="0023667E" w:rsidRPr="000C06D7">
        <w:rPr>
          <w:rFonts w:ascii="Times New Roman" w:hAnsi="Times New Roman"/>
        </w:rPr>
        <w:t xml:space="preserve">ribunal </w:t>
      </w:r>
      <w:r w:rsidR="005B58E0" w:rsidRPr="000C06D7">
        <w:rPr>
          <w:rFonts w:ascii="Times New Roman" w:hAnsi="Times New Roman"/>
        </w:rPr>
        <w:t xml:space="preserve">to make the Declaration </w:t>
      </w:r>
      <w:r w:rsidR="00241DBF" w:rsidRPr="000C06D7">
        <w:rPr>
          <w:rFonts w:ascii="Times New Roman" w:hAnsi="Times New Roman"/>
        </w:rPr>
        <w:t>was dismissed by the Full Court of the Federal Court</w:t>
      </w:r>
      <w:r w:rsidR="00477EC2" w:rsidRPr="000C06D7">
        <w:rPr>
          <w:rFonts w:ascii="Times New Roman" w:hAnsi="Times New Roman"/>
        </w:rPr>
        <w:t xml:space="preserve"> in 2017</w:t>
      </w:r>
      <w:r w:rsidR="00407022" w:rsidRPr="000C06D7">
        <w:rPr>
          <w:rStyle w:val="FootnoteReference"/>
          <w:rFonts w:ascii="Times New Roman" w:hAnsi="Times New Roman"/>
          <w:sz w:val="24"/>
        </w:rPr>
        <w:footnoteReference w:id="60"/>
      </w:r>
      <w:r w:rsidR="00711319" w:rsidRPr="000C06D7">
        <w:rPr>
          <w:rFonts w:ascii="Times New Roman" w:hAnsi="Times New Roman"/>
        </w:rPr>
        <w:t>.</w:t>
      </w:r>
      <w:r w:rsidR="00034AC5" w:rsidRPr="000C06D7">
        <w:rPr>
          <w:rFonts w:ascii="Times New Roman" w:hAnsi="Times New Roman"/>
        </w:rPr>
        <w:t xml:space="preserve"> So, the initial declaration </w:t>
      </w:r>
      <w:r w:rsidR="00B101F7" w:rsidRPr="000C06D7">
        <w:rPr>
          <w:rFonts w:ascii="Times New Roman" w:hAnsi="Times New Roman"/>
        </w:rPr>
        <w:t xml:space="preserve">stage of the regulatory </w:t>
      </w:r>
      <w:r w:rsidR="00034AC5" w:rsidRPr="000C06D7">
        <w:rPr>
          <w:rFonts w:ascii="Times New Roman" w:hAnsi="Times New Roman"/>
        </w:rPr>
        <w:t xml:space="preserve">process </w:t>
      </w:r>
      <w:r w:rsidR="0066423C" w:rsidRPr="000C06D7">
        <w:rPr>
          <w:rFonts w:ascii="Times New Roman" w:hAnsi="Times New Roman"/>
        </w:rPr>
        <w:t>ended</w:t>
      </w:r>
      <w:r w:rsidR="00034AC5" w:rsidRPr="000C06D7">
        <w:rPr>
          <w:rFonts w:ascii="Times New Roman" w:hAnsi="Times New Roman"/>
        </w:rPr>
        <w:t>.</w:t>
      </w:r>
    </w:p>
    <w:p w14:paraId="0A44C65C" w14:textId="76EFEF55" w:rsidR="00AC57AA" w:rsidRPr="000C06D7" w:rsidRDefault="00FD4201"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8B2360" w:rsidRPr="000C06D7">
        <w:rPr>
          <w:rFonts w:ascii="Times New Roman" w:hAnsi="Times New Roman"/>
        </w:rPr>
        <w:t xml:space="preserve">Glencore </w:t>
      </w:r>
      <w:r w:rsidR="006A6AFE" w:rsidRPr="000C06D7">
        <w:rPr>
          <w:rFonts w:ascii="Times New Roman" w:hAnsi="Times New Roman"/>
        </w:rPr>
        <w:t>had in the meantime</w:t>
      </w:r>
      <w:r w:rsidR="00F0572B" w:rsidRPr="000C06D7">
        <w:rPr>
          <w:rFonts w:ascii="Times New Roman" w:hAnsi="Times New Roman"/>
        </w:rPr>
        <w:t xml:space="preserve"> </w:t>
      </w:r>
      <w:r w:rsidR="001B0AA4" w:rsidRPr="000C06D7">
        <w:rPr>
          <w:rFonts w:ascii="Times New Roman" w:hAnsi="Times New Roman"/>
        </w:rPr>
        <w:t xml:space="preserve">triggered </w:t>
      </w:r>
      <w:r w:rsidR="00190429" w:rsidRPr="000C06D7">
        <w:rPr>
          <w:rFonts w:ascii="Times New Roman" w:hAnsi="Times New Roman"/>
        </w:rPr>
        <w:t xml:space="preserve">the second </w:t>
      </w:r>
      <w:r w:rsidR="001B0AA4" w:rsidRPr="000C06D7">
        <w:rPr>
          <w:rFonts w:ascii="Times New Roman" w:hAnsi="Times New Roman"/>
        </w:rPr>
        <w:t xml:space="preserve">stage of the regulatory process </w:t>
      </w:r>
      <w:r w:rsidR="00190429" w:rsidRPr="000C06D7">
        <w:rPr>
          <w:rFonts w:ascii="Times New Roman" w:hAnsi="Times New Roman"/>
        </w:rPr>
        <w:t xml:space="preserve">by </w:t>
      </w:r>
      <w:r w:rsidR="0083563B" w:rsidRPr="000C06D7">
        <w:rPr>
          <w:rFonts w:ascii="Times New Roman" w:hAnsi="Times New Roman"/>
        </w:rPr>
        <w:t>notif</w:t>
      </w:r>
      <w:r w:rsidR="00190429" w:rsidRPr="000C06D7">
        <w:rPr>
          <w:rFonts w:ascii="Times New Roman" w:hAnsi="Times New Roman"/>
        </w:rPr>
        <w:t>ying</w:t>
      </w:r>
      <w:r w:rsidR="0083563B" w:rsidRPr="000C06D7">
        <w:rPr>
          <w:rFonts w:ascii="Times New Roman" w:hAnsi="Times New Roman"/>
        </w:rPr>
        <w:t xml:space="preserve"> the </w:t>
      </w:r>
      <w:r w:rsidR="00BC3520" w:rsidRPr="000C06D7">
        <w:rPr>
          <w:rFonts w:ascii="Times New Roman" w:hAnsi="Times New Roman"/>
        </w:rPr>
        <w:t>ACCC</w:t>
      </w:r>
      <w:r w:rsidR="0083563B" w:rsidRPr="000C06D7">
        <w:rPr>
          <w:rFonts w:ascii="Times New Roman" w:hAnsi="Times New Roman"/>
        </w:rPr>
        <w:t xml:space="preserve"> </w:t>
      </w:r>
      <w:r w:rsidR="00715E6E" w:rsidRPr="000C06D7">
        <w:rPr>
          <w:rFonts w:ascii="Times New Roman" w:hAnsi="Times New Roman"/>
        </w:rPr>
        <w:t xml:space="preserve">of the existence of an access dispute in relation to the </w:t>
      </w:r>
      <w:r w:rsidR="0072316A" w:rsidRPr="000C06D7">
        <w:rPr>
          <w:rFonts w:ascii="Times New Roman" w:hAnsi="Times New Roman"/>
        </w:rPr>
        <w:t>S</w:t>
      </w:r>
      <w:r w:rsidR="00715E6E" w:rsidRPr="000C06D7">
        <w:rPr>
          <w:rFonts w:ascii="Times New Roman" w:hAnsi="Times New Roman"/>
        </w:rPr>
        <w:t>ervice</w:t>
      </w:r>
      <w:r w:rsidR="00F17162" w:rsidRPr="000C06D7">
        <w:rPr>
          <w:rFonts w:ascii="Times New Roman" w:hAnsi="Times New Roman"/>
        </w:rPr>
        <w:t xml:space="preserve">. </w:t>
      </w:r>
      <w:r w:rsidR="003937AF" w:rsidRPr="000C06D7">
        <w:rPr>
          <w:rFonts w:ascii="Times New Roman" w:hAnsi="Times New Roman"/>
        </w:rPr>
        <w:t xml:space="preserve">Glencore had described the dispute </w:t>
      </w:r>
      <w:r w:rsidR="007547A1" w:rsidRPr="000C06D7">
        <w:rPr>
          <w:rFonts w:ascii="Times New Roman" w:hAnsi="Times New Roman"/>
        </w:rPr>
        <w:t xml:space="preserve">in its notification to the </w:t>
      </w:r>
      <w:r w:rsidR="00AC57AA" w:rsidRPr="000C06D7">
        <w:rPr>
          <w:rFonts w:ascii="Times New Roman" w:hAnsi="Times New Roman"/>
        </w:rPr>
        <w:t>ACCC as follows:</w:t>
      </w:r>
    </w:p>
    <w:p w14:paraId="008732B2" w14:textId="77777777" w:rsidR="000C06D7" w:rsidRDefault="003B72C8" w:rsidP="000C06D7">
      <w:pPr>
        <w:pStyle w:val="leftright"/>
        <w:spacing w:before="0" w:after="260" w:line="280" w:lineRule="exact"/>
        <w:ind w:right="0"/>
        <w:jc w:val="both"/>
        <w:rPr>
          <w:rFonts w:ascii="Times New Roman" w:hAnsi="Times New Roman"/>
        </w:rPr>
      </w:pPr>
      <w:r w:rsidRPr="000C06D7">
        <w:rPr>
          <w:rFonts w:ascii="Times New Roman" w:hAnsi="Times New Roman"/>
        </w:rPr>
        <w:t xml:space="preserve">"Although PNO is currently providing access (and maintaining that it </w:t>
      </w:r>
      <w:r w:rsidR="00F76CD9" w:rsidRPr="000C06D7">
        <w:rPr>
          <w:rFonts w:ascii="Times New Roman" w:hAnsi="Times New Roman"/>
        </w:rPr>
        <w:t xml:space="preserve">will </w:t>
      </w:r>
      <w:r w:rsidRPr="000C06D7">
        <w:rPr>
          <w:rFonts w:ascii="Times New Roman" w:hAnsi="Times New Roman"/>
        </w:rPr>
        <w:t>always do</w:t>
      </w:r>
      <w:r w:rsidR="00572FF8" w:rsidRPr="000C06D7">
        <w:rPr>
          <w:rFonts w:ascii="Times New Roman" w:hAnsi="Times New Roman"/>
        </w:rPr>
        <w:t xml:space="preserve"> </w:t>
      </w:r>
      <w:r w:rsidRPr="000C06D7">
        <w:rPr>
          <w:rFonts w:ascii="Times New Roman" w:hAnsi="Times New Roman"/>
        </w:rPr>
        <w:t xml:space="preserve">so) the terms of access, in particular the navigation service charges </w:t>
      </w:r>
      <w:r w:rsidR="005E4E76" w:rsidRPr="000C06D7">
        <w:rPr>
          <w:rFonts w:ascii="Times New Roman" w:hAnsi="Times New Roman"/>
        </w:rPr>
        <w:t xml:space="preserve">for </w:t>
      </w:r>
      <w:r w:rsidRPr="000C06D7">
        <w:rPr>
          <w:rFonts w:ascii="Times New Roman" w:hAnsi="Times New Roman"/>
        </w:rPr>
        <w:t>coal vessels,</w:t>
      </w:r>
      <w:r w:rsidR="00713FB1" w:rsidRPr="000C06D7">
        <w:rPr>
          <w:rFonts w:ascii="Times New Roman" w:hAnsi="Times New Roman"/>
        </w:rPr>
        <w:t xml:space="preserve"> </w:t>
      </w:r>
      <w:r w:rsidRPr="000C06D7">
        <w:rPr>
          <w:rFonts w:ascii="Times New Roman" w:hAnsi="Times New Roman"/>
        </w:rPr>
        <w:t>are unreasonable and Glencore is seeking to negotiate with PNO on reducing these</w:t>
      </w:r>
      <w:r w:rsidR="00713FB1" w:rsidRPr="000C06D7">
        <w:rPr>
          <w:rFonts w:ascii="Times New Roman" w:hAnsi="Times New Roman"/>
        </w:rPr>
        <w:t xml:space="preserve"> </w:t>
      </w:r>
      <w:r w:rsidRPr="000C06D7">
        <w:rPr>
          <w:rFonts w:ascii="Times New Roman" w:hAnsi="Times New Roman"/>
        </w:rPr>
        <w:t>charges to approximately their pre-privatisation levels ... . Glencore submits</w:t>
      </w:r>
      <w:r w:rsidR="00713FB1" w:rsidRPr="000C06D7">
        <w:rPr>
          <w:rFonts w:ascii="Times New Roman" w:hAnsi="Times New Roman"/>
        </w:rPr>
        <w:t xml:space="preserve"> </w:t>
      </w:r>
      <w:r w:rsidRPr="000C06D7">
        <w:rPr>
          <w:rFonts w:ascii="Times New Roman" w:hAnsi="Times New Roman"/>
        </w:rPr>
        <w:t>that, at the very least, an economically efficient charge is likely to be significantly lower than the rates which are currently being applied by PNO."</w:t>
      </w:r>
    </w:p>
    <w:p w14:paraId="03520A99" w14:textId="6E990CA6" w:rsidR="00FD4201" w:rsidRPr="000C06D7" w:rsidRDefault="00A07020" w:rsidP="000C06D7">
      <w:pPr>
        <w:pStyle w:val="FixListStyle"/>
        <w:spacing w:after="260" w:line="280" w:lineRule="exact"/>
        <w:ind w:right="0"/>
        <w:jc w:val="both"/>
        <w:rPr>
          <w:rFonts w:ascii="Times New Roman" w:hAnsi="Times New Roman"/>
        </w:rPr>
      </w:pPr>
      <w:r w:rsidRPr="000C06D7">
        <w:rPr>
          <w:rFonts w:ascii="Times New Roman" w:hAnsi="Times New Roman"/>
        </w:rPr>
        <w:lastRenderedPageBreak/>
        <w:tab/>
      </w:r>
      <w:r w:rsidR="00C17ED6" w:rsidRPr="000C06D7">
        <w:rPr>
          <w:rFonts w:ascii="Times New Roman" w:hAnsi="Times New Roman"/>
        </w:rPr>
        <w:t xml:space="preserve">The notification of the access dispute had </w:t>
      </w:r>
      <w:r w:rsidR="00091A5E" w:rsidRPr="000C06D7">
        <w:rPr>
          <w:rFonts w:ascii="Times New Roman" w:hAnsi="Times New Roman"/>
        </w:rPr>
        <w:t>commenc</w:t>
      </w:r>
      <w:r w:rsidRPr="000C06D7">
        <w:rPr>
          <w:rFonts w:ascii="Times New Roman" w:hAnsi="Times New Roman"/>
        </w:rPr>
        <w:t>ed</w:t>
      </w:r>
      <w:r w:rsidR="00F75253" w:rsidRPr="000C06D7">
        <w:rPr>
          <w:rFonts w:ascii="Times New Roman" w:hAnsi="Times New Roman"/>
        </w:rPr>
        <w:t xml:space="preserve"> </w:t>
      </w:r>
      <w:r w:rsidR="005B211E" w:rsidRPr="000C06D7">
        <w:rPr>
          <w:rFonts w:ascii="Times New Roman" w:hAnsi="Times New Roman"/>
        </w:rPr>
        <w:t xml:space="preserve">an arbitration to which </w:t>
      </w:r>
      <w:r w:rsidR="00423DCF" w:rsidRPr="000C06D7">
        <w:rPr>
          <w:rFonts w:ascii="Times New Roman" w:hAnsi="Times New Roman"/>
        </w:rPr>
        <w:t>Glencore and PNO were parties.</w:t>
      </w:r>
      <w:r w:rsidR="00775239" w:rsidRPr="000C06D7">
        <w:rPr>
          <w:rFonts w:ascii="Times New Roman" w:hAnsi="Times New Roman"/>
        </w:rPr>
        <w:t xml:space="preserve"> </w:t>
      </w:r>
      <w:r w:rsidR="00B739CB" w:rsidRPr="000C06D7">
        <w:rPr>
          <w:rFonts w:ascii="Times New Roman" w:hAnsi="Times New Roman"/>
        </w:rPr>
        <w:t xml:space="preserve">The </w:t>
      </w:r>
      <w:r w:rsidR="00BC3520" w:rsidRPr="000C06D7">
        <w:rPr>
          <w:rFonts w:ascii="Times New Roman" w:hAnsi="Times New Roman"/>
        </w:rPr>
        <w:t>ACCC</w:t>
      </w:r>
      <w:r w:rsidR="000A1277" w:rsidRPr="000C06D7">
        <w:rPr>
          <w:rFonts w:ascii="Times New Roman" w:hAnsi="Times New Roman"/>
        </w:rPr>
        <w:t xml:space="preserve"> </w:t>
      </w:r>
      <w:r w:rsidR="009849E3" w:rsidRPr="000C06D7">
        <w:rPr>
          <w:rFonts w:ascii="Times New Roman" w:hAnsi="Times New Roman"/>
        </w:rPr>
        <w:t>ma</w:t>
      </w:r>
      <w:r w:rsidR="00544974" w:rsidRPr="000C06D7">
        <w:rPr>
          <w:rFonts w:ascii="Times New Roman" w:hAnsi="Times New Roman"/>
        </w:rPr>
        <w:t>de</w:t>
      </w:r>
      <w:r w:rsidR="00B739CB" w:rsidRPr="000C06D7">
        <w:rPr>
          <w:rFonts w:ascii="Times New Roman" w:hAnsi="Times New Roman"/>
        </w:rPr>
        <w:t xml:space="preserve"> its final </w:t>
      </w:r>
      <w:r w:rsidR="00E60D25" w:rsidRPr="000C06D7">
        <w:rPr>
          <w:rFonts w:ascii="Times New Roman" w:hAnsi="Times New Roman"/>
        </w:rPr>
        <w:t xml:space="preserve">determination on </w:t>
      </w:r>
      <w:r w:rsidR="00E815A0" w:rsidRPr="000C06D7">
        <w:rPr>
          <w:rFonts w:ascii="Times New Roman" w:hAnsi="Times New Roman"/>
        </w:rPr>
        <w:t>the access dispute</w:t>
      </w:r>
      <w:r w:rsidR="00E60D25" w:rsidRPr="000C06D7">
        <w:rPr>
          <w:rFonts w:ascii="Times New Roman" w:hAnsi="Times New Roman"/>
        </w:rPr>
        <w:t xml:space="preserve"> </w:t>
      </w:r>
      <w:r w:rsidR="00D242A8" w:rsidRPr="000C06D7">
        <w:rPr>
          <w:rFonts w:ascii="Times New Roman" w:hAnsi="Times New Roman"/>
        </w:rPr>
        <w:t>in 2018.</w:t>
      </w:r>
      <w:r w:rsidR="00710729" w:rsidRPr="000C06D7">
        <w:rPr>
          <w:rFonts w:ascii="Times New Roman" w:hAnsi="Times New Roman"/>
        </w:rPr>
        <w:t xml:space="preserve"> </w:t>
      </w:r>
    </w:p>
    <w:p w14:paraId="2250FABC" w14:textId="6D65C3FE" w:rsidR="003670DF" w:rsidRPr="000C06D7" w:rsidRDefault="00672347"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891ACF" w:rsidRPr="000C06D7">
        <w:rPr>
          <w:rFonts w:ascii="Times New Roman" w:hAnsi="Times New Roman"/>
        </w:rPr>
        <w:t xml:space="preserve">Glencore </w:t>
      </w:r>
      <w:r w:rsidR="00BC3520" w:rsidRPr="000C06D7">
        <w:rPr>
          <w:rFonts w:ascii="Times New Roman" w:hAnsi="Times New Roman"/>
        </w:rPr>
        <w:t xml:space="preserve">then </w:t>
      </w:r>
      <w:r w:rsidR="00714347" w:rsidRPr="000C06D7">
        <w:rPr>
          <w:rFonts w:ascii="Times New Roman" w:hAnsi="Times New Roman"/>
        </w:rPr>
        <w:t xml:space="preserve">applied </w:t>
      </w:r>
      <w:r w:rsidR="00C13FB0" w:rsidRPr="000C06D7">
        <w:rPr>
          <w:rFonts w:ascii="Times New Roman" w:hAnsi="Times New Roman"/>
        </w:rPr>
        <w:t>to the Tribunal for review of th</w:t>
      </w:r>
      <w:r w:rsidR="002E3300" w:rsidRPr="000C06D7">
        <w:rPr>
          <w:rFonts w:ascii="Times New Roman" w:hAnsi="Times New Roman"/>
        </w:rPr>
        <w:t>e ACCC's</w:t>
      </w:r>
      <w:r w:rsidR="00C13FB0" w:rsidRPr="000C06D7">
        <w:rPr>
          <w:rFonts w:ascii="Times New Roman" w:hAnsi="Times New Roman"/>
        </w:rPr>
        <w:t xml:space="preserve"> final determination</w:t>
      </w:r>
      <w:r w:rsidR="003073E5" w:rsidRPr="000C06D7">
        <w:rPr>
          <w:rFonts w:ascii="Times New Roman" w:hAnsi="Times New Roman"/>
        </w:rPr>
        <w:t>. T</w:t>
      </w:r>
      <w:r w:rsidR="00917652" w:rsidRPr="000C06D7">
        <w:rPr>
          <w:rFonts w:ascii="Times New Roman" w:hAnsi="Times New Roman"/>
        </w:rPr>
        <w:t xml:space="preserve">he outcome of </w:t>
      </w:r>
      <w:r w:rsidR="003073E5" w:rsidRPr="000C06D7">
        <w:rPr>
          <w:rFonts w:ascii="Times New Roman" w:hAnsi="Times New Roman"/>
        </w:rPr>
        <w:t>that review</w:t>
      </w:r>
      <w:r w:rsidR="00917652" w:rsidRPr="000C06D7">
        <w:rPr>
          <w:rFonts w:ascii="Times New Roman" w:hAnsi="Times New Roman"/>
        </w:rPr>
        <w:t xml:space="preserve"> was </w:t>
      </w:r>
      <w:r w:rsidR="003073E5" w:rsidRPr="000C06D7">
        <w:rPr>
          <w:rFonts w:ascii="Times New Roman" w:hAnsi="Times New Roman"/>
        </w:rPr>
        <w:t>the</w:t>
      </w:r>
      <w:r w:rsidR="00917652" w:rsidRPr="000C06D7">
        <w:rPr>
          <w:rFonts w:ascii="Times New Roman" w:hAnsi="Times New Roman"/>
        </w:rPr>
        <w:t xml:space="preserve"> decision of the Tribunal </w:t>
      </w:r>
      <w:r w:rsidR="00E31C80" w:rsidRPr="000C06D7">
        <w:rPr>
          <w:rFonts w:ascii="Times New Roman" w:hAnsi="Times New Roman"/>
        </w:rPr>
        <w:t>in 201</w:t>
      </w:r>
      <w:r w:rsidR="004C3B5B" w:rsidRPr="000C06D7">
        <w:rPr>
          <w:rFonts w:ascii="Times New Roman" w:hAnsi="Times New Roman"/>
        </w:rPr>
        <w:t>9</w:t>
      </w:r>
      <w:r w:rsidR="009D1651" w:rsidRPr="000C06D7">
        <w:rPr>
          <w:rFonts w:ascii="Times New Roman" w:hAnsi="Times New Roman"/>
        </w:rPr>
        <w:t xml:space="preserve">, </w:t>
      </w:r>
      <w:r w:rsidR="004C3B5B" w:rsidRPr="000C06D7">
        <w:rPr>
          <w:rFonts w:ascii="Times New Roman" w:hAnsi="Times New Roman"/>
        </w:rPr>
        <w:t>which varied th</w:t>
      </w:r>
      <w:r w:rsidR="002E3300" w:rsidRPr="000C06D7">
        <w:rPr>
          <w:rFonts w:ascii="Times New Roman" w:hAnsi="Times New Roman"/>
        </w:rPr>
        <w:t>at</w:t>
      </w:r>
      <w:r w:rsidR="004C3B5B" w:rsidRPr="000C06D7">
        <w:rPr>
          <w:rFonts w:ascii="Times New Roman" w:hAnsi="Times New Roman"/>
        </w:rPr>
        <w:t xml:space="preserve"> final determination</w:t>
      </w:r>
      <w:r w:rsidR="005E4740" w:rsidRPr="000C06D7">
        <w:rPr>
          <w:rStyle w:val="FootnoteReference"/>
          <w:rFonts w:ascii="Times New Roman" w:hAnsi="Times New Roman"/>
          <w:sz w:val="24"/>
        </w:rPr>
        <w:footnoteReference w:id="61"/>
      </w:r>
      <w:r w:rsidR="008355CB" w:rsidRPr="000C06D7">
        <w:rPr>
          <w:rFonts w:ascii="Times New Roman" w:hAnsi="Times New Roman"/>
        </w:rPr>
        <w:t>.</w:t>
      </w:r>
      <w:r w:rsidR="006E0495" w:rsidRPr="000C06D7">
        <w:rPr>
          <w:rFonts w:ascii="Times New Roman" w:hAnsi="Times New Roman"/>
        </w:rPr>
        <w:t xml:space="preserve"> </w:t>
      </w:r>
      <w:r w:rsidR="005B58E0" w:rsidRPr="000C06D7">
        <w:rPr>
          <w:rFonts w:ascii="Times New Roman" w:hAnsi="Times New Roman"/>
        </w:rPr>
        <w:t>That</w:t>
      </w:r>
      <w:r w:rsidR="003670DF" w:rsidRPr="000C06D7">
        <w:rPr>
          <w:rFonts w:ascii="Times New Roman" w:hAnsi="Times New Roman"/>
        </w:rPr>
        <w:t xml:space="preserve"> decision </w:t>
      </w:r>
      <w:r w:rsidR="005B58E0" w:rsidRPr="000C06D7">
        <w:rPr>
          <w:rFonts w:ascii="Times New Roman" w:hAnsi="Times New Roman"/>
        </w:rPr>
        <w:t xml:space="preserve">will be referred to in these reasons as </w:t>
      </w:r>
      <w:r w:rsidR="003670DF" w:rsidRPr="000C06D7">
        <w:rPr>
          <w:rFonts w:ascii="Times New Roman" w:hAnsi="Times New Roman"/>
        </w:rPr>
        <w:t>"the Tribunal Decision"</w:t>
      </w:r>
      <w:r w:rsidR="00D425CB" w:rsidRPr="000C06D7">
        <w:rPr>
          <w:rFonts w:ascii="Times New Roman" w:hAnsi="Times New Roman"/>
        </w:rPr>
        <w:t>.</w:t>
      </w:r>
      <w:r w:rsidR="004F59BA" w:rsidRPr="000C06D7">
        <w:rPr>
          <w:rFonts w:ascii="Times New Roman" w:hAnsi="Times New Roman"/>
        </w:rPr>
        <w:t xml:space="preserve"> </w:t>
      </w:r>
      <w:r w:rsidR="00D425CB" w:rsidRPr="000C06D7">
        <w:rPr>
          <w:rFonts w:ascii="Times New Roman" w:hAnsi="Times New Roman"/>
        </w:rPr>
        <w:t xml:space="preserve">The </w:t>
      </w:r>
      <w:r w:rsidR="004F59BA" w:rsidRPr="000C06D7">
        <w:rPr>
          <w:rFonts w:ascii="Times New Roman" w:hAnsi="Times New Roman"/>
        </w:rPr>
        <w:t>final determination</w:t>
      </w:r>
      <w:r w:rsidR="005C083F" w:rsidRPr="000C06D7">
        <w:rPr>
          <w:rFonts w:ascii="Times New Roman" w:hAnsi="Times New Roman"/>
        </w:rPr>
        <w:t xml:space="preserve"> as</w:t>
      </w:r>
      <w:r w:rsidR="004F59BA" w:rsidRPr="000C06D7">
        <w:rPr>
          <w:rFonts w:ascii="Times New Roman" w:hAnsi="Times New Roman"/>
        </w:rPr>
        <w:t xml:space="preserve"> </w:t>
      </w:r>
      <w:r w:rsidR="00D425CB" w:rsidRPr="000C06D7">
        <w:rPr>
          <w:rFonts w:ascii="Times New Roman" w:hAnsi="Times New Roman"/>
        </w:rPr>
        <w:t xml:space="preserve">varied </w:t>
      </w:r>
      <w:r w:rsidR="004F59BA" w:rsidRPr="000C06D7">
        <w:rPr>
          <w:rFonts w:ascii="Times New Roman" w:hAnsi="Times New Roman"/>
        </w:rPr>
        <w:t xml:space="preserve">by the </w:t>
      </w:r>
      <w:r w:rsidR="00D425CB" w:rsidRPr="000C06D7">
        <w:rPr>
          <w:rFonts w:ascii="Times New Roman" w:hAnsi="Times New Roman"/>
        </w:rPr>
        <w:t xml:space="preserve">Tribunal will be referred to as </w:t>
      </w:r>
      <w:r w:rsidR="004F59BA" w:rsidRPr="000C06D7">
        <w:rPr>
          <w:rFonts w:ascii="Times New Roman" w:hAnsi="Times New Roman"/>
        </w:rPr>
        <w:t>"the Final Determination".</w:t>
      </w:r>
    </w:p>
    <w:p w14:paraId="447DAEFD" w14:textId="12572CE0" w:rsidR="00672347" w:rsidRPr="000C06D7" w:rsidRDefault="003670DF"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235A65" w:rsidRPr="000C06D7">
        <w:rPr>
          <w:rFonts w:ascii="Times New Roman" w:hAnsi="Times New Roman"/>
        </w:rPr>
        <w:t xml:space="preserve">Glencore appealed </w:t>
      </w:r>
      <w:r w:rsidR="00FF530F" w:rsidRPr="000C06D7">
        <w:rPr>
          <w:rFonts w:ascii="Times New Roman" w:hAnsi="Times New Roman"/>
        </w:rPr>
        <w:t xml:space="preserve">from </w:t>
      </w:r>
      <w:r w:rsidR="002E3300" w:rsidRPr="000C06D7">
        <w:rPr>
          <w:rFonts w:ascii="Times New Roman" w:hAnsi="Times New Roman"/>
        </w:rPr>
        <w:t xml:space="preserve">the </w:t>
      </w:r>
      <w:r w:rsidRPr="000C06D7">
        <w:rPr>
          <w:rFonts w:ascii="Times New Roman" w:hAnsi="Times New Roman"/>
        </w:rPr>
        <w:t>Tribunal D</w:t>
      </w:r>
      <w:r w:rsidR="00FF530F" w:rsidRPr="000C06D7">
        <w:rPr>
          <w:rFonts w:ascii="Times New Roman" w:hAnsi="Times New Roman"/>
        </w:rPr>
        <w:t>ecision</w:t>
      </w:r>
      <w:r w:rsidR="00464EEC" w:rsidRPr="000C06D7">
        <w:rPr>
          <w:rFonts w:ascii="Times New Roman" w:hAnsi="Times New Roman"/>
        </w:rPr>
        <w:t xml:space="preserve"> to the Full Court</w:t>
      </w:r>
      <w:r w:rsidR="00265C83" w:rsidRPr="000C06D7">
        <w:rPr>
          <w:rFonts w:ascii="Times New Roman" w:hAnsi="Times New Roman"/>
        </w:rPr>
        <w:t xml:space="preserve">. Finding errors of law </w:t>
      </w:r>
      <w:r w:rsidR="00D425CB" w:rsidRPr="000C06D7">
        <w:rPr>
          <w:rFonts w:ascii="Times New Roman" w:hAnsi="Times New Roman"/>
        </w:rPr>
        <w:t xml:space="preserve">in </w:t>
      </w:r>
      <w:r w:rsidR="00265C83" w:rsidRPr="000C06D7">
        <w:rPr>
          <w:rFonts w:ascii="Times New Roman" w:hAnsi="Times New Roman"/>
        </w:rPr>
        <w:t>the Tribunal</w:t>
      </w:r>
      <w:r w:rsidR="00D425CB" w:rsidRPr="000C06D7">
        <w:rPr>
          <w:rFonts w:ascii="Times New Roman" w:hAnsi="Times New Roman"/>
        </w:rPr>
        <w:t xml:space="preserve"> Decision</w:t>
      </w:r>
      <w:r w:rsidR="00265C83" w:rsidRPr="000C06D7">
        <w:rPr>
          <w:rFonts w:ascii="Times New Roman" w:hAnsi="Times New Roman"/>
        </w:rPr>
        <w:t xml:space="preserve">, </w:t>
      </w:r>
      <w:r w:rsidR="00923829" w:rsidRPr="000C06D7">
        <w:rPr>
          <w:rFonts w:ascii="Times New Roman" w:hAnsi="Times New Roman"/>
        </w:rPr>
        <w:t xml:space="preserve">the Full Court </w:t>
      </w:r>
      <w:r w:rsidR="006317E5" w:rsidRPr="000C06D7">
        <w:rPr>
          <w:rFonts w:ascii="Times New Roman" w:hAnsi="Times New Roman"/>
        </w:rPr>
        <w:t xml:space="preserve">set aside the </w:t>
      </w:r>
      <w:r w:rsidR="006E52F1" w:rsidRPr="000C06D7">
        <w:rPr>
          <w:rFonts w:ascii="Times New Roman" w:hAnsi="Times New Roman"/>
        </w:rPr>
        <w:t xml:space="preserve">Tribunal </w:t>
      </w:r>
      <w:r w:rsidR="00694B1F" w:rsidRPr="000C06D7">
        <w:rPr>
          <w:rFonts w:ascii="Times New Roman" w:hAnsi="Times New Roman"/>
        </w:rPr>
        <w:t xml:space="preserve">Decision </w:t>
      </w:r>
      <w:r w:rsidR="00116468" w:rsidRPr="000C06D7">
        <w:rPr>
          <w:rFonts w:ascii="Times New Roman" w:hAnsi="Times New Roman"/>
        </w:rPr>
        <w:t>and remitted the matter to the Tribunal for determination according to law</w:t>
      </w:r>
      <w:r w:rsidR="00BF2770" w:rsidRPr="000C06D7">
        <w:rPr>
          <w:rStyle w:val="FootnoteReference"/>
          <w:rFonts w:ascii="Times New Roman" w:hAnsi="Times New Roman"/>
          <w:sz w:val="24"/>
        </w:rPr>
        <w:footnoteReference w:id="62"/>
      </w:r>
      <w:r w:rsidR="00EB206B" w:rsidRPr="000C06D7">
        <w:rPr>
          <w:rFonts w:ascii="Times New Roman" w:hAnsi="Times New Roman"/>
        </w:rPr>
        <w:t>.</w:t>
      </w:r>
      <w:r w:rsidR="006317E5" w:rsidRPr="000C06D7">
        <w:rPr>
          <w:rFonts w:ascii="Times New Roman" w:hAnsi="Times New Roman"/>
        </w:rPr>
        <w:t xml:space="preserve"> </w:t>
      </w:r>
      <w:r w:rsidR="007126AC" w:rsidRPr="000C06D7">
        <w:rPr>
          <w:rFonts w:ascii="Times New Roman" w:hAnsi="Times New Roman"/>
        </w:rPr>
        <w:t>It is f</w:t>
      </w:r>
      <w:r w:rsidR="000523FB" w:rsidRPr="000C06D7">
        <w:rPr>
          <w:rFonts w:ascii="Times New Roman" w:hAnsi="Times New Roman"/>
        </w:rPr>
        <w:t>rom</w:t>
      </w:r>
      <w:r w:rsidR="00285EEB" w:rsidRPr="000C06D7">
        <w:rPr>
          <w:rFonts w:ascii="Times New Roman" w:hAnsi="Times New Roman"/>
        </w:rPr>
        <w:t xml:space="preserve"> </w:t>
      </w:r>
      <w:r w:rsidR="00E054F0" w:rsidRPr="000C06D7">
        <w:rPr>
          <w:rFonts w:ascii="Times New Roman" w:hAnsi="Times New Roman"/>
        </w:rPr>
        <w:t>that decision of the Full Court</w:t>
      </w:r>
      <w:r w:rsidR="004D4089" w:rsidRPr="000C06D7">
        <w:rPr>
          <w:rFonts w:ascii="Times New Roman" w:hAnsi="Times New Roman"/>
        </w:rPr>
        <w:t xml:space="preserve">, </w:t>
      </w:r>
      <w:r w:rsidRPr="000C06D7">
        <w:rPr>
          <w:rFonts w:ascii="Times New Roman" w:hAnsi="Times New Roman"/>
        </w:rPr>
        <w:t xml:space="preserve">which </w:t>
      </w:r>
      <w:r w:rsidR="00D23190" w:rsidRPr="000C06D7">
        <w:rPr>
          <w:rFonts w:ascii="Times New Roman" w:hAnsi="Times New Roman"/>
        </w:rPr>
        <w:t xml:space="preserve">will </w:t>
      </w:r>
      <w:r w:rsidR="00480023" w:rsidRPr="000C06D7">
        <w:rPr>
          <w:rFonts w:ascii="Times New Roman" w:hAnsi="Times New Roman"/>
        </w:rPr>
        <w:t>be referred</w:t>
      </w:r>
      <w:r w:rsidR="00F31C64" w:rsidRPr="000C06D7">
        <w:rPr>
          <w:rFonts w:ascii="Times New Roman" w:hAnsi="Times New Roman"/>
        </w:rPr>
        <w:t xml:space="preserve"> to as "the Full Court Decision"</w:t>
      </w:r>
      <w:r w:rsidR="004D4089" w:rsidRPr="000C06D7">
        <w:rPr>
          <w:rFonts w:ascii="Times New Roman" w:hAnsi="Times New Roman"/>
        </w:rPr>
        <w:t xml:space="preserve">, </w:t>
      </w:r>
      <w:r w:rsidR="00480023" w:rsidRPr="000C06D7">
        <w:rPr>
          <w:rFonts w:ascii="Times New Roman" w:hAnsi="Times New Roman"/>
        </w:rPr>
        <w:t xml:space="preserve">that </w:t>
      </w:r>
      <w:r w:rsidR="000C5629" w:rsidRPr="000C06D7">
        <w:rPr>
          <w:rFonts w:ascii="Times New Roman" w:hAnsi="Times New Roman"/>
        </w:rPr>
        <w:t xml:space="preserve">PNO </w:t>
      </w:r>
      <w:r w:rsidR="00285EEB" w:rsidRPr="000C06D7">
        <w:rPr>
          <w:rFonts w:ascii="Times New Roman" w:hAnsi="Times New Roman"/>
        </w:rPr>
        <w:t>now</w:t>
      </w:r>
      <w:r w:rsidR="00E054F0" w:rsidRPr="000C06D7">
        <w:rPr>
          <w:rFonts w:ascii="Times New Roman" w:hAnsi="Times New Roman"/>
        </w:rPr>
        <w:t xml:space="preserve"> appeal</w:t>
      </w:r>
      <w:r w:rsidR="00285EEB" w:rsidRPr="000C06D7">
        <w:rPr>
          <w:rFonts w:ascii="Times New Roman" w:hAnsi="Times New Roman"/>
        </w:rPr>
        <w:t>s</w:t>
      </w:r>
      <w:r w:rsidR="00E054F0" w:rsidRPr="000C06D7">
        <w:rPr>
          <w:rFonts w:ascii="Times New Roman" w:hAnsi="Times New Roman"/>
        </w:rPr>
        <w:t xml:space="preserve"> to this Court.</w:t>
      </w:r>
    </w:p>
    <w:p w14:paraId="7534E175" w14:textId="35615010" w:rsidR="00292D69" w:rsidRPr="000C06D7" w:rsidRDefault="00E054F0"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D2046E" w:rsidRPr="000C06D7">
        <w:rPr>
          <w:rFonts w:ascii="Times New Roman" w:hAnsi="Times New Roman"/>
        </w:rPr>
        <w:t xml:space="preserve">Before </w:t>
      </w:r>
      <w:r w:rsidR="00E52BC7" w:rsidRPr="000C06D7">
        <w:rPr>
          <w:rFonts w:ascii="Times New Roman" w:hAnsi="Times New Roman"/>
        </w:rPr>
        <w:t xml:space="preserve">turning to examine the Tribunal </w:t>
      </w:r>
      <w:r w:rsidR="00F31C64" w:rsidRPr="000C06D7">
        <w:rPr>
          <w:rFonts w:ascii="Times New Roman" w:hAnsi="Times New Roman"/>
        </w:rPr>
        <w:t>Decision</w:t>
      </w:r>
      <w:r w:rsidR="004F6BC6" w:rsidRPr="000C06D7">
        <w:rPr>
          <w:rFonts w:ascii="Times New Roman" w:hAnsi="Times New Roman"/>
        </w:rPr>
        <w:t xml:space="preserve"> and the Full Court </w:t>
      </w:r>
      <w:r w:rsidR="00F31C64" w:rsidRPr="000C06D7">
        <w:rPr>
          <w:rFonts w:ascii="Times New Roman" w:hAnsi="Times New Roman"/>
        </w:rPr>
        <w:t>Decision</w:t>
      </w:r>
      <w:r w:rsidR="004F6BC6" w:rsidRPr="000C06D7">
        <w:rPr>
          <w:rFonts w:ascii="Times New Roman" w:hAnsi="Times New Roman"/>
        </w:rPr>
        <w:t xml:space="preserve">, </w:t>
      </w:r>
      <w:r w:rsidR="00055AFD" w:rsidRPr="000C06D7">
        <w:rPr>
          <w:rFonts w:ascii="Times New Roman" w:hAnsi="Times New Roman"/>
        </w:rPr>
        <w:t>some</w:t>
      </w:r>
      <w:r w:rsidR="001A1EC2" w:rsidRPr="000C06D7">
        <w:rPr>
          <w:rFonts w:ascii="Times New Roman" w:hAnsi="Times New Roman"/>
        </w:rPr>
        <w:t>thing</w:t>
      </w:r>
      <w:r w:rsidR="00F36E91" w:rsidRPr="000C06D7">
        <w:rPr>
          <w:rFonts w:ascii="Times New Roman" w:hAnsi="Times New Roman"/>
        </w:rPr>
        <w:t xml:space="preserve"> </w:t>
      </w:r>
      <w:r w:rsidR="00055AFD" w:rsidRPr="000C06D7">
        <w:rPr>
          <w:rFonts w:ascii="Times New Roman" w:hAnsi="Times New Roman"/>
        </w:rPr>
        <w:t>more</w:t>
      </w:r>
      <w:r w:rsidR="00E334DA" w:rsidRPr="000C06D7">
        <w:rPr>
          <w:rFonts w:ascii="Times New Roman" w:hAnsi="Times New Roman"/>
        </w:rPr>
        <w:t xml:space="preserve"> </w:t>
      </w:r>
      <w:r w:rsidR="001A1EC2" w:rsidRPr="000C06D7">
        <w:rPr>
          <w:rFonts w:ascii="Times New Roman" w:hAnsi="Times New Roman"/>
        </w:rPr>
        <w:t xml:space="preserve">must be </w:t>
      </w:r>
      <w:r w:rsidR="008A1A0F" w:rsidRPr="000C06D7">
        <w:rPr>
          <w:rFonts w:ascii="Times New Roman" w:hAnsi="Times New Roman"/>
        </w:rPr>
        <w:t>recorded about</w:t>
      </w:r>
      <w:r w:rsidR="001A1EC2" w:rsidRPr="000C06D7">
        <w:rPr>
          <w:rFonts w:ascii="Times New Roman" w:hAnsi="Times New Roman"/>
        </w:rPr>
        <w:t xml:space="preserve"> the complicated </w:t>
      </w:r>
      <w:r w:rsidR="001A2147" w:rsidRPr="000C06D7">
        <w:rPr>
          <w:rFonts w:ascii="Times New Roman" w:hAnsi="Times New Roman"/>
        </w:rPr>
        <w:t>procedural history</w:t>
      </w:r>
      <w:r w:rsidR="004F6BC6" w:rsidRPr="000C06D7">
        <w:rPr>
          <w:rFonts w:ascii="Times New Roman" w:hAnsi="Times New Roman"/>
        </w:rPr>
        <w:t>.</w:t>
      </w:r>
      <w:r w:rsidR="007C0022" w:rsidRPr="000C06D7">
        <w:rPr>
          <w:rFonts w:ascii="Times New Roman" w:hAnsi="Times New Roman"/>
        </w:rPr>
        <w:t xml:space="preserve"> </w:t>
      </w:r>
      <w:r w:rsidR="00F36E91" w:rsidRPr="000C06D7">
        <w:rPr>
          <w:rFonts w:ascii="Times New Roman" w:hAnsi="Times New Roman"/>
        </w:rPr>
        <w:t>F</w:t>
      </w:r>
      <w:r w:rsidR="007C0022" w:rsidRPr="000C06D7">
        <w:rPr>
          <w:rFonts w:ascii="Times New Roman" w:hAnsi="Times New Roman"/>
        </w:rPr>
        <w:t xml:space="preserve">ollowing the 2017 </w:t>
      </w:r>
      <w:r w:rsidR="008A1A0F" w:rsidRPr="000C06D7">
        <w:rPr>
          <w:rFonts w:ascii="Times New Roman" w:hAnsi="Times New Roman"/>
        </w:rPr>
        <w:t>Act</w:t>
      </w:r>
      <w:r w:rsidR="003042B7" w:rsidRPr="000C06D7">
        <w:rPr>
          <w:rFonts w:ascii="Times New Roman" w:hAnsi="Times New Roman"/>
        </w:rPr>
        <w:t>, the</w:t>
      </w:r>
      <w:r w:rsidR="00BB0F79" w:rsidRPr="000C06D7">
        <w:rPr>
          <w:rFonts w:ascii="Times New Roman" w:hAnsi="Times New Roman"/>
        </w:rPr>
        <w:t xml:space="preserve"> N</w:t>
      </w:r>
      <w:r w:rsidR="008A1A0F" w:rsidRPr="000C06D7">
        <w:rPr>
          <w:rFonts w:ascii="Times New Roman" w:hAnsi="Times New Roman"/>
        </w:rPr>
        <w:t>CC</w:t>
      </w:r>
      <w:r w:rsidR="00BB0F79" w:rsidRPr="000C06D7">
        <w:rPr>
          <w:rFonts w:ascii="Times New Roman" w:hAnsi="Times New Roman"/>
        </w:rPr>
        <w:t xml:space="preserve"> recommended revocation of </w:t>
      </w:r>
      <w:r w:rsidR="00E15CAB" w:rsidRPr="000C06D7">
        <w:rPr>
          <w:rFonts w:ascii="Times New Roman" w:hAnsi="Times New Roman"/>
        </w:rPr>
        <w:t>the</w:t>
      </w:r>
      <w:r w:rsidR="00FB15CD" w:rsidRPr="000C06D7">
        <w:rPr>
          <w:rFonts w:ascii="Times New Roman" w:hAnsi="Times New Roman"/>
        </w:rPr>
        <w:t xml:space="preserve"> </w:t>
      </w:r>
      <w:r w:rsidR="00694B1F" w:rsidRPr="000C06D7">
        <w:rPr>
          <w:rFonts w:ascii="Times New Roman" w:hAnsi="Times New Roman"/>
        </w:rPr>
        <w:t>D</w:t>
      </w:r>
      <w:r w:rsidR="00242B17" w:rsidRPr="000C06D7">
        <w:rPr>
          <w:rFonts w:ascii="Times New Roman" w:hAnsi="Times New Roman"/>
        </w:rPr>
        <w:t>eclaration</w:t>
      </w:r>
      <w:r w:rsidR="0014797F" w:rsidRPr="000C06D7">
        <w:rPr>
          <w:rFonts w:ascii="Times New Roman" w:hAnsi="Times New Roman"/>
        </w:rPr>
        <w:t xml:space="preserve">. </w:t>
      </w:r>
      <w:r w:rsidR="00B053A8" w:rsidRPr="000C06D7">
        <w:rPr>
          <w:rFonts w:ascii="Times New Roman" w:hAnsi="Times New Roman"/>
        </w:rPr>
        <w:t>As the Treasurer</w:t>
      </w:r>
      <w:r w:rsidR="00746B5F" w:rsidRPr="000C06D7">
        <w:rPr>
          <w:rFonts w:ascii="Times New Roman" w:hAnsi="Times New Roman"/>
        </w:rPr>
        <w:t xml:space="preserve"> –</w:t>
      </w:r>
      <w:r w:rsidR="00B053A8" w:rsidRPr="000C06D7">
        <w:rPr>
          <w:rFonts w:ascii="Times New Roman" w:hAnsi="Times New Roman"/>
        </w:rPr>
        <w:t xml:space="preserve"> being the designated Minister at the time</w:t>
      </w:r>
      <w:r w:rsidR="00746B5F" w:rsidRPr="000C06D7">
        <w:rPr>
          <w:rFonts w:ascii="Times New Roman" w:hAnsi="Times New Roman"/>
        </w:rPr>
        <w:t xml:space="preserve"> –</w:t>
      </w:r>
      <w:r w:rsidR="00B053A8" w:rsidRPr="000C06D7">
        <w:rPr>
          <w:rFonts w:ascii="Times New Roman" w:hAnsi="Times New Roman"/>
        </w:rPr>
        <w:t xml:space="preserve"> did not</w:t>
      </w:r>
      <w:r w:rsidR="008D3266" w:rsidRPr="000C06D7">
        <w:rPr>
          <w:rFonts w:ascii="Times New Roman" w:hAnsi="Times New Roman"/>
        </w:rPr>
        <w:t xml:space="preserve"> publish a decision</w:t>
      </w:r>
      <w:r w:rsidR="00777553" w:rsidRPr="000C06D7">
        <w:rPr>
          <w:rFonts w:ascii="Times New Roman" w:hAnsi="Times New Roman"/>
        </w:rPr>
        <w:t xml:space="preserve"> on the recommendation within the requisite time period</w:t>
      </w:r>
      <w:r w:rsidR="00517DBB" w:rsidRPr="000C06D7">
        <w:rPr>
          <w:rFonts w:ascii="Times New Roman" w:hAnsi="Times New Roman"/>
        </w:rPr>
        <w:t xml:space="preserve">, </w:t>
      </w:r>
      <w:r w:rsidR="0013165F" w:rsidRPr="000C06D7">
        <w:rPr>
          <w:rFonts w:ascii="Times New Roman" w:hAnsi="Times New Roman"/>
        </w:rPr>
        <w:t>t</w:t>
      </w:r>
      <w:r w:rsidR="00376D75" w:rsidRPr="000C06D7">
        <w:rPr>
          <w:rFonts w:ascii="Times New Roman" w:hAnsi="Times New Roman"/>
        </w:rPr>
        <w:t xml:space="preserve">he </w:t>
      </w:r>
      <w:r w:rsidR="00694B1F" w:rsidRPr="000C06D7">
        <w:rPr>
          <w:rFonts w:ascii="Times New Roman" w:hAnsi="Times New Roman"/>
        </w:rPr>
        <w:t>D</w:t>
      </w:r>
      <w:r w:rsidR="00177BEE" w:rsidRPr="000C06D7">
        <w:rPr>
          <w:rFonts w:ascii="Times New Roman" w:hAnsi="Times New Roman"/>
        </w:rPr>
        <w:t xml:space="preserve">eclaration was </w:t>
      </w:r>
      <w:r w:rsidR="00123CC4" w:rsidRPr="000C06D7">
        <w:rPr>
          <w:rFonts w:ascii="Times New Roman" w:hAnsi="Times New Roman"/>
        </w:rPr>
        <w:t>revoked</w:t>
      </w:r>
      <w:r w:rsidR="00242B17" w:rsidRPr="000C06D7">
        <w:rPr>
          <w:rFonts w:ascii="Times New Roman" w:hAnsi="Times New Roman"/>
        </w:rPr>
        <w:t xml:space="preserve"> </w:t>
      </w:r>
      <w:r w:rsidR="007265A0" w:rsidRPr="000C06D7">
        <w:rPr>
          <w:rFonts w:ascii="Times New Roman" w:hAnsi="Times New Roman"/>
        </w:rPr>
        <w:t>by operation of a deemed decision of the Treasurer</w:t>
      </w:r>
      <w:r w:rsidR="00925D7D" w:rsidRPr="000C06D7">
        <w:rPr>
          <w:rStyle w:val="FootnoteReference"/>
          <w:rFonts w:ascii="Times New Roman" w:hAnsi="Times New Roman"/>
          <w:sz w:val="24"/>
        </w:rPr>
        <w:footnoteReference w:id="63"/>
      </w:r>
      <w:r w:rsidR="00925D7D" w:rsidRPr="000C06D7">
        <w:rPr>
          <w:rFonts w:ascii="Times New Roman" w:hAnsi="Times New Roman"/>
        </w:rPr>
        <w:t>.</w:t>
      </w:r>
      <w:r w:rsidR="004822AC" w:rsidRPr="000C06D7">
        <w:rPr>
          <w:rFonts w:ascii="Times New Roman" w:hAnsi="Times New Roman"/>
        </w:rPr>
        <w:t xml:space="preserve"> </w:t>
      </w:r>
      <w:r w:rsidR="002E3E97" w:rsidRPr="000C06D7">
        <w:rPr>
          <w:rFonts w:ascii="Times New Roman" w:hAnsi="Times New Roman"/>
        </w:rPr>
        <w:t>The</w:t>
      </w:r>
      <w:r w:rsidR="00A627EC" w:rsidRPr="000C06D7">
        <w:rPr>
          <w:rFonts w:ascii="Times New Roman" w:hAnsi="Times New Roman"/>
        </w:rPr>
        <w:t>n, in 2020, the</w:t>
      </w:r>
      <w:r w:rsidR="002E3E97" w:rsidRPr="000C06D7">
        <w:rPr>
          <w:rFonts w:ascii="Times New Roman" w:hAnsi="Times New Roman"/>
        </w:rPr>
        <w:t xml:space="preserve"> New South Wales Mineral</w:t>
      </w:r>
      <w:r w:rsidR="00CA15BF" w:rsidRPr="000C06D7">
        <w:rPr>
          <w:rFonts w:ascii="Times New Roman" w:hAnsi="Times New Roman"/>
        </w:rPr>
        <w:t>s</w:t>
      </w:r>
      <w:r w:rsidR="002E3E97" w:rsidRPr="000C06D7">
        <w:rPr>
          <w:rFonts w:ascii="Times New Roman" w:hAnsi="Times New Roman"/>
        </w:rPr>
        <w:t xml:space="preserve"> Council</w:t>
      </w:r>
      <w:r w:rsidR="006E6427" w:rsidRPr="000C06D7">
        <w:rPr>
          <w:rFonts w:ascii="Times New Roman" w:hAnsi="Times New Roman"/>
        </w:rPr>
        <w:t xml:space="preserve">, an industry body of which Glencore is a member, </w:t>
      </w:r>
      <w:r w:rsidR="002E3E97" w:rsidRPr="000C06D7">
        <w:rPr>
          <w:rFonts w:ascii="Times New Roman" w:hAnsi="Times New Roman"/>
        </w:rPr>
        <w:t xml:space="preserve">asked the </w:t>
      </w:r>
      <w:r w:rsidR="00AE1225" w:rsidRPr="000C06D7">
        <w:rPr>
          <w:rFonts w:ascii="Times New Roman" w:hAnsi="Times New Roman"/>
        </w:rPr>
        <w:t>N</w:t>
      </w:r>
      <w:r w:rsidR="00AF73A6" w:rsidRPr="000C06D7">
        <w:rPr>
          <w:rFonts w:ascii="Times New Roman" w:hAnsi="Times New Roman"/>
        </w:rPr>
        <w:t>CC</w:t>
      </w:r>
      <w:r w:rsidR="000143A8" w:rsidRPr="000C06D7">
        <w:rPr>
          <w:rFonts w:ascii="Times New Roman" w:hAnsi="Times New Roman"/>
        </w:rPr>
        <w:t xml:space="preserve"> </w:t>
      </w:r>
      <w:r w:rsidR="00A73186" w:rsidRPr="000C06D7">
        <w:rPr>
          <w:rFonts w:ascii="Times New Roman" w:hAnsi="Times New Roman"/>
        </w:rPr>
        <w:t>again</w:t>
      </w:r>
      <w:r w:rsidR="000F6889" w:rsidRPr="000C06D7">
        <w:rPr>
          <w:rFonts w:ascii="Times New Roman" w:hAnsi="Times New Roman"/>
        </w:rPr>
        <w:t xml:space="preserve"> to</w:t>
      </w:r>
      <w:r w:rsidR="00A73186" w:rsidRPr="000C06D7">
        <w:rPr>
          <w:rFonts w:ascii="Times New Roman" w:hAnsi="Times New Roman"/>
        </w:rPr>
        <w:t xml:space="preserve"> recommend declaration of a service </w:t>
      </w:r>
      <w:r w:rsidR="00E44D6A" w:rsidRPr="000C06D7">
        <w:rPr>
          <w:rFonts w:ascii="Times New Roman" w:hAnsi="Times New Roman"/>
        </w:rPr>
        <w:t xml:space="preserve">identified in </w:t>
      </w:r>
      <w:r w:rsidR="005B6566" w:rsidRPr="000C06D7">
        <w:rPr>
          <w:rFonts w:ascii="Times New Roman" w:hAnsi="Times New Roman"/>
        </w:rPr>
        <w:t xml:space="preserve">terms </w:t>
      </w:r>
      <w:r w:rsidR="00E44D6A" w:rsidRPr="000C06D7">
        <w:rPr>
          <w:rFonts w:ascii="Times New Roman" w:hAnsi="Times New Roman"/>
        </w:rPr>
        <w:t xml:space="preserve">materially identical </w:t>
      </w:r>
      <w:r w:rsidR="005B6566" w:rsidRPr="000C06D7">
        <w:rPr>
          <w:rFonts w:ascii="Times New Roman" w:hAnsi="Times New Roman"/>
        </w:rPr>
        <w:t xml:space="preserve">to </w:t>
      </w:r>
      <w:r w:rsidR="007C2FAD" w:rsidRPr="000C06D7">
        <w:rPr>
          <w:rFonts w:ascii="Times New Roman" w:hAnsi="Times New Roman"/>
        </w:rPr>
        <w:t xml:space="preserve">the </w:t>
      </w:r>
      <w:r w:rsidR="006D500E" w:rsidRPr="000C06D7">
        <w:rPr>
          <w:rFonts w:ascii="Times New Roman" w:hAnsi="Times New Roman"/>
        </w:rPr>
        <w:t>S</w:t>
      </w:r>
      <w:r w:rsidR="005B6566" w:rsidRPr="000C06D7">
        <w:rPr>
          <w:rFonts w:ascii="Times New Roman" w:hAnsi="Times New Roman"/>
        </w:rPr>
        <w:t>ervice</w:t>
      </w:r>
      <w:r w:rsidR="00A73186" w:rsidRPr="000C06D7">
        <w:rPr>
          <w:rFonts w:ascii="Times New Roman" w:hAnsi="Times New Roman"/>
        </w:rPr>
        <w:t xml:space="preserve">. The </w:t>
      </w:r>
      <w:r w:rsidR="00AF73A6" w:rsidRPr="000C06D7">
        <w:rPr>
          <w:rFonts w:ascii="Times New Roman" w:hAnsi="Times New Roman"/>
        </w:rPr>
        <w:t>NCC</w:t>
      </w:r>
      <w:r w:rsidR="00A73186" w:rsidRPr="000C06D7">
        <w:rPr>
          <w:rFonts w:ascii="Times New Roman" w:hAnsi="Times New Roman"/>
        </w:rPr>
        <w:t xml:space="preserve"> recommended against declaration</w:t>
      </w:r>
      <w:r w:rsidR="00B765F4" w:rsidRPr="000C06D7">
        <w:rPr>
          <w:rFonts w:ascii="Times New Roman" w:hAnsi="Times New Roman"/>
        </w:rPr>
        <w:t>, and</w:t>
      </w:r>
      <w:r w:rsidR="00DB4994" w:rsidRPr="000C06D7">
        <w:rPr>
          <w:rFonts w:ascii="Times New Roman" w:hAnsi="Times New Roman"/>
        </w:rPr>
        <w:t xml:space="preserve"> </w:t>
      </w:r>
      <w:r w:rsidR="00022620" w:rsidRPr="000C06D7">
        <w:rPr>
          <w:rFonts w:ascii="Times New Roman" w:hAnsi="Times New Roman"/>
        </w:rPr>
        <w:t>in 2020 the Treasurer, as designated Minister, decided not to make a</w:t>
      </w:r>
      <w:r w:rsidR="00DB4994" w:rsidRPr="000C06D7">
        <w:rPr>
          <w:rFonts w:ascii="Times New Roman" w:hAnsi="Times New Roman"/>
        </w:rPr>
        <w:t xml:space="preserve"> declaration</w:t>
      </w:r>
      <w:r w:rsidR="0066394D" w:rsidRPr="000C06D7">
        <w:rPr>
          <w:rFonts w:ascii="Times New Roman" w:hAnsi="Times New Roman"/>
        </w:rPr>
        <w:t xml:space="preserve">. </w:t>
      </w:r>
      <w:r w:rsidR="008C444E" w:rsidRPr="000C06D7">
        <w:rPr>
          <w:rFonts w:ascii="Times New Roman" w:hAnsi="Times New Roman"/>
        </w:rPr>
        <w:t>The New South Wales Mineral</w:t>
      </w:r>
      <w:r w:rsidR="00CA15BF" w:rsidRPr="000C06D7">
        <w:rPr>
          <w:rFonts w:ascii="Times New Roman" w:hAnsi="Times New Roman"/>
        </w:rPr>
        <w:t>s</w:t>
      </w:r>
      <w:r w:rsidR="008C444E" w:rsidRPr="000C06D7">
        <w:rPr>
          <w:rFonts w:ascii="Times New Roman" w:hAnsi="Times New Roman"/>
        </w:rPr>
        <w:t xml:space="preserve"> Council </w:t>
      </w:r>
      <w:r w:rsidR="001B6AF8" w:rsidRPr="000C06D7">
        <w:rPr>
          <w:rFonts w:ascii="Times New Roman" w:hAnsi="Times New Roman"/>
        </w:rPr>
        <w:t xml:space="preserve">then </w:t>
      </w:r>
      <w:r w:rsidR="008C444E" w:rsidRPr="000C06D7">
        <w:rPr>
          <w:rFonts w:ascii="Times New Roman" w:hAnsi="Times New Roman"/>
        </w:rPr>
        <w:t xml:space="preserve">applied to the Tribunal for </w:t>
      </w:r>
      <w:r w:rsidR="00391F05" w:rsidRPr="000C06D7">
        <w:rPr>
          <w:rFonts w:ascii="Times New Roman" w:hAnsi="Times New Roman"/>
        </w:rPr>
        <w:t xml:space="preserve">review of the decision of the Treasurer. </w:t>
      </w:r>
    </w:p>
    <w:p w14:paraId="47D19D22" w14:textId="228D61D8" w:rsidR="00E054F0" w:rsidRPr="000C06D7" w:rsidRDefault="00292D69"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A25B7E" w:rsidRPr="000C06D7">
        <w:rPr>
          <w:rFonts w:ascii="Times New Roman" w:hAnsi="Times New Roman"/>
        </w:rPr>
        <w:t>After the grant of special leave to appeal from the Full Court</w:t>
      </w:r>
      <w:r w:rsidR="00F31C64" w:rsidRPr="000C06D7">
        <w:rPr>
          <w:rFonts w:ascii="Times New Roman" w:hAnsi="Times New Roman"/>
        </w:rPr>
        <w:t xml:space="preserve"> Decision</w:t>
      </w:r>
      <w:r w:rsidR="00A25B7E" w:rsidRPr="000C06D7">
        <w:rPr>
          <w:rFonts w:ascii="Times New Roman" w:hAnsi="Times New Roman"/>
        </w:rPr>
        <w:t xml:space="preserve">, </w:t>
      </w:r>
      <w:r w:rsidR="007830E8" w:rsidRPr="000C06D7">
        <w:rPr>
          <w:rFonts w:ascii="Times New Roman" w:hAnsi="Times New Roman"/>
        </w:rPr>
        <w:t xml:space="preserve">the </w:t>
      </w:r>
      <w:r w:rsidR="00833CB3" w:rsidRPr="000C06D7">
        <w:rPr>
          <w:rFonts w:ascii="Times New Roman" w:hAnsi="Times New Roman"/>
        </w:rPr>
        <w:t xml:space="preserve">Tribunal </w:t>
      </w:r>
      <w:r w:rsidR="00750821" w:rsidRPr="000C06D7">
        <w:rPr>
          <w:rFonts w:ascii="Times New Roman" w:hAnsi="Times New Roman"/>
        </w:rPr>
        <w:t>decided</w:t>
      </w:r>
      <w:r w:rsidR="00481DFD" w:rsidRPr="000C06D7">
        <w:rPr>
          <w:rFonts w:ascii="Times New Roman" w:hAnsi="Times New Roman"/>
        </w:rPr>
        <w:t xml:space="preserve"> </w:t>
      </w:r>
      <w:r w:rsidR="00750821" w:rsidRPr="000C06D7">
        <w:rPr>
          <w:rFonts w:ascii="Times New Roman" w:hAnsi="Times New Roman"/>
        </w:rPr>
        <w:t xml:space="preserve">to </w:t>
      </w:r>
      <w:r w:rsidR="00D30525" w:rsidRPr="000C06D7">
        <w:rPr>
          <w:rFonts w:ascii="Times New Roman" w:hAnsi="Times New Roman"/>
        </w:rPr>
        <w:t>affirm</w:t>
      </w:r>
      <w:r w:rsidR="000A1FFC" w:rsidRPr="000C06D7">
        <w:rPr>
          <w:rFonts w:ascii="Times New Roman" w:hAnsi="Times New Roman"/>
        </w:rPr>
        <w:t xml:space="preserve"> the decision of the Treasurer</w:t>
      </w:r>
      <w:r w:rsidR="00BF6E2A" w:rsidRPr="000C06D7">
        <w:rPr>
          <w:rStyle w:val="FootnoteReference"/>
          <w:rFonts w:ascii="Times New Roman" w:hAnsi="Times New Roman"/>
          <w:sz w:val="24"/>
        </w:rPr>
        <w:footnoteReference w:id="64"/>
      </w:r>
      <w:r w:rsidR="00952A04" w:rsidRPr="000C06D7">
        <w:rPr>
          <w:rFonts w:ascii="Times New Roman" w:hAnsi="Times New Roman"/>
        </w:rPr>
        <w:t xml:space="preserve">. </w:t>
      </w:r>
      <w:r w:rsidRPr="000C06D7">
        <w:rPr>
          <w:rFonts w:ascii="Times New Roman" w:hAnsi="Times New Roman"/>
        </w:rPr>
        <w:t xml:space="preserve">Applying criterion (a) </w:t>
      </w:r>
      <w:r w:rsidRPr="000C06D7">
        <w:rPr>
          <w:rFonts w:ascii="Times New Roman" w:hAnsi="Times New Roman"/>
        </w:rPr>
        <w:lastRenderedPageBreak/>
        <w:t>in its current form, t</w:t>
      </w:r>
      <w:r w:rsidR="009248A4" w:rsidRPr="000C06D7">
        <w:rPr>
          <w:rFonts w:ascii="Times New Roman" w:hAnsi="Times New Roman"/>
        </w:rPr>
        <w:t>he Tribunal</w:t>
      </w:r>
      <w:r w:rsidR="00952A04" w:rsidRPr="000C06D7">
        <w:rPr>
          <w:rFonts w:ascii="Times New Roman" w:hAnsi="Times New Roman"/>
        </w:rPr>
        <w:t xml:space="preserve"> </w:t>
      </w:r>
      <w:r w:rsidR="003143F2" w:rsidRPr="000C06D7">
        <w:rPr>
          <w:rFonts w:ascii="Times New Roman" w:hAnsi="Times New Roman"/>
        </w:rPr>
        <w:t xml:space="preserve">was not satisfied </w:t>
      </w:r>
      <w:r w:rsidR="006B4910" w:rsidRPr="000C06D7">
        <w:rPr>
          <w:rFonts w:ascii="Times New Roman" w:hAnsi="Times New Roman"/>
        </w:rPr>
        <w:t xml:space="preserve">that </w:t>
      </w:r>
      <w:r w:rsidR="004A3845" w:rsidRPr="000C06D7">
        <w:rPr>
          <w:rFonts w:ascii="Times New Roman" w:hAnsi="Times New Roman"/>
        </w:rPr>
        <w:t xml:space="preserve">access on reasonable </w:t>
      </w:r>
      <w:r w:rsidR="00362B67" w:rsidRPr="000C06D7">
        <w:rPr>
          <w:rFonts w:ascii="Times New Roman" w:hAnsi="Times New Roman"/>
        </w:rPr>
        <w:t xml:space="preserve">terms and conditions as a result of </w:t>
      </w:r>
      <w:r w:rsidR="009C1538" w:rsidRPr="000C06D7">
        <w:rPr>
          <w:rFonts w:ascii="Times New Roman" w:hAnsi="Times New Roman"/>
        </w:rPr>
        <w:t xml:space="preserve">declaration of the </w:t>
      </w:r>
      <w:r w:rsidR="00362B67" w:rsidRPr="000C06D7">
        <w:rPr>
          <w:rFonts w:ascii="Times New Roman" w:hAnsi="Times New Roman"/>
        </w:rPr>
        <w:t xml:space="preserve">service </w:t>
      </w:r>
      <w:r w:rsidR="00906ECE" w:rsidRPr="000C06D7">
        <w:rPr>
          <w:rFonts w:ascii="Times New Roman" w:hAnsi="Times New Roman"/>
        </w:rPr>
        <w:t xml:space="preserve">would promote a material increase in competition in another market </w:t>
      </w:r>
      <w:r w:rsidR="00C555BD" w:rsidRPr="000C06D7">
        <w:rPr>
          <w:rFonts w:ascii="Times New Roman" w:hAnsi="Times New Roman"/>
        </w:rPr>
        <w:t xml:space="preserve">in comparison with the circumstances likely to prevail </w:t>
      </w:r>
      <w:r w:rsidR="0037201E" w:rsidRPr="000C06D7">
        <w:rPr>
          <w:rFonts w:ascii="Times New Roman" w:hAnsi="Times New Roman"/>
        </w:rPr>
        <w:t>in the absence of declaration</w:t>
      </w:r>
      <w:r w:rsidR="00BF6E2A" w:rsidRPr="000C06D7">
        <w:rPr>
          <w:rStyle w:val="FootnoteReference"/>
          <w:rFonts w:ascii="Times New Roman" w:hAnsi="Times New Roman"/>
          <w:sz w:val="24"/>
        </w:rPr>
        <w:footnoteReference w:id="65"/>
      </w:r>
      <w:r w:rsidR="0037201E" w:rsidRPr="000C06D7">
        <w:rPr>
          <w:rFonts w:ascii="Times New Roman" w:hAnsi="Times New Roman"/>
        </w:rPr>
        <w:t>.</w:t>
      </w:r>
    </w:p>
    <w:p w14:paraId="5E1C544E" w14:textId="0F9CBE95" w:rsidR="00A937C6" w:rsidRPr="000C06D7" w:rsidRDefault="00A937C6"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5C38D7" w:rsidRPr="000C06D7">
        <w:rPr>
          <w:rFonts w:ascii="Times New Roman" w:hAnsi="Times New Roman"/>
        </w:rPr>
        <w:t>Glencore and PNO</w:t>
      </w:r>
      <w:r w:rsidR="008A440D" w:rsidRPr="000C06D7">
        <w:rPr>
          <w:rFonts w:ascii="Times New Roman" w:hAnsi="Times New Roman"/>
        </w:rPr>
        <w:t xml:space="preserve"> have </w:t>
      </w:r>
      <w:r w:rsidR="00292D69" w:rsidRPr="000C06D7">
        <w:rPr>
          <w:rFonts w:ascii="Times New Roman" w:hAnsi="Times New Roman"/>
        </w:rPr>
        <w:t>made</w:t>
      </w:r>
      <w:r w:rsidR="00CA15BF" w:rsidRPr="000C06D7">
        <w:rPr>
          <w:rFonts w:ascii="Times New Roman" w:hAnsi="Times New Roman"/>
        </w:rPr>
        <w:t xml:space="preserve"> clear</w:t>
      </w:r>
      <w:r w:rsidR="008A440D" w:rsidRPr="000C06D7">
        <w:rPr>
          <w:rFonts w:ascii="Times New Roman" w:hAnsi="Times New Roman"/>
        </w:rPr>
        <w:t xml:space="preserve"> that it</w:t>
      </w:r>
      <w:r w:rsidR="002546EE" w:rsidRPr="000C06D7">
        <w:rPr>
          <w:rFonts w:ascii="Times New Roman" w:hAnsi="Times New Roman"/>
        </w:rPr>
        <w:t xml:space="preserve"> is common ground </w:t>
      </w:r>
      <w:r w:rsidR="00BF6E2A" w:rsidRPr="000C06D7">
        <w:rPr>
          <w:rFonts w:ascii="Times New Roman" w:hAnsi="Times New Roman"/>
        </w:rPr>
        <w:t>that t</w:t>
      </w:r>
      <w:r w:rsidR="00C40253" w:rsidRPr="000C06D7">
        <w:rPr>
          <w:rFonts w:ascii="Times New Roman" w:hAnsi="Times New Roman"/>
        </w:rPr>
        <w:t xml:space="preserve">he revocation of the </w:t>
      </w:r>
      <w:r w:rsidR="00E13E2E" w:rsidRPr="000C06D7">
        <w:rPr>
          <w:rFonts w:ascii="Times New Roman" w:hAnsi="Times New Roman"/>
        </w:rPr>
        <w:t>D</w:t>
      </w:r>
      <w:r w:rsidR="00AD325F" w:rsidRPr="000C06D7">
        <w:rPr>
          <w:rFonts w:ascii="Times New Roman" w:hAnsi="Times New Roman"/>
        </w:rPr>
        <w:t>eclaration</w:t>
      </w:r>
      <w:r w:rsidR="001B2431" w:rsidRPr="000C06D7">
        <w:rPr>
          <w:rFonts w:ascii="Times New Roman" w:hAnsi="Times New Roman"/>
        </w:rPr>
        <w:t xml:space="preserve"> </w:t>
      </w:r>
      <w:r w:rsidR="00CA15BF" w:rsidRPr="000C06D7">
        <w:rPr>
          <w:rFonts w:ascii="Times New Roman" w:hAnsi="Times New Roman"/>
        </w:rPr>
        <w:t xml:space="preserve">in 2017 </w:t>
      </w:r>
      <w:r w:rsidR="001B2431" w:rsidRPr="000C06D7">
        <w:rPr>
          <w:rFonts w:ascii="Times New Roman" w:hAnsi="Times New Roman"/>
        </w:rPr>
        <w:t xml:space="preserve">has had no effect on </w:t>
      </w:r>
      <w:r w:rsidR="00E94EA2" w:rsidRPr="000C06D7">
        <w:rPr>
          <w:rFonts w:ascii="Times New Roman" w:hAnsi="Times New Roman"/>
        </w:rPr>
        <w:t xml:space="preserve">the arbitration of the access dispute which Glencore notified </w:t>
      </w:r>
      <w:r w:rsidR="00190570" w:rsidRPr="000C06D7">
        <w:rPr>
          <w:rFonts w:ascii="Times New Roman" w:hAnsi="Times New Roman"/>
        </w:rPr>
        <w:t xml:space="preserve">to </w:t>
      </w:r>
      <w:r w:rsidR="00E94EA2" w:rsidRPr="000C06D7">
        <w:rPr>
          <w:rFonts w:ascii="Times New Roman" w:hAnsi="Times New Roman"/>
        </w:rPr>
        <w:t xml:space="preserve">the </w:t>
      </w:r>
      <w:r w:rsidR="009F2F79" w:rsidRPr="000C06D7">
        <w:rPr>
          <w:rFonts w:ascii="Times New Roman" w:hAnsi="Times New Roman"/>
        </w:rPr>
        <w:t>ACCC</w:t>
      </w:r>
      <w:r w:rsidR="00E94EA2" w:rsidRPr="000C06D7">
        <w:rPr>
          <w:rFonts w:ascii="Times New Roman" w:hAnsi="Times New Roman"/>
        </w:rPr>
        <w:t xml:space="preserve"> in 2016</w:t>
      </w:r>
      <w:r w:rsidR="009806A3" w:rsidRPr="000C06D7">
        <w:rPr>
          <w:rStyle w:val="FootnoteReference"/>
          <w:rFonts w:ascii="Times New Roman" w:hAnsi="Times New Roman"/>
          <w:sz w:val="24"/>
        </w:rPr>
        <w:footnoteReference w:id="66"/>
      </w:r>
      <w:r w:rsidR="001A5D74" w:rsidRPr="000C06D7">
        <w:rPr>
          <w:rFonts w:ascii="Times New Roman" w:hAnsi="Times New Roman"/>
        </w:rPr>
        <w:t xml:space="preserve">. </w:t>
      </w:r>
      <w:r w:rsidR="009F2F79" w:rsidRPr="000C06D7">
        <w:rPr>
          <w:rFonts w:ascii="Times New Roman" w:hAnsi="Times New Roman"/>
        </w:rPr>
        <w:t>It appears to be common ground</w:t>
      </w:r>
      <w:r w:rsidR="001A5D74" w:rsidRPr="000C06D7">
        <w:rPr>
          <w:rFonts w:ascii="Times New Roman" w:hAnsi="Times New Roman"/>
        </w:rPr>
        <w:t xml:space="preserve"> </w:t>
      </w:r>
      <w:r w:rsidR="007D76BB" w:rsidRPr="000C06D7">
        <w:rPr>
          <w:rFonts w:ascii="Times New Roman" w:hAnsi="Times New Roman"/>
        </w:rPr>
        <w:t xml:space="preserve">that the revocation of the </w:t>
      </w:r>
      <w:r w:rsidR="00110717" w:rsidRPr="000C06D7">
        <w:rPr>
          <w:rFonts w:ascii="Times New Roman" w:hAnsi="Times New Roman"/>
        </w:rPr>
        <w:t>D</w:t>
      </w:r>
      <w:r w:rsidR="007D76BB" w:rsidRPr="000C06D7">
        <w:rPr>
          <w:rFonts w:ascii="Times New Roman" w:hAnsi="Times New Roman"/>
        </w:rPr>
        <w:t>eclaration will have no effect</w:t>
      </w:r>
      <w:r w:rsidR="00FF5B37" w:rsidRPr="000C06D7">
        <w:rPr>
          <w:rFonts w:ascii="Times New Roman" w:hAnsi="Times New Roman"/>
        </w:rPr>
        <w:t xml:space="preserve"> on the operation or enforcement of </w:t>
      </w:r>
      <w:r w:rsidR="004173AF" w:rsidRPr="000C06D7">
        <w:rPr>
          <w:rFonts w:ascii="Times New Roman" w:hAnsi="Times New Roman"/>
        </w:rPr>
        <w:t xml:space="preserve">the </w:t>
      </w:r>
      <w:r w:rsidR="00242952" w:rsidRPr="000C06D7">
        <w:rPr>
          <w:rFonts w:ascii="Times New Roman" w:hAnsi="Times New Roman"/>
        </w:rPr>
        <w:t xml:space="preserve">final </w:t>
      </w:r>
      <w:r w:rsidR="004173AF" w:rsidRPr="000C06D7">
        <w:rPr>
          <w:rFonts w:ascii="Times New Roman" w:hAnsi="Times New Roman"/>
        </w:rPr>
        <w:t xml:space="preserve">determination of that access </w:t>
      </w:r>
      <w:r w:rsidR="00732455" w:rsidRPr="000C06D7">
        <w:rPr>
          <w:rFonts w:ascii="Times New Roman" w:hAnsi="Times New Roman"/>
        </w:rPr>
        <w:t xml:space="preserve">dispute </w:t>
      </w:r>
      <w:r w:rsidR="003C1E20" w:rsidRPr="000C06D7">
        <w:rPr>
          <w:rFonts w:ascii="Times New Roman" w:hAnsi="Times New Roman"/>
        </w:rPr>
        <w:t>that will result</w:t>
      </w:r>
      <w:r w:rsidR="002371CB" w:rsidRPr="000C06D7">
        <w:rPr>
          <w:rFonts w:ascii="Times New Roman" w:hAnsi="Times New Roman"/>
        </w:rPr>
        <w:t xml:space="preserve"> either </w:t>
      </w:r>
      <w:r w:rsidR="003C1E20" w:rsidRPr="000C06D7">
        <w:rPr>
          <w:rFonts w:ascii="Times New Roman" w:hAnsi="Times New Roman"/>
        </w:rPr>
        <w:t xml:space="preserve">from </w:t>
      </w:r>
      <w:r w:rsidR="00732455" w:rsidRPr="000C06D7">
        <w:rPr>
          <w:rFonts w:ascii="Times New Roman" w:hAnsi="Times New Roman"/>
        </w:rPr>
        <w:t>the</w:t>
      </w:r>
      <w:r w:rsidR="00997712" w:rsidRPr="000C06D7">
        <w:rPr>
          <w:rFonts w:ascii="Times New Roman" w:hAnsi="Times New Roman"/>
        </w:rPr>
        <w:t xml:space="preserve"> Tribunal </w:t>
      </w:r>
      <w:r w:rsidR="003957C3" w:rsidRPr="000C06D7">
        <w:rPr>
          <w:rFonts w:ascii="Times New Roman" w:hAnsi="Times New Roman"/>
        </w:rPr>
        <w:t>Decision</w:t>
      </w:r>
      <w:r w:rsidR="00997712" w:rsidRPr="000C06D7">
        <w:rPr>
          <w:rFonts w:ascii="Times New Roman" w:hAnsi="Times New Roman"/>
        </w:rPr>
        <w:t xml:space="preserve"> </w:t>
      </w:r>
      <w:r w:rsidR="00D7257A" w:rsidRPr="000C06D7">
        <w:rPr>
          <w:rFonts w:ascii="Times New Roman" w:hAnsi="Times New Roman"/>
        </w:rPr>
        <w:t xml:space="preserve">being restored </w:t>
      </w:r>
      <w:r w:rsidR="00997712" w:rsidRPr="000C06D7">
        <w:rPr>
          <w:rFonts w:ascii="Times New Roman" w:hAnsi="Times New Roman"/>
        </w:rPr>
        <w:t xml:space="preserve">(if </w:t>
      </w:r>
      <w:r w:rsidR="00A31E46" w:rsidRPr="000C06D7">
        <w:rPr>
          <w:rFonts w:ascii="Times New Roman" w:hAnsi="Times New Roman"/>
        </w:rPr>
        <w:t xml:space="preserve">this </w:t>
      </w:r>
      <w:r w:rsidR="0015445B" w:rsidRPr="000C06D7">
        <w:rPr>
          <w:rFonts w:ascii="Times New Roman" w:hAnsi="Times New Roman"/>
        </w:rPr>
        <w:t xml:space="preserve">appeal is </w:t>
      </w:r>
      <w:r w:rsidR="00355E31" w:rsidRPr="000C06D7">
        <w:rPr>
          <w:rFonts w:ascii="Times New Roman" w:hAnsi="Times New Roman"/>
        </w:rPr>
        <w:t xml:space="preserve">allowed and the </w:t>
      </w:r>
      <w:r w:rsidR="006C5176" w:rsidRPr="000C06D7">
        <w:rPr>
          <w:rFonts w:ascii="Times New Roman" w:hAnsi="Times New Roman"/>
        </w:rPr>
        <w:t xml:space="preserve">Full Court </w:t>
      </w:r>
      <w:r w:rsidR="00BE3E22" w:rsidRPr="000C06D7">
        <w:rPr>
          <w:rFonts w:ascii="Times New Roman" w:hAnsi="Times New Roman"/>
        </w:rPr>
        <w:t xml:space="preserve">Decision </w:t>
      </w:r>
      <w:r w:rsidR="006C5176" w:rsidRPr="000C06D7">
        <w:rPr>
          <w:rFonts w:ascii="Times New Roman" w:hAnsi="Times New Roman"/>
        </w:rPr>
        <w:t xml:space="preserve">is set aside) </w:t>
      </w:r>
      <w:r w:rsidR="00CD42B6" w:rsidRPr="000C06D7">
        <w:rPr>
          <w:rFonts w:ascii="Times New Roman" w:hAnsi="Times New Roman"/>
        </w:rPr>
        <w:t>or</w:t>
      </w:r>
      <w:r w:rsidR="00D73A5D" w:rsidRPr="000C06D7">
        <w:rPr>
          <w:rFonts w:ascii="Times New Roman" w:hAnsi="Times New Roman"/>
        </w:rPr>
        <w:t xml:space="preserve"> </w:t>
      </w:r>
      <w:r w:rsidR="009F2F79" w:rsidRPr="000C06D7">
        <w:rPr>
          <w:rFonts w:ascii="Times New Roman" w:hAnsi="Times New Roman"/>
        </w:rPr>
        <w:t>from</w:t>
      </w:r>
      <w:r w:rsidR="00CD42B6" w:rsidRPr="000C06D7">
        <w:rPr>
          <w:rFonts w:ascii="Times New Roman" w:hAnsi="Times New Roman"/>
        </w:rPr>
        <w:t xml:space="preserve"> a decision </w:t>
      </w:r>
      <w:r w:rsidR="0025036E" w:rsidRPr="000C06D7">
        <w:rPr>
          <w:rFonts w:ascii="Times New Roman" w:hAnsi="Times New Roman"/>
        </w:rPr>
        <w:t>to be made by</w:t>
      </w:r>
      <w:r w:rsidR="00CD42B6" w:rsidRPr="000C06D7">
        <w:rPr>
          <w:rFonts w:ascii="Times New Roman" w:hAnsi="Times New Roman"/>
        </w:rPr>
        <w:t xml:space="preserve"> the Tribunal </w:t>
      </w:r>
      <w:r w:rsidR="0025036E" w:rsidRPr="000C06D7">
        <w:rPr>
          <w:rFonts w:ascii="Times New Roman" w:hAnsi="Times New Roman"/>
        </w:rPr>
        <w:t xml:space="preserve">in the future </w:t>
      </w:r>
      <w:r w:rsidR="00CD42B6" w:rsidRPr="000C06D7">
        <w:rPr>
          <w:rFonts w:ascii="Times New Roman" w:hAnsi="Times New Roman"/>
        </w:rPr>
        <w:t xml:space="preserve">(if </w:t>
      </w:r>
      <w:r w:rsidR="0015445B" w:rsidRPr="000C06D7">
        <w:rPr>
          <w:rFonts w:ascii="Times New Roman" w:hAnsi="Times New Roman"/>
        </w:rPr>
        <w:t xml:space="preserve">this </w:t>
      </w:r>
      <w:r w:rsidR="00CD42B6" w:rsidRPr="000C06D7">
        <w:rPr>
          <w:rFonts w:ascii="Times New Roman" w:hAnsi="Times New Roman"/>
        </w:rPr>
        <w:t xml:space="preserve">appeal is dismissed and the </w:t>
      </w:r>
      <w:r w:rsidR="004139AE" w:rsidRPr="000C06D7">
        <w:rPr>
          <w:rFonts w:ascii="Times New Roman" w:hAnsi="Times New Roman"/>
        </w:rPr>
        <w:t>order remitting the matter to the Tribunal made by</w:t>
      </w:r>
      <w:r w:rsidR="00CD42B6" w:rsidRPr="000C06D7">
        <w:rPr>
          <w:rFonts w:ascii="Times New Roman" w:hAnsi="Times New Roman"/>
        </w:rPr>
        <w:t xml:space="preserve"> the Full Court is </w:t>
      </w:r>
      <w:r w:rsidR="004139AE" w:rsidRPr="000C06D7">
        <w:rPr>
          <w:rFonts w:ascii="Times New Roman" w:hAnsi="Times New Roman"/>
        </w:rPr>
        <w:t>left to stand</w:t>
      </w:r>
      <w:r w:rsidR="00CD42B6" w:rsidRPr="000C06D7">
        <w:rPr>
          <w:rFonts w:ascii="Times New Roman" w:hAnsi="Times New Roman"/>
        </w:rPr>
        <w:t>)</w:t>
      </w:r>
      <w:r w:rsidR="00822CEC" w:rsidRPr="000C06D7">
        <w:rPr>
          <w:rStyle w:val="FootnoteReference"/>
          <w:rFonts w:ascii="Times New Roman" w:hAnsi="Times New Roman"/>
          <w:sz w:val="24"/>
        </w:rPr>
        <w:footnoteReference w:id="67"/>
      </w:r>
      <w:r w:rsidR="00E94EA2" w:rsidRPr="000C06D7">
        <w:rPr>
          <w:rFonts w:ascii="Times New Roman" w:hAnsi="Times New Roman"/>
        </w:rPr>
        <w:t>.</w:t>
      </w:r>
      <w:r w:rsidR="00F43853" w:rsidRPr="000C06D7">
        <w:rPr>
          <w:rFonts w:ascii="Times New Roman" w:hAnsi="Times New Roman"/>
        </w:rPr>
        <w:t xml:space="preserve"> The appeal can therefore be taken to continue to </w:t>
      </w:r>
      <w:r w:rsidR="00C5341A" w:rsidRPr="000C06D7">
        <w:rPr>
          <w:rFonts w:ascii="Times New Roman" w:hAnsi="Times New Roman"/>
        </w:rPr>
        <w:t xml:space="preserve">bear on </w:t>
      </w:r>
      <w:r w:rsidR="001A145E" w:rsidRPr="000C06D7">
        <w:rPr>
          <w:rFonts w:ascii="Times New Roman" w:hAnsi="Times New Roman"/>
        </w:rPr>
        <w:t>the rights of the parties</w:t>
      </w:r>
      <w:r w:rsidR="00F43853" w:rsidRPr="000C06D7">
        <w:rPr>
          <w:rFonts w:ascii="Times New Roman" w:hAnsi="Times New Roman"/>
        </w:rPr>
        <w:t>.</w:t>
      </w:r>
    </w:p>
    <w:p w14:paraId="73851696" w14:textId="2D17E216" w:rsidR="001B5B17" w:rsidRPr="000C06D7" w:rsidRDefault="001B5B17" w:rsidP="000C06D7">
      <w:pPr>
        <w:pStyle w:val="HeadingL1"/>
        <w:spacing w:after="260" w:line="280" w:lineRule="exact"/>
        <w:ind w:right="0"/>
        <w:jc w:val="both"/>
        <w:rPr>
          <w:rFonts w:ascii="Times New Roman" w:hAnsi="Times New Roman"/>
        </w:rPr>
      </w:pPr>
      <w:r w:rsidRPr="000C06D7">
        <w:rPr>
          <w:rFonts w:ascii="Times New Roman" w:hAnsi="Times New Roman"/>
        </w:rPr>
        <w:t>Tribunal</w:t>
      </w:r>
      <w:r w:rsidR="00C06D8C" w:rsidRPr="000C06D7">
        <w:rPr>
          <w:rFonts w:ascii="Times New Roman" w:hAnsi="Times New Roman"/>
        </w:rPr>
        <w:t xml:space="preserve"> Decision</w:t>
      </w:r>
    </w:p>
    <w:p w14:paraId="40F125C8" w14:textId="66291847" w:rsidR="00F616C3" w:rsidRPr="000C06D7" w:rsidRDefault="00133B39"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052805" w:rsidRPr="000C06D7">
        <w:rPr>
          <w:rFonts w:ascii="Times New Roman" w:hAnsi="Times New Roman"/>
        </w:rPr>
        <w:t>The F</w:t>
      </w:r>
      <w:r w:rsidR="008F3DC7" w:rsidRPr="000C06D7">
        <w:rPr>
          <w:rFonts w:ascii="Times New Roman" w:hAnsi="Times New Roman"/>
        </w:rPr>
        <w:t xml:space="preserve">inal </w:t>
      </w:r>
      <w:r w:rsidR="00052805" w:rsidRPr="000C06D7">
        <w:rPr>
          <w:rFonts w:ascii="Times New Roman" w:hAnsi="Times New Roman"/>
        </w:rPr>
        <w:t>D</w:t>
      </w:r>
      <w:r w:rsidR="008F3DC7" w:rsidRPr="000C06D7">
        <w:rPr>
          <w:rFonts w:ascii="Times New Roman" w:hAnsi="Times New Roman"/>
        </w:rPr>
        <w:t>etermination</w:t>
      </w:r>
      <w:r w:rsidR="00637294" w:rsidRPr="000C06D7">
        <w:rPr>
          <w:rFonts w:ascii="Times New Roman" w:hAnsi="Times New Roman"/>
        </w:rPr>
        <w:t xml:space="preserve">, </w:t>
      </w:r>
      <w:r w:rsidR="00DC2B78" w:rsidRPr="000C06D7">
        <w:rPr>
          <w:rFonts w:ascii="Times New Roman" w:hAnsi="Times New Roman"/>
        </w:rPr>
        <w:t>which resulted from the Tribunal Decision</w:t>
      </w:r>
      <w:r w:rsidR="00637294" w:rsidRPr="000C06D7">
        <w:rPr>
          <w:rFonts w:ascii="Times New Roman" w:hAnsi="Times New Roman"/>
        </w:rPr>
        <w:t xml:space="preserve">, </w:t>
      </w:r>
      <w:r w:rsidR="00ED6745" w:rsidRPr="000C06D7">
        <w:rPr>
          <w:rFonts w:ascii="Times New Roman" w:hAnsi="Times New Roman"/>
        </w:rPr>
        <w:t xml:space="preserve">was expressed to govern </w:t>
      </w:r>
      <w:r w:rsidR="00B56BBA" w:rsidRPr="000C06D7">
        <w:rPr>
          <w:rFonts w:ascii="Times New Roman" w:hAnsi="Times New Roman"/>
        </w:rPr>
        <w:t xml:space="preserve">both the wharfage charge </w:t>
      </w:r>
      <w:r w:rsidR="00064744" w:rsidRPr="000C06D7">
        <w:rPr>
          <w:rFonts w:ascii="Times New Roman" w:hAnsi="Times New Roman"/>
        </w:rPr>
        <w:t xml:space="preserve">and the navigation service charge payable by </w:t>
      </w:r>
      <w:r w:rsidR="00AB6A53" w:rsidRPr="000C06D7">
        <w:rPr>
          <w:rFonts w:ascii="Times New Roman" w:hAnsi="Times New Roman"/>
        </w:rPr>
        <w:t xml:space="preserve">Glencore to PNO for </w:t>
      </w:r>
      <w:r w:rsidR="00F616C3" w:rsidRPr="000C06D7">
        <w:rPr>
          <w:rFonts w:ascii="Times New Roman" w:hAnsi="Times New Roman"/>
        </w:rPr>
        <w:t>a period commencing in 2018 and expiring in 2031.</w:t>
      </w:r>
      <w:r w:rsidR="000B6D1C" w:rsidRPr="000C06D7">
        <w:rPr>
          <w:rFonts w:ascii="Times New Roman" w:hAnsi="Times New Roman"/>
        </w:rPr>
        <w:t xml:space="preserve"> The wharfage charge </w:t>
      </w:r>
      <w:r w:rsidR="0058777C" w:rsidRPr="000C06D7">
        <w:rPr>
          <w:rFonts w:ascii="Times New Roman" w:hAnsi="Times New Roman"/>
        </w:rPr>
        <w:t xml:space="preserve">as </w:t>
      </w:r>
      <w:r w:rsidR="000B6D1C" w:rsidRPr="000C06D7">
        <w:rPr>
          <w:rFonts w:ascii="Times New Roman" w:hAnsi="Times New Roman"/>
        </w:rPr>
        <w:t xml:space="preserve">determined </w:t>
      </w:r>
      <w:r w:rsidR="000F7FF3" w:rsidRPr="000C06D7">
        <w:rPr>
          <w:rFonts w:ascii="Times New Roman" w:hAnsi="Times New Roman"/>
        </w:rPr>
        <w:t xml:space="preserve">in the Final Determination </w:t>
      </w:r>
      <w:r w:rsidR="0058777C" w:rsidRPr="000C06D7">
        <w:rPr>
          <w:rFonts w:ascii="Times New Roman" w:hAnsi="Times New Roman"/>
        </w:rPr>
        <w:t>will be</w:t>
      </w:r>
      <w:r w:rsidR="000B6D1C" w:rsidRPr="000C06D7">
        <w:rPr>
          <w:rFonts w:ascii="Times New Roman" w:hAnsi="Times New Roman"/>
        </w:rPr>
        <w:t xml:space="preserve"> referred to </w:t>
      </w:r>
      <w:r w:rsidR="0058777C" w:rsidRPr="000C06D7">
        <w:rPr>
          <w:rFonts w:ascii="Times New Roman" w:hAnsi="Times New Roman"/>
        </w:rPr>
        <w:t xml:space="preserve">in these reasons </w:t>
      </w:r>
      <w:r w:rsidR="000B6D1C" w:rsidRPr="000C06D7">
        <w:rPr>
          <w:rFonts w:ascii="Times New Roman" w:hAnsi="Times New Roman"/>
        </w:rPr>
        <w:t xml:space="preserve">as </w:t>
      </w:r>
      <w:r w:rsidR="00D71D81" w:rsidRPr="000C06D7">
        <w:rPr>
          <w:rFonts w:ascii="Times New Roman" w:hAnsi="Times New Roman"/>
        </w:rPr>
        <w:t xml:space="preserve">"the Wharfage Charge". </w:t>
      </w:r>
      <w:r w:rsidR="0058777C" w:rsidRPr="000C06D7">
        <w:rPr>
          <w:rFonts w:ascii="Times New Roman" w:hAnsi="Times New Roman"/>
        </w:rPr>
        <w:t xml:space="preserve">The </w:t>
      </w:r>
      <w:r w:rsidR="00D71D81" w:rsidRPr="000C06D7">
        <w:rPr>
          <w:rFonts w:ascii="Times New Roman" w:hAnsi="Times New Roman"/>
        </w:rPr>
        <w:t xml:space="preserve">navigation service charge </w:t>
      </w:r>
      <w:r w:rsidR="0058777C" w:rsidRPr="000C06D7">
        <w:rPr>
          <w:rFonts w:ascii="Times New Roman" w:hAnsi="Times New Roman"/>
        </w:rPr>
        <w:t xml:space="preserve">as </w:t>
      </w:r>
      <w:r w:rsidR="00D71D81" w:rsidRPr="000C06D7">
        <w:rPr>
          <w:rFonts w:ascii="Times New Roman" w:hAnsi="Times New Roman"/>
        </w:rPr>
        <w:t xml:space="preserve">determined </w:t>
      </w:r>
      <w:r w:rsidR="000F7FF3" w:rsidRPr="000C06D7">
        <w:rPr>
          <w:rFonts w:ascii="Times New Roman" w:hAnsi="Times New Roman"/>
        </w:rPr>
        <w:t xml:space="preserve">in the Final Determination </w:t>
      </w:r>
      <w:r w:rsidR="0058777C" w:rsidRPr="000C06D7">
        <w:rPr>
          <w:rFonts w:ascii="Times New Roman" w:hAnsi="Times New Roman"/>
        </w:rPr>
        <w:t xml:space="preserve">will be </w:t>
      </w:r>
      <w:r w:rsidR="00D71D81" w:rsidRPr="000C06D7">
        <w:rPr>
          <w:rFonts w:ascii="Times New Roman" w:hAnsi="Times New Roman"/>
        </w:rPr>
        <w:t>referred to as "the Navigation Service Charge".</w:t>
      </w:r>
    </w:p>
    <w:p w14:paraId="4E5B667C" w14:textId="519548AA" w:rsidR="002306CD" w:rsidRPr="000C06D7" w:rsidRDefault="00F616C3"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EF367C" w:rsidRPr="000C06D7">
        <w:rPr>
          <w:rFonts w:ascii="Times New Roman" w:hAnsi="Times New Roman"/>
        </w:rPr>
        <w:t>T</w:t>
      </w:r>
      <w:r w:rsidR="0045729B" w:rsidRPr="000C06D7">
        <w:rPr>
          <w:rFonts w:ascii="Times New Roman" w:hAnsi="Times New Roman"/>
        </w:rPr>
        <w:t xml:space="preserve">he </w:t>
      </w:r>
      <w:r w:rsidR="00D71D81" w:rsidRPr="000C06D7">
        <w:rPr>
          <w:rFonts w:ascii="Times New Roman" w:hAnsi="Times New Roman"/>
        </w:rPr>
        <w:t>W</w:t>
      </w:r>
      <w:r w:rsidR="0045729B" w:rsidRPr="000C06D7">
        <w:rPr>
          <w:rFonts w:ascii="Times New Roman" w:hAnsi="Times New Roman"/>
        </w:rPr>
        <w:t xml:space="preserve">harfage </w:t>
      </w:r>
      <w:r w:rsidR="00D71D81" w:rsidRPr="000C06D7">
        <w:rPr>
          <w:rFonts w:ascii="Times New Roman" w:hAnsi="Times New Roman"/>
        </w:rPr>
        <w:t>C</w:t>
      </w:r>
      <w:r w:rsidR="0045729B" w:rsidRPr="000C06D7">
        <w:rPr>
          <w:rFonts w:ascii="Times New Roman" w:hAnsi="Times New Roman"/>
        </w:rPr>
        <w:t>harge</w:t>
      </w:r>
      <w:r w:rsidR="00EA4C88" w:rsidRPr="000C06D7">
        <w:rPr>
          <w:rFonts w:ascii="Times New Roman" w:hAnsi="Times New Roman"/>
        </w:rPr>
        <w:t xml:space="preserve"> </w:t>
      </w:r>
      <w:r w:rsidR="00EF367C" w:rsidRPr="000C06D7">
        <w:rPr>
          <w:rFonts w:ascii="Times New Roman" w:hAnsi="Times New Roman"/>
        </w:rPr>
        <w:t>was uncontroversial</w:t>
      </w:r>
      <w:r w:rsidR="0058777C" w:rsidRPr="000C06D7">
        <w:rPr>
          <w:rFonts w:ascii="Times New Roman" w:hAnsi="Times New Roman"/>
        </w:rPr>
        <w:t xml:space="preserve"> at the time of the Tribunal Decision and remains uncontroversial</w:t>
      </w:r>
      <w:r w:rsidR="00532217" w:rsidRPr="000C06D7">
        <w:rPr>
          <w:rFonts w:ascii="Times New Roman" w:hAnsi="Times New Roman"/>
        </w:rPr>
        <w:t xml:space="preserve">. </w:t>
      </w:r>
      <w:r w:rsidR="0059486E" w:rsidRPr="000C06D7">
        <w:rPr>
          <w:rFonts w:ascii="Times New Roman" w:hAnsi="Times New Roman"/>
        </w:rPr>
        <w:t xml:space="preserve">The Wharfage Charge </w:t>
      </w:r>
      <w:r w:rsidR="00532217" w:rsidRPr="000C06D7">
        <w:rPr>
          <w:rFonts w:ascii="Times New Roman" w:hAnsi="Times New Roman"/>
        </w:rPr>
        <w:t xml:space="preserve">was </w:t>
      </w:r>
      <w:r w:rsidR="00C521AB" w:rsidRPr="000C06D7">
        <w:rPr>
          <w:rFonts w:ascii="Times New Roman" w:hAnsi="Times New Roman"/>
        </w:rPr>
        <w:t xml:space="preserve">the subject of agreement </w:t>
      </w:r>
      <w:r w:rsidR="006D23A3" w:rsidRPr="000C06D7">
        <w:rPr>
          <w:rFonts w:ascii="Times New Roman" w:hAnsi="Times New Roman"/>
        </w:rPr>
        <w:t xml:space="preserve">between </w:t>
      </w:r>
      <w:r w:rsidR="00A27E6F" w:rsidRPr="000C06D7">
        <w:rPr>
          <w:rFonts w:ascii="Times New Roman" w:hAnsi="Times New Roman"/>
        </w:rPr>
        <w:t xml:space="preserve">Glencore and PNO </w:t>
      </w:r>
      <w:r w:rsidR="00C521AB" w:rsidRPr="000C06D7">
        <w:rPr>
          <w:rFonts w:ascii="Times New Roman" w:hAnsi="Times New Roman"/>
        </w:rPr>
        <w:t xml:space="preserve">reached </w:t>
      </w:r>
      <w:r w:rsidR="00A27E6F" w:rsidRPr="000C06D7">
        <w:rPr>
          <w:rFonts w:ascii="Times New Roman" w:hAnsi="Times New Roman"/>
        </w:rPr>
        <w:t xml:space="preserve">in the course of the </w:t>
      </w:r>
      <w:r w:rsidR="00BF456C" w:rsidRPr="000C06D7">
        <w:rPr>
          <w:rFonts w:ascii="Times New Roman" w:hAnsi="Times New Roman"/>
        </w:rPr>
        <w:t>arbitration and was not in dispute in the re-</w:t>
      </w:r>
      <w:r w:rsidR="00B953D1" w:rsidRPr="000C06D7">
        <w:rPr>
          <w:rFonts w:ascii="Times New Roman" w:hAnsi="Times New Roman"/>
        </w:rPr>
        <w:t>arbitration</w:t>
      </w:r>
      <w:r w:rsidR="00BF456C" w:rsidRPr="000C06D7">
        <w:rPr>
          <w:rFonts w:ascii="Times New Roman" w:hAnsi="Times New Roman"/>
        </w:rPr>
        <w:t xml:space="preserve"> </w:t>
      </w:r>
      <w:r w:rsidR="00F23EFA" w:rsidRPr="000C06D7">
        <w:rPr>
          <w:rFonts w:ascii="Times New Roman" w:hAnsi="Times New Roman"/>
        </w:rPr>
        <w:t>before the Tribunal.</w:t>
      </w:r>
      <w:r w:rsidR="00540BBC" w:rsidRPr="000C06D7">
        <w:rPr>
          <w:rFonts w:ascii="Times New Roman" w:hAnsi="Times New Roman"/>
        </w:rPr>
        <w:t xml:space="preserve"> </w:t>
      </w:r>
    </w:p>
    <w:p w14:paraId="6B1B4294" w14:textId="671178AC" w:rsidR="00AF57CC" w:rsidRPr="000C06D7" w:rsidRDefault="002306CD"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532217" w:rsidRPr="000C06D7">
        <w:rPr>
          <w:rFonts w:ascii="Times New Roman" w:hAnsi="Times New Roman"/>
        </w:rPr>
        <w:t xml:space="preserve">The </w:t>
      </w:r>
      <w:r w:rsidR="00D71D81" w:rsidRPr="000C06D7">
        <w:rPr>
          <w:rFonts w:ascii="Times New Roman" w:hAnsi="Times New Roman"/>
        </w:rPr>
        <w:t>N</w:t>
      </w:r>
      <w:r w:rsidR="00532217" w:rsidRPr="000C06D7">
        <w:rPr>
          <w:rFonts w:ascii="Times New Roman" w:hAnsi="Times New Roman"/>
        </w:rPr>
        <w:t xml:space="preserve">avigation </w:t>
      </w:r>
      <w:r w:rsidR="00D71D81" w:rsidRPr="000C06D7">
        <w:rPr>
          <w:rFonts w:ascii="Times New Roman" w:hAnsi="Times New Roman"/>
        </w:rPr>
        <w:t>S</w:t>
      </w:r>
      <w:r w:rsidR="00532217" w:rsidRPr="000C06D7">
        <w:rPr>
          <w:rFonts w:ascii="Times New Roman" w:hAnsi="Times New Roman"/>
        </w:rPr>
        <w:t xml:space="preserve">ervice </w:t>
      </w:r>
      <w:r w:rsidR="00D71D81" w:rsidRPr="000C06D7">
        <w:rPr>
          <w:rFonts w:ascii="Times New Roman" w:hAnsi="Times New Roman"/>
        </w:rPr>
        <w:t>C</w:t>
      </w:r>
      <w:r w:rsidR="00532217" w:rsidRPr="000C06D7">
        <w:rPr>
          <w:rFonts w:ascii="Times New Roman" w:hAnsi="Times New Roman"/>
        </w:rPr>
        <w:t xml:space="preserve">harge was </w:t>
      </w:r>
      <w:r w:rsidR="000304C7" w:rsidRPr="000C06D7">
        <w:rPr>
          <w:rFonts w:ascii="Times New Roman" w:hAnsi="Times New Roman"/>
        </w:rPr>
        <w:t xml:space="preserve">controversial </w:t>
      </w:r>
      <w:r w:rsidR="00732179" w:rsidRPr="000C06D7">
        <w:rPr>
          <w:rFonts w:ascii="Times New Roman" w:hAnsi="Times New Roman"/>
        </w:rPr>
        <w:t xml:space="preserve">at the time of the Tribunal Decision </w:t>
      </w:r>
      <w:r w:rsidR="000304C7" w:rsidRPr="000C06D7">
        <w:rPr>
          <w:rFonts w:ascii="Times New Roman" w:hAnsi="Times New Roman"/>
        </w:rPr>
        <w:t xml:space="preserve">in two respects. </w:t>
      </w:r>
      <w:r w:rsidR="001A6971" w:rsidRPr="000C06D7">
        <w:rPr>
          <w:rFonts w:ascii="Times New Roman" w:hAnsi="Times New Roman"/>
        </w:rPr>
        <w:t xml:space="preserve">The first concerned </w:t>
      </w:r>
      <w:r w:rsidR="00FA01EA" w:rsidRPr="000C06D7">
        <w:rPr>
          <w:rFonts w:ascii="Times New Roman" w:hAnsi="Times New Roman"/>
        </w:rPr>
        <w:t xml:space="preserve">the </w:t>
      </w:r>
      <w:r w:rsidR="00A327F2" w:rsidRPr="000C06D7">
        <w:rPr>
          <w:rFonts w:ascii="Times New Roman" w:hAnsi="Times New Roman"/>
        </w:rPr>
        <w:t>range of</w:t>
      </w:r>
      <w:r w:rsidR="0067592E" w:rsidRPr="000C06D7">
        <w:rPr>
          <w:rFonts w:ascii="Times New Roman" w:hAnsi="Times New Roman"/>
        </w:rPr>
        <w:t xml:space="preserve"> </w:t>
      </w:r>
      <w:r w:rsidR="009E5726" w:rsidRPr="000C06D7">
        <w:rPr>
          <w:rFonts w:ascii="Times New Roman" w:hAnsi="Times New Roman"/>
        </w:rPr>
        <w:t xml:space="preserve">circumstances in </w:t>
      </w:r>
      <w:r w:rsidR="003B2242" w:rsidRPr="000C06D7">
        <w:rPr>
          <w:rFonts w:ascii="Times New Roman" w:hAnsi="Times New Roman"/>
        </w:rPr>
        <w:t xml:space="preserve">which </w:t>
      </w:r>
      <w:r w:rsidR="009E5726" w:rsidRPr="000C06D7">
        <w:rPr>
          <w:rFonts w:ascii="Times New Roman" w:hAnsi="Times New Roman"/>
        </w:rPr>
        <w:lastRenderedPageBreak/>
        <w:t xml:space="preserve">the </w:t>
      </w:r>
      <w:r w:rsidR="00D71D81" w:rsidRPr="000C06D7">
        <w:rPr>
          <w:rFonts w:ascii="Times New Roman" w:hAnsi="Times New Roman"/>
        </w:rPr>
        <w:t xml:space="preserve">Navigation Service Charge </w:t>
      </w:r>
      <w:r w:rsidR="00F01856" w:rsidRPr="000C06D7">
        <w:rPr>
          <w:rFonts w:ascii="Times New Roman" w:hAnsi="Times New Roman"/>
        </w:rPr>
        <w:t xml:space="preserve">was </w:t>
      </w:r>
      <w:r w:rsidR="009E5726" w:rsidRPr="000C06D7">
        <w:rPr>
          <w:rFonts w:ascii="Times New Roman" w:hAnsi="Times New Roman"/>
        </w:rPr>
        <w:t xml:space="preserve">to be </w:t>
      </w:r>
      <w:r w:rsidR="00FA01EA" w:rsidRPr="000C06D7">
        <w:rPr>
          <w:rFonts w:ascii="Times New Roman" w:hAnsi="Times New Roman"/>
        </w:rPr>
        <w:t>payable by Glencore to PNO</w:t>
      </w:r>
      <w:r w:rsidR="009E5726" w:rsidRPr="000C06D7">
        <w:rPr>
          <w:rFonts w:ascii="Times New Roman" w:hAnsi="Times New Roman"/>
        </w:rPr>
        <w:t xml:space="preserve">. </w:t>
      </w:r>
      <w:r w:rsidR="00C61A6A" w:rsidRPr="000C06D7">
        <w:rPr>
          <w:rFonts w:ascii="Times New Roman" w:hAnsi="Times New Roman"/>
        </w:rPr>
        <w:t xml:space="preserve">The second concerned the calculation of </w:t>
      </w:r>
      <w:r w:rsidR="0067592E" w:rsidRPr="000C06D7">
        <w:rPr>
          <w:rFonts w:ascii="Times New Roman" w:hAnsi="Times New Roman"/>
        </w:rPr>
        <w:t>the</w:t>
      </w:r>
      <w:r w:rsidR="00C61A6A" w:rsidRPr="000C06D7">
        <w:rPr>
          <w:rFonts w:ascii="Times New Roman" w:hAnsi="Times New Roman"/>
        </w:rPr>
        <w:t xml:space="preserve"> amount</w:t>
      </w:r>
      <w:r w:rsidR="0067592E" w:rsidRPr="000C06D7">
        <w:rPr>
          <w:rFonts w:ascii="Times New Roman" w:hAnsi="Times New Roman"/>
        </w:rPr>
        <w:t xml:space="preserve"> of </w:t>
      </w:r>
      <w:r w:rsidR="003B4814" w:rsidRPr="000C06D7">
        <w:rPr>
          <w:rFonts w:ascii="Times New Roman" w:hAnsi="Times New Roman"/>
        </w:rPr>
        <w:t>the Navigation Service Charge</w:t>
      </w:r>
      <w:r w:rsidR="00C61A6A" w:rsidRPr="000C06D7">
        <w:rPr>
          <w:rFonts w:ascii="Times New Roman" w:hAnsi="Times New Roman"/>
        </w:rPr>
        <w:t>.</w:t>
      </w:r>
    </w:p>
    <w:p w14:paraId="25583A72" w14:textId="6FB5CA90" w:rsidR="00394E93" w:rsidRPr="000C06D7" w:rsidRDefault="00EC18C0" w:rsidP="000C06D7">
      <w:pPr>
        <w:pStyle w:val="HeadingL2"/>
        <w:spacing w:after="260" w:line="280" w:lineRule="exact"/>
        <w:ind w:right="0"/>
        <w:jc w:val="both"/>
        <w:rPr>
          <w:rFonts w:ascii="Times New Roman" w:hAnsi="Times New Roman"/>
        </w:rPr>
      </w:pPr>
      <w:r w:rsidRPr="000C06D7">
        <w:rPr>
          <w:rFonts w:ascii="Times New Roman" w:hAnsi="Times New Roman"/>
        </w:rPr>
        <w:t>S</w:t>
      </w:r>
      <w:r w:rsidR="007E0CB2" w:rsidRPr="000C06D7">
        <w:rPr>
          <w:rFonts w:ascii="Times New Roman" w:hAnsi="Times New Roman"/>
        </w:rPr>
        <w:t>cope</w:t>
      </w:r>
      <w:r w:rsidR="00D71D81" w:rsidRPr="000C06D7">
        <w:rPr>
          <w:rFonts w:ascii="Times New Roman" w:hAnsi="Times New Roman"/>
        </w:rPr>
        <w:t xml:space="preserve"> of the Navigation Service Charge</w:t>
      </w:r>
    </w:p>
    <w:p w14:paraId="371F9657" w14:textId="244F534D" w:rsidR="00302B39" w:rsidRPr="000C06D7" w:rsidRDefault="00AF57CC"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C10D68" w:rsidRPr="000C06D7">
        <w:rPr>
          <w:rFonts w:ascii="Times New Roman" w:hAnsi="Times New Roman"/>
        </w:rPr>
        <w:t xml:space="preserve">In the </w:t>
      </w:r>
      <w:r w:rsidR="000B3FD8" w:rsidRPr="000C06D7">
        <w:rPr>
          <w:rFonts w:ascii="Times New Roman" w:hAnsi="Times New Roman"/>
        </w:rPr>
        <w:t xml:space="preserve">final </w:t>
      </w:r>
      <w:r w:rsidR="00C10D68" w:rsidRPr="000C06D7">
        <w:rPr>
          <w:rFonts w:ascii="Times New Roman" w:hAnsi="Times New Roman"/>
        </w:rPr>
        <w:t>de</w:t>
      </w:r>
      <w:r w:rsidR="0032425E" w:rsidRPr="000C06D7">
        <w:rPr>
          <w:rFonts w:ascii="Times New Roman" w:hAnsi="Times New Roman"/>
        </w:rPr>
        <w:t xml:space="preserve">termination </w:t>
      </w:r>
      <w:r w:rsidR="000B3FD8" w:rsidRPr="000C06D7">
        <w:rPr>
          <w:rFonts w:ascii="Times New Roman" w:hAnsi="Times New Roman"/>
        </w:rPr>
        <w:t xml:space="preserve">reviewed </w:t>
      </w:r>
      <w:r w:rsidR="0032425E" w:rsidRPr="000C06D7">
        <w:rPr>
          <w:rFonts w:ascii="Times New Roman" w:hAnsi="Times New Roman"/>
        </w:rPr>
        <w:t xml:space="preserve">by the Tribunal, the </w:t>
      </w:r>
      <w:r w:rsidR="003B4814" w:rsidRPr="000C06D7">
        <w:rPr>
          <w:rFonts w:ascii="Times New Roman" w:hAnsi="Times New Roman"/>
        </w:rPr>
        <w:t>ACCC</w:t>
      </w:r>
      <w:r w:rsidR="00EC1E7D" w:rsidRPr="000C06D7">
        <w:rPr>
          <w:rFonts w:ascii="Times New Roman" w:hAnsi="Times New Roman"/>
        </w:rPr>
        <w:t xml:space="preserve"> </w:t>
      </w:r>
      <w:r w:rsidR="00944747" w:rsidRPr="000C06D7">
        <w:rPr>
          <w:rFonts w:ascii="Times New Roman" w:hAnsi="Times New Roman"/>
        </w:rPr>
        <w:t>had</w:t>
      </w:r>
      <w:r w:rsidR="00EC1E7D" w:rsidRPr="000C06D7">
        <w:rPr>
          <w:rFonts w:ascii="Times New Roman" w:hAnsi="Times New Roman"/>
        </w:rPr>
        <w:t xml:space="preserve"> </w:t>
      </w:r>
      <w:r w:rsidR="000D5FC8" w:rsidRPr="000C06D7">
        <w:rPr>
          <w:rFonts w:ascii="Times New Roman" w:hAnsi="Times New Roman"/>
        </w:rPr>
        <w:t xml:space="preserve">determined </w:t>
      </w:r>
      <w:r w:rsidR="00836D92" w:rsidRPr="000C06D7">
        <w:rPr>
          <w:rFonts w:ascii="Times New Roman" w:hAnsi="Times New Roman"/>
        </w:rPr>
        <w:t xml:space="preserve">that </w:t>
      </w:r>
      <w:r w:rsidR="000D5FC8" w:rsidRPr="000C06D7">
        <w:rPr>
          <w:rFonts w:ascii="Times New Roman" w:hAnsi="Times New Roman"/>
        </w:rPr>
        <w:t>the</w:t>
      </w:r>
      <w:r w:rsidR="006C1992" w:rsidRPr="000C06D7">
        <w:rPr>
          <w:rFonts w:ascii="Times New Roman" w:hAnsi="Times New Roman"/>
        </w:rPr>
        <w:t xml:space="preserve"> </w:t>
      </w:r>
      <w:r w:rsidR="00F43A62" w:rsidRPr="000C06D7">
        <w:rPr>
          <w:rFonts w:ascii="Times New Roman" w:hAnsi="Times New Roman"/>
        </w:rPr>
        <w:t>navigation service charge</w:t>
      </w:r>
      <w:r w:rsidR="006C1992" w:rsidRPr="000C06D7">
        <w:rPr>
          <w:rFonts w:ascii="Times New Roman" w:hAnsi="Times New Roman"/>
        </w:rPr>
        <w:t xml:space="preserve"> </w:t>
      </w:r>
      <w:r w:rsidR="00735FB3" w:rsidRPr="000C06D7">
        <w:rPr>
          <w:rFonts w:ascii="Times New Roman" w:hAnsi="Times New Roman"/>
        </w:rPr>
        <w:t xml:space="preserve">was </w:t>
      </w:r>
      <w:r w:rsidR="006C1992" w:rsidRPr="000C06D7">
        <w:rPr>
          <w:rFonts w:ascii="Times New Roman" w:hAnsi="Times New Roman"/>
        </w:rPr>
        <w:t>to be</w:t>
      </w:r>
      <w:r w:rsidR="009960F0" w:rsidRPr="000C06D7">
        <w:rPr>
          <w:rFonts w:ascii="Times New Roman" w:hAnsi="Times New Roman"/>
        </w:rPr>
        <w:t xml:space="preserve"> </w:t>
      </w:r>
      <w:r w:rsidR="006C1992" w:rsidRPr="000C06D7">
        <w:rPr>
          <w:rFonts w:ascii="Times New Roman" w:hAnsi="Times New Roman"/>
        </w:rPr>
        <w:t xml:space="preserve">payable </w:t>
      </w:r>
      <w:r w:rsidR="00F43091" w:rsidRPr="000C06D7">
        <w:rPr>
          <w:rFonts w:ascii="Times New Roman" w:hAnsi="Times New Roman"/>
        </w:rPr>
        <w:t xml:space="preserve">by Glencore to PNO </w:t>
      </w:r>
      <w:r w:rsidR="006C1992" w:rsidRPr="000C06D7">
        <w:rPr>
          <w:rFonts w:ascii="Times New Roman" w:hAnsi="Times New Roman"/>
        </w:rPr>
        <w:t>in</w:t>
      </w:r>
      <w:r w:rsidR="001742E0" w:rsidRPr="000C06D7">
        <w:rPr>
          <w:rFonts w:ascii="Times New Roman" w:hAnsi="Times New Roman"/>
        </w:rPr>
        <w:t xml:space="preserve"> either of</w:t>
      </w:r>
      <w:r w:rsidR="00621128" w:rsidRPr="000C06D7">
        <w:rPr>
          <w:rFonts w:ascii="Times New Roman" w:hAnsi="Times New Roman"/>
        </w:rPr>
        <w:t xml:space="preserve"> two circumstances. One was where </w:t>
      </w:r>
      <w:r w:rsidR="005D7652" w:rsidRPr="000C06D7">
        <w:rPr>
          <w:rFonts w:ascii="Times New Roman" w:hAnsi="Times New Roman"/>
        </w:rPr>
        <w:t>Glencore, either directly or by an agent, chart</w:t>
      </w:r>
      <w:r w:rsidR="003C2E0D" w:rsidRPr="000C06D7">
        <w:rPr>
          <w:rFonts w:ascii="Times New Roman" w:hAnsi="Times New Roman"/>
        </w:rPr>
        <w:t xml:space="preserve">ered a ship </w:t>
      </w:r>
      <w:r w:rsidR="00540BBC" w:rsidRPr="000C06D7">
        <w:rPr>
          <w:rFonts w:ascii="Times New Roman" w:hAnsi="Times New Roman"/>
        </w:rPr>
        <w:t xml:space="preserve">to enter the Port and load </w:t>
      </w:r>
      <w:r w:rsidR="00FA6DF1" w:rsidRPr="000C06D7">
        <w:rPr>
          <w:rFonts w:ascii="Times New Roman" w:hAnsi="Times New Roman"/>
        </w:rPr>
        <w:t xml:space="preserve">its </w:t>
      </w:r>
      <w:r w:rsidR="00540BBC" w:rsidRPr="000C06D7">
        <w:rPr>
          <w:rFonts w:ascii="Times New Roman" w:hAnsi="Times New Roman"/>
        </w:rPr>
        <w:t xml:space="preserve">coal. The other </w:t>
      </w:r>
      <w:r w:rsidR="00F43A62" w:rsidRPr="000C06D7">
        <w:rPr>
          <w:rFonts w:ascii="Times New Roman" w:hAnsi="Times New Roman"/>
        </w:rPr>
        <w:t xml:space="preserve">was where </w:t>
      </w:r>
      <w:r w:rsidR="00623582" w:rsidRPr="000C06D7">
        <w:rPr>
          <w:rFonts w:ascii="Times New Roman" w:hAnsi="Times New Roman"/>
        </w:rPr>
        <w:t>Gl</w:t>
      </w:r>
      <w:r w:rsidR="00B327E2" w:rsidRPr="000C06D7">
        <w:rPr>
          <w:rFonts w:ascii="Times New Roman" w:hAnsi="Times New Roman"/>
        </w:rPr>
        <w:t>encore brought itself within the</w:t>
      </w:r>
      <w:r w:rsidR="004B51F3" w:rsidRPr="000C06D7">
        <w:rPr>
          <w:rFonts w:ascii="Times New Roman" w:hAnsi="Times New Roman"/>
        </w:rPr>
        <w:t xml:space="preserve"> extended</w:t>
      </w:r>
      <w:r w:rsidR="00B327E2" w:rsidRPr="000C06D7">
        <w:rPr>
          <w:rFonts w:ascii="Times New Roman" w:hAnsi="Times New Roman"/>
        </w:rPr>
        <w:t xml:space="preserve"> meaning of "owner" </w:t>
      </w:r>
      <w:r w:rsidR="00F411B9" w:rsidRPr="000C06D7">
        <w:rPr>
          <w:rFonts w:ascii="Times New Roman" w:hAnsi="Times New Roman"/>
        </w:rPr>
        <w:t>in</w:t>
      </w:r>
      <w:r w:rsidR="00735FB3" w:rsidRPr="000C06D7">
        <w:rPr>
          <w:rFonts w:ascii="Times New Roman" w:hAnsi="Times New Roman"/>
        </w:rPr>
        <w:t xml:space="preserve"> s 48</w:t>
      </w:r>
      <w:r w:rsidR="00B90B3A" w:rsidRPr="000C06D7">
        <w:rPr>
          <w:rFonts w:ascii="Times New Roman" w:hAnsi="Times New Roman"/>
        </w:rPr>
        <w:t>(4)(b) of</w:t>
      </w:r>
      <w:r w:rsidR="00F411B9" w:rsidRPr="000C06D7">
        <w:rPr>
          <w:rFonts w:ascii="Times New Roman" w:hAnsi="Times New Roman"/>
        </w:rPr>
        <w:t xml:space="preserve"> the PMA Act</w:t>
      </w:r>
      <w:r w:rsidR="00B327E2" w:rsidRPr="000C06D7">
        <w:rPr>
          <w:rFonts w:ascii="Times New Roman" w:hAnsi="Times New Roman"/>
        </w:rPr>
        <w:t xml:space="preserve"> </w:t>
      </w:r>
      <w:r w:rsidR="000314EB" w:rsidRPr="000C06D7">
        <w:rPr>
          <w:rFonts w:ascii="Times New Roman" w:hAnsi="Times New Roman"/>
        </w:rPr>
        <w:t xml:space="preserve">by </w:t>
      </w:r>
      <w:r w:rsidR="00B327E2" w:rsidRPr="000C06D7">
        <w:rPr>
          <w:rFonts w:ascii="Times New Roman" w:hAnsi="Times New Roman"/>
        </w:rPr>
        <w:t>represent</w:t>
      </w:r>
      <w:r w:rsidR="000314EB" w:rsidRPr="000C06D7">
        <w:rPr>
          <w:rFonts w:ascii="Times New Roman" w:hAnsi="Times New Roman"/>
        </w:rPr>
        <w:t>ing</w:t>
      </w:r>
      <w:r w:rsidR="00B327E2" w:rsidRPr="000C06D7">
        <w:rPr>
          <w:rFonts w:ascii="Times New Roman" w:hAnsi="Times New Roman"/>
        </w:rPr>
        <w:t xml:space="preserve"> to PNO that </w:t>
      </w:r>
      <w:r w:rsidR="00C9469E" w:rsidRPr="000C06D7">
        <w:rPr>
          <w:rFonts w:ascii="Times New Roman" w:hAnsi="Times New Roman"/>
        </w:rPr>
        <w:t>it had</w:t>
      </w:r>
      <w:r w:rsidR="00B327E2" w:rsidRPr="000C06D7">
        <w:rPr>
          <w:rFonts w:ascii="Times New Roman" w:hAnsi="Times New Roman"/>
        </w:rPr>
        <w:t xml:space="preserve"> th</w:t>
      </w:r>
      <w:r w:rsidR="00C9469E" w:rsidRPr="000C06D7">
        <w:rPr>
          <w:rFonts w:ascii="Times New Roman" w:hAnsi="Times New Roman"/>
        </w:rPr>
        <w:t>e</w:t>
      </w:r>
      <w:r w:rsidR="00B327E2" w:rsidRPr="000C06D7">
        <w:rPr>
          <w:rFonts w:ascii="Times New Roman" w:hAnsi="Times New Roman"/>
        </w:rPr>
        <w:t xml:space="preserve"> functions </w:t>
      </w:r>
      <w:r w:rsidR="00C9469E" w:rsidRPr="000C06D7">
        <w:rPr>
          <w:rFonts w:ascii="Times New Roman" w:hAnsi="Times New Roman"/>
        </w:rPr>
        <w:t>of the owner</w:t>
      </w:r>
      <w:r w:rsidR="009D41E7" w:rsidRPr="000C06D7">
        <w:rPr>
          <w:rFonts w:ascii="Times New Roman" w:hAnsi="Times New Roman"/>
        </w:rPr>
        <w:t xml:space="preserve">, </w:t>
      </w:r>
      <w:r w:rsidR="00B327E2" w:rsidRPr="000C06D7">
        <w:rPr>
          <w:rFonts w:ascii="Times New Roman" w:hAnsi="Times New Roman"/>
        </w:rPr>
        <w:t>or accept</w:t>
      </w:r>
      <w:r w:rsidR="009D41E7" w:rsidRPr="000C06D7">
        <w:rPr>
          <w:rFonts w:ascii="Times New Roman" w:hAnsi="Times New Roman"/>
        </w:rPr>
        <w:t>ed</w:t>
      </w:r>
      <w:r w:rsidR="00B327E2" w:rsidRPr="000C06D7">
        <w:rPr>
          <w:rFonts w:ascii="Times New Roman" w:hAnsi="Times New Roman"/>
        </w:rPr>
        <w:t xml:space="preserve"> the obligation to exercise those functions</w:t>
      </w:r>
      <w:r w:rsidR="009D41E7" w:rsidRPr="000C06D7">
        <w:rPr>
          <w:rFonts w:ascii="Times New Roman" w:hAnsi="Times New Roman"/>
        </w:rPr>
        <w:t xml:space="preserve">, in order </w:t>
      </w:r>
      <w:r w:rsidR="00756A79" w:rsidRPr="000C06D7">
        <w:rPr>
          <w:rFonts w:ascii="Times New Roman" w:hAnsi="Times New Roman"/>
        </w:rPr>
        <w:t xml:space="preserve">for a ship to enter the Port and load its coal. </w:t>
      </w:r>
    </w:p>
    <w:p w14:paraId="26306124" w14:textId="0C8EF5AF" w:rsidR="00987B68" w:rsidRPr="000C06D7" w:rsidRDefault="00302B39"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B90B3A" w:rsidRPr="000C06D7">
        <w:rPr>
          <w:rFonts w:ascii="Times New Roman" w:hAnsi="Times New Roman"/>
        </w:rPr>
        <w:t>In t</w:t>
      </w:r>
      <w:r w:rsidR="000D13E7" w:rsidRPr="000C06D7">
        <w:rPr>
          <w:rFonts w:ascii="Times New Roman" w:hAnsi="Times New Roman"/>
        </w:rPr>
        <w:t xml:space="preserve">he </w:t>
      </w:r>
      <w:r w:rsidR="00693B01" w:rsidRPr="000C06D7">
        <w:rPr>
          <w:rFonts w:ascii="Times New Roman" w:hAnsi="Times New Roman"/>
        </w:rPr>
        <w:t>F</w:t>
      </w:r>
      <w:r w:rsidR="000D13E7" w:rsidRPr="000C06D7">
        <w:rPr>
          <w:rFonts w:ascii="Times New Roman" w:hAnsi="Times New Roman"/>
        </w:rPr>
        <w:t xml:space="preserve">inal </w:t>
      </w:r>
      <w:r w:rsidR="00693B01" w:rsidRPr="000C06D7">
        <w:rPr>
          <w:rFonts w:ascii="Times New Roman" w:hAnsi="Times New Roman"/>
        </w:rPr>
        <w:t>D</w:t>
      </w:r>
      <w:r w:rsidR="000D13E7" w:rsidRPr="000C06D7">
        <w:rPr>
          <w:rFonts w:ascii="Times New Roman" w:hAnsi="Times New Roman"/>
        </w:rPr>
        <w:t>etermination</w:t>
      </w:r>
      <w:r w:rsidR="00B90B3A" w:rsidRPr="000C06D7">
        <w:rPr>
          <w:rFonts w:ascii="Times New Roman" w:hAnsi="Times New Roman"/>
        </w:rPr>
        <w:t>, the T</w:t>
      </w:r>
      <w:r w:rsidR="00B11156" w:rsidRPr="000C06D7">
        <w:rPr>
          <w:rFonts w:ascii="Times New Roman" w:hAnsi="Times New Roman"/>
        </w:rPr>
        <w:t>ribunal</w:t>
      </w:r>
      <w:r w:rsidR="000D13E7" w:rsidRPr="000C06D7">
        <w:rPr>
          <w:rFonts w:ascii="Times New Roman" w:hAnsi="Times New Roman"/>
        </w:rPr>
        <w:t xml:space="preserve"> </w:t>
      </w:r>
      <w:r w:rsidR="003B2242" w:rsidRPr="000C06D7">
        <w:rPr>
          <w:rFonts w:ascii="Times New Roman" w:hAnsi="Times New Roman"/>
        </w:rPr>
        <w:t xml:space="preserve">confined </w:t>
      </w:r>
      <w:r w:rsidR="0085230C" w:rsidRPr="000C06D7">
        <w:rPr>
          <w:rFonts w:ascii="Times New Roman" w:hAnsi="Times New Roman"/>
        </w:rPr>
        <w:t xml:space="preserve">the </w:t>
      </w:r>
      <w:r w:rsidR="004D7384" w:rsidRPr="000C06D7">
        <w:rPr>
          <w:rFonts w:ascii="Times New Roman" w:hAnsi="Times New Roman"/>
        </w:rPr>
        <w:t>scope of</w:t>
      </w:r>
      <w:r w:rsidR="00A4636D" w:rsidRPr="000C06D7">
        <w:rPr>
          <w:rFonts w:ascii="Times New Roman" w:hAnsi="Times New Roman"/>
        </w:rPr>
        <w:t xml:space="preserve"> </w:t>
      </w:r>
      <w:r w:rsidR="0085230C" w:rsidRPr="000C06D7">
        <w:rPr>
          <w:rFonts w:ascii="Times New Roman" w:hAnsi="Times New Roman"/>
        </w:rPr>
        <w:t xml:space="preserve">the </w:t>
      </w:r>
      <w:r w:rsidR="00D71D81" w:rsidRPr="000C06D7">
        <w:rPr>
          <w:rFonts w:ascii="Times New Roman" w:hAnsi="Times New Roman"/>
        </w:rPr>
        <w:t>N</w:t>
      </w:r>
      <w:r w:rsidR="0085230C" w:rsidRPr="000C06D7">
        <w:rPr>
          <w:rFonts w:ascii="Times New Roman" w:hAnsi="Times New Roman"/>
        </w:rPr>
        <w:t xml:space="preserve">avigation </w:t>
      </w:r>
      <w:r w:rsidR="00D71D81" w:rsidRPr="000C06D7">
        <w:rPr>
          <w:rFonts w:ascii="Times New Roman" w:hAnsi="Times New Roman"/>
        </w:rPr>
        <w:t>S</w:t>
      </w:r>
      <w:r w:rsidR="0085230C" w:rsidRPr="000C06D7">
        <w:rPr>
          <w:rFonts w:ascii="Times New Roman" w:hAnsi="Times New Roman"/>
        </w:rPr>
        <w:t xml:space="preserve">ervice </w:t>
      </w:r>
      <w:r w:rsidR="00D71D81" w:rsidRPr="000C06D7">
        <w:rPr>
          <w:rFonts w:ascii="Times New Roman" w:hAnsi="Times New Roman"/>
        </w:rPr>
        <w:t>C</w:t>
      </w:r>
      <w:r w:rsidR="0085230C" w:rsidRPr="000C06D7">
        <w:rPr>
          <w:rFonts w:ascii="Times New Roman" w:hAnsi="Times New Roman"/>
        </w:rPr>
        <w:t>harge</w:t>
      </w:r>
      <w:r w:rsidR="0084606A" w:rsidRPr="000C06D7">
        <w:rPr>
          <w:rFonts w:ascii="Times New Roman" w:hAnsi="Times New Roman"/>
        </w:rPr>
        <w:t xml:space="preserve"> </w:t>
      </w:r>
      <w:r w:rsidR="00DA1258" w:rsidRPr="000C06D7">
        <w:rPr>
          <w:rFonts w:ascii="Times New Roman" w:hAnsi="Times New Roman"/>
        </w:rPr>
        <w:t>to</w:t>
      </w:r>
      <w:r w:rsidR="004F00B0" w:rsidRPr="000C06D7">
        <w:rPr>
          <w:rFonts w:ascii="Times New Roman" w:hAnsi="Times New Roman"/>
        </w:rPr>
        <w:t xml:space="preserve"> the </w:t>
      </w:r>
      <w:r w:rsidR="004D7384" w:rsidRPr="000C06D7">
        <w:rPr>
          <w:rFonts w:ascii="Times New Roman" w:hAnsi="Times New Roman"/>
        </w:rPr>
        <w:t>circumstance</w:t>
      </w:r>
      <w:r w:rsidR="00DA1258" w:rsidRPr="000C06D7">
        <w:rPr>
          <w:rFonts w:ascii="Times New Roman" w:hAnsi="Times New Roman"/>
        </w:rPr>
        <w:t xml:space="preserve"> where Glencore</w:t>
      </w:r>
      <w:r w:rsidR="007A02BA" w:rsidRPr="000C06D7">
        <w:rPr>
          <w:rFonts w:ascii="Times New Roman" w:hAnsi="Times New Roman"/>
        </w:rPr>
        <w:t xml:space="preserve"> owns</w:t>
      </w:r>
      <w:r w:rsidR="00451FA2" w:rsidRPr="000C06D7">
        <w:rPr>
          <w:rFonts w:ascii="Times New Roman" w:hAnsi="Times New Roman"/>
        </w:rPr>
        <w:t xml:space="preserve"> </w:t>
      </w:r>
      <w:r w:rsidR="00801D09" w:rsidRPr="000C06D7">
        <w:rPr>
          <w:rFonts w:ascii="Times New Roman" w:hAnsi="Times New Roman"/>
        </w:rPr>
        <w:t>or</w:t>
      </w:r>
      <w:r w:rsidR="00451FA2" w:rsidRPr="000C06D7">
        <w:rPr>
          <w:rFonts w:ascii="Times New Roman" w:hAnsi="Times New Roman"/>
        </w:rPr>
        <w:t xml:space="preserve">, </w:t>
      </w:r>
      <w:r w:rsidR="00DA1258" w:rsidRPr="000C06D7">
        <w:rPr>
          <w:rFonts w:ascii="Times New Roman" w:hAnsi="Times New Roman"/>
        </w:rPr>
        <w:t xml:space="preserve">either directly or by an agent, </w:t>
      </w:r>
      <w:r w:rsidR="00801D09" w:rsidRPr="000C06D7">
        <w:rPr>
          <w:rFonts w:ascii="Times New Roman" w:hAnsi="Times New Roman"/>
        </w:rPr>
        <w:t xml:space="preserve">charters </w:t>
      </w:r>
      <w:r w:rsidR="00DA1258" w:rsidRPr="000C06D7">
        <w:rPr>
          <w:rFonts w:ascii="Times New Roman" w:hAnsi="Times New Roman"/>
        </w:rPr>
        <w:t xml:space="preserve">a ship to enter the Port and load its coal. </w:t>
      </w:r>
      <w:r w:rsidR="00987B68" w:rsidRPr="000C06D7">
        <w:rPr>
          <w:rFonts w:ascii="Times New Roman" w:hAnsi="Times New Roman"/>
        </w:rPr>
        <w:t xml:space="preserve">The </w:t>
      </w:r>
      <w:r w:rsidR="008364BA" w:rsidRPr="000C06D7">
        <w:rPr>
          <w:rFonts w:ascii="Times New Roman" w:hAnsi="Times New Roman"/>
        </w:rPr>
        <w:t>F</w:t>
      </w:r>
      <w:r w:rsidR="00987B68" w:rsidRPr="000C06D7">
        <w:rPr>
          <w:rFonts w:ascii="Times New Roman" w:hAnsi="Times New Roman"/>
        </w:rPr>
        <w:t xml:space="preserve">inal </w:t>
      </w:r>
      <w:r w:rsidR="008364BA" w:rsidRPr="000C06D7">
        <w:rPr>
          <w:rFonts w:ascii="Times New Roman" w:hAnsi="Times New Roman"/>
        </w:rPr>
        <w:t>D</w:t>
      </w:r>
      <w:r w:rsidR="00987B68" w:rsidRPr="000C06D7">
        <w:rPr>
          <w:rFonts w:ascii="Times New Roman" w:hAnsi="Times New Roman"/>
        </w:rPr>
        <w:t>etermination thereby e</w:t>
      </w:r>
      <w:r w:rsidR="00300F66" w:rsidRPr="000C06D7">
        <w:rPr>
          <w:rFonts w:ascii="Times New Roman" w:hAnsi="Times New Roman"/>
        </w:rPr>
        <w:t>xtende</w:t>
      </w:r>
      <w:r w:rsidR="00D1099E" w:rsidRPr="000C06D7">
        <w:rPr>
          <w:rFonts w:ascii="Times New Roman" w:hAnsi="Times New Roman"/>
        </w:rPr>
        <w:t>d</w:t>
      </w:r>
      <w:r w:rsidR="00300F66" w:rsidRPr="000C06D7">
        <w:rPr>
          <w:rFonts w:ascii="Times New Roman" w:hAnsi="Times New Roman"/>
        </w:rPr>
        <w:t xml:space="preserve"> </w:t>
      </w:r>
      <w:r w:rsidR="0084606A" w:rsidRPr="000C06D7">
        <w:rPr>
          <w:rFonts w:ascii="Times New Roman" w:hAnsi="Times New Roman"/>
        </w:rPr>
        <w:t xml:space="preserve">the </w:t>
      </w:r>
      <w:r w:rsidR="00D71D81" w:rsidRPr="000C06D7">
        <w:rPr>
          <w:rFonts w:ascii="Times New Roman" w:hAnsi="Times New Roman"/>
        </w:rPr>
        <w:t>N</w:t>
      </w:r>
      <w:r w:rsidR="0084606A" w:rsidRPr="000C06D7">
        <w:rPr>
          <w:rFonts w:ascii="Times New Roman" w:hAnsi="Times New Roman"/>
        </w:rPr>
        <w:t xml:space="preserve">avigation </w:t>
      </w:r>
      <w:r w:rsidR="0042754F" w:rsidRPr="000C06D7">
        <w:rPr>
          <w:rFonts w:ascii="Times New Roman" w:hAnsi="Times New Roman"/>
        </w:rPr>
        <w:t>S</w:t>
      </w:r>
      <w:r w:rsidR="0084606A" w:rsidRPr="000C06D7">
        <w:rPr>
          <w:rFonts w:ascii="Times New Roman" w:hAnsi="Times New Roman"/>
        </w:rPr>
        <w:t xml:space="preserve">ervice </w:t>
      </w:r>
      <w:r w:rsidR="00D71D81" w:rsidRPr="000C06D7">
        <w:rPr>
          <w:rFonts w:ascii="Times New Roman" w:hAnsi="Times New Roman"/>
        </w:rPr>
        <w:t>C</w:t>
      </w:r>
      <w:r w:rsidR="0084606A" w:rsidRPr="000C06D7">
        <w:rPr>
          <w:rFonts w:ascii="Times New Roman" w:hAnsi="Times New Roman"/>
        </w:rPr>
        <w:t xml:space="preserve">harge </w:t>
      </w:r>
      <w:r w:rsidR="00300F66" w:rsidRPr="000C06D7">
        <w:rPr>
          <w:rFonts w:ascii="Times New Roman" w:hAnsi="Times New Roman"/>
        </w:rPr>
        <w:t>to</w:t>
      </w:r>
      <w:r w:rsidR="00FC7981" w:rsidRPr="000C06D7">
        <w:rPr>
          <w:rFonts w:ascii="Times New Roman" w:hAnsi="Times New Roman"/>
        </w:rPr>
        <w:t xml:space="preserve"> circumstances </w:t>
      </w:r>
      <w:r w:rsidR="00AF7D30" w:rsidRPr="000C06D7">
        <w:rPr>
          <w:rFonts w:ascii="Times New Roman" w:hAnsi="Times New Roman"/>
        </w:rPr>
        <w:t>where</w:t>
      </w:r>
      <w:r w:rsidR="00FC7981" w:rsidRPr="000C06D7">
        <w:rPr>
          <w:rFonts w:ascii="Times New Roman" w:hAnsi="Times New Roman"/>
        </w:rPr>
        <w:t xml:space="preserve"> </w:t>
      </w:r>
      <w:r w:rsidR="0076270D" w:rsidRPr="000C06D7">
        <w:rPr>
          <w:rFonts w:ascii="Times New Roman" w:hAnsi="Times New Roman"/>
        </w:rPr>
        <w:t xml:space="preserve">Glencore sold its coal CIF but excluded </w:t>
      </w:r>
      <w:r w:rsidR="0084606A" w:rsidRPr="000C06D7">
        <w:rPr>
          <w:rFonts w:ascii="Times New Roman" w:hAnsi="Times New Roman"/>
        </w:rPr>
        <w:t>the</w:t>
      </w:r>
      <w:r w:rsidR="0042754F" w:rsidRPr="000C06D7">
        <w:rPr>
          <w:rFonts w:ascii="Times New Roman" w:hAnsi="Times New Roman"/>
        </w:rPr>
        <w:t xml:space="preserve"> Navigation Service Charge </w:t>
      </w:r>
      <w:r w:rsidR="008151EE" w:rsidRPr="000C06D7">
        <w:rPr>
          <w:rFonts w:ascii="Times New Roman" w:hAnsi="Times New Roman"/>
        </w:rPr>
        <w:t xml:space="preserve">from </w:t>
      </w:r>
      <w:r w:rsidR="0076270D" w:rsidRPr="000C06D7">
        <w:rPr>
          <w:rFonts w:ascii="Times New Roman" w:hAnsi="Times New Roman"/>
        </w:rPr>
        <w:t xml:space="preserve">circumstances </w:t>
      </w:r>
      <w:r w:rsidR="00AF7D30" w:rsidRPr="000C06D7">
        <w:rPr>
          <w:rFonts w:ascii="Times New Roman" w:hAnsi="Times New Roman"/>
        </w:rPr>
        <w:t>where</w:t>
      </w:r>
      <w:r w:rsidR="0076270D" w:rsidRPr="000C06D7">
        <w:rPr>
          <w:rFonts w:ascii="Times New Roman" w:hAnsi="Times New Roman"/>
        </w:rPr>
        <w:t xml:space="preserve"> Glencore sold its coal FOB.</w:t>
      </w:r>
    </w:p>
    <w:p w14:paraId="6D946BD3" w14:textId="0B4824D6" w:rsidR="00961F93" w:rsidRPr="000C06D7" w:rsidRDefault="00961F93"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F01856" w:rsidRPr="000C06D7">
        <w:rPr>
          <w:rFonts w:ascii="Times New Roman" w:hAnsi="Times New Roman"/>
        </w:rPr>
        <w:t>The</w:t>
      </w:r>
      <w:r w:rsidR="00A24C77" w:rsidRPr="000C06D7">
        <w:rPr>
          <w:rFonts w:ascii="Times New Roman" w:hAnsi="Times New Roman"/>
        </w:rPr>
        <w:t xml:space="preserve"> </w:t>
      </w:r>
      <w:r w:rsidR="00F01856" w:rsidRPr="000C06D7">
        <w:rPr>
          <w:rFonts w:ascii="Times New Roman" w:hAnsi="Times New Roman"/>
        </w:rPr>
        <w:t>Tribunal</w:t>
      </w:r>
      <w:r w:rsidR="00AD4A1E" w:rsidRPr="000C06D7">
        <w:rPr>
          <w:rFonts w:ascii="Times New Roman" w:hAnsi="Times New Roman"/>
        </w:rPr>
        <w:t xml:space="preserve"> </w:t>
      </w:r>
      <w:r w:rsidR="00A24C77" w:rsidRPr="000C06D7">
        <w:rPr>
          <w:rFonts w:ascii="Times New Roman" w:hAnsi="Times New Roman"/>
        </w:rPr>
        <w:t xml:space="preserve">arrived at its decision </w:t>
      </w:r>
      <w:r w:rsidR="00F01856" w:rsidRPr="000C06D7">
        <w:rPr>
          <w:rFonts w:ascii="Times New Roman" w:hAnsi="Times New Roman"/>
        </w:rPr>
        <w:t xml:space="preserve">to </w:t>
      </w:r>
      <w:r w:rsidR="00D177AD" w:rsidRPr="000C06D7">
        <w:rPr>
          <w:rFonts w:ascii="Times New Roman" w:hAnsi="Times New Roman"/>
        </w:rPr>
        <w:t>confine</w:t>
      </w:r>
      <w:r w:rsidR="00F01856" w:rsidRPr="000C06D7">
        <w:rPr>
          <w:rFonts w:ascii="Times New Roman" w:hAnsi="Times New Roman"/>
        </w:rPr>
        <w:t xml:space="preserve"> the </w:t>
      </w:r>
      <w:r w:rsidR="00336208" w:rsidRPr="000C06D7">
        <w:rPr>
          <w:rFonts w:ascii="Times New Roman" w:hAnsi="Times New Roman"/>
        </w:rPr>
        <w:t>scope of the</w:t>
      </w:r>
      <w:r w:rsidR="00F01856" w:rsidRPr="000C06D7">
        <w:rPr>
          <w:rFonts w:ascii="Times New Roman" w:hAnsi="Times New Roman"/>
        </w:rPr>
        <w:t xml:space="preserve"> </w:t>
      </w:r>
      <w:r w:rsidR="000D3587" w:rsidRPr="000C06D7">
        <w:rPr>
          <w:rFonts w:ascii="Times New Roman" w:hAnsi="Times New Roman"/>
        </w:rPr>
        <w:t>N</w:t>
      </w:r>
      <w:r w:rsidR="00F01856" w:rsidRPr="000C06D7">
        <w:rPr>
          <w:rFonts w:ascii="Times New Roman" w:hAnsi="Times New Roman"/>
        </w:rPr>
        <w:t xml:space="preserve">avigation </w:t>
      </w:r>
      <w:r w:rsidR="000D3587" w:rsidRPr="000C06D7">
        <w:rPr>
          <w:rFonts w:ascii="Times New Roman" w:hAnsi="Times New Roman"/>
        </w:rPr>
        <w:t>S</w:t>
      </w:r>
      <w:r w:rsidR="00F01856" w:rsidRPr="000C06D7">
        <w:rPr>
          <w:rFonts w:ascii="Times New Roman" w:hAnsi="Times New Roman"/>
        </w:rPr>
        <w:t xml:space="preserve">ervice </w:t>
      </w:r>
      <w:r w:rsidR="000D3587" w:rsidRPr="000C06D7">
        <w:rPr>
          <w:rFonts w:ascii="Times New Roman" w:hAnsi="Times New Roman"/>
        </w:rPr>
        <w:t>C</w:t>
      </w:r>
      <w:r w:rsidR="00F01856" w:rsidRPr="000C06D7">
        <w:rPr>
          <w:rFonts w:ascii="Times New Roman" w:hAnsi="Times New Roman"/>
        </w:rPr>
        <w:t>harge</w:t>
      </w:r>
      <w:r w:rsidR="00B231D7" w:rsidRPr="000C06D7">
        <w:rPr>
          <w:rFonts w:ascii="Times New Roman" w:hAnsi="Times New Roman"/>
        </w:rPr>
        <w:t xml:space="preserve"> </w:t>
      </w:r>
      <w:r w:rsidR="0065046B" w:rsidRPr="000C06D7">
        <w:rPr>
          <w:rFonts w:ascii="Times New Roman" w:hAnsi="Times New Roman"/>
        </w:rPr>
        <w:t>taking</w:t>
      </w:r>
      <w:r w:rsidR="00B231D7" w:rsidRPr="000C06D7">
        <w:rPr>
          <w:rFonts w:ascii="Times New Roman" w:hAnsi="Times New Roman"/>
        </w:rPr>
        <w:t xml:space="preserve"> a narrow view of what was meant by </w:t>
      </w:r>
      <w:r w:rsidR="00644569" w:rsidRPr="000C06D7">
        <w:rPr>
          <w:rFonts w:ascii="Times New Roman" w:hAnsi="Times New Roman"/>
        </w:rPr>
        <w:t>"</w:t>
      </w:r>
      <w:r w:rsidR="00C375C9" w:rsidRPr="000C06D7">
        <w:rPr>
          <w:rFonts w:ascii="Times New Roman" w:hAnsi="Times New Roman"/>
        </w:rPr>
        <w:t>[</w:t>
      </w:r>
      <w:r w:rsidR="00644569" w:rsidRPr="000C06D7">
        <w:rPr>
          <w:rFonts w:ascii="Times New Roman" w:hAnsi="Times New Roman"/>
        </w:rPr>
        <w:t>t</w:t>
      </w:r>
      <w:r w:rsidR="00C375C9" w:rsidRPr="000C06D7">
        <w:rPr>
          <w:rFonts w:ascii="Times New Roman" w:hAnsi="Times New Roman"/>
        </w:rPr>
        <w:t>]</w:t>
      </w:r>
      <w:r w:rsidR="00644569" w:rsidRPr="000C06D7">
        <w:rPr>
          <w:rFonts w:ascii="Times New Roman" w:hAnsi="Times New Roman"/>
        </w:rPr>
        <w:t xml:space="preserve">he provision of the right to access and use the shipping channels" in the description of the </w:t>
      </w:r>
      <w:r w:rsidR="003E310A" w:rsidRPr="000C06D7">
        <w:rPr>
          <w:rFonts w:ascii="Times New Roman" w:hAnsi="Times New Roman"/>
        </w:rPr>
        <w:t>S</w:t>
      </w:r>
      <w:r w:rsidR="00644569" w:rsidRPr="000C06D7">
        <w:rPr>
          <w:rFonts w:ascii="Times New Roman" w:hAnsi="Times New Roman"/>
        </w:rPr>
        <w:t>ervice</w:t>
      </w:r>
      <w:r w:rsidR="005C738A" w:rsidRPr="000C06D7">
        <w:rPr>
          <w:rFonts w:ascii="Times New Roman" w:hAnsi="Times New Roman"/>
        </w:rPr>
        <w:t xml:space="preserve"> in the Declaration</w:t>
      </w:r>
      <w:r w:rsidR="00644569" w:rsidRPr="000C06D7">
        <w:rPr>
          <w:rFonts w:ascii="Times New Roman" w:hAnsi="Times New Roman"/>
        </w:rPr>
        <w:t>.</w:t>
      </w:r>
      <w:r w:rsidR="003F1939" w:rsidRPr="000C06D7">
        <w:rPr>
          <w:rFonts w:ascii="Times New Roman" w:hAnsi="Times New Roman"/>
        </w:rPr>
        <w:t xml:space="preserve"> Implicit in </w:t>
      </w:r>
      <w:r w:rsidR="00B11156" w:rsidRPr="000C06D7">
        <w:rPr>
          <w:rFonts w:ascii="Times New Roman" w:hAnsi="Times New Roman"/>
        </w:rPr>
        <w:t xml:space="preserve">the </w:t>
      </w:r>
      <w:r w:rsidR="00D177AD" w:rsidRPr="000C06D7">
        <w:rPr>
          <w:rFonts w:ascii="Times New Roman" w:hAnsi="Times New Roman"/>
        </w:rPr>
        <w:t xml:space="preserve">Tribunal's </w:t>
      </w:r>
      <w:r w:rsidR="00B11156" w:rsidRPr="000C06D7">
        <w:rPr>
          <w:rFonts w:ascii="Times New Roman" w:hAnsi="Times New Roman"/>
        </w:rPr>
        <w:t>ad</w:t>
      </w:r>
      <w:r w:rsidR="00D177AD" w:rsidRPr="000C06D7">
        <w:rPr>
          <w:rFonts w:ascii="Times New Roman" w:hAnsi="Times New Roman"/>
        </w:rPr>
        <w:t>o</w:t>
      </w:r>
      <w:r w:rsidR="00B11156" w:rsidRPr="000C06D7">
        <w:rPr>
          <w:rFonts w:ascii="Times New Roman" w:hAnsi="Times New Roman"/>
        </w:rPr>
        <w:t xml:space="preserve">ption of </w:t>
      </w:r>
      <w:r w:rsidR="003F1939" w:rsidRPr="000C06D7">
        <w:rPr>
          <w:rFonts w:ascii="Times New Roman" w:hAnsi="Times New Roman"/>
        </w:rPr>
        <w:t>th</w:t>
      </w:r>
      <w:r w:rsidR="00D35273" w:rsidRPr="000C06D7">
        <w:rPr>
          <w:rFonts w:ascii="Times New Roman" w:hAnsi="Times New Roman"/>
        </w:rPr>
        <w:t>at</w:t>
      </w:r>
      <w:r w:rsidR="003F1939" w:rsidRPr="000C06D7">
        <w:rPr>
          <w:rFonts w:ascii="Times New Roman" w:hAnsi="Times New Roman"/>
        </w:rPr>
        <w:t xml:space="preserve"> </w:t>
      </w:r>
      <w:r w:rsidR="00185FA3" w:rsidRPr="000C06D7">
        <w:rPr>
          <w:rFonts w:ascii="Times New Roman" w:hAnsi="Times New Roman"/>
        </w:rPr>
        <w:t>narrow view</w:t>
      </w:r>
      <w:r w:rsidR="00CD7B52" w:rsidRPr="000C06D7">
        <w:rPr>
          <w:rFonts w:ascii="Times New Roman" w:hAnsi="Times New Roman"/>
        </w:rPr>
        <w:t xml:space="preserve"> </w:t>
      </w:r>
      <w:r w:rsidR="00425FBD" w:rsidRPr="000C06D7">
        <w:rPr>
          <w:rFonts w:ascii="Times New Roman" w:hAnsi="Times New Roman"/>
        </w:rPr>
        <w:t>was an acceptance by the Tribunal</w:t>
      </w:r>
      <w:r w:rsidR="00641D0D" w:rsidRPr="000C06D7">
        <w:rPr>
          <w:rFonts w:ascii="Times New Roman" w:hAnsi="Times New Roman"/>
        </w:rPr>
        <w:t xml:space="preserve"> </w:t>
      </w:r>
      <w:r w:rsidR="005C738A" w:rsidRPr="000C06D7">
        <w:rPr>
          <w:rFonts w:ascii="Times New Roman" w:hAnsi="Times New Roman"/>
        </w:rPr>
        <w:t xml:space="preserve">of a submission by PNO to the effect </w:t>
      </w:r>
      <w:r w:rsidR="00641D0D" w:rsidRPr="000C06D7">
        <w:rPr>
          <w:rFonts w:ascii="Times New Roman" w:hAnsi="Times New Roman"/>
        </w:rPr>
        <w:t xml:space="preserve">that </w:t>
      </w:r>
      <w:r w:rsidR="002B6924" w:rsidRPr="000C06D7">
        <w:rPr>
          <w:rFonts w:ascii="Times New Roman" w:hAnsi="Times New Roman"/>
        </w:rPr>
        <w:t xml:space="preserve">the reference to </w:t>
      </w:r>
      <w:r w:rsidR="00864629" w:rsidRPr="000C06D7">
        <w:rPr>
          <w:rFonts w:ascii="Times New Roman" w:hAnsi="Times New Roman"/>
        </w:rPr>
        <w:t>"access" within the</w:t>
      </w:r>
      <w:r w:rsidR="003A315D" w:rsidRPr="000C06D7">
        <w:rPr>
          <w:rFonts w:ascii="Times New Roman" w:hAnsi="Times New Roman"/>
        </w:rPr>
        <w:t xml:space="preserve"> </w:t>
      </w:r>
      <w:r w:rsidR="002B6924" w:rsidRPr="000C06D7">
        <w:rPr>
          <w:rFonts w:ascii="Times New Roman" w:hAnsi="Times New Roman"/>
        </w:rPr>
        <w:t>description of the Service in the Declaration</w:t>
      </w:r>
      <w:r w:rsidR="00E50EEC" w:rsidRPr="000C06D7">
        <w:rPr>
          <w:rFonts w:ascii="Times New Roman" w:hAnsi="Times New Roman"/>
        </w:rPr>
        <w:t xml:space="preserve"> </w:t>
      </w:r>
      <w:r w:rsidR="00441E9B" w:rsidRPr="000C06D7">
        <w:rPr>
          <w:rFonts w:ascii="Times New Roman" w:hAnsi="Times New Roman"/>
        </w:rPr>
        <w:t>is</w:t>
      </w:r>
      <w:r w:rsidR="00E50EEC" w:rsidRPr="000C06D7">
        <w:rPr>
          <w:rFonts w:ascii="Times New Roman" w:hAnsi="Times New Roman"/>
        </w:rPr>
        <w:t xml:space="preserve"> closely tied to physical use.</w:t>
      </w:r>
      <w:r w:rsidR="00A020C3" w:rsidRPr="000C06D7">
        <w:rPr>
          <w:rFonts w:ascii="Times New Roman" w:hAnsi="Times New Roman"/>
        </w:rPr>
        <w:t xml:space="preserve"> The Tribunal </w:t>
      </w:r>
      <w:r w:rsidR="002C5C54" w:rsidRPr="000C06D7">
        <w:rPr>
          <w:rFonts w:ascii="Times New Roman" w:hAnsi="Times New Roman"/>
        </w:rPr>
        <w:t>appear</w:t>
      </w:r>
      <w:r w:rsidR="00F936E0" w:rsidRPr="000C06D7">
        <w:rPr>
          <w:rFonts w:ascii="Times New Roman" w:hAnsi="Times New Roman"/>
        </w:rPr>
        <w:t>s</w:t>
      </w:r>
      <w:r w:rsidR="002C5C54" w:rsidRPr="000C06D7">
        <w:rPr>
          <w:rFonts w:ascii="Times New Roman" w:hAnsi="Times New Roman"/>
        </w:rPr>
        <w:t xml:space="preserve"> to </w:t>
      </w:r>
      <w:r w:rsidR="00821B34" w:rsidRPr="000C06D7">
        <w:rPr>
          <w:rFonts w:ascii="Times New Roman" w:hAnsi="Times New Roman"/>
        </w:rPr>
        <w:t xml:space="preserve">have </w:t>
      </w:r>
      <w:r w:rsidR="001313C6" w:rsidRPr="000C06D7">
        <w:rPr>
          <w:rFonts w:ascii="Times New Roman" w:hAnsi="Times New Roman"/>
        </w:rPr>
        <w:t>been persuaded to th</w:t>
      </w:r>
      <w:r w:rsidR="00947B50" w:rsidRPr="000C06D7">
        <w:rPr>
          <w:rFonts w:ascii="Times New Roman" w:hAnsi="Times New Roman"/>
        </w:rPr>
        <w:t>e</w:t>
      </w:r>
      <w:r w:rsidR="001313C6" w:rsidRPr="000C06D7">
        <w:rPr>
          <w:rFonts w:ascii="Times New Roman" w:hAnsi="Times New Roman"/>
        </w:rPr>
        <w:t xml:space="preserve"> view</w:t>
      </w:r>
      <w:r w:rsidR="00947B50" w:rsidRPr="000C06D7">
        <w:rPr>
          <w:rFonts w:ascii="Times New Roman" w:hAnsi="Times New Roman"/>
        </w:rPr>
        <w:t xml:space="preserve"> that</w:t>
      </w:r>
      <w:r w:rsidR="001313C6" w:rsidRPr="000C06D7">
        <w:rPr>
          <w:rFonts w:ascii="Times New Roman" w:hAnsi="Times New Roman"/>
        </w:rPr>
        <w:t xml:space="preserve">, for a "service" constituted by a "use" of an infrastructure facility, </w:t>
      </w:r>
      <w:r w:rsidR="00EB60F1" w:rsidRPr="000C06D7">
        <w:rPr>
          <w:rFonts w:ascii="Times New Roman" w:hAnsi="Times New Roman"/>
        </w:rPr>
        <w:t>no</w:t>
      </w:r>
      <w:r w:rsidR="0081769E" w:rsidRPr="000C06D7">
        <w:rPr>
          <w:rFonts w:ascii="Times New Roman" w:hAnsi="Times New Roman"/>
        </w:rPr>
        <w:t xml:space="preserve"> more tha</w:t>
      </w:r>
      <w:r w:rsidR="00895836" w:rsidRPr="000C06D7">
        <w:rPr>
          <w:rFonts w:ascii="Times New Roman" w:hAnsi="Times New Roman"/>
        </w:rPr>
        <w:t>n</w:t>
      </w:r>
      <w:r w:rsidR="001C3997" w:rsidRPr="000C06D7">
        <w:rPr>
          <w:rFonts w:ascii="Times New Roman" w:hAnsi="Times New Roman"/>
        </w:rPr>
        <w:t xml:space="preserve"> one</w:t>
      </w:r>
      <w:r w:rsidR="007F2F66" w:rsidRPr="000C06D7">
        <w:rPr>
          <w:rFonts w:ascii="Times New Roman" w:hAnsi="Times New Roman"/>
        </w:rPr>
        <w:t xml:space="preserve"> </w:t>
      </w:r>
      <w:r w:rsidR="007A3E60" w:rsidRPr="000C06D7">
        <w:rPr>
          <w:rFonts w:ascii="Times New Roman" w:hAnsi="Times New Roman"/>
        </w:rPr>
        <w:t>person c</w:t>
      </w:r>
      <w:r w:rsidR="0018028F" w:rsidRPr="000C06D7">
        <w:rPr>
          <w:rFonts w:ascii="Times New Roman" w:hAnsi="Times New Roman"/>
        </w:rPr>
        <w:t>an</w:t>
      </w:r>
      <w:r w:rsidR="007A3E60" w:rsidRPr="000C06D7">
        <w:rPr>
          <w:rFonts w:ascii="Times New Roman" w:hAnsi="Times New Roman"/>
        </w:rPr>
        <w:t xml:space="preserve"> answer the description of a </w:t>
      </w:r>
      <w:r w:rsidR="00E54F6B" w:rsidRPr="000C06D7">
        <w:rPr>
          <w:rFonts w:ascii="Times New Roman" w:hAnsi="Times New Roman"/>
        </w:rPr>
        <w:t xml:space="preserve">"third party" </w:t>
      </w:r>
      <w:r w:rsidR="00034CB3" w:rsidRPr="000C06D7">
        <w:rPr>
          <w:rFonts w:ascii="Times New Roman" w:hAnsi="Times New Roman"/>
        </w:rPr>
        <w:t xml:space="preserve">who </w:t>
      </w:r>
      <w:r w:rsidR="00A2321B" w:rsidRPr="000C06D7">
        <w:rPr>
          <w:rFonts w:ascii="Times New Roman" w:hAnsi="Times New Roman"/>
        </w:rPr>
        <w:t>want</w:t>
      </w:r>
      <w:r w:rsidR="00034CB3" w:rsidRPr="000C06D7">
        <w:rPr>
          <w:rFonts w:ascii="Times New Roman" w:hAnsi="Times New Roman"/>
        </w:rPr>
        <w:t>s</w:t>
      </w:r>
      <w:r w:rsidR="007F2F66" w:rsidRPr="000C06D7">
        <w:rPr>
          <w:rFonts w:ascii="Times New Roman" w:hAnsi="Times New Roman"/>
        </w:rPr>
        <w:t xml:space="preserve"> </w:t>
      </w:r>
      <w:r w:rsidR="00E54F6B" w:rsidRPr="000C06D7">
        <w:rPr>
          <w:rFonts w:ascii="Times New Roman" w:hAnsi="Times New Roman"/>
        </w:rPr>
        <w:t xml:space="preserve">"access" </w:t>
      </w:r>
      <w:r w:rsidR="00A2321B" w:rsidRPr="000C06D7">
        <w:rPr>
          <w:rFonts w:ascii="Times New Roman" w:hAnsi="Times New Roman"/>
        </w:rPr>
        <w:t xml:space="preserve">to </w:t>
      </w:r>
      <w:r w:rsidR="005B7708" w:rsidRPr="000C06D7">
        <w:rPr>
          <w:rFonts w:ascii="Times New Roman" w:hAnsi="Times New Roman"/>
        </w:rPr>
        <w:t>th</w:t>
      </w:r>
      <w:r w:rsidR="00742887" w:rsidRPr="000C06D7">
        <w:rPr>
          <w:rFonts w:ascii="Times New Roman" w:hAnsi="Times New Roman"/>
        </w:rPr>
        <w:t>at</w:t>
      </w:r>
      <w:r w:rsidR="005B7708" w:rsidRPr="000C06D7">
        <w:rPr>
          <w:rFonts w:ascii="Times New Roman" w:hAnsi="Times New Roman"/>
        </w:rPr>
        <w:t xml:space="preserve"> "</w:t>
      </w:r>
      <w:r w:rsidR="00B40A18" w:rsidRPr="000C06D7">
        <w:rPr>
          <w:rFonts w:ascii="Times New Roman" w:hAnsi="Times New Roman"/>
        </w:rPr>
        <w:t>service"</w:t>
      </w:r>
      <w:r w:rsidR="00CA697A" w:rsidRPr="000C06D7">
        <w:rPr>
          <w:rFonts w:ascii="Times New Roman" w:hAnsi="Times New Roman"/>
        </w:rPr>
        <w:t xml:space="preserve"> in connection with a particular vessel</w:t>
      </w:r>
      <w:r w:rsidR="0018028F" w:rsidRPr="000C06D7">
        <w:rPr>
          <w:rStyle w:val="FootnoteReference"/>
          <w:rFonts w:ascii="Times New Roman" w:hAnsi="Times New Roman"/>
          <w:sz w:val="24"/>
        </w:rPr>
        <w:footnoteReference w:id="68"/>
      </w:r>
      <w:r w:rsidR="00B40A18" w:rsidRPr="000C06D7">
        <w:rPr>
          <w:rFonts w:ascii="Times New Roman" w:hAnsi="Times New Roman"/>
        </w:rPr>
        <w:t>.</w:t>
      </w:r>
    </w:p>
    <w:p w14:paraId="41FF1367" w14:textId="090C7409" w:rsidR="00033CF3" w:rsidRPr="000C06D7" w:rsidRDefault="00033CF3" w:rsidP="000C06D7">
      <w:pPr>
        <w:pStyle w:val="HeadingL2"/>
        <w:spacing w:after="260" w:line="280" w:lineRule="exact"/>
        <w:ind w:right="0"/>
        <w:jc w:val="both"/>
        <w:rPr>
          <w:rFonts w:ascii="Times New Roman" w:hAnsi="Times New Roman"/>
        </w:rPr>
      </w:pPr>
      <w:r w:rsidRPr="000C06D7">
        <w:rPr>
          <w:rFonts w:ascii="Times New Roman" w:hAnsi="Times New Roman"/>
        </w:rPr>
        <w:t>Amount</w:t>
      </w:r>
      <w:r w:rsidR="00D71D81" w:rsidRPr="000C06D7">
        <w:rPr>
          <w:rFonts w:ascii="Times New Roman" w:hAnsi="Times New Roman"/>
        </w:rPr>
        <w:t xml:space="preserve"> of the Navigation Service Charge</w:t>
      </w:r>
    </w:p>
    <w:p w14:paraId="3FA52156" w14:textId="092EF0DE" w:rsidR="00441E9B" w:rsidRPr="000C06D7" w:rsidRDefault="00441E9B"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F7196F" w:rsidRPr="000C06D7">
        <w:rPr>
          <w:rFonts w:ascii="Times New Roman" w:hAnsi="Times New Roman"/>
        </w:rPr>
        <w:t xml:space="preserve">The controversy </w:t>
      </w:r>
      <w:r w:rsidR="00901799" w:rsidRPr="000C06D7">
        <w:rPr>
          <w:rFonts w:ascii="Times New Roman" w:hAnsi="Times New Roman"/>
        </w:rPr>
        <w:t>about</w:t>
      </w:r>
      <w:r w:rsidR="005F546E" w:rsidRPr="000C06D7">
        <w:rPr>
          <w:rFonts w:ascii="Times New Roman" w:hAnsi="Times New Roman"/>
        </w:rPr>
        <w:t xml:space="preserve"> the amount of the </w:t>
      </w:r>
      <w:r w:rsidR="0083634A" w:rsidRPr="000C06D7">
        <w:rPr>
          <w:rFonts w:ascii="Times New Roman" w:hAnsi="Times New Roman"/>
        </w:rPr>
        <w:t>N</w:t>
      </w:r>
      <w:r w:rsidR="005F546E" w:rsidRPr="000C06D7">
        <w:rPr>
          <w:rFonts w:ascii="Times New Roman" w:hAnsi="Times New Roman"/>
        </w:rPr>
        <w:t xml:space="preserve">avigation </w:t>
      </w:r>
      <w:r w:rsidR="0083634A" w:rsidRPr="000C06D7">
        <w:rPr>
          <w:rFonts w:ascii="Times New Roman" w:hAnsi="Times New Roman"/>
        </w:rPr>
        <w:t>S</w:t>
      </w:r>
      <w:r w:rsidR="005F546E" w:rsidRPr="000C06D7">
        <w:rPr>
          <w:rFonts w:ascii="Times New Roman" w:hAnsi="Times New Roman"/>
        </w:rPr>
        <w:t xml:space="preserve">ervice </w:t>
      </w:r>
      <w:r w:rsidR="0083634A" w:rsidRPr="000C06D7">
        <w:rPr>
          <w:rFonts w:ascii="Times New Roman" w:hAnsi="Times New Roman"/>
        </w:rPr>
        <w:t>C</w:t>
      </w:r>
      <w:r w:rsidR="005F546E" w:rsidRPr="000C06D7">
        <w:rPr>
          <w:rFonts w:ascii="Times New Roman" w:hAnsi="Times New Roman"/>
        </w:rPr>
        <w:t xml:space="preserve">harge </w:t>
      </w:r>
      <w:r w:rsidR="00034CB3" w:rsidRPr="000C06D7">
        <w:rPr>
          <w:rFonts w:ascii="Times New Roman" w:hAnsi="Times New Roman"/>
        </w:rPr>
        <w:t>was</w:t>
      </w:r>
      <w:r w:rsidR="00F7196F" w:rsidRPr="000C06D7">
        <w:rPr>
          <w:rFonts w:ascii="Times New Roman" w:hAnsi="Times New Roman"/>
        </w:rPr>
        <w:t xml:space="preserve"> </w:t>
      </w:r>
      <w:r w:rsidR="00AF57CC" w:rsidRPr="000C06D7">
        <w:rPr>
          <w:rFonts w:ascii="Times New Roman" w:hAnsi="Times New Roman"/>
        </w:rPr>
        <w:t>relatively narrow</w:t>
      </w:r>
      <w:r w:rsidR="007A0643" w:rsidRPr="000C06D7">
        <w:rPr>
          <w:rFonts w:ascii="Times New Roman" w:hAnsi="Times New Roman"/>
        </w:rPr>
        <w:t xml:space="preserve"> and </w:t>
      </w:r>
      <w:r w:rsidR="00AF57CC" w:rsidRPr="000C06D7">
        <w:rPr>
          <w:rFonts w:ascii="Times New Roman" w:hAnsi="Times New Roman"/>
        </w:rPr>
        <w:t xml:space="preserve">highly </w:t>
      </w:r>
      <w:r w:rsidR="007A0643" w:rsidRPr="000C06D7">
        <w:rPr>
          <w:rFonts w:ascii="Times New Roman" w:hAnsi="Times New Roman"/>
        </w:rPr>
        <w:t>technical</w:t>
      </w:r>
      <w:r w:rsidR="00AF57CC" w:rsidRPr="000C06D7">
        <w:rPr>
          <w:rFonts w:ascii="Times New Roman" w:hAnsi="Times New Roman"/>
        </w:rPr>
        <w:t>.</w:t>
      </w:r>
      <w:r w:rsidR="00DD292D" w:rsidRPr="000C06D7">
        <w:rPr>
          <w:rFonts w:ascii="Times New Roman" w:hAnsi="Times New Roman"/>
        </w:rPr>
        <w:t xml:space="preserve"> To </w:t>
      </w:r>
      <w:r w:rsidR="007A0643" w:rsidRPr="000C06D7">
        <w:rPr>
          <w:rFonts w:ascii="Times New Roman" w:hAnsi="Times New Roman"/>
        </w:rPr>
        <w:t xml:space="preserve">make </w:t>
      </w:r>
      <w:r w:rsidR="00DD292D" w:rsidRPr="000C06D7">
        <w:rPr>
          <w:rFonts w:ascii="Times New Roman" w:hAnsi="Times New Roman"/>
        </w:rPr>
        <w:t>the controversy</w:t>
      </w:r>
      <w:r w:rsidR="007A0643" w:rsidRPr="000C06D7">
        <w:rPr>
          <w:rFonts w:ascii="Times New Roman" w:hAnsi="Times New Roman"/>
        </w:rPr>
        <w:t xml:space="preserve"> intelligible, </w:t>
      </w:r>
      <w:r w:rsidR="007A0643" w:rsidRPr="000C06D7">
        <w:rPr>
          <w:rFonts w:ascii="Times New Roman" w:hAnsi="Times New Roman"/>
        </w:rPr>
        <w:lastRenderedPageBreak/>
        <w:t>something needs to be said about</w:t>
      </w:r>
      <w:r w:rsidR="00640A01" w:rsidRPr="000C06D7">
        <w:rPr>
          <w:rFonts w:ascii="Times New Roman" w:hAnsi="Times New Roman"/>
        </w:rPr>
        <w:t xml:space="preserve"> </w:t>
      </w:r>
      <w:r w:rsidR="00CD355E" w:rsidRPr="000C06D7">
        <w:rPr>
          <w:rFonts w:ascii="Times New Roman" w:hAnsi="Times New Roman"/>
        </w:rPr>
        <w:t>the methodology to which the controversy was related.</w:t>
      </w:r>
    </w:p>
    <w:p w14:paraId="40087B08" w14:textId="5348242A" w:rsidR="0095628A" w:rsidRPr="000C06D7" w:rsidRDefault="00D600E2"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8F6761" w:rsidRPr="000C06D7">
        <w:rPr>
          <w:rFonts w:ascii="Times New Roman" w:hAnsi="Times New Roman"/>
        </w:rPr>
        <w:t>Before</w:t>
      </w:r>
      <w:r w:rsidR="00806C3A" w:rsidRPr="000C06D7">
        <w:rPr>
          <w:rFonts w:ascii="Times New Roman" w:hAnsi="Times New Roman"/>
        </w:rPr>
        <w:t xml:space="preserve"> the </w:t>
      </w:r>
      <w:r w:rsidR="0081769E" w:rsidRPr="000C06D7">
        <w:rPr>
          <w:rFonts w:ascii="Times New Roman" w:hAnsi="Times New Roman"/>
        </w:rPr>
        <w:t>ACCC</w:t>
      </w:r>
      <w:r w:rsidR="00806C3A" w:rsidRPr="000C06D7">
        <w:rPr>
          <w:rFonts w:ascii="Times New Roman" w:hAnsi="Times New Roman"/>
        </w:rPr>
        <w:t xml:space="preserve"> and </w:t>
      </w:r>
      <w:r w:rsidR="00920D4A" w:rsidRPr="000C06D7">
        <w:rPr>
          <w:rFonts w:ascii="Times New Roman" w:hAnsi="Times New Roman"/>
        </w:rPr>
        <w:t>before the Tribunal</w:t>
      </w:r>
      <w:r w:rsidR="00555B5A" w:rsidRPr="000C06D7">
        <w:rPr>
          <w:rFonts w:ascii="Times New Roman" w:hAnsi="Times New Roman"/>
        </w:rPr>
        <w:t>,</w:t>
      </w:r>
      <w:r w:rsidR="008F6761" w:rsidRPr="000C06D7">
        <w:rPr>
          <w:rFonts w:ascii="Times New Roman" w:hAnsi="Times New Roman"/>
        </w:rPr>
        <w:t xml:space="preserve"> Glencore and PNO agreed</w:t>
      </w:r>
      <w:r w:rsidR="00555B5A" w:rsidRPr="000C06D7">
        <w:rPr>
          <w:rFonts w:ascii="Times New Roman" w:hAnsi="Times New Roman"/>
        </w:rPr>
        <w:t xml:space="preserve"> </w:t>
      </w:r>
      <w:r w:rsidR="009748B0" w:rsidRPr="000C06D7">
        <w:rPr>
          <w:rFonts w:ascii="Times New Roman" w:hAnsi="Times New Roman"/>
        </w:rPr>
        <w:t>that the appropriate</w:t>
      </w:r>
      <w:r w:rsidR="00EA7E62" w:rsidRPr="000C06D7">
        <w:rPr>
          <w:rFonts w:ascii="Times New Roman" w:hAnsi="Times New Roman"/>
        </w:rPr>
        <w:t xml:space="preserve"> methodology </w:t>
      </w:r>
      <w:r w:rsidR="009748B0" w:rsidRPr="000C06D7">
        <w:rPr>
          <w:rFonts w:ascii="Times New Roman" w:hAnsi="Times New Roman"/>
        </w:rPr>
        <w:t xml:space="preserve">to determine the </w:t>
      </w:r>
      <w:r w:rsidR="00E54108" w:rsidRPr="000C06D7">
        <w:rPr>
          <w:rFonts w:ascii="Times New Roman" w:hAnsi="Times New Roman"/>
        </w:rPr>
        <w:t xml:space="preserve">amount of the </w:t>
      </w:r>
      <w:r w:rsidR="009748B0" w:rsidRPr="000C06D7">
        <w:rPr>
          <w:rFonts w:ascii="Times New Roman" w:hAnsi="Times New Roman"/>
        </w:rPr>
        <w:t xml:space="preserve">navigation service charge </w:t>
      </w:r>
      <w:r w:rsidR="00E54108" w:rsidRPr="000C06D7">
        <w:rPr>
          <w:rFonts w:ascii="Times New Roman" w:hAnsi="Times New Roman"/>
        </w:rPr>
        <w:t xml:space="preserve">to be payable by Glencore to PNO </w:t>
      </w:r>
      <w:r w:rsidR="009748B0" w:rsidRPr="000C06D7">
        <w:rPr>
          <w:rFonts w:ascii="Times New Roman" w:hAnsi="Times New Roman"/>
        </w:rPr>
        <w:t xml:space="preserve">was </w:t>
      </w:r>
      <w:r w:rsidR="000D0810" w:rsidRPr="000C06D7">
        <w:rPr>
          <w:rFonts w:ascii="Times New Roman" w:hAnsi="Times New Roman"/>
        </w:rPr>
        <w:t>a "building block model"</w:t>
      </w:r>
      <w:r w:rsidR="0048262E" w:rsidRPr="000C06D7">
        <w:rPr>
          <w:rFonts w:ascii="Times New Roman" w:hAnsi="Times New Roman"/>
        </w:rPr>
        <w:t xml:space="preserve"> (</w:t>
      </w:r>
      <w:r w:rsidR="0038756D" w:rsidRPr="000C06D7">
        <w:rPr>
          <w:rFonts w:ascii="Times New Roman" w:hAnsi="Times New Roman"/>
        </w:rPr>
        <w:t>"BBM"</w:t>
      </w:r>
      <w:r w:rsidR="0048262E" w:rsidRPr="000C06D7">
        <w:rPr>
          <w:rFonts w:ascii="Times New Roman" w:hAnsi="Times New Roman"/>
        </w:rPr>
        <w:t>)</w:t>
      </w:r>
      <w:r w:rsidR="008F6761" w:rsidRPr="000C06D7">
        <w:rPr>
          <w:rFonts w:ascii="Times New Roman" w:hAnsi="Times New Roman"/>
        </w:rPr>
        <w:t>. The BBM on</w:t>
      </w:r>
      <w:r w:rsidR="0038756D" w:rsidRPr="000C06D7">
        <w:rPr>
          <w:rFonts w:ascii="Times New Roman" w:hAnsi="Times New Roman"/>
        </w:rPr>
        <w:t xml:space="preserve"> </w:t>
      </w:r>
      <w:r w:rsidR="000F627A" w:rsidRPr="000C06D7">
        <w:rPr>
          <w:rFonts w:ascii="Times New Roman" w:hAnsi="Times New Roman"/>
        </w:rPr>
        <w:t>which</w:t>
      </w:r>
      <w:r w:rsidR="002E02E2" w:rsidRPr="000C06D7">
        <w:rPr>
          <w:rFonts w:ascii="Times New Roman" w:hAnsi="Times New Roman"/>
        </w:rPr>
        <w:t xml:space="preserve"> they agreed</w:t>
      </w:r>
      <w:r w:rsidR="000F627A" w:rsidRPr="000C06D7">
        <w:rPr>
          <w:rFonts w:ascii="Times New Roman" w:hAnsi="Times New Roman"/>
        </w:rPr>
        <w:t xml:space="preserve"> was a </w:t>
      </w:r>
      <w:r w:rsidR="00B138AE" w:rsidRPr="000C06D7">
        <w:rPr>
          <w:rFonts w:ascii="Times New Roman" w:hAnsi="Times New Roman"/>
        </w:rPr>
        <w:t xml:space="preserve">modified version of the Australian Energy Regulator's </w:t>
      </w:r>
      <w:r w:rsidR="001552A0" w:rsidRPr="000C06D7">
        <w:rPr>
          <w:rFonts w:ascii="Times New Roman" w:hAnsi="Times New Roman"/>
        </w:rPr>
        <w:t>publicly</w:t>
      </w:r>
      <w:r w:rsidR="00B138AE" w:rsidRPr="000C06D7">
        <w:rPr>
          <w:rFonts w:ascii="Times New Roman" w:hAnsi="Times New Roman"/>
        </w:rPr>
        <w:t xml:space="preserve"> available </w:t>
      </w:r>
      <w:r w:rsidR="002E02E2" w:rsidRPr="000C06D7">
        <w:rPr>
          <w:rFonts w:ascii="Times New Roman" w:hAnsi="Times New Roman"/>
        </w:rPr>
        <w:t>"P</w:t>
      </w:r>
      <w:r w:rsidR="00B138AE" w:rsidRPr="000C06D7">
        <w:rPr>
          <w:rFonts w:ascii="Times New Roman" w:hAnsi="Times New Roman"/>
        </w:rPr>
        <w:t>ost-</w:t>
      </w:r>
      <w:r w:rsidR="002E02E2" w:rsidRPr="000C06D7">
        <w:rPr>
          <w:rFonts w:ascii="Times New Roman" w:hAnsi="Times New Roman"/>
        </w:rPr>
        <w:t>T</w:t>
      </w:r>
      <w:r w:rsidR="001552A0" w:rsidRPr="000C06D7">
        <w:rPr>
          <w:rFonts w:ascii="Times New Roman" w:hAnsi="Times New Roman"/>
        </w:rPr>
        <w:t xml:space="preserve">ax </w:t>
      </w:r>
      <w:r w:rsidR="002E02E2" w:rsidRPr="000C06D7">
        <w:rPr>
          <w:rFonts w:ascii="Times New Roman" w:hAnsi="Times New Roman"/>
        </w:rPr>
        <w:t>R</w:t>
      </w:r>
      <w:r w:rsidR="001552A0" w:rsidRPr="000C06D7">
        <w:rPr>
          <w:rFonts w:ascii="Times New Roman" w:hAnsi="Times New Roman"/>
        </w:rPr>
        <w:t xml:space="preserve">evenue </w:t>
      </w:r>
      <w:r w:rsidR="002E02E2" w:rsidRPr="000C06D7">
        <w:rPr>
          <w:rFonts w:ascii="Times New Roman" w:hAnsi="Times New Roman"/>
        </w:rPr>
        <w:t>M</w:t>
      </w:r>
      <w:r w:rsidR="001552A0" w:rsidRPr="000C06D7">
        <w:rPr>
          <w:rFonts w:ascii="Times New Roman" w:hAnsi="Times New Roman"/>
        </w:rPr>
        <w:t>odel</w:t>
      </w:r>
      <w:r w:rsidR="002E02E2" w:rsidRPr="000C06D7">
        <w:rPr>
          <w:rFonts w:ascii="Times New Roman" w:hAnsi="Times New Roman"/>
        </w:rPr>
        <w:t>"</w:t>
      </w:r>
      <w:r w:rsidR="00D17C3C" w:rsidRPr="000C06D7">
        <w:rPr>
          <w:rFonts w:ascii="Times New Roman" w:hAnsi="Times New Roman"/>
        </w:rPr>
        <w:t>. According to th</w:t>
      </w:r>
      <w:r w:rsidR="006F5B0E" w:rsidRPr="000C06D7">
        <w:rPr>
          <w:rFonts w:ascii="Times New Roman" w:hAnsi="Times New Roman"/>
        </w:rPr>
        <w:t>e</w:t>
      </w:r>
      <w:r w:rsidR="00D17C3C" w:rsidRPr="000C06D7">
        <w:rPr>
          <w:rFonts w:ascii="Times New Roman" w:hAnsi="Times New Roman"/>
        </w:rPr>
        <w:t xml:space="preserve"> </w:t>
      </w:r>
      <w:r w:rsidR="002E02E2" w:rsidRPr="000C06D7">
        <w:rPr>
          <w:rFonts w:ascii="Times New Roman" w:hAnsi="Times New Roman"/>
        </w:rPr>
        <w:t xml:space="preserve">agreed </w:t>
      </w:r>
      <w:r w:rsidR="000C1566" w:rsidRPr="000C06D7">
        <w:rPr>
          <w:rFonts w:ascii="Times New Roman" w:hAnsi="Times New Roman"/>
        </w:rPr>
        <w:t>BBM</w:t>
      </w:r>
      <w:r w:rsidR="00D17C3C" w:rsidRPr="000C06D7">
        <w:rPr>
          <w:rFonts w:ascii="Times New Roman" w:hAnsi="Times New Roman"/>
        </w:rPr>
        <w:t>,</w:t>
      </w:r>
      <w:r w:rsidR="000D0810" w:rsidRPr="000C06D7">
        <w:rPr>
          <w:rFonts w:ascii="Times New Roman" w:hAnsi="Times New Roman"/>
        </w:rPr>
        <w:t xml:space="preserve"> </w:t>
      </w:r>
      <w:r w:rsidR="002E02E2" w:rsidRPr="000C06D7">
        <w:rPr>
          <w:rFonts w:ascii="Times New Roman" w:hAnsi="Times New Roman"/>
        </w:rPr>
        <w:t xml:space="preserve">the amount of the navigation service charge to be payable by Glencore to PNO was to be based on </w:t>
      </w:r>
      <w:r w:rsidR="00A32E08" w:rsidRPr="000C06D7">
        <w:rPr>
          <w:rFonts w:ascii="Times New Roman" w:hAnsi="Times New Roman"/>
        </w:rPr>
        <w:t>a</w:t>
      </w:r>
      <w:r w:rsidR="00132867" w:rsidRPr="000C06D7">
        <w:rPr>
          <w:rFonts w:ascii="Times New Roman" w:hAnsi="Times New Roman"/>
        </w:rPr>
        <w:t xml:space="preserve"> </w:t>
      </w:r>
      <w:r w:rsidR="00576ACF" w:rsidRPr="000C06D7">
        <w:rPr>
          <w:rFonts w:ascii="Times New Roman" w:hAnsi="Times New Roman"/>
        </w:rPr>
        <w:t>"maximum allowed revenue"</w:t>
      </w:r>
      <w:r w:rsidR="0048262E" w:rsidRPr="000C06D7">
        <w:rPr>
          <w:rFonts w:ascii="Times New Roman" w:hAnsi="Times New Roman"/>
        </w:rPr>
        <w:t xml:space="preserve"> (</w:t>
      </w:r>
      <w:r w:rsidR="00AE61AC" w:rsidRPr="000C06D7">
        <w:rPr>
          <w:rFonts w:ascii="Times New Roman" w:hAnsi="Times New Roman"/>
        </w:rPr>
        <w:t>"MAR"</w:t>
      </w:r>
      <w:r w:rsidR="0048262E" w:rsidRPr="000C06D7">
        <w:rPr>
          <w:rFonts w:ascii="Times New Roman" w:hAnsi="Times New Roman"/>
        </w:rPr>
        <w:t>)</w:t>
      </w:r>
      <w:r w:rsidR="00AE61AC" w:rsidRPr="000C06D7">
        <w:rPr>
          <w:rFonts w:ascii="Times New Roman" w:hAnsi="Times New Roman"/>
        </w:rPr>
        <w:t xml:space="preserve"> </w:t>
      </w:r>
      <w:r w:rsidR="00576ACF" w:rsidRPr="000C06D7">
        <w:rPr>
          <w:rFonts w:ascii="Times New Roman" w:hAnsi="Times New Roman"/>
        </w:rPr>
        <w:t xml:space="preserve">to </w:t>
      </w:r>
      <w:r w:rsidR="00727786" w:rsidRPr="000C06D7">
        <w:rPr>
          <w:rFonts w:ascii="Times New Roman" w:hAnsi="Times New Roman"/>
        </w:rPr>
        <w:t xml:space="preserve">be allowed to </w:t>
      </w:r>
      <w:r w:rsidR="00576ACF" w:rsidRPr="000C06D7">
        <w:rPr>
          <w:rFonts w:ascii="Times New Roman" w:hAnsi="Times New Roman"/>
        </w:rPr>
        <w:t>PNO</w:t>
      </w:r>
      <w:r w:rsidR="007F5758" w:rsidRPr="000C06D7">
        <w:rPr>
          <w:rFonts w:ascii="Times New Roman" w:hAnsi="Times New Roman"/>
        </w:rPr>
        <w:t>.</w:t>
      </w:r>
      <w:r w:rsidR="00576ACF" w:rsidRPr="000C06D7">
        <w:rPr>
          <w:rFonts w:ascii="Times New Roman" w:hAnsi="Times New Roman"/>
        </w:rPr>
        <w:t xml:space="preserve"> </w:t>
      </w:r>
      <w:r w:rsidR="007F5758" w:rsidRPr="000C06D7">
        <w:rPr>
          <w:rFonts w:ascii="Times New Roman" w:hAnsi="Times New Roman"/>
        </w:rPr>
        <w:t xml:space="preserve">The MAR </w:t>
      </w:r>
      <w:r w:rsidR="009571D3" w:rsidRPr="000C06D7">
        <w:rPr>
          <w:rFonts w:ascii="Times New Roman" w:hAnsi="Times New Roman"/>
        </w:rPr>
        <w:t xml:space="preserve">was to </w:t>
      </w:r>
      <w:r w:rsidR="00101CC8" w:rsidRPr="000C06D7">
        <w:rPr>
          <w:rFonts w:ascii="Times New Roman" w:hAnsi="Times New Roman"/>
        </w:rPr>
        <w:t>consist</w:t>
      </w:r>
      <w:r w:rsidR="003C11D1" w:rsidRPr="000C06D7">
        <w:rPr>
          <w:rFonts w:ascii="Times New Roman" w:hAnsi="Times New Roman"/>
        </w:rPr>
        <w:t xml:space="preserve"> of</w:t>
      </w:r>
      <w:r w:rsidR="007F5758" w:rsidRPr="000C06D7">
        <w:rPr>
          <w:rFonts w:ascii="Times New Roman" w:hAnsi="Times New Roman"/>
        </w:rPr>
        <w:t xml:space="preserve"> a number of components</w:t>
      </w:r>
      <w:r w:rsidR="0086232F" w:rsidRPr="000C06D7">
        <w:rPr>
          <w:rFonts w:ascii="Times New Roman" w:hAnsi="Times New Roman"/>
        </w:rPr>
        <w:t xml:space="preserve"> </w:t>
      </w:r>
      <w:r w:rsidR="00E110D2" w:rsidRPr="000C06D7">
        <w:rPr>
          <w:rFonts w:ascii="Times New Roman" w:hAnsi="Times New Roman"/>
        </w:rPr>
        <w:t>–</w:t>
      </w:r>
      <w:r w:rsidR="008B6FA1" w:rsidRPr="000C06D7">
        <w:rPr>
          <w:rFonts w:ascii="Times New Roman" w:hAnsi="Times New Roman"/>
        </w:rPr>
        <w:t xml:space="preserve"> </w:t>
      </w:r>
      <w:r w:rsidR="00FF267E" w:rsidRPr="000C06D7">
        <w:rPr>
          <w:rFonts w:ascii="Times New Roman" w:hAnsi="Times New Roman"/>
        </w:rPr>
        <w:t>the building blocks</w:t>
      </w:r>
      <w:r w:rsidR="007F5758" w:rsidRPr="000C06D7">
        <w:rPr>
          <w:rFonts w:ascii="Times New Roman" w:hAnsi="Times New Roman"/>
        </w:rPr>
        <w:t>.</w:t>
      </w:r>
      <w:r w:rsidR="003C11D1" w:rsidRPr="000C06D7">
        <w:rPr>
          <w:rFonts w:ascii="Times New Roman" w:hAnsi="Times New Roman"/>
        </w:rPr>
        <w:t xml:space="preserve"> </w:t>
      </w:r>
    </w:p>
    <w:p w14:paraId="0B061D03" w14:textId="49625546" w:rsidR="00764FC3" w:rsidRPr="000C06D7" w:rsidRDefault="003963B3"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95628A" w:rsidRPr="000C06D7">
        <w:rPr>
          <w:rFonts w:ascii="Times New Roman" w:hAnsi="Times New Roman"/>
        </w:rPr>
        <w:t xml:space="preserve">The main building block of the MAR was </w:t>
      </w:r>
      <w:r w:rsidR="003C11D1" w:rsidRPr="000C06D7">
        <w:rPr>
          <w:rFonts w:ascii="Times New Roman" w:hAnsi="Times New Roman"/>
        </w:rPr>
        <w:t xml:space="preserve">a </w:t>
      </w:r>
      <w:r w:rsidR="00433220" w:rsidRPr="000C06D7">
        <w:rPr>
          <w:rFonts w:ascii="Times New Roman" w:hAnsi="Times New Roman"/>
        </w:rPr>
        <w:t>"</w:t>
      </w:r>
      <w:r w:rsidR="003C11D1" w:rsidRPr="000C06D7">
        <w:rPr>
          <w:rFonts w:ascii="Times New Roman" w:hAnsi="Times New Roman"/>
        </w:rPr>
        <w:t>return on capital</w:t>
      </w:r>
      <w:r w:rsidR="00433220" w:rsidRPr="000C06D7">
        <w:rPr>
          <w:rFonts w:ascii="Times New Roman" w:hAnsi="Times New Roman"/>
        </w:rPr>
        <w:t>"</w:t>
      </w:r>
      <w:r w:rsidR="002C79F6" w:rsidRPr="000C06D7">
        <w:rPr>
          <w:rFonts w:ascii="Times New Roman" w:hAnsi="Times New Roman"/>
        </w:rPr>
        <w:t xml:space="preserve"> (</w:t>
      </w:r>
      <w:r w:rsidR="0095628A" w:rsidRPr="000C06D7">
        <w:rPr>
          <w:rFonts w:ascii="Times New Roman" w:hAnsi="Times New Roman"/>
        </w:rPr>
        <w:t>"ROC"</w:t>
      </w:r>
      <w:r w:rsidR="002C79F6" w:rsidRPr="000C06D7">
        <w:rPr>
          <w:rFonts w:ascii="Times New Roman" w:hAnsi="Times New Roman"/>
        </w:rPr>
        <w:t>)</w:t>
      </w:r>
      <w:r w:rsidR="0095628A" w:rsidRPr="000C06D7">
        <w:rPr>
          <w:rFonts w:ascii="Times New Roman" w:hAnsi="Times New Roman"/>
        </w:rPr>
        <w:t>,</w:t>
      </w:r>
      <w:r w:rsidR="003C11D1" w:rsidRPr="000C06D7">
        <w:rPr>
          <w:rFonts w:ascii="Times New Roman" w:hAnsi="Times New Roman"/>
        </w:rPr>
        <w:t xml:space="preserve"> </w:t>
      </w:r>
      <w:r w:rsidR="00006744" w:rsidRPr="000C06D7">
        <w:rPr>
          <w:rFonts w:ascii="Times New Roman" w:hAnsi="Times New Roman"/>
        </w:rPr>
        <w:t xml:space="preserve">to be </w:t>
      </w:r>
      <w:r w:rsidR="009E464C" w:rsidRPr="000C06D7">
        <w:rPr>
          <w:rFonts w:ascii="Times New Roman" w:hAnsi="Times New Roman"/>
        </w:rPr>
        <w:t xml:space="preserve">calculated by </w:t>
      </w:r>
      <w:r w:rsidR="0095628A" w:rsidRPr="000C06D7">
        <w:rPr>
          <w:rFonts w:ascii="Times New Roman" w:hAnsi="Times New Roman"/>
        </w:rPr>
        <w:t xml:space="preserve">applying a </w:t>
      </w:r>
      <w:r w:rsidR="00E77C21" w:rsidRPr="000C06D7">
        <w:rPr>
          <w:rFonts w:ascii="Times New Roman" w:hAnsi="Times New Roman"/>
        </w:rPr>
        <w:t>"weighted average cost of capital"</w:t>
      </w:r>
      <w:r w:rsidR="002C79F6" w:rsidRPr="000C06D7">
        <w:rPr>
          <w:rFonts w:ascii="Times New Roman" w:hAnsi="Times New Roman"/>
        </w:rPr>
        <w:t xml:space="preserve"> (</w:t>
      </w:r>
      <w:r w:rsidR="00E77C21" w:rsidRPr="000C06D7">
        <w:rPr>
          <w:rFonts w:ascii="Times New Roman" w:hAnsi="Times New Roman"/>
        </w:rPr>
        <w:t>"WACC"</w:t>
      </w:r>
      <w:r w:rsidR="002C79F6" w:rsidRPr="000C06D7">
        <w:rPr>
          <w:rFonts w:ascii="Times New Roman" w:hAnsi="Times New Roman"/>
        </w:rPr>
        <w:t>)</w:t>
      </w:r>
      <w:r w:rsidR="00E77C21" w:rsidRPr="000C06D7">
        <w:rPr>
          <w:rFonts w:ascii="Times New Roman" w:hAnsi="Times New Roman"/>
        </w:rPr>
        <w:t xml:space="preserve"> </w:t>
      </w:r>
      <w:r w:rsidR="00A87C54" w:rsidRPr="000C06D7">
        <w:rPr>
          <w:rFonts w:ascii="Times New Roman" w:hAnsi="Times New Roman"/>
        </w:rPr>
        <w:t>to</w:t>
      </w:r>
      <w:r w:rsidR="00596AC4" w:rsidRPr="000C06D7">
        <w:rPr>
          <w:rFonts w:ascii="Times New Roman" w:hAnsi="Times New Roman"/>
        </w:rPr>
        <w:t xml:space="preserve"> the value </w:t>
      </w:r>
      <w:r w:rsidR="00A13250" w:rsidRPr="000C06D7">
        <w:rPr>
          <w:rFonts w:ascii="Times New Roman" w:hAnsi="Times New Roman"/>
        </w:rPr>
        <w:t xml:space="preserve">of the </w:t>
      </w:r>
      <w:r w:rsidR="00035518" w:rsidRPr="000C06D7">
        <w:rPr>
          <w:rFonts w:ascii="Times New Roman" w:hAnsi="Times New Roman"/>
        </w:rPr>
        <w:t>"regulated asset base</w:t>
      </w:r>
      <w:r w:rsidR="0041715C" w:rsidRPr="000C06D7">
        <w:rPr>
          <w:rFonts w:ascii="Times New Roman" w:hAnsi="Times New Roman"/>
        </w:rPr>
        <w:t>"</w:t>
      </w:r>
      <w:r w:rsidR="002C79F6" w:rsidRPr="000C06D7">
        <w:rPr>
          <w:rFonts w:ascii="Times New Roman" w:hAnsi="Times New Roman"/>
        </w:rPr>
        <w:t xml:space="preserve"> (</w:t>
      </w:r>
      <w:r w:rsidR="0041715C" w:rsidRPr="000C06D7">
        <w:rPr>
          <w:rFonts w:ascii="Times New Roman" w:hAnsi="Times New Roman"/>
        </w:rPr>
        <w:t>"RAB"</w:t>
      </w:r>
      <w:r w:rsidR="002C79F6" w:rsidRPr="000C06D7">
        <w:rPr>
          <w:rFonts w:ascii="Times New Roman" w:hAnsi="Times New Roman"/>
        </w:rPr>
        <w:t>)</w:t>
      </w:r>
      <w:r w:rsidR="00E77C21" w:rsidRPr="000C06D7">
        <w:rPr>
          <w:rFonts w:ascii="Times New Roman" w:hAnsi="Times New Roman"/>
        </w:rPr>
        <w:t>. The RAB</w:t>
      </w:r>
      <w:r w:rsidR="0041715C" w:rsidRPr="000C06D7">
        <w:rPr>
          <w:rFonts w:ascii="Times New Roman" w:hAnsi="Times New Roman"/>
        </w:rPr>
        <w:t xml:space="preserve"> comprised th</w:t>
      </w:r>
      <w:r w:rsidR="00A13DB4" w:rsidRPr="000C06D7">
        <w:rPr>
          <w:rFonts w:ascii="Times New Roman" w:hAnsi="Times New Roman"/>
        </w:rPr>
        <w:t xml:space="preserve">e </w:t>
      </w:r>
      <w:r w:rsidR="00A13250" w:rsidRPr="000C06D7">
        <w:rPr>
          <w:rFonts w:ascii="Times New Roman" w:hAnsi="Times New Roman"/>
        </w:rPr>
        <w:t xml:space="preserve">assets required to provide the </w:t>
      </w:r>
      <w:r w:rsidR="00AB090E" w:rsidRPr="000C06D7">
        <w:rPr>
          <w:rFonts w:ascii="Times New Roman" w:hAnsi="Times New Roman"/>
        </w:rPr>
        <w:t>S</w:t>
      </w:r>
      <w:r w:rsidR="00A13250" w:rsidRPr="000C06D7">
        <w:rPr>
          <w:rFonts w:ascii="Times New Roman" w:hAnsi="Times New Roman"/>
        </w:rPr>
        <w:t>ervice</w:t>
      </w:r>
      <w:r w:rsidR="00CB110B" w:rsidRPr="000C06D7">
        <w:rPr>
          <w:rFonts w:ascii="Times New Roman" w:hAnsi="Times New Roman"/>
        </w:rPr>
        <w:t xml:space="preserve">. </w:t>
      </w:r>
      <w:r w:rsidR="00495271" w:rsidRPr="000C06D7">
        <w:rPr>
          <w:rFonts w:ascii="Times New Roman" w:hAnsi="Times New Roman"/>
        </w:rPr>
        <w:t>The</w:t>
      </w:r>
      <w:r w:rsidR="00433220" w:rsidRPr="000C06D7">
        <w:rPr>
          <w:rFonts w:ascii="Times New Roman" w:hAnsi="Times New Roman"/>
        </w:rPr>
        <w:t xml:space="preserve"> parties</w:t>
      </w:r>
      <w:r w:rsidR="00495271" w:rsidRPr="000C06D7">
        <w:rPr>
          <w:rFonts w:ascii="Times New Roman" w:hAnsi="Times New Roman"/>
        </w:rPr>
        <w:t xml:space="preserve"> were agreed that the </w:t>
      </w:r>
      <w:r w:rsidR="00A13DB4" w:rsidRPr="000C06D7">
        <w:rPr>
          <w:rFonts w:ascii="Times New Roman" w:hAnsi="Times New Roman"/>
        </w:rPr>
        <w:t>RAB was</w:t>
      </w:r>
      <w:r w:rsidR="00633799" w:rsidRPr="000C06D7">
        <w:rPr>
          <w:rFonts w:ascii="Times New Roman" w:hAnsi="Times New Roman"/>
        </w:rPr>
        <w:t xml:space="preserve"> </w:t>
      </w:r>
      <w:r w:rsidR="002C79F6" w:rsidRPr="000C06D7">
        <w:rPr>
          <w:rFonts w:ascii="Times New Roman" w:hAnsi="Times New Roman"/>
        </w:rPr>
        <w:t>valued appropriately</w:t>
      </w:r>
      <w:r w:rsidR="00F6447A" w:rsidRPr="000C06D7">
        <w:rPr>
          <w:rFonts w:ascii="Times New Roman" w:hAnsi="Times New Roman"/>
        </w:rPr>
        <w:t xml:space="preserve"> </w:t>
      </w:r>
      <w:r w:rsidR="00AD68A0" w:rsidRPr="000C06D7">
        <w:rPr>
          <w:rFonts w:ascii="Times New Roman" w:hAnsi="Times New Roman"/>
        </w:rPr>
        <w:t xml:space="preserve">using a "depreciated </w:t>
      </w:r>
      <w:r w:rsidR="00927A46" w:rsidRPr="000C06D7">
        <w:rPr>
          <w:rFonts w:ascii="Times New Roman" w:hAnsi="Times New Roman"/>
        </w:rPr>
        <w:t xml:space="preserve">optimised replacement cost" or "DORC" </w:t>
      </w:r>
      <w:r w:rsidR="00C02097" w:rsidRPr="000C06D7">
        <w:rPr>
          <w:rFonts w:ascii="Times New Roman" w:hAnsi="Times New Roman"/>
        </w:rPr>
        <w:t>methodology</w:t>
      </w:r>
      <w:r w:rsidR="00A87C54" w:rsidRPr="000C06D7">
        <w:rPr>
          <w:rFonts w:ascii="Times New Roman" w:hAnsi="Times New Roman"/>
        </w:rPr>
        <w:t xml:space="preserve">, </w:t>
      </w:r>
      <w:r w:rsidR="00EC1AC9" w:rsidRPr="000C06D7">
        <w:rPr>
          <w:rFonts w:ascii="Times New Roman" w:hAnsi="Times New Roman"/>
        </w:rPr>
        <w:t>according to</w:t>
      </w:r>
      <w:r w:rsidR="00FD5C42" w:rsidRPr="000C06D7">
        <w:rPr>
          <w:rFonts w:ascii="Times New Roman" w:hAnsi="Times New Roman"/>
        </w:rPr>
        <w:t xml:space="preserve"> which the </w:t>
      </w:r>
      <w:r w:rsidR="001062A4" w:rsidRPr="000C06D7">
        <w:rPr>
          <w:rFonts w:ascii="Times New Roman" w:hAnsi="Times New Roman"/>
        </w:rPr>
        <w:t>assets required to provide the Service</w:t>
      </w:r>
      <w:r w:rsidR="00FD5C42" w:rsidRPr="000C06D7">
        <w:rPr>
          <w:rFonts w:ascii="Times New Roman" w:hAnsi="Times New Roman"/>
        </w:rPr>
        <w:t xml:space="preserve"> were to be valued at the cost of replacing the remaining </w:t>
      </w:r>
      <w:r w:rsidR="00A52337" w:rsidRPr="000C06D7">
        <w:rPr>
          <w:rFonts w:ascii="Times New Roman" w:hAnsi="Times New Roman"/>
        </w:rPr>
        <w:t>useful life</w:t>
      </w:r>
      <w:r w:rsidR="00DB6AA2" w:rsidRPr="000C06D7">
        <w:rPr>
          <w:rFonts w:ascii="Times New Roman" w:hAnsi="Times New Roman"/>
        </w:rPr>
        <w:t xml:space="preserve"> of those assets</w:t>
      </w:r>
      <w:r w:rsidR="00A21D01" w:rsidRPr="000C06D7">
        <w:rPr>
          <w:rFonts w:ascii="Times New Roman" w:hAnsi="Times New Roman"/>
        </w:rPr>
        <w:t xml:space="preserve">. </w:t>
      </w:r>
    </w:p>
    <w:p w14:paraId="08B293E2" w14:textId="66708767" w:rsidR="0094730D" w:rsidRPr="000C06D7" w:rsidRDefault="00764FC3"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93347E" w:rsidRPr="000C06D7">
        <w:rPr>
          <w:rFonts w:ascii="Times New Roman" w:hAnsi="Times New Roman"/>
        </w:rPr>
        <w:t>DOR</w:t>
      </w:r>
      <w:r w:rsidR="00AC4AFB" w:rsidRPr="000C06D7">
        <w:rPr>
          <w:rFonts w:ascii="Times New Roman" w:hAnsi="Times New Roman"/>
        </w:rPr>
        <w:t>C</w:t>
      </w:r>
      <w:r w:rsidR="00CB110B" w:rsidRPr="000C06D7">
        <w:rPr>
          <w:rFonts w:ascii="Times New Roman" w:hAnsi="Times New Roman"/>
        </w:rPr>
        <w:t xml:space="preserve"> methodology does</w:t>
      </w:r>
      <w:r w:rsidR="0093347E" w:rsidRPr="000C06D7">
        <w:rPr>
          <w:rFonts w:ascii="Times New Roman" w:hAnsi="Times New Roman"/>
        </w:rPr>
        <w:t xml:space="preserve"> </w:t>
      </w:r>
      <w:r w:rsidR="00C23623" w:rsidRPr="000C06D7">
        <w:rPr>
          <w:rFonts w:ascii="Times New Roman" w:hAnsi="Times New Roman"/>
        </w:rPr>
        <w:t>not measure the cost</w:t>
      </w:r>
      <w:r w:rsidR="008E194C" w:rsidRPr="000C06D7">
        <w:rPr>
          <w:rFonts w:ascii="Times New Roman" w:hAnsi="Times New Roman"/>
        </w:rPr>
        <w:t xml:space="preserve"> of </w:t>
      </w:r>
      <w:r w:rsidR="00FF2B06" w:rsidRPr="000C06D7">
        <w:rPr>
          <w:rFonts w:ascii="Times New Roman" w:hAnsi="Times New Roman"/>
        </w:rPr>
        <w:t>repl</w:t>
      </w:r>
      <w:r w:rsidR="004B2B3B" w:rsidRPr="000C06D7">
        <w:rPr>
          <w:rFonts w:ascii="Times New Roman" w:hAnsi="Times New Roman"/>
        </w:rPr>
        <w:t>acing</w:t>
      </w:r>
      <w:r w:rsidR="003A1E68" w:rsidRPr="000C06D7">
        <w:rPr>
          <w:rFonts w:ascii="Times New Roman" w:hAnsi="Times New Roman"/>
        </w:rPr>
        <w:t xml:space="preserve"> </w:t>
      </w:r>
      <w:r w:rsidR="008E194C" w:rsidRPr="000C06D7">
        <w:rPr>
          <w:rFonts w:ascii="Times New Roman" w:hAnsi="Times New Roman"/>
        </w:rPr>
        <w:t xml:space="preserve">assets </w:t>
      </w:r>
      <w:r w:rsidR="004E00B9" w:rsidRPr="000C06D7">
        <w:rPr>
          <w:rFonts w:ascii="Times New Roman" w:hAnsi="Times New Roman"/>
        </w:rPr>
        <w:t xml:space="preserve">in fact </w:t>
      </w:r>
      <w:r w:rsidR="00A13DB4" w:rsidRPr="000C06D7">
        <w:rPr>
          <w:rFonts w:ascii="Times New Roman" w:hAnsi="Times New Roman"/>
        </w:rPr>
        <w:t xml:space="preserve">used to provide </w:t>
      </w:r>
      <w:r w:rsidR="00E06742" w:rsidRPr="000C06D7">
        <w:rPr>
          <w:rFonts w:ascii="Times New Roman" w:hAnsi="Times New Roman"/>
        </w:rPr>
        <w:t>a</w:t>
      </w:r>
      <w:r w:rsidR="00A13DB4" w:rsidRPr="000C06D7">
        <w:rPr>
          <w:rFonts w:ascii="Times New Roman" w:hAnsi="Times New Roman"/>
        </w:rPr>
        <w:t xml:space="preserve"> service</w:t>
      </w:r>
      <w:r w:rsidRPr="000C06D7">
        <w:rPr>
          <w:rFonts w:ascii="Times New Roman" w:hAnsi="Times New Roman"/>
        </w:rPr>
        <w:t xml:space="preserve">. </w:t>
      </w:r>
      <w:r w:rsidR="00683058" w:rsidRPr="000C06D7">
        <w:rPr>
          <w:rFonts w:ascii="Times New Roman" w:hAnsi="Times New Roman"/>
        </w:rPr>
        <w:t xml:space="preserve">Rather, it measures the cost that a hypothetical new entrant would incur to replace the assets using the latest technology in order to provide the service in the most up-to-date and cost-efficient way. </w:t>
      </w:r>
      <w:r w:rsidR="00A76014" w:rsidRPr="000C06D7">
        <w:rPr>
          <w:rFonts w:ascii="Times New Roman" w:hAnsi="Times New Roman"/>
        </w:rPr>
        <w:t xml:space="preserve">The methodology </w:t>
      </w:r>
      <w:r w:rsidR="00D64669" w:rsidRPr="000C06D7">
        <w:rPr>
          <w:rFonts w:ascii="Times New Roman" w:hAnsi="Times New Roman"/>
        </w:rPr>
        <w:t>in that way</w:t>
      </w:r>
      <w:r w:rsidR="00E45510" w:rsidRPr="000C06D7">
        <w:rPr>
          <w:rFonts w:ascii="Times New Roman" w:hAnsi="Times New Roman"/>
        </w:rPr>
        <w:t xml:space="preserve"> seeks to</w:t>
      </w:r>
      <w:r w:rsidR="00D64669" w:rsidRPr="000C06D7">
        <w:rPr>
          <w:rFonts w:ascii="Times New Roman" w:hAnsi="Times New Roman"/>
        </w:rPr>
        <w:t xml:space="preserve"> emulate </w:t>
      </w:r>
      <w:r w:rsidR="00E45510" w:rsidRPr="000C06D7">
        <w:rPr>
          <w:rFonts w:ascii="Times New Roman" w:hAnsi="Times New Roman"/>
        </w:rPr>
        <w:t xml:space="preserve">what would happen to </w:t>
      </w:r>
      <w:r w:rsidR="00F36FF3" w:rsidRPr="000C06D7">
        <w:rPr>
          <w:rFonts w:ascii="Times New Roman" w:hAnsi="Times New Roman"/>
        </w:rPr>
        <w:t xml:space="preserve">the value of </w:t>
      </w:r>
      <w:r w:rsidR="00064B61" w:rsidRPr="000C06D7">
        <w:rPr>
          <w:rFonts w:ascii="Times New Roman" w:hAnsi="Times New Roman"/>
        </w:rPr>
        <w:t xml:space="preserve">the </w:t>
      </w:r>
      <w:r w:rsidR="00F36FF3" w:rsidRPr="000C06D7">
        <w:rPr>
          <w:rFonts w:ascii="Times New Roman" w:hAnsi="Times New Roman"/>
        </w:rPr>
        <w:t xml:space="preserve">assets required to provide </w:t>
      </w:r>
      <w:r w:rsidR="005632AA" w:rsidRPr="000C06D7">
        <w:rPr>
          <w:rFonts w:ascii="Times New Roman" w:hAnsi="Times New Roman"/>
        </w:rPr>
        <w:t>a</w:t>
      </w:r>
      <w:r w:rsidR="00F36FF3" w:rsidRPr="000C06D7">
        <w:rPr>
          <w:rFonts w:ascii="Times New Roman" w:hAnsi="Times New Roman"/>
        </w:rPr>
        <w:t xml:space="preserve"> service</w:t>
      </w:r>
      <w:r w:rsidR="00B55A72" w:rsidRPr="000C06D7">
        <w:rPr>
          <w:rFonts w:ascii="Times New Roman" w:hAnsi="Times New Roman"/>
        </w:rPr>
        <w:t xml:space="preserve"> in a </w:t>
      </w:r>
      <w:r w:rsidR="00F235C3" w:rsidRPr="000C06D7">
        <w:rPr>
          <w:rFonts w:ascii="Times New Roman" w:hAnsi="Times New Roman"/>
        </w:rPr>
        <w:t xml:space="preserve">hypothetical </w:t>
      </w:r>
      <w:r w:rsidR="00B55A72" w:rsidRPr="000C06D7">
        <w:rPr>
          <w:rFonts w:ascii="Times New Roman" w:hAnsi="Times New Roman"/>
        </w:rPr>
        <w:t xml:space="preserve">competitive market </w:t>
      </w:r>
      <w:r w:rsidR="00064B61" w:rsidRPr="000C06D7">
        <w:rPr>
          <w:rFonts w:ascii="Times New Roman" w:hAnsi="Times New Roman"/>
        </w:rPr>
        <w:t xml:space="preserve">for the service </w:t>
      </w:r>
      <w:r w:rsidR="00B55A72" w:rsidRPr="000C06D7">
        <w:rPr>
          <w:rFonts w:ascii="Times New Roman" w:hAnsi="Times New Roman"/>
        </w:rPr>
        <w:t>where the</w:t>
      </w:r>
      <w:r w:rsidR="00B80C88" w:rsidRPr="000C06D7">
        <w:rPr>
          <w:rFonts w:ascii="Times New Roman" w:hAnsi="Times New Roman"/>
        </w:rPr>
        <w:t xml:space="preserve"> s</w:t>
      </w:r>
      <w:r w:rsidR="0037620D" w:rsidRPr="000C06D7">
        <w:rPr>
          <w:rFonts w:ascii="Times New Roman" w:hAnsi="Times New Roman"/>
        </w:rPr>
        <w:t xml:space="preserve">ervice provider </w:t>
      </w:r>
      <w:r w:rsidR="006C2524" w:rsidRPr="000C06D7">
        <w:rPr>
          <w:rFonts w:ascii="Times New Roman" w:hAnsi="Times New Roman"/>
        </w:rPr>
        <w:t>face</w:t>
      </w:r>
      <w:r w:rsidR="00594369" w:rsidRPr="000C06D7">
        <w:rPr>
          <w:rFonts w:ascii="Times New Roman" w:hAnsi="Times New Roman"/>
        </w:rPr>
        <w:t>d</w:t>
      </w:r>
      <w:r w:rsidR="006C2524" w:rsidRPr="000C06D7">
        <w:rPr>
          <w:rFonts w:ascii="Times New Roman" w:hAnsi="Times New Roman"/>
        </w:rPr>
        <w:t xml:space="preserve"> competition from </w:t>
      </w:r>
      <w:r w:rsidR="007A62FE" w:rsidRPr="000C06D7">
        <w:rPr>
          <w:rFonts w:ascii="Times New Roman" w:hAnsi="Times New Roman"/>
        </w:rPr>
        <w:t>a</w:t>
      </w:r>
      <w:r w:rsidR="00632824" w:rsidRPr="000C06D7">
        <w:rPr>
          <w:rFonts w:ascii="Times New Roman" w:hAnsi="Times New Roman"/>
        </w:rPr>
        <w:t>n efficient</w:t>
      </w:r>
      <w:r w:rsidR="007A62FE" w:rsidRPr="000C06D7">
        <w:rPr>
          <w:rFonts w:ascii="Times New Roman" w:hAnsi="Times New Roman"/>
        </w:rPr>
        <w:t xml:space="preserve"> new entrant</w:t>
      </w:r>
      <w:r w:rsidR="00F235C3" w:rsidRPr="000C06D7">
        <w:rPr>
          <w:rFonts w:ascii="Times New Roman" w:hAnsi="Times New Roman"/>
        </w:rPr>
        <w:t>.</w:t>
      </w:r>
      <w:r w:rsidR="00E45510" w:rsidRPr="000C06D7">
        <w:rPr>
          <w:rFonts w:ascii="Times New Roman" w:hAnsi="Times New Roman"/>
        </w:rPr>
        <w:t xml:space="preserve"> </w:t>
      </w:r>
    </w:p>
    <w:p w14:paraId="7897DE60" w14:textId="77777777" w:rsidR="000541C3" w:rsidRPr="000C06D7" w:rsidRDefault="006F7FAE"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0541C3" w:rsidRPr="000C06D7">
        <w:rPr>
          <w:rFonts w:ascii="Times New Roman" w:hAnsi="Times New Roman"/>
        </w:rPr>
        <w:t xml:space="preserve">The purpose of valuing the RAB at DORC when using the BBM was thereby to exclude monopoly profit from the ROC and in turn from the MAR. </w:t>
      </w:r>
    </w:p>
    <w:p w14:paraId="33F64D32" w14:textId="0ABF48C3" w:rsidR="00F235C3" w:rsidRPr="000C06D7" w:rsidRDefault="00056BD2"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FC16E2" w:rsidRPr="000C06D7">
        <w:rPr>
          <w:rFonts w:ascii="Times New Roman" w:hAnsi="Times New Roman"/>
        </w:rPr>
        <w:t xml:space="preserve">The controversy </w:t>
      </w:r>
      <w:r w:rsidR="00A2399A" w:rsidRPr="000C06D7">
        <w:rPr>
          <w:rFonts w:ascii="Times New Roman" w:hAnsi="Times New Roman"/>
        </w:rPr>
        <w:t xml:space="preserve">between the parties </w:t>
      </w:r>
      <w:r w:rsidR="00FC16E2" w:rsidRPr="000C06D7">
        <w:rPr>
          <w:rFonts w:ascii="Times New Roman" w:hAnsi="Times New Roman"/>
        </w:rPr>
        <w:t xml:space="preserve">concerned whether the </w:t>
      </w:r>
      <w:r w:rsidR="007D2EEC" w:rsidRPr="000C06D7">
        <w:rPr>
          <w:rFonts w:ascii="Times New Roman" w:hAnsi="Times New Roman"/>
        </w:rPr>
        <w:t>RAB</w:t>
      </w:r>
      <w:r w:rsidR="00142B61" w:rsidRPr="000C06D7">
        <w:rPr>
          <w:rFonts w:ascii="Times New Roman" w:hAnsi="Times New Roman"/>
        </w:rPr>
        <w:t>,</w:t>
      </w:r>
      <w:r w:rsidR="00FC16E2" w:rsidRPr="000C06D7">
        <w:rPr>
          <w:rFonts w:ascii="Times New Roman" w:hAnsi="Times New Roman"/>
        </w:rPr>
        <w:t xml:space="preserve"> </w:t>
      </w:r>
      <w:r w:rsidR="00961972" w:rsidRPr="000C06D7">
        <w:rPr>
          <w:rFonts w:ascii="Times New Roman" w:hAnsi="Times New Roman"/>
        </w:rPr>
        <w:t>arrived at using DORC methodology</w:t>
      </w:r>
      <w:r w:rsidR="00142B61" w:rsidRPr="000C06D7">
        <w:rPr>
          <w:rFonts w:ascii="Times New Roman" w:hAnsi="Times New Roman"/>
        </w:rPr>
        <w:t>,</w:t>
      </w:r>
      <w:r w:rsidR="00961972" w:rsidRPr="000C06D7">
        <w:rPr>
          <w:rFonts w:ascii="Times New Roman" w:hAnsi="Times New Roman"/>
        </w:rPr>
        <w:t xml:space="preserve"> should be adjusted downwards</w:t>
      </w:r>
      <w:r w:rsidR="00861BDD" w:rsidRPr="000C06D7">
        <w:rPr>
          <w:rFonts w:ascii="Times New Roman" w:hAnsi="Times New Roman"/>
        </w:rPr>
        <w:t xml:space="preserve">, </w:t>
      </w:r>
      <w:r w:rsidR="00F81DBF" w:rsidRPr="000C06D7">
        <w:rPr>
          <w:rFonts w:ascii="Times New Roman" w:hAnsi="Times New Roman"/>
        </w:rPr>
        <w:t xml:space="preserve">thereby reducing the </w:t>
      </w:r>
      <w:r w:rsidR="00AE61AC" w:rsidRPr="000C06D7">
        <w:rPr>
          <w:rFonts w:ascii="Times New Roman" w:hAnsi="Times New Roman"/>
        </w:rPr>
        <w:t>MAR</w:t>
      </w:r>
      <w:r w:rsidR="00861BDD" w:rsidRPr="000C06D7">
        <w:rPr>
          <w:rFonts w:ascii="Times New Roman" w:hAnsi="Times New Roman"/>
        </w:rPr>
        <w:t xml:space="preserve">. </w:t>
      </w:r>
      <w:r w:rsidR="00474B35" w:rsidRPr="000C06D7">
        <w:rPr>
          <w:rFonts w:ascii="Times New Roman" w:hAnsi="Times New Roman"/>
        </w:rPr>
        <w:t xml:space="preserve">The </w:t>
      </w:r>
      <w:r w:rsidR="006D2503" w:rsidRPr="000C06D7">
        <w:rPr>
          <w:rFonts w:ascii="Times New Roman" w:hAnsi="Times New Roman"/>
        </w:rPr>
        <w:t xml:space="preserve">downwards </w:t>
      </w:r>
      <w:r w:rsidR="00474B35" w:rsidRPr="000C06D7">
        <w:rPr>
          <w:rFonts w:ascii="Times New Roman" w:hAnsi="Times New Roman"/>
        </w:rPr>
        <w:t>adjustment</w:t>
      </w:r>
      <w:r w:rsidR="006D2503" w:rsidRPr="000C06D7">
        <w:rPr>
          <w:rFonts w:ascii="Times New Roman" w:hAnsi="Times New Roman"/>
        </w:rPr>
        <w:t>,</w:t>
      </w:r>
      <w:r w:rsidR="00474B35" w:rsidRPr="000C06D7">
        <w:rPr>
          <w:rFonts w:ascii="Times New Roman" w:hAnsi="Times New Roman"/>
        </w:rPr>
        <w:t xml:space="preserve"> proposed by Glencore and resisted by PNO</w:t>
      </w:r>
      <w:r w:rsidR="006D2503" w:rsidRPr="000C06D7">
        <w:rPr>
          <w:rFonts w:ascii="Times New Roman" w:hAnsi="Times New Roman"/>
        </w:rPr>
        <w:t xml:space="preserve">, </w:t>
      </w:r>
      <w:r w:rsidR="00474B35" w:rsidRPr="000C06D7">
        <w:rPr>
          <w:rFonts w:ascii="Times New Roman" w:hAnsi="Times New Roman"/>
        </w:rPr>
        <w:t xml:space="preserve">was </w:t>
      </w:r>
      <w:r w:rsidR="00572620" w:rsidRPr="000C06D7">
        <w:rPr>
          <w:rFonts w:ascii="Times New Roman" w:hAnsi="Times New Roman"/>
        </w:rPr>
        <w:t>to take account of</w:t>
      </w:r>
      <w:r w:rsidR="00F81DBF" w:rsidRPr="000C06D7">
        <w:rPr>
          <w:rFonts w:ascii="Times New Roman" w:hAnsi="Times New Roman"/>
        </w:rPr>
        <w:t xml:space="preserve"> the </w:t>
      </w:r>
      <w:r w:rsidR="00972CC8" w:rsidRPr="000C06D7">
        <w:rPr>
          <w:rFonts w:ascii="Times New Roman" w:hAnsi="Times New Roman"/>
        </w:rPr>
        <w:t xml:space="preserve">historical </w:t>
      </w:r>
      <w:r w:rsidR="00F81DBF" w:rsidRPr="000C06D7">
        <w:rPr>
          <w:rFonts w:ascii="Times New Roman" w:hAnsi="Times New Roman"/>
        </w:rPr>
        <w:t xml:space="preserve">circumstance </w:t>
      </w:r>
      <w:r w:rsidR="000E146E" w:rsidRPr="000C06D7">
        <w:rPr>
          <w:rFonts w:ascii="Times New Roman" w:hAnsi="Times New Roman"/>
        </w:rPr>
        <w:t xml:space="preserve">that </w:t>
      </w:r>
      <w:r w:rsidR="00C636E3" w:rsidRPr="000C06D7">
        <w:rPr>
          <w:rFonts w:ascii="Times New Roman" w:hAnsi="Times New Roman"/>
        </w:rPr>
        <w:t xml:space="preserve">some of </w:t>
      </w:r>
      <w:r w:rsidR="00972CC8" w:rsidRPr="000C06D7">
        <w:rPr>
          <w:rFonts w:ascii="Times New Roman" w:hAnsi="Times New Roman"/>
        </w:rPr>
        <w:t xml:space="preserve">the original investment </w:t>
      </w:r>
      <w:r w:rsidR="009A2DD8" w:rsidRPr="000C06D7">
        <w:rPr>
          <w:rFonts w:ascii="Times New Roman" w:hAnsi="Times New Roman"/>
        </w:rPr>
        <w:t xml:space="preserve">made </w:t>
      </w:r>
      <w:r w:rsidR="00972CC8" w:rsidRPr="000C06D7">
        <w:rPr>
          <w:rFonts w:ascii="Times New Roman" w:hAnsi="Times New Roman"/>
        </w:rPr>
        <w:t xml:space="preserve">by the State of New South Wales </w:t>
      </w:r>
      <w:r w:rsidR="00572620" w:rsidRPr="000C06D7">
        <w:rPr>
          <w:rFonts w:ascii="Times New Roman" w:hAnsi="Times New Roman"/>
        </w:rPr>
        <w:t xml:space="preserve">in </w:t>
      </w:r>
      <w:r w:rsidR="005C5634" w:rsidRPr="000C06D7">
        <w:rPr>
          <w:rFonts w:ascii="Times New Roman" w:hAnsi="Times New Roman"/>
        </w:rPr>
        <w:t>creat</w:t>
      </w:r>
      <w:r w:rsidR="00572620" w:rsidRPr="000C06D7">
        <w:rPr>
          <w:rFonts w:ascii="Times New Roman" w:hAnsi="Times New Roman"/>
        </w:rPr>
        <w:t>ing</w:t>
      </w:r>
      <w:r w:rsidR="00972CC8" w:rsidRPr="000C06D7">
        <w:rPr>
          <w:rFonts w:ascii="Times New Roman" w:hAnsi="Times New Roman"/>
        </w:rPr>
        <w:t xml:space="preserve"> </w:t>
      </w:r>
      <w:r w:rsidR="000E146E" w:rsidRPr="000C06D7">
        <w:rPr>
          <w:rFonts w:ascii="Times New Roman" w:hAnsi="Times New Roman"/>
        </w:rPr>
        <w:t xml:space="preserve">the </w:t>
      </w:r>
      <w:r w:rsidR="00972CC8" w:rsidRPr="000C06D7">
        <w:rPr>
          <w:rFonts w:ascii="Times New Roman" w:hAnsi="Times New Roman"/>
        </w:rPr>
        <w:t>shipping channels and associated public works</w:t>
      </w:r>
      <w:r w:rsidR="00142B61" w:rsidRPr="000C06D7">
        <w:rPr>
          <w:rFonts w:ascii="Times New Roman" w:hAnsi="Times New Roman"/>
        </w:rPr>
        <w:t xml:space="preserve"> </w:t>
      </w:r>
      <w:r w:rsidR="002529A1" w:rsidRPr="000C06D7">
        <w:rPr>
          <w:rFonts w:ascii="Times New Roman" w:hAnsi="Times New Roman"/>
        </w:rPr>
        <w:t>now</w:t>
      </w:r>
      <w:r w:rsidR="000E146E" w:rsidRPr="000C06D7">
        <w:rPr>
          <w:rFonts w:ascii="Times New Roman" w:hAnsi="Times New Roman"/>
        </w:rPr>
        <w:t xml:space="preserve"> used </w:t>
      </w:r>
      <w:r w:rsidR="00142B61" w:rsidRPr="000C06D7">
        <w:rPr>
          <w:rFonts w:ascii="Times New Roman" w:hAnsi="Times New Roman"/>
        </w:rPr>
        <w:t>by PNO</w:t>
      </w:r>
      <w:r w:rsidR="00062775" w:rsidRPr="000C06D7">
        <w:rPr>
          <w:rFonts w:ascii="Times New Roman" w:hAnsi="Times New Roman"/>
        </w:rPr>
        <w:t xml:space="preserve"> </w:t>
      </w:r>
      <w:r w:rsidR="000E146E" w:rsidRPr="000C06D7">
        <w:rPr>
          <w:rFonts w:ascii="Times New Roman" w:hAnsi="Times New Roman"/>
        </w:rPr>
        <w:t xml:space="preserve">to provide the </w:t>
      </w:r>
      <w:r w:rsidR="00E3218B" w:rsidRPr="000C06D7">
        <w:rPr>
          <w:rFonts w:ascii="Times New Roman" w:hAnsi="Times New Roman"/>
        </w:rPr>
        <w:t>S</w:t>
      </w:r>
      <w:r w:rsidR="000E146E" w:rsidRPr="000C06D7">
        <w:rPr>
          <w:rFonts w:ascii="Times New Roman" w:hAnsi="Times New Roman"/>
        </w:rPr>
        <w:t xml:space="preserve">ervice </w:t>
      </w:r>
      <w:r w:rsidR="00450FB0" w:rsidRPr="000C06D7">
        <w:rPr>
          <w:rFonts w:ascii="Times New Roman" w:hAnsi="Times New Roman"/>
        </w:rPr>
        <w:t xml:space="preserve">could be </w:t>
      </w:r>
      <w:r w:rsidR="00C86194" w:rsidRPr="000C06D7">
        <w:rPr>
          <w:rFonts w:ascii="Times New Roman" w:hAnsi="Times New Roman"/>
        </w:rPr>
        <w:t xml:space="preserve">argued </w:t>
      </w:r>
      <w:r w:rsidR="00450FB0" w:rsidRPr="000C06D7">
        <w:rPr>
          <w:rFonts w:ascii="Times New Roman" w:hAnsi="Times New Roman"/>
        </w:rPr>
        <w:t xml:space="preserve">to have been funded by </w:t>
      </w:r>
      <w:r w:rsidR="00972CC8" w:rsidRPr="000C06D7">
        <w:rPr>
          <w:rFonts w:ascii="Times New Roman" w:hAnsi="Times New Roman"/>
        </w:rPr>
        <w:t>"user contributions"</w:t>
      </w:r>
      <w:r w:rsidR="007831EA" w:rsidRPr="000C06D7">
        <w:rPr>
          <w:rFonts w:ascii="Times New Roman" w:hAnsi="Times New Roman"/>
        </w:rPr>
        <w:t xml:space="preserve"> in the form of levies and charges </w:t>
      </w:r>
      <w:r w:rsidR="00C636E3" w:rsidRPr="000C06D7">
        <w:rPr>
          <w:rFonts w:ascii="Times New Roman" w:hAnsi="Times New Roman"/>
        </w:rPr>
        <w:t>imposed</w:t>
      </w:r>
      <w:r w:rsidR="00062775" w:rsidRPr="000C06D7">
        <w:rPr>
          <w:rFonts w:ascii="Times New Roman" w:hAnsi="Times New Roman"/>
        </w:rPr>
        <w:t xml:space="preserve"> by the State</w:t>
      </w:r>
      <w:r w:rsidR="00C636E3" w:rsidRPr="000C06D7">
        <w:rPr>
          <w:rFonts w:ascii="Times New Roman" w:hAnsi="Times New Roman"/>
        </w:rPr>
        <w:t xml:space="preserve"> on </w:t>
      </w:r>
      <w:r w:rsidR="005C5634" w:rsidRPr="000C06D7">
        <w:rPr>
          <w:rFonts w:ascii="Times New Roman" w:hAnsi="Times New Roman"/>
        </w:rPr>
        <w:t xml:space="preserve">past </w:t>
      </w:r>
      <w:r w:rsidR="00C636E3" w:rsidRPr="000C06D7">
        <w:rPr>
          <w:rFonts w:ascii="Times New Roman" w:hAnsi="Times New Roman"/>
        </w:rPr>
        <w:t xml:space="preserve">users of the Port. </w:t>
      </w:r>
    </w:p>
    <w:p w14:paraId="0E53844B" w14:textId="10ADD061" w:rsidR="00684123" w:rsidRPr="000C06D7" w:rsidRDefault="00443A94" w:rsidP="000C06D7">
      <w:pPr>
        <w:pStyle w:val="FixListStyle"/>
        <w:spacing w:after="260" w:line="280" w:lineRule="exact"/>
        <w:ind w:right="0"/>
        <w:jc w:val="both"/>
        <w:rPr>
          <w:rFonts w:ascii="Times New Roman" w:hAnsi="Times New Roman"/>
        </w:rPr>
      </w:pPr>
      <w:r w:rsidRPr="000C06D7">
        <w:rPr>
          <w:rFonts w:ascii="Times New Roman" w:hAnsi="Times New Roman"/>
        </w:rPr>
        <w:lastRenderedPageBreak/>
        <w:tab/>
      </w:r>
      <w:r w:rsidR="00BB1E9E" w:rsidRPr="000C06D7">
        <w:rPr>
          <w:rFonts w:ascii="Times New Roman" w:hAnsi="Times New Roman"/>
        </w:rPr>
        <w:t xml:space="preserve">The </w:t>
      </w:r>
      <w:r w:rsidR="00563D80" w:rsidRPr="000C06D7">
        <w:rPr>
          <w:rFonts w:ascii="Times New Roman" w:hAnsi="Times New Roman"/>
        </w:rPr>
        <w:t>ACCC</w:t>
      </w:r>
      <w:r w:rsidR="00BB1E9E" w:rsidRPr="000C06D7">
        <w:rPr>
          <w:rFonts w:ascii="Times New Roman" w:hAnsi="Times New Roman"/>
        </w:rPr>
        <w:t xml:space="preserve"> </w:t>
      </w:r>
      <w:r w:rsidR="0087393D" w:rsidRPr="000C06D7">
        <w:rPr>
          <w:rFonts w:ascii="Times New Roman" w:hAnsi="Times New Roman"/>
        </w:rPr>
        <w:t xml:space="preserve">had </w:t>
      </w:r>
      <w:r w:rsidR="005E551E" w:rsidRPr="000C06D7">
        <w:rPr>
          <w:rFonts w:ascii="Times New Roman" w:hAnsi="Times New Roman"/>
        </w:rPr>
        <w:t xml:space="preserve">thought </w:t>
      </w:r>
      <w:r w:rsidR="008A23FA" w:rsidRPr="000C06D7">
        <w:rPr>
          <w:rFonts w:ascii="Times New Roman" w:hAnsi="Times New Roman"/>
        </w:rPr>
        <w:t xml:space="preserve">that </w:t>
      </w:r>
      <w:r w:rsidR="00BB1E9E" w:rsidRPr="000C06D7">
        <w:rPr>
          <w:rFonts w:ascii="Times New Roman" w:hAnsi="Times New Roman"/>
        </w:rPr>
        <w:t xml:space="preserve">such </w:t>
      </w:r>
      <w:r w:rsidR="00B03464" w:rsidRPr="000C06D7">
        <w:rPr>
          <w:rFonts w:ascii="Times New Roman" w:hAnsi="Times New Roman"/>
        </w:rPr>
        <w:t xml:space="preserve">an adjustment </w:t>
      </w:r>
      <w:r w:rsidR="008A23FA" w:rsidRPr="000C06D7">
        <w:rPr>
          <w:rFonts w:ascii="Times New Roman" w:hAnsi="Times New Roman"/>
        </w:rPr>
        <w:t xml:space="preserve">was </w:t>
      </w:r>
      <w:r w:rsidR="009B6579" w:rsidRPr="000C06D7">
        <w:rPr>
          <w:rFonts w:ascii="Times New Roman" w:hAnsi="Times New Roman"/>
        </w:rPr>
        <w:t>appropriate</w:t>
      </w:r>
      <w:r w:rsidR="00B03464" w:rsidRPr="000C06D7">
        <w:rPr>
          <w:rFonts w:ascii="Times New Roman" w:hAnsi="Times New Roman"/>
        </w:rPr>
        <w:t xml:space="preserve">. </w:t>
      </w:r>
      <w:r w:rsidR="00C70BE6" w:rsidRPr="000C06D7">
        <w:rPr>
          <w:rFonts w:ascii="Times New Roman" w:hAnsi="Times New Roman"/>
        </w:rPr>
        <w:t>Having</w:t>
      </w:r>
      <w:r w:rsidR="00FA033B" w:rsidRPr="000C06D7">
        <w:rPr>
          <w:rFonts w:ascii="Times New Roman" w:hAnsi="Times New Roman"/>
        </w:rPr>
        <w:t xml:space="preserve"> calculated </w:t>
      </w:r>
      <w:r w:rsidR="007F1991" w:rsidRPr="000C06D7">
        <w:rPr>
          <w:rFonts w:ascii="Times New Roman" w:hAnsi="Times New Roman"/>
        </w:rPr>
        <w:t xml:space="preserve">the </w:t>
      </w:r>
      <w:r w:rsidR="00C70BE6" w:rsidRPr="000C06D7">
        <w:rPr>
          <w:rFonts w:ascii="Times New Roman" w:hAnsi="Times New Roman"/>
        </w:rPr>
        <w:t xml:space="preserve">optimised replacement cost </w:t>
      </w:r>
      <w:r w:rsidR="007F1991" w:rsidRPr="000C06D7">
        <w:rPr>
          <w:rFonts w:ascii="Times New Roman" w:hAnsi="Times New Roman"/>
        </w:rPr>
        <w:t xml:space="preserve">of the </w:t>
      </w:r>
      <w:r w:rsidR="00413259" w:rsidRPr="000C06D7">
        <w:rPr>
          <w:rFonts w:ascii="Times New Roman" w:hAnsi="Times New Roman"/>
        </w:rPr>
        <w:t>RAB</w:t>
      </w:r>
      <w:r w:rsidR="007F1991" w:rsidRPr="000C06D7">
        <w:rPr>
          <w:rFonts w:ascii="Times New Roman" w:hAnsi="Times New Roman"/>
        </w:rPr>
        <w:t xml:space="preserve"> at</w:t>
      </w:r>
      <w:r w:rsidR="00C70BE6" w:rsidRPr="000C06D7">
        <w:rPr>
          <w:rFonts w:ascii="Times New Roman" w:hAnsi="Times New Roman"/>
        </w:rPr>
        <w:t xml:space="preserve"> </w:t>
      </w:r>
      <w:r w:rsidR="005C3D17" w:rsidRPr="000C06D7">
        <w:rPr>
          <w:rFonts w:ascii="Times New Roman" w:hAnsi="Times New Roman"/>
        </w:rPr>
        <w:t>$</w:t>
      </w:r>
      <w:r w:rsidR="00EC4483" w:rsidRPr="000C06D7">
        <w:rPr>
          <w:rFonts w:ascii="Times New Roman" w:hAnsi="Times New Roman"/>
        </w:rPr>
        <w:t>2.17 billion</w:t>
      </w:r>
      <w:r w:rsidR="00525B4B" w:rsidRPr="000C06D7">
        <w:rPr>
          <w:rFonts w:ascii="Times New Roman" w:hAnsi="Times New Roman"/>
        </w:rPr>
        <w:t xml:space="preserve">, </w:t>
      </w:r>
      <w:r w:rsidR="00C86194" w:rsidRPr="000C06D7">
        <w:rPr>
          <w:rFonts w:ascii="Times New Roman" w:hAnsi="Times New Roman"/>
        </w:rPr>
        <w:t>the ACCC</w:t>
      </w:r>
      <w:r w:rsidR="00525B4B" w:rsidRPr="000C06D7">
        <w:rPr>
          <w:rFonts w:ascii="Times New Roman" w:hAnsi="Times New Roman"/>
        </w:rPr>
        <w:t xml:space="preserve"> deducted </w:t>
      </w:r>
      <w:r w:rsidR="00510850" w:rsidRPr="000C06D7">
        <w:rPr>
          <w:rFonts w:ascii="Times New Roman" w:hAnsi="Times New Roman"/>
        </w:rPr>
        <w:t>$</w:t>
      </w:r>
      <w:r w:rsidR="00484CFB" w:rsidRPr="000C06D7">
        <w:rPr>
          <w:rFonts w:ascii="Times New Roman" w:hAnsi="Times New Roman"/>
        </w:rPr>
        <w:t xml:space="preserve">912 million </w:t>
      </w:r>
      <w:r w:rsidR="005854AD" w:rsidRPr="000C06D7">
        <w:rPr>
          <w:rFonts w:ascii="Times New Roman" w:hAnsi="Times New Roman"/>
        </w:rPr>
        <w:t>to account for</w:t>
      </w:r>
      <w:r w:rsidR="00484CFB" w:rsidRPr="000C06D7">
        <w:rPr>
          <w:rFonts w:ascii="Times New Roman" w:hAnsi="Times New Roman"/>
        </w:rPr>
        <w:t xml:space="preserve"> </w:t>
      </w:r>
      <w:r w:rsidR="00397836" w:rsidRPr="000C06D7">
        <w:rPr>
          <w:rFonts w:ascii="Times New Roman" w:hAnsi="Times New Roman"/>
        </w:rPr>
        <w:t xml:space="preserve">what it calculated to be </w:t>
      </w:r>
      <w:r w:rsidR="00484CFB" w:rsidRPr="000C06D7">
        <w:rPr>
          <w:rFonts w:ascii="Times New Roman" w:hAnsi="Times New Roman"/>
        </w:rPr>
        <w:t>the optimised replacement cost of</w:t>
      </w:r>
      <w:r w:rsidR="00F62985" w:rsidRPr="000C06D7">
        <w:rPr>
          <w:rFonts w:ascii="Times New Roman" w:hAnsi="Times New Roman"/>
        </w:rPr>
        <w:t xml:space="preserve"> user contributions</w:t>
      </w:r>
      <w:r w:rsidR="005854AD" w:rsidRPr="000C06D7">
        <w:rPr>
          <w:rFonts w:ascii="Times New Roman" w:hAnsi="Times New Roman"/>
        </w:rPr>
        <w:t>,</w:t>
      </w:r>
      <w:r w:rsidR="00F62985" w:rsidRPr="000C06D7">
        <w:rPr>
          <w:rFonts w:ascii="Times New Roman" w:hAnsi="Times New Roman"/>
        </w:rPr>
        <w:t xml:space="preserve"> to arrive at </w:t>
      </w:r>
      <w:r w:rsidR="009B6579" w:rsidRPr="000C06D7">
        <w:rPr>
          <w:rFonts w:ascii="Times New Roman" w:hAnsi="Times New Roman"/>
        </w:rPr>
        <w:t xml:space="preserve">an adjusted optimised </w:t>
      </w:r>
      <w:r w:rsidR="007F1991" w:rsidRPr="000C06D7">
        <w:rPr>
          <w:rFonts w:ascii="Times New Roman" w:hAnsi="Times New Roman"/>
        </w:rPr>
        <w:t xml:space="preserve">replacement cost of </w:t>
      </w:r>
      <w:r w:rsidR="008B0ADC" w:rsidRPr="000C06D7">
        <w:rPr>
          <w:rFonts w:ascii="Times New Roman" w:hAnsi="Times New Roman"/>
        </w:rPr>
        <w:t xml:space="preserve">$1.26 billion. </w:t>
      </w:r>
      <w:r w:rsidR="00391F50" w:rsidRPr="000C06D7">
        <w:rPr>
          <w:rFonts w:ascii="Times New Roman" w:hAnsi="Times New Roman"/>
        </w:rPr>
        <w:t xml:space="preserve">The </w:t>
      </w:r>
      <w:r w:rsidR="0087393D" w:rsidRPr="000C06D7">
        <w:rPr>
          <w:rFonts w:ascii="Times New Roman" w:hAnsi="Times New Roman"/>
        </w:rPr>
        <w:t>ACCC</w:t>
      </w:r>
      <w:r w:rsidR="006B3AE2" w:rsidRPr="000C06D7">
        <w:rPr>
          <w:rFonts w:ascii="Times New Roman" w:hAnsi="Times New Roman"/>
        </w:rPr>
        <w:t xml:space="preserve"> then depreciated th</w:t>
      </w:r>
      <w:r w:rsidR="002D1F70" w:rsidRPr="000C06D7">
        <w:rPr>
          <w:rFonts w:ascii="Times New Roman" w:hAnsi="Times New Roman"/>
        </w:rPr>
        <w:t xml:space="preserve">at adjusted optimised replacement cost to arrive at a DORC </w:t>
      </w:r>
      <w:r w:rsidR="00CF1EB0" w:rsidRPr="000C06D7">
        <w:rPr>
          <w:rFonts w:ascii="Times New Roman" w:hAnsi="Times New Roman"/>
        </w:rPr>
        <w:t xml:space="preserve">value of </w:t>
      </w:r>
      <w:r w:rsidR="00C70413" w:rsidRPr="000C06D7">
        <w:rPr>
          <w:rFonts w:ascii="Times New Roman" w:hAnsi="Times New Roman"/>
        </w:rPr>
        <w:t xml:space="preserve">the RAB of </w:t>
      </w:r>
      <w:r w:rsidR="00CF1EB0" w:rsidRPr="000C06D7">
        <w:rPr>
          <w:rFonts w:ascii="Times New Roman" w:hAnsi="Times New Roman"/>
        </w:rPr>
        <w:t>$1</w:t>
      </w:r>
      <w:r w:rsidR="00391F50" w:rsidRPr="000C06D7">
        <w:rPr>
          <w:rFonts w:ascii="Times New Roman" w:hAnsi="Times New Roman"/>
        </w:rPr>
        <w:t>.</w:t>
      </w:r>
      <w:r w:rsidR="00CF1EB0" w:rsidRPr="000C06D7">
        <w:rPr>
          <w:rFonts w:ascii="Times New Roman" w:hAnsi="Times New Roman"/>
        </w:rPr>
        <w:t>16 billion.</w:t>
      </w:r>
      <w:r w:rsidR="007A3C67" w:rsidRPr="000C06D7">
        <w:rPr>
          <w:rFonts w:ascii="Times New Roman" w:hAnsi="Times New Roman"/>
        </w:rPr>
        <w:t xml:space="preserve"> </w:t>
      </w:r>
      <w:r w:rsidR="00684123" w:rsidRPr="000C06D7">
        <w:rPr>
          <w:rFonts w:ascii="Times New Roman" w:hAnsi="Times New Roman"/>
        </w:rPr>
        <w:t xml:space="preserve">The </w:t>
      </w:r>
      <w:r w:rsidR="009D04EC" w:rsidRPr="000C06D7">
        <w:rPr>
          <w:rFonts w:ascii="Times New Roman" w:hAnsi="Times New Roman"/>
        </w:rPr>
        <w:t>consequence</w:t>
      </w:r>
      <w:r w:rsidR="00684123" w:rsidRPr="000C06D7">
        <w:rPr>
          <w:rFonts w:ascii="Times New Roman" w:hAnsi="Times New Roman"/>
        </w:rPr>
        <w:t xml:space="preserve"> </w:t>
      </w:r>
      <w:r w:rsidR="00701FC9" w:rsidRPr="000C06D7">
        <w:rPr>
          <w:rFonts w:ascii="Times New Roman" w:hAnsi="Times New Roman"/>
        </w:rPr>
        <w:t xml:space="preserve">of valuing the RAB at $1.16 billion </w:t>
      </w:r>
      <w:r w:rsidR="00684123" w:rsidRPr="000C06D7">
        <w:rPr>
          <w:rFonts w:ascii="Times New Roman" w:hAnsi="Times New Roman"/>
        </w:rPr>
        <w:t xml:space="preserve">was </w:t>
      </w:r>
      <w:r w:rsidR="00EC0355" w:rsidRPr="000C06D7">
        <w:rPr>
          <w:rFonts w:ascii="Times New Roman" w:hAnsi="Times New Roman"/>
        </w:rPr>
        <w:t xml:space="preserve">that the navigation service charge payable </w:t>
      </w:r>
      <w:r w:rsidR="00C0303B" w:rsidRPr="000C06D7">
        <w:rPr>
          <w:rFonts w:ascii="Times New Roman" w:hAnsi="Times New Roman"/>
        </w:rPr>
        <w:t xml:space="preserve">by Glencore to PNO </w:t>
      </w:r>
      <w:r w:rsidR="00475ED4" w:rsidRPr="000C06D7">
        <w:rPr>
          <w:rFonts w:ascii="Times New Roman" w:hAnsi="Times New Roman"/>
        </w:rPr>
        <w:t xml:space="preserve">was </w:t>
      </w:r>
      <w:r w:rsidR="00356791" w:rsidRPr="000C06D7">
        <w:rPr>
          <w:rFonts w:ascii="Times New Roman" w:hAnsi="Times New Roman"/>
        </w:rPr>
        <w:t xml:space="preserve">determined </w:t>
      </w:r>
      <w:r w:rsidR="00475ED4" w:rsidRPr="000C06D7">
        <w:rPr>
          <w:rFonts w:ascii="Times New Roman" w:hAnsi="Times New Roman"/>
        </w:rPr>
        <w:t>to be $0.6075</w:t>
      </w:r>
      <w:r w:rsidR="0022312B" w:rsidRPr="000C06D7">
        <w:rPr>
          <w:rFonts w:ascii="Times New Roman" w:hAnsi="Times New Roman"/>
        </w:rPr>
        <w:t xml:space="preserve"> (as at 1</w:t>
      </w:r>
      <w:r w:rsidR="00485C8C" w:rsidRPr="000C06D7">
        <w:rPr>
          <w:rFonts w:ascii="Times New Roman" w:hAnsi="Times New Roman"/>
        </w:rPr>
        <w:t> </w:t>
      </w:r>
      <w:r w:rsidR="0022312B" w:rsidRPr="000C06D7">
        <w:rPr>
          <w:rFonts w:ascii="Times New Roman" w:hAnsi="Times New Roman"/>
        </w:rPr>
        <w:t>January 2018).</w:t>
      </w:r>
    </w:p>
    <w:p w14:paraId="02732494" w14:textId="69B9DCE3" w:rsidR="00A15595" w:rsidRPr="000C06D7" w:rsidRDefault="00684123"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7A3C67" w:rsidRPr="000C06D7">
        <w:rPr>
          <w:rFonts w:ascii="Times New Roman" w:hAnsi="Times New Roman"/>
        </w:rPr>
        <w:t xml:space="preserve">The </w:t>
      </w:r>
      <w:r w:rsidR="0087393D" w:rsidRPr="000C06D7">
        <w:rPr>
          <w:rFonts w:ascii="Times New Roman" w:hAnsi="Times New Roman"/>
        </w:rPr>
        <w:t>ACCC</w:t>
      </w:r>
      <w:r w:rsidR="007A3C67" w:rsidRPr="000C06D7">
        <w:rPr>
          <w:rFonts w:ascii="Times New Roman" w:hAnsi="Times New Roman"/>
        </w:rPr>
        <w:t xml:space="preserve"> had explained its </w:t>
      </w:r>
      <w:r w:rsidR="00A15595" w:rsidRPr="000C06D7">
        <w:rPr>
          <w:rFonts w:ascii="Times New Roman" w:hAnsi="Times New Roman"/>
        </w:rPr>
        <w:t>reasons for making that adjustment as follows</w:t>
      </w:r>
      <w:r w:rsidR="00256E24" w:rsidRPr="000C06D7">
        <w:rPr>
          <w:rStyle w:val="FootnoteReference"/>
          <w:rFonts w:ascii="Times New Roman" w:hAnsi="Times New Roman"/>
          <w:sz w:val="24"/>
        </w:rPr>
        <w:footnoteReference w:id="69"/>
      </w:r>
      <w:r w:rsidR="00F536BA" w:rsidRPr="000C06D7">
        <w:rPr>
          <w:rFonts w:ascii="Times New Roman" w:hAnsi="Times New Roman"/>
        </w:rPr>
        <w:t>:</w:t>
      </w:r>
    </w:p>
    <w:p w14:paraId="1EB92BBC" w14:textId="77777777" w:rsidR="000C06D7" w:rsidRDefault="00A11F1D" w:rsidP="000C06D7">
      <w:pPr>
        <w:pStyle w:val="leftright"/>
        <w:spacing w:before="0" w:after="260" w:line="280" w:lineRule="exact"/>
        <w:ind w:right="0"/>
        <w:jc w:val="both"/>
        <w:rPr>
          <w:rFonts w:ascii="Times New Roman" w:hAnsi="Times New Roman"/>
        </w:rPr>
      </w:pPr>
      <w:r w:rsidRPr="000C06D7">
        <w:rPr>
          <w:rFonts w:ascii="Times New Roman" w:hAnsi="Times New Roman"/>
        </w:rPr>
        <w:tab/>
      </w:r>
      <w:r w:rsidR="00C06B35" w:rsidRPr="000C06D7">
        <w:rPr>
          <w:rFonts w:ascii="Times New Roman" w:hAnsi="Times New Roman"/>
        </w:rPr>
        <w:t>"</w:t>
      </w:r>
      <w:r w:rsidR="00B93B6F" w:rsidRPr="000C06D7">
        <w:rPr>
          <w:rFonts w:ascii="Times New Roman" w:hAnsi="Times New Roman"/>
        </w:rPr>
        <w:t xml:space="preserve">The </w:t>
      </w:r>
      <w:r w:rsidR="00C06B35" w:rsidRPr="000C06D7">
        <w:rPr>
          <w:rFonts w:ascii="Times New Roman" w:hAnsi="Times New Roman"/>
        </w:rPr>
        <w:t>[ACCC]</w:t>
      </w:r>
      <w:r w:rsidR="00B93B6F" w:rsidRPr="000C06D7">
        <w:rPr>
          <w:rFonts w:ascii="Times New Roman" w:hAnsi="Times New Roman"/>
        </w:rPr>
        <w:t xml:space="preserve"> considers that deducting user funded capital contributions from the DORC value used to establish </w:t>
      </w:r>
      <w:r w:rsidR="00B05E48" w:rsidRPr="000C06D7">
        <w:rPr>
          <w:rFonts w:ascii="Times New Roman" w:hAnsi="Times New Roman"/>
        </w:rPr>
        <w:t xml:space="preserve">PNO's </w:t>
      </w:r>
      <w:r w:rsidR="00B93B6F" w:rsidRPr="000C06D7">
        <w:rPr>
          <w:rFonts w:ascii="Times New Roman" w:hAnsi="Times New Roman"/>
        </w:rPr>
        <w:t>initial RAB is in the interests of those who have a right to use the Service (section</w:t>
      </w:r>
      <w:r w:rsidR="00404464" w:rsidRPr="000C06D7">
        <w:rPr>
          <w:rFonts w:ascii="Times New Roman" w:hAnsi="Times New Roman"/>
        </w:rPr>
        <w:t> </w:t>
      </w:r>
      <w:r w:rsidR="00B93B6F" w:rsidRPr="000C06D7">
        <w:rPr>
          <w:rFonts w:ascii="Times New Roman" w:hAnsi="Times New Roman"/>
        </w:rPr>
        <w:t>44X(1)(c)) because it will ensure that users do not pay for the same assets twice: once through their initial investment and again through PNO</w:t>
      </w:r>
      <w:r w:rsidR="000E189D" w:rsidRPr="000C06D7">
        <w:rPr>
          <w:rFonts w:ascii="Times New Roman" w:hAnsi="Times New Roman"/>
        </w:rPr>
        <w:t>'</w:t>
      </w:r>
      <w:r w:rsidR="00B93B6F" w:rsidRPr="000C06D7">
        <w:rPr>
          <w:rFonts w:ascii="Times New Roman" w:hAnsi="Times New Roman"/>
        </w:rPr>
        <w:t>s charges. This in turn promotes the economically efficient operation of, use of and investment in the Service (sections 44X(1)(aa) and (g)) and also takes into account the value to PNO of extensions where the cost has already been borne by users (section 44X(1)(e)). At the same time, the</w:t>
      </w:r>
      <w:r w:rsidR="004D1649" w:rsidRPr="000C06D7">
        <w:rPr>
          <w:rFonts w:ascii="Times New Roman" w:hAnsi="Times New Roman"/>
        </w:rPr>
        <w:t xml:space="preserve"> </w:t>
      </w:r>
      <w:r w:rsidR="00B93B6F" w:rsidRPr="000C06D7">
        <w:rPr>
          <w:rFonts w:ascii="Times New Roman" w:hAnsi="Times New Roman"/>
        </w:rPr>
        <w:t>DORC value net of user contributions ensures that PNO is able to earn sufficient revenue to</w:t>
      </w:r>
      <w:r w:rsidR="00C06B35" w:rsidRPr="000C06D7">
        <w:rPr>
          <w:rFonts w:ascii="Times New Roman" w:hAnsi="Times New Roman"/>
        </w:rPr>
        <w:t xml:space="preserve"> </w:t>
      </w:r>
      <w:r w:rsidR="00B93B6F" w:rsidRPr="000C06D7">
        <w:rPr>
          <w:rFonts w:ascii="Times New Roman" w:hAnsi="Times New Roman"/>
        </w:rPr>
        <w:t>recover its efficient costs (sections 44X(1)(h) and 44ZZCA(a)(</w:t>
      </w:r>
      <w:proofErr w:type="spellStart"/>
      <w:r w:rsidR="00B93B6F" w:rsidRPr="000C06D7">
        <w:rPr>
          <w:rFonts w:ascii="Times New Roman" w:hAnsi="Times New Roman"/>
        </w:rPr>
        <w:t>i</w:t>
      </w:r>
      <w:proofErr w:type="spellEnd"/>
      <w:r w:rsidR="00B93B6F" w:rsidRPr="000C06D7">
        <w:rPr>
          <w:rFonts w:ascii="Times New Roman" w:hAnsi="Times New Roman"/>
        </w:rPr>
        <w:t>)), which is in the legitimate</w:t>
      </w:r>
      <w:r w:rsidR="00C06B35" w:rsidRPr="000C06D7">
        <w:rPr>
          <w:rFonts w:ascii="Times New Roman" w:hAnsi="Times New Roman"/>
        </w:rPr>
        <w:t xml:space="preserve"> </w:t>
      </w:r>
      <w:r w:rsidR="00B93B6F" w:rsidRPr="000C06D7">
        <w:rPr>
          <w:rFonts w:ascii="Times New Roman" w:hAnsi="Times New Roman"/>
        </w:rPr>
        <w:t>business interests of PNO and its investment in the facility (section 44X(1)(a)).</w:t>
      </w:r>
      <w:r w:rsidR="00C06B35" w:rsidRPr="000C06D7">
        <w:rPr>
          <w:rFonts w:ascii="Times New Roman" w:hAnsi="Times New Roman"/>
        </w:rPr>
        <w:t>"</w:t>
      </w:r>
    </w:p>
    <w:p w14:paraId="07D86255" w14:textId="7191FC43" w:rsidR="00BE1D93" w:rsidRPr="000C06D7" w:rsidRDefault="00A15595"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4A4FEF" w:rsidRPr="000C06D7">
        <w:rPr>
          <w:rFonts w:ascii="Times New Roman" w:hAnsi="Times New Roman"/>
        </w:rPr>
        <w:t>The Tribunal took a different view.</w:t>
      </w:r>
      <w:r w:rsidR="002F6957" w:rsidRPr="000C06D7">
        <w:rPr>
          <w:rFonts w:ascii="Times New Roman" w:hAnsi="Times New Roman"/>
        </w:rPr>
        <w:t xml:space="preserve"> In relation to the construction of s</w:t>
      </w:r>
      <w:r w:rsidR="00A65EFF" w:rsidRPr="000C06D7">
        <w:rPr>
          <w:rFonts w:ascii="Times New Roman" w:hAnsi="Times New Roman"/>
        </w:rPr>
        <w:t> </w:t>
      </w:r>
      <w:r w:rsidR="002F6957" w:rsidRPr="000C06D7">
        <w:rPr>
          <w:rFonts w:ascii="Times New Roman" w:hAnsi="Times New Roman"/>
        </w:rPr>
        <w:t xml:space="preserve">44X(1)(e), it </w:t>
      </w:r>
      <w:r w:rsidR="005872B0" w:rsidRPr="000C06D7">
        <w:rPr>
          <w:rFonts w:ascii="Times New Roman" w:hAnsi="Times New Roman"/>
        </w:rPr>
        <w:t>took the view that "this factor is directed at situations where the determination requires the provider to extend the facility (for example by extending a train line to a third party's mine)</w:t>
      </w:r>
      <w:r w:rsidR="002F6957" w:rsidRPr="000C06D7">
        <w:rPr>
          <w:rFonts w:ascii="Times New Roman" w:hAnsi="Times New Roman"/>
        </w:rPr>
        <w:t xml:space="preserve"> </w:t>
      </w:r>
      <w:r w:rsidR="00616DFC" w:rsidRPr="000C06D7">
        <w:rPr>
          <w:rFonts w:ascii="Times New Roman" w:hAnsi="Times New Roman"/>
        </w:rPr>
        <w:t>and is not applicable here"</w:t>
      </w:r>
      <w:r w:rsidR="00024625" w:rsidRPr="000C06D7">
        <w:rPr>
          <w:rStyle w:val="FootnoteReference"/>
          <w:rFonts w:ascii="Times New Roman" w:hAnsi="Times New Roman"/>
          <w:sz w:val="24"/>
        </w:rPr>
        <w:footnoteReference w:id="70"/>
      </w:r>
      <w:r w:rsidR="00024625" w:rsidRPr="000C06D7">
        <w:rPr>
          <w:rFonts w:ascii="Times New Roman" w:hAnsi="Times New Roman"/>
        </w:rPr>
        <w:t>.</w:t>
      </w:r>
      <w:r w:rsidR="00616DFC" w:rsidRPr="000C06D7">
        <w:rPr>
          <w:rFonts w:ascii="Times New Roman" w:hAnsi="Times New Roman"/>
        </w:rPr>
        <w:t xml:space="preserve"> In conse</w:t>
      </w:r>
      <w:r w:rsidR="00246C2B" w:rsidRPr="000C06D7">
        <w:rPr>
          <w:rFonts w:ascii="Times New Roman" w:hAnsi="Times New Roman"/>
        </w:rPr>
        <w:t>q</w:t>
      </w:r>
      <w:r w:rsidR="00616DFC" w:rsidRPr="000C06D7">
        <w:rPr>
          <w:rFonts w:ascii="Times New Roman" w:hAnsi="Times New Roman"/>
        </w:rPr>
        <w:t>uence,</w:t>
      </w:r>
      <w:r w:rsidR="002F6957" w:rsidRPr="000C06D7">
        <w:rPr>
          <w:rFonts w:ascii="Times New Roman" w:hAnsi="Times New Roman"/>
        </w:rPr>
        <w:t xml:space="preserve"> it thought</w:t>
      </w:r>
      <w:r w:rsidR="00246C2B" w:rsidRPr="000C06D7">
        <w:rPr>
          <w:rFonts w:ascii="Times New Roman" w:hAnsi="Times New Roman"/>
        </w:rPr>
        <w:t xml:space="preserve"> that</w:t>
      </w:r>
      <w:r w:rsidR="002F6957" w:rsidRPr="000C06D7">
        <w:rPr>
          <w:rFonts w:ascii="Times New Roman" w:hAnsi="Times New Roman"/>
        </w:rPr>
        <w:t xml:space="preserve"> </w:t>
      </w:r>
      <w:r w:rsidR="00117596" w:rsidRPr="000C06D7">
        <w:rPr>
          <w:rFonts w:ascii="Times New Roman" w:hAnsi="Times New Roman"/>
        </w:rPr>
        <w:t>s</w:t>
      </w:r>
      <w:r w:rsidR="00A65EFF" w:rsidRPr="000C06D7">
        <w:rPr>
          <w:rFonts w:ascii="Times New Roman" w:hAnsi="Times New Roman"/>
        </w:rPr>
        <w:t> </w:t>
      </w:r>
      <w:r w:rsidR="00117596" w:rsidRPr="000C06D7">
        <w:rPr>
          <w:rFonts w:ascii="Times New Roman" w:hAnsi="Times New Roman"/>
        </w:rPr>
        <w:t>44X(1)(e)</w:t>
      </w:r>
      <w:r w:rsidR="001835BD" w:rsidRPr="000C06D7">
        <w:rPr>
          <w:rFonts w:ascii="Times New Roman" w:hAnsi="Times New Roman"/>
        </w:rPr>
        <w:t xml:space="preserve"> "does not of itself require </w:t>
      </w:r>
      <w:r w:rsidR="000E189D" w:rsidRPr="000C06D7">
        <w:rPr>
          <w:rFonts w:ascii="Times New Roman" w:hAnsi="Times New Roman"/>
        </w:rPr>
        <w:t xml:space="preserve">the </w:t>
      </w:r>
      <w:r w:rsidR="001835BD" w:rsidRPr="000C06D7">
        <w:rPr>
          <w:rFonts w:ascii="Times New Roman" w:hAnsi="Times New Roman"/>
        </w:rPr>
        <w:t>ded</w:t>
      </w:r>
      <w:r w:rsidR="00022DA4" w:rsidRPr="000C06D7">
        <w:rPr>
          <w:rFonts w:ascii="Times New Roman" w:hAnsi="Times New Roman"/>
        </w:rPr>
        <w:t xml:space="preserve">uction of user contributions", though it added that "at the very least, the circumstances of </w:t>
      </w:r>
      <w:r w:rsidR="00022DA4" w:rsidRPr="000C06D7">
        <w:rPr>
          <w:rFonts w:ascii="Times New Roman" w:hAnsi="Times New Roman"/>
        </w:rPr>
        <w:lastRenderedPageBreak/>
        <w:t>the contribution need to be examined"</w:t>
      </w:r>
      <w:r w:rsidR="00F536BA" w:rsidRPr="000C06D7">
        <w:rPr>
          <w:rStyle w:val="FootnoteReference"/>
          <w:rFonts w:ascii="Times New Roman" w:hAnsi="Times New Roman"/>
          <w:sz w:val="24"/>
        </w:rPr>
        <w:footnoteReference w:id="71"/>
      </w:r>
      <w:r w:rsidR="00F536BA" w:rsidRPr="000C06D7">
        <w:rPr>
          <w:rFonts w:ascii="Times New Roman" w:hAnsi="Times New Roman"/>
        </w:rPr>
        <w:t>.</w:t>
      </w:r>
      <w:r w:rsidR="00793D68" w:rsidRPr="000C06D7">
        <w:rPr>
          <w:rFonts w:ascii="Times New Roman" w:hAnsi="Times New Roman"/>
        </w:rPr>
        <w:t xml:space="preserve"> </w:t>
      </w:r>
      <w:r w:rsidR="004A4FEF" w:rsidRPr="000C06D7">
        <w:rPr>
          <w:rFonts w:ascii="Times New Roman" w:hAnsi="Times New Roman"/>
        </w:rPr>
        <w:t>It thought t</w:t>
      </w:r>
      <w:r w:rsidR="002036FD" w:rsidRPr="000C06D7">
        <w:rPr>
          <w:rFonts w:ascii="Times New Roman" w:hAnsi="Times New Roman"/>
        </w:rPr>
        <w:t xml:space="preserve">hat </w:t>
      </w:r>
      <w:r w:rsidR="009C627A" w:rsidRPr="000C06D7">
        <w:rPr>
          <w:rFonts w:ascii="Times New Roman" w:hAnsi="Times New Roman"/>
        </w:rPr>
        <w:t>adjust</w:t>
      </w:r>
      <w:r w:rsidR="00003C52" w:rsidRPr="000C06D7">
        <w:rPr>
          <w:rFonts w:ascii="Times New Roman" w:hAnsi="Times New Roman"/>
        </w:rPr>
        <w:t>ing</w:t>
      </w:r>
      <w:r w:rsidR="009C627A" w:rsidRPr="000C06D7">
        <w:rPr>
          <w:rFonts w:ascii="Times New Roman" w:hAnsi="Times New Roman"/>
        </w:rPr>
        <w:t xml:space="preserve"> the DORC</w:t>
      </w:r>
      <w:r w:rsidR="006F1ED6" w:rsidRPr="000C06D7">
        <w:rPr>
          <w:rFonts w:ascii="Times New Roman" w:hAnsi="Times New Roman"/>
        </w:rPr>
        <w:t xml:space="preserve"> </w:t>
      </w:r>
      <w:r w:rsidR="00003C52" w:rsidRPr="000C06D7">
        <w:rPr>
          <w:rFonts w:ascii="Times New Roman" w:hAnsi="Times New Roman"/>
        </w:rPr>
        <w:t>downwards</w:t>
      </w:r>
      <w:r w:rsidR="00CD75F8" w:rsidRPr="000C06D7">
        <w:rPr>
          <w:rFonts w:ascii="Times New Roman" w:hAnsi="Times New Roman"/>
        </w:rPr>
        <w:t xml:space="preserve"> </w:t>
      </w:r>
      <w:r w:rsidR="006F1ED6" w:rsidRPr="000C06D7">
        <w:rPr>
          <w:rFonts w:ascii="Times New Roman" w:hAnsi="Times New Roman"/>
        </w:rPr>
        <w:t xml:space="preserve">by reference to </w:t>
      </w:r>
      <w:r w:rsidR="00B87AE2" w:rsidRPr="000C06D7">
        <w:rPr>
          <w:rFonts w:ascii="Times New Roman" w:hAnsi="Times New Roman"/>
        </w:rPr>
        <w:t xml:space="preserve">user </w:t>
      </w:r>
      <w:r w:rsidR="009D73CC" w:rsidRPr="000C06D7">
        <w:rPr>
          <w:rFonts w:ascii="Times New Roman" w:hAnsi="Times New Roman"/>
        </w:rPr>
        <w:t>contributions</w:t>
      </w:r>
      <w:r w:rsidR="00CD75F8" w:rsidRPr="000C06D7">
        <w:rPr>
          <w:rFonts w:ascii="Times New Roman" w:hAnsi="Times New Roman"/>
        </w:rPr>
        <w:t xml:space="preserve"> </w:t>
      </w:r>
      <w:r w:rsidR="00F15F07" w:rsidRPr="000C06D7">
        <w:rPr>
          <w:rFonts w:ascii="Times New Roman" w:hAnsi="Times New Roman"/>
        </w:rPr>
        <w:t xml:space="preserve">to arrive at an RAB </w:t>
      </w:r>
      <w:r w:rsidR="00956A9E" w:rsidRPr="000C06D7">
        <w:rPr>
          <w:rFonts w:ascii="Times New Roman" w:hAnsi="Times New Roman"/>
        </w:rPr>
        <w:t xml:space="preserve">could not generate efficient charges and </w:t>
      </w:r>
      <w:r w:rsidR="00657AFC" w:rsidRPr="000C06D7">
        <w:rPr>
          <w:rFonts w:ascii="Times New Roman" w:hAnsi="Times New Roman"/>
        </w:rPr>
        <w:t>was unwarranted</w:t>
      </w:r>
      <w:r w:rsidR="005449A4" w:rsidRPr="000C06D7">
        <w:rPr>
          <w:rFonts w:ascii="Times New Roman" w:hAnsi="Times New Roman"/>
        </w:rPr>
        <w:t xml:space="preserve"> in the circumstances</w:t>
      </w:r>
      <w:r w:rsidR="005449A4" w:rsidRPr="000C06D7">
        <w:rPr>
          <w:rStyle w:val="FootnoteReference"/>
          <w:rFonts w:ascii="Times New Roman" w:hAnsi="Times New Roman"/>
          <w:sz w:val="24"/>
        </w:rPr>
        <w:footnoteReference w:id="72"/>
      </w:r>
      <w:r w:rsidR="00657AFC" w:rsidRPr="000C06D7">
        <w:rPr>
          <w:rFonts w:ascii="Times New Roman" w:hAnsi="Times New Roman"/>
        </w:rPr>
        <w:t>.</w:t>
      </w:r>
      <w:r w:rsidR="00823FC0" w:rsidRPr="000C06D7">
        <w:rPr>
          <w:rFonts w:ascii="Times New Roman" w:hAnsi="Times New Roman"/>
        </w:rPr>
        <w:t xml:space="preserve"> </w:t>
      </w:r>
      <w:r w:rsidR="00301560" w:rsidRPr="000C06D7">
        <w:rPr>
          <w:rFonts w:ascii="Times New Roman" w:hAnsi="Times New Roman"/>
        </w:rPr>
        <w:t>It thought that "</w:t>
      </w:r>
      <w:r w:rsidR="005773FC" w:rsidRPr="000C06D7">
        <w:rPr>
          <w:rFonts w:ascii="Times New Roman" w:hAnsi="Times New Roman"/>
          <w:color w:val="000000"/>
          <w:shd w:val="clear" w:color="auto" w:fill="FFFFFF"/>
        </w:rPr>
        <w:t>precluding a return on all the assets that are part of the facility (sunk or not) would send a signal to future investors in other natural monopoly assets that they risked having their investment, once made, treated as sunk, with future returns confiscated</w:t>
      </w:r>
      <w:r w:rsidR="00301560" w:rsidRPr="000C06D7">
        <w:rPr>
          <w:rFonts w:ascii="Times New Roman" w:hAnsi="Times New Roman"/>
          <w:color w:val="000000"/>
          <w:shd w:val="clear" w:color="auto" w:fill="FFFFFF"/>
        </w:rPr>
        <w:t>"</w:t>
      </w:r>
      <w:r w:rsidR="00301560" w:rsidRPr="000C06D7">
        <w:rPr>
          <w:rStyle w:val="FootnoteReference"/>
          <w:rFonts w:ascii="Times New Roman" w:hAnsi="Times New Roman"/>
          <w:color w:val="000000"/>
          <w:sz w:val="24"/>
          <w:shd w:val="clear" w:color="auto" w:fill="FFFFFF"/>
        </w:rPr>
        <w:footnoteReference w:id="73"/>
      </w:r>
      <w:r w:rsidR="00011DB0" w:rsidRPr="000C06D7">
        <w:rPr>
          <w:rFonts w:ascii="Times New Roman" w:hAnsi="Times New Roman"/>
          <w:color w:val="000000"/>
          <w:shd w:val="clear" w:color="auto" w:fill="FFFFFF"/>
        </w:rPr>
        <w:t>.</w:t>
      </w:r>
      <w:r w:rsidR="004909FE" w:rsidRPr="000C06D7">
        <w:rPr>
          <w:rFonts w:ascii="Times New Roman" w:hAnsi="Times New Roman"/>
          <w:color w:val="000000"/>
          <w:shd w:val="clear" w:color="auto" w:fill="FFFFFF"/>
        </w:rPr>
        <w:t xml:space="preserve"> </w:t>
      </w:r>
      <w:r w:rsidR="003C099C" w:rsidRPr="000C06D7">
        <w:rPr>
          <w:rFonts w:ascii="Times New Roman" w:hAnsi="Times New Roman"/>
          <w:color w:val="000000"/>
          <w:shd w:val="clear" w:color="auto" w:fill="FFFFFF"/>
        </w:rPr>
        <w:t xml:space="preserve">It thought </w:t>
      </w:r>
      <w:r w:rsidR="00D66282" w:rsidRPr="000C06D7">
        <w:rPr>
          <w:rFonts w:ascii="Times New Roman" w:hAnsi="Times New Roman"/>
          <w:color w:val="000000"/>
          <w:shd w:val="clear" w:color="auto" w:fill="FFFFFF"/>
        </w:rPr>
        <w:t xml:space="preserve">that disputation over </w:t>
      </w:r>
      <w:r w:rsidR="00624000" w:rsidRPr="000C06D7">
        <w:rPr>
          <w:rFonts w:ascii="Times New Roman" w:hAnsi="Times New Roman"/>
          <w:color w:val="000000"/>
          <w:shd w:val="clear" w:color="auto" w:fill="FFFFFF"/>
        </w:rPr>
        <w:t xml:space="preserve">the treatment of user contributions could not be resolved by </w:t>
      </w:r>
      <w:r w:rsidR="000B0F2F" w:rsidRPr="000C06D7">
        <w:rPr>
          <w:rFonts w:ascii="Times New Roman" w:hAnsi="Times New Roman"/>
          <w:color w:val="000000"/>
          <w:shd w:val="clear" w:color="auto" w:fill="FFFFFF"/>
        </w:rPr>
        <w:t>"</w:t>
      </w:r>
      <w:r w:rsidR="00624000" w:rsidRPr="000C06D7">
        <w:rPr>
          <w:rFonts w:ascii="Times New Roman" w:hAnsi="Times New Roman"/>
          <w:color w:val="000000"/>
          <w:shd w:val="clear" w:color="auto" w:fill="FFFFFF"/>
        </w:rPr>
        <w:t>simplistic claims that users should not have to pay twice</w:t>
      </w:r>
      <w:r w:rsidR="000B0F2F" w:rsidRPr="000C06D7">
        <w:rPr>
          <w:rFonts w:ascii="Times New Roman" w:hAnsi="Times New Roman"/>
          <w:color w:val="000000"/>
          <w:shd w:val="clear" w:color="auto" w:fill="FFFFFF"/>
        </w:rPr>
        <w:t>"</w:t>
      </w:r>
      <w:r w:rsidR="00624000" w:rsidRPr="000C06D7">
        <w:rPr>
          <w:rFonts w:ascii="Times New Roman" w:hAnsi="Times New Roman"/>
          <w:color w:val="000000"/>
          <w:shd w:val="clear" w:color="auto" w:fill="FFFFFF"/>
        </w:rPr>
        <w:t xml:space="preserve"> </w:t>
      </w:r>
      <w:r w:rsidR="00011DB0" w:rsidRPr="000C06D7">
        <w:rPr>
          <w:rFonts w:ascii="Times New Roman" w:hAnsi="Times New Roman"/>
          <w:color w:val="000000"/>
          <w:shd w:val="clear" w:color="auto" w:fill="FFFFFF"/>
        </w:rPr>
        <w:t xml:space="preserve">and </w:t>
      </w:r>
      <w:r w:rsidR="004909FE" w:rsidRPr="000C06D7">
        <w:rPr>
          <w:rFonts w:ascii="Times New Roman" w:hAnsi="Times New Roman"/>
          <w:color w:val="000000"/>
          <w:shd w:val="clear" w:color="auto" w:fill="FFFFFF"/>
        </w:rPr>
        <w:t xml:space="preserve">that </w:t>
      </w:r>
      <w:r w:rsidR="00827CBD" w:rsidRPr="000C06D7">
        <w:rPr>
          <w:rFonts w:ascii="Times New Roman" w:hAnsi="Times New Roman"/>
          <w:color w:val="000000"/>
          <w:shd w:val="clear" w:color="auto" w:fill="FFFFFF"/>
        </w:rPr>
        <w:t>"[o]</w:t>
      </w:r>
      <w:proofErr w:type="spellStart"/>
      <w:r w:rsidR="00827CBD" w:rsidRPr="000C06D7">
        <w:rPr>
          <w:rFonts w:ascii="Times New Roman" w:hAnsi="Times New Roman"/>
          <w:color w:val="000000"/>
          <w:shd w:val="clear" w:color="auto" w:fill="FFFFFF"/>
        </w:rPr>
        <w:t>nly</w:t>
      </w:r>
      <w:proofErr w:type="spellEnd"/>
      <w:r w:rsidR="00827CBD" w:rsidRPr="000C06D7">
        <w:rPr>
          <w:rFonts w:ascii="Times New Roman" w:hAnsi="Times New Roman"/>
          <w:color w:val="000000"/>
          <w:shd w:val="clear" w:color="auto" w:fill="FFFFFF"/>
        </w:rPr>
        <w:t xml:space="preserve"> clear indications of an understanding by the access provider and an expectation by the access user that future pricing would be adjusted in some way for the value of those assets could justify excluding them from the RAB"</w:t>
      </w:r>
      <w:r w:rsidR="00EE28AB" w:rsidRPr="000C06D7">
        <w:rPr>
          <w:rStyle w:val="FootnoteReference"/>
          <w:rFonts w:ascii="Times New Roman" w:hAnsi="Times New Roman"/>
          <w:color w:val="000000"/>
          <w:sz w:val="24"/>
          <w:shd w:val="clear" w:color="auto" w:fill="FFFFFF"/>
        </w:rPr>
        <w:footnoteReference w:id="74"/>
      </w:r>
      <w:r w:rsidR="005773FC" w:rsidRPr="000C06D7">
        <w:rPr>
          <w:rFonts w:ascii="Times New Roman" w:hAnsi="Times New Roman"/>
          <w:color w:val="000000"/>
          <w:shd w:val="clear" w:color="auto" w:fill="FFFFFF"/>
        </w:rPr>
        <w:t>.</w:t>
      </w:r>
      <w:r w:rsidR="00603733" w:rsidRPr="000C06D7">
        <w:rPr>
          <w:rFonts w:ascii="Times New Roman" w:hAnsi="Times New Roman"/>
          <w:color w:val="000000"/>
          <w:shd w:val="clear" w:color="auto" w:fill="FFFFFF"/>
        </w:rPr>
        <w:t xml:space="preserve"> </w:t>
      </w:r>
      <w:r w:rsidR="00C867F2" w:rsidRPr="000C06D7">
        <w:rPr>
          <w:rFonts w:ascii="Times New Roman" w:hAnsi="Times New Roman"/>
          <w:color w:val="000000"/>
          <w:shd w:val="clear" w:color="auto" w:fill="FFFFFF"/>
        </w:rPr>
        <w:t>There wa</w:t>
      </w:r>
      <w:r w:rsidR="001341ED" w:rsidRPr="000C06D7">
        <w:rPr>
          <w:rFonts w:ascii="Times New Roman" w:hAnsi="Times New Roman"/>
          <w:color w:val="000000"/>
          <w:shd w:val="clear" w:color="auto" w:fill="FFFFFF"/>
        </w:rPr>
        <w:t xml:space="preserve">s, it noted, </w:t>
      </w:r>
      <w:r w:rsidR="0059055A" w:rsidRPr="000C06D7">
        <w:rPr>
          <w:rFonts w:ascii="Times New Roman" w:hAnsi="Times New Roman"/>
          <w:color w:val="000000"/>
          <w:shd w:val="clear" w:color="auto" w:fill="FFFFFF"/>
        </w:rPr>
        <w:t>"no evidence of any such understandings or expectations"</w:t>
      </w:r>
      <w:r w:rsidR="0059055A" w:rsidRPr="000C06D7">
        <w:rPr>
          <w:rStyle w:val="FootnoteReference"/>
          <w:rFonts w:ascii="Times New Roman" w:hAnsi="Times New Roman"/>
          <w:color w:val="000000"/>
          <w:sz w:val="24"/>
          <w:shd w:val="clear" w:color="auto" w:fill="FFFFFF"/>
        </w:rPr>
        <w:footnoteReference w:id="75"/>
      </w:r>
      <w:r w:rsidR="0059055A" w:rsidRPr="000C06D7">
        <w:rPr>
          <w:rFonts w:ascii="Times New Roman" w:hAnsi="Times New Roman"/>
          <w:color w:val="000000"/>
          <w:shd w:val="clear" w:color="auto" w:fill="FFFFFF"/>
        </w:rPr>
        <w:t xml:space="preserve">. </w:t>
      </w:r>
    </w:p>
    <w:p w14:paraId="2842D1CA" w14:textId="0887865D" w:rsidR="00443A94" w:rsidRPr="000C06D7" w:rsidRDefault="00BE1D93" w:rsidP="000C06D7">
      <w:pPr>
        <w:pStyle w:val="FixListStyle"/>
        <w:spacing w:after="260" w:line="280" w:lineRule="exact"/>
        <w:ind w:right="0"/>
        <w:jc w:val="both"/>
        <w:rPr>
          <w:rFonts w:ascii="Times New Roman" w:hAnsi="Times New Roman"/>
        </w:rPr>
      </w:pPr>
      <w:r w:rsidRPr="000C06D7">
        <w:rPr>
          <w:rFonts w:ascii="Times New Roman" w:hAnsi="Times New Roman"/>
          <w:color w:val="000000"/>
          <w:sz w:val="27"/>
          <w:szCs w:val="27"/>
          <w:shd w:val="clear" w:color="auto" w:fill="FFFFFF"/>
        </w:rPr>
        <w:tab/>
      </w:r>
      <w:r w:rsidRPr="000C06D7">
        <w:rPr>
          <w:rFonts w:ascii="Times New Roman" w:hAnsi="Times New Roman"/>
          <w:color w:val="000000"/>
          <w:shd w:val="clear" w:color="auto" w:fill="FFFFFF"/>
        </w:rPr>
        <w:t xml:space="preserve">The Tribunal </w:t>
      </w:r>
      <w:r w:rsidR="00A501DC" w:rsidRPr="000C06D7">
        <w:rPr>
          <w:rFonts w:ascii="Times New Roman" w:hAnsi="Times New Roman"/>
          <w:color w:val="000000"/>
          <w:shd w:val="clear" w:color="auto" w:fill="FFFFFF"/>
        </w:rPr>
        <w:t xml:space="preserve">added that </w:t>
      </w:r>
      <w:r w:rsidR="00A823CD" w:rsidRPr="000C06D7">
        <w:rPr>
          <w:rFonts w:ascii="Times New Roman" w:hAnsi="Times New Roman"/>
          <w:color w:val="000000"/>
          <w:shd w:val="clear" w:color="auto" w:fill="FFFFFF"/>
        </w:rPr>
        <w:t>"even if some regard was had to the financing of particular dredging projects (for instance), this would need to be done as part of a comprehensive examination of historical matters" which "would include the benefits provided by the State in return for contributions, the history of under-recovery by the State, the question of which users would be entitled to the benefit of any contributions and the users</w:t>
      </w:r>
      <w:r w:rsidR="00AF4A6F" w:rsidRPr="000C06D7">
        <w:rPr>
          <w:rFonts w:ascii="Times New Roman" w:hAnsi="Times New Roman"/>
          <w:color w:val="000000"/>
          <w:shd w:val="clear" w:color="auto" w:fill="FFFFFF"/>
        </w:rPr>
        <w:t>'</w:t>
      </w:r>
      <w:r w:rsidR="00A823CD" w:rsidRPr="000C06D7">
        <w:rPr>
          <w:rFonts w:ascii="Times New Roman" w:hAnsi="Times New Roman"/>
          <w:color w:val="000000"/>
          <w:shd w:val="clear" w:color="auto" w:fill="FFFFFF"/>
        </w:rPr>
        <w:t xml:space="preserve"> expectations</w:t>
      </w:r>
      <w:r w:rsidR="00CE11F4" w:rsidRPr="000C06D7">
        <w:rPr>
          <w:rFonts w:ascii="Times New Roman" w:hAnsi="Times New Roman"/>
          <w:color w:val="000000"/>
          <w:shd w:val="clear" w:color="auto" w:fill="FFFFFF"/>
        </w:rPr>
        <w:t>"</w:t>
      </w:r>
      <w:r w:rsidR="00CD7991" w:rsidRPr="000C06D7">
        <w:rPr>
          <w:rStyle w:val="FootnoteReference"/>
          <w:rFonts w:ascii="Times New Roman" w:hAnsi="Times New Roman"/>
          <w:color w:val="000000"/>
          <w:sz w:val="24"/>
          <w:shd w:val="clear" w:color="auto" w:fill="FFFFFF"/>
        </w:rPr>
        <w:footnoteReference w:id="76"/>
      </w:r>
      <w:r w:rsidR="00A823CD" w:rsidRPr="000C06D7">
        <w:rPr>
          <w:rFonts w:ascii="Times New Roman" w:hAnsi="Times New Roman"/>
          <w:color w:val="000000"/>
          <w:shd w:val="clear" w:color="auto" w:fill="FFFFFF"/>
        </w:rPr>
        <w:t>.</w:t>
      </w:r>
      <w:r w:rsidR="00CD7991" w:rsidRPr="000C06D7">
        <w:rPr>
          <w:rFonts w:ascii="Times New Roman" w:hAnsi="Times New Roman"/>
          <w:color w:val="000000"/>
          <w:sz w:val="27"/>
          <w:szCs w:val="27"/>
          <w:shd w:val="clear" w:color="auto" w:fill="FFFFFF"/>
        </w:rPr>
        <w:t xml:space="preserve"> </w:t>
      </w:r>
      <w:r w:rsidR="00A8304B" w:rsidRPr="000C06D7">
        <w:rPr>
          <w:rFonts w:ascii="Times New Roman" w:hAnsi="Times New Roman"/>
          <w:color w:val="000000"/>
          <w:shd w:val="clear" w:color="auto" w:fill="FFFFFF"/>
        </w:rPr>
        <w:t xml:space="preserve">It recorded that </w:t>
      </w:r>
      <w:r w:rsidR="00AF4A6F" w:rsidRPr="000C06D7">
        <w:rPr>
          <w:rFonts w:ascii="Times New Roman" w:hAnsi="Times New Roman"/>
          <w:color w:val="000000"/>
          <w:shd w:val="clear" w:color="auto" w:fill="FFFFFF"/>
        </w:rPr>
        <w:t>n</w:t>
      </w:r>
      <w:r w:rsidR="00CD7991" w:rsidRPr="000C06D7">
        <w:rPr>
          <w:rFonts w:ascii="Times New Roman" w:hAnsi="Times New Roman"/>
          <w:color w:val="000000"/>
          <w:shd w:val="clear" w:color="auto" w:fill="FFFFFF"/>
        </w:rPr>
        <w:t>one of those matters were capable of being considered on the material before it</w:t>
      </w:r>
      <w:r w:rsidR="00A8304B" w:rsidRPr="000C06D7">
        <w:rPr>
          <w:rStyle w:val="FootnoteReference"/>
          <w:rFonts w:ascii="Times New Roman" w:hAnsi="Times New Roman"/>
          <w:color w:val="000000"/>
          <w:sz w:val="24"/>
          <w:shd w:val="clear" w:color="auto" w:fill="FFFFFF"/>
        </w:rPr>
        <w:footnoteReference w:id="77"/>
      </w:r>
      <w:r w:rsidR="00CD7991" w:rsidRPr="000C06D7">
        <w:rPr>
          <w:rFonts w:ascii="Times New Roman" w:hAnsi="Times New Roman"/>
          <w:color w:val="000000"/>
          <w:shd w:val="clear" w:color="auto" w:fill="FFFFFF"/>
        </w:rPr>
        <w:t>.</w:t>
      </w:r>
    </w:p>
    <w:p w14:paraId="6416B667" w14:textId="29210D69" w:rsidR="0022312B" w:rsidRPr="000C06D7" w:rsidRDefault="00D50BCF"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2E7A87" w:rsidRPr="000C06D7">
        <w:rPr>
          <w:rFonts w:ascii="Times New Roman" w:hAnsi="Times New Roman"/>
        </w:rPr>
        <w:t xml:space="preserve">The Tribunal accordingly restored the </w:t>
      </w:r>
      <w:r w:rsidR="00C86E93" w:rsidRPr="000C06D7">
        <w:rPr>
          <w:rFonts w:ascii="Times New Roman" w:hAnsi="Times New Roman"/>
        </w:rPr>
        <w:t xml:space="preserve">optimised replacement cost </w:t>
      </w:r>
      <w:r w:rsidR="00BB4E8E" w:rsidRPr="000C06D7">
        <w:rPr>
          <w:rFonts w:ascii="Times New Roman" w:hAnsi="Times New Roman"/>
        </w:rPr>
        <w:t xml:space="preserve">of the RAB to </w:t>
      </w:r>
      <w:r w:rsidR="00C86E93" w:rsidRPr="000C06D7">
        <w:rPr>
          <w:rFonts w:ascii="Times New Roman" w:hAnsi="Times New Roman"/>
        </w:rPr>
        <w:t>$2.17 billion</w:t>
      </w:r>
      <w:r w:rsidR="005041F6" w:rsidRPr="000C06D7">
        <w:rPr>
          <w:rFonts w:ascii="Times New Roman" w:hAnsi="Times New Roman"/>
        </w:rPr>
        <w:t xml:space="preserve">, </w:t>
      </w:r>
      <w:r w:rsidR="00735160" w:rsidRPr="000C06D7">
        <w:rPr>
          <w:rFonts w:ascii="Times New Roman" w:hAnsi="Times New Roman"/>
        </w:rPr>
        <w:t>which it then depreciated to arrive at a DORC value of $</w:t>
      </w:r>
      <w:r w:rsidR="008523D2" w:rsidRPr="000C06D7">
        <w:rPr>
          <w:rFonts w:ascii="Times New Roman" w:hAnsi="Times New Roman"/>
        </w:rPr>
        <w:t>2.08</w:t>
      </w:r>
      <w:r w:rsidR="00735160" w:rsidRPr="000C06D7">
        <w:rPr>
          <w:rFonts w:ascii="Times New Roman" w:hAnsi="Times New Roman"/>
        </w:rPr>
        <w:t xml:space="preserve"> billion</w:t>
      </w:r>
      <w:r w:rsidR="007D1A23" w:rsidRPr="000C06D7">
        <w:rPr>
          <w:rFonts w:ascii="Times New Roman" w:hAnsi="Times New Roman"/>
        </w:rPr>
        <w:t xml:space="preserve">. </w:t>
      </w:r>
      <w:r w:rsidR="007602F6" w:rsidRPr="000C06D7">
        <w:rPr>
          <w:rFonts w:ascii="Times New Roman" w:hAnsi="Times New Roman"/>
        </w:rPr>
        <w:t xml:space="preserve">The result </w:t>
      </w:r>
      <w:r w:rsidR="0097237A" w:rsidRPr="000C06D7">
        <w:rPr>
          <w:rFonts w:ascii="Times New Roman" w:hAnsi="Times New Roman"/>
        </w:rPr>
        <w:t xml:space="preserve">of valuing the RAB at $2.08 billion instead of $1.16 billion </w:t>
      </w:r>
      <w:r w:rsidR="007602F6" w:rsidRPr="000C06D7">
        <w:rPr>
          <w:rFonts w:ascii="Times New Roman" w:hAnsi="Times New Roman"/>
        </w:rPr>
        <w:t>was t</w:t>
      </w:r>
      <w:r w:rsidR="009D046F" w:rsidRPr="000C06D7">
        <w:rPr>
          <w:rFonts w:ascii="Times New Roman" w:hAnsi="Times New Roman"/>
        </w:rPr>
        <w:t>o increase</w:t>
      </w:r>
      <w:r w:rsidR="007602F6" w:rsidRPr="000C06D7">
        <w:rPr>
          <w:rFonts w:ascii="Times New Roman" w:hAnsi="Times New Roman"/>
        </w:rPr>
        <w:t xml:space="preserve"> the </w:t>
      </w:r>
      <w:r w:rsidR="00B63C3D" w:rsidRPr="000C06D7">
        <w:rPr>
          <w:rFonts w:ascii="Times New Roman" w:hAnsi="Times New Roman"/>
        </w:rPr>
        <w:t>N</w:t>
      </w:r>
      <w:r w:rsidR="007602F6" w:rsidRPr="000C06D7">
        <w:rPr>
          <w:rFonts w:ascii="Times New Roman" w:hAnsi="Times New Roman"/>
        </w:rPr>
        <w:t xml:space="preserve">avigation </w:t>
      </w:r>
      <w:r w:rsidR="00B63C3D" w:rsidRPr="000C06D7">
        <w:rPr>
          <w:rFonts w:ascii="Times New Roman" w:hAnsi="Times New Roman"/>
        </w:rPr>
        <w:t>S</w:t>
      </w:r>
      <w:r w:rsidR="007602F6" w:rsidRPr="000C06D7">
        <w:rPr>
          <w:rFonts w:ascii="Times New Roman" w:hAnsi="Times New Roman"/>
        </w:rPr>
        <w:t xml:space="preserve">ervice </w:t>
      </w:r>
      <w:r w:rsidR="00B63C3D" w:rsidRPr="000C06D7">
        <w:rPr>
          <w:rFonts w:ascii="Times New Roman" w:hAnsi="Times New Roman"/>
        </w:rPr>
        <w:t>C</w:t>
      </w:r>
      <w:r w:rsidR="007602F6" w:rsidRPr="000C06D7">
        <w:rPr>
          <w:rFonts w:ascii="Times New Roman" w:hAnsi="Times New Roman"/>
        </w:rPr>
        <w:t xml:space="preserve">harge payable by Glencore to PNO in </w:t>
      </w:r>
      <w:r w:rsidR="007602F6" w:rsidRPr="000C06D7">
        <w:rPr>
          <w:rFonts w:ascii="Times New Roman" w:hAnsi="Times New Roman"/>
        </w:rPr>
        <w:lastRenderedPageBreak/>
        <w:t xml:space="preserve">accordance with the </w:t>
      </w:r>
      <w:r w:rsidR="0097237A" w:rsidRPr="000C06D7">
        <w:rPr>
          <w:rFonts w:ascii="Times New Roman" w:hAnsi="Times New Roman"/>
        </w:rPr>
        <w:t>F</w:t>
      </w:r>
      <w:r w:rsidR="007602F6" w:rsidRPr="000C06D7">
        <w:rPr>
          <w:rFonts w:ascii="Times New Roman" w:hAnsi="Times New Roman"/>
        </w:rPr>
        <w:t xml:space="preserve">inal </w:t>
      </w:r>
      <w:r w:rsidR="0097237A" w:rsidRPr="000C06D7">
        <w:rPr>
          <w:rFonts w:ascii="Times New Roman" w:hAnsi="Times New Roman"/>
        </w:rPr>
        <w:t>D</w:t>
      </w:r>
      <w:r w:rsidR="007602F6" w:rsidRPr="000C06D7">
        <w:rPr>
          <w:rFonts w:ascii="Times New Roman" w:hAnsi="Times New Roman"/>
        </w:rPr>
        <w:t xml:space="preserve">etermination </w:t>
      </w:r>
      <w:r w:rsidR="00475ED4" w:rsidRPr="000C06D7">
        <w:rPr>
          <w:rFonts w:ascii="Times New Roman" w:hAnsi="Times New Roman"/>
        </w:rPr>
        <w:t>from $0.6075 to $1.0058</w:t>
      </w:r>
      <w:r w:rsidR="0022312B" w:rsidRPr="000C06D7">
        <w:rPr>
          <w:rFonts w:ascii="Times New Roman" w:hAnsi="Times New Roman"/>
        </w:rPr>
        <w:t xml:space="preserve"> (as at 1</w:t>
      </w:r>
      <w:r w:rsidR="00681123" w:rsidRPr="000C06D7">
        <w:rPr>
          <w:rFonts w:ascii="Times New Roman" w:hAnsi="Times New Roman"/>
        </w:rPr>
        <w:t> </w:t>
      </w:r>
      <w:r w:rsidR="0022312B" w:rsidRPr="000C06D7">
        <w:rPr>
          <w:rFonts w:ascii="Times New Roman" w:hAnsi="Times New Roman"/>
        </w:rPr>
        <w:t>January 2018)</w:t>
      </w:r>
      <w:r w:rsidR="00475ED4" w:rsidRPr="000C06D7">
        <w:rPr>
          <w:rFonts w:ascii="Times New Roman" w:hAnsi="Times New Roman"/>
        </w:rPr>
        <w:t>.</w:t>
      </w:r>
    </w:p>
    <w:p w14:paraId="066BAF45" w14:textId="4A1DC88B" w:rsidR="004F2586" w:rsidRPr="000C06D7" w:rsidRDefault="004F2586" w:rsidP="000C06D7">
      <w:pPr>
        <w:pStyle w:val="HeadingL1"/>
        <w:spacing w:after="260" w:line="280" w:lineRule="exact"/>
        <w:ind w:right="0"/>
        <w:jc w:val="both"/>
        <w:rPr>
          <w:rFonts w:ascii="Times New Roman" w:hAnsi="Times New Roman"/>
        </w:rPr>
      </w:pPr>
      <w:r w:rsidRPr="000C06D7">
        <w:rPr>
          <w:rFonts w:ascii="Times New Roman" w:hAnsi="Times New Roman"/>
        </w:rPr>
        <w:t>Full Court</w:t>
      </w:r>
      <w:r w:rsidR="00C06D8C" w:rsidRPr="000C06D7">
        <w:rPr>
          <w:rFonts w:ascii="Times New Roman" w:hAnsi="Times New Roman"/>
        </w:rPr>
        <w:t xml:space="preserve"> Decision</w:t>
      </w:r>
    </w:p>
    <w:p w14:paraId="0A60ADAC" w14:textId="740C34D5" w:rsidR="00AD7612" w:rsidRPr="000C06D7" w:rsidRDefault="007B2857"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3A3B2E" w:rsidRPr="000C06D7">
        <w:rPr>
          <w:rFonts w:ascii="Times New Roman" w:hAnsi="Times New Roman"/>
        </w:rPr>
        <w:t xml:space="preserve">The Full Court </w:t>
      </w:r>
      <w:r w:rsidR="00703270" w:rsidRPr="000C06D7">
        <w:rPr>
          <w:rFonts w:ascii="Times New Roman" w:hAnsi="Times New Roman"/>
        </w:rPr>
        <w:t>took the view</w:t>
      </w:r>
      <w:r w:rsidR="005C1587" w:rsidRPr="000C06D7">
        <w:rPr>
          <w:rFonts w:ascii="Times New Roman" w:hAnsi="Times New Roman"/>
        </w:rPr>
        <w:t xml:space="preserve"> that</w:t>
      </w:r>
      <w:r w:rsidR="003A3B2E" w:rsidRPr="000C06D7">
        <w:rPr>
          <w:rFonts w:ascii="Times New Roman" w:hAnsi="Times New Roman"/>
        </w:rPr>
        <w:t xml:space="preserve"> the </w:t>
      </w:r>
      <w:r w:rsidR="00934B96" w:rsidRPr="000C06D7">
        <w:rPr>
          <w:rFonts w:ascii="Times New Roman" w:hAnsi="Times New Roman"/>
        </w:rPr>
        <w:t>reasoning adopted in the Tribunal Decision to arrive at the Final Determination</w:t>
      </w:r>
      <w:r w:rsidR="00AC079E" w:rsidRPr="000C06D7">
        <w:rPr>
          <w:rFonts w:ascii="Times New Roman" w:hAnsi="Times New Roman"/>
        </w:rPr>
        <w:t xml:space="preserve"> </w:t>
      </w:r>
      <w:r w:rsidR="005C1587" w:rsidRPr="000C06D7">
        <w:rPr>
          <w:rFonts w:ascii="Times New Roman" w:hAnsi="Times New Roman"/>
        </w:rPr>
        <w:t>was</w:t>
      </w:r>
      <w:r w:rsidR="00AC079E" w:rsidRPr="000C06D7">
        <w:rPr>
          <w:rFonts w:ascii="Times New Roman" w:hAnsi="Times New Roman"/>
        </w:rPr>
        <w:t xml:space="preserve"> affected by errors of</w:t>
      </w:r>
      <w:r w:rsidR="003A3B2E" w:rsidRPr="000C06D7">
        <w:rPr>
          <w:rFonts w:ascii="Times New Roman" w:hAnsi="Times New Roman"/>
        </w:rPr>
        <w:t xml:space="preserve"> law</w:t>
      </w:r>
      <w:r w:rsidR="00AD7612" w:rsidRPr="000C06D7">
        <w:rPr>
          <w:rFonts w:ascii="Times New Roman" w:hAnsi="Times New Roman"/>
        </w:rPr>
        <w:t xml:space="preserve"> </w:t>
      </w:r>
      <w:r w:rsidR="004D1C52" w:rsidRPr="000C06D7">
        <w:rPr>
          <w:rFonts w:ascii="Times New Roman" w:hAnsi="Times New Roman"/>
        </w:rPr>
        <w:t>in relation</w:t>
      </w:r>
      <w:r w:rsidR="00AD7612" w:rsidRPr="000C06D7">
        <w:rPr>
          <w:rFonts w:ascii="Times New Roman" w:hAnsi="Times New Roman"/>
        </w:rPr>
        <w:t xml:space="preserve"> to </w:t>
      </w:r>
      <w:r w:rsidR="004D1C52" w:rsidRPr="000C06D7">
        <w:rPr>
          <w:rFonts w:ascii="Times New Roman" w:hAnsi="Times New Roman"/>
        </w:rPr>
        <w:t xml:space="preserve">both </w:t>
      </w:r>
      <w:r w:rsidR="00AD7612" w:rsidRPr="000C06D7">
        <w:rPr>
          <w:rFonts w:ascii="Times New Roman" w:hAnsi="Times New Roman"/>
        </w:rPr>
        <w:t xml:space="preserve">the scope </w:t>
      </w:r>
      <w:r w:rsidR="00445497" w:rsidRPr="000C06D7">
        <w:rPr>
          <w:rFonts w:ascii="Times New Roman" w:hAnsi="Times New Roman"/>
        </w:rPr>
        <w:t>of</w:t>
      </w:r>
      <w:r w:rsidR="00AD7612" w:rsidRPr="000C06D7">
        <w:rPr>
          <w:rFonts w:ascii="Times New Roman" w:hAnsi="Times New Roman"/>
        </w:rPr>
        <w:t xml:space="preserve"> the Navigation Service Charge</w:t>
      </w:r>
      <w:r w:rsidR="00445497" w:rsidRPr="000C06D7">
        <w:rPr>
          <w:rFonts w:ascii="Times New Roman" w:hAnsi="Times New Roman"/>
        </w:rPr>
        <w:t xml:space="preserve"> and the a</w:t>
      </w:r>
      <w:r w:rsidR="00AD7612" w:rsidRPr="000C06D7">
        <w:rPr>
          <w:rFonts w:ascii="Times New Roman" w:hAnsi="Times New Roman"/>
        </w:rPr>
        <w:t>mount of the Navigation Service Charge</w:t>
      </w:r>
      <w:r w:rsidR="00445497" w:rsidRPr="000C06D7">
        <w:rPr>
          <w:rFonts w:ascii="Times New Roman" w:hAnsi="Times New Roman"/>
        </w:rPr>
        <w:t>.</w:t>
      </w:r>
    </w:p>
    <w:p w14:paraId="549BF6E7" w14:textId="38CA0B60" w:rsidR="00AD7612" w:rsidRPr="000C06D7" w:rsidRDefault="00445497" w:rsidP="000C06D7">
      <w:pPr>
        <w:pStyle w:val="HeadingL2"/>
        <w:spacing w:after="260" w:line="280" w:lineRule="exact"/>
        <w:ind w:right="0"/>
        <w:jc w:val="both"/>
        <w:rPr>
          <w:rFonts w:ascii="Times New Roman" w:hAnsi="Times New Roman"/>
        </w:rPr>
      </w:pPr>
      <w:r w:rsidRPr="000C06D7">
        <w:rPr>
          <w:rFonts w:ascii="Times New Roman" w:hAnsi="Times New Roman"/>
        </w:rPr>
        <w:t>Scope of the Navigation Service Charge</w:t>
      </w:r>
    </w:p>
    <w:p w14:paraId="34861AB7" w14:textId="1353B85B" w:rsidR="004F2586" w:rsidRPr="000C06D7" w:rsidRDefault="00673086" w:rsidP="000C06D7">
      <w:pPr>
        <w:pStyle w:val="FixListStyle"/>
        <w:spacing w:after="260" w:line="280" w:lineRule="exact"/>
        <w:ind w:right="0"/>
        <w:jc w:val="both"/>
        <w:rPr>
          <w:rFonts w:ascii="Times New Roman" w:hAnsi="Times New Roman"/>
        </w:rPr>
      </w:pPr>
      <w:r w:rsidRPr="000C06D7">
        <w:rPr>
          <w:rFonts w:ascii="Times New Roman" w:hAnsi="Times New Roman"/>
        </w:rPr>
        <w:tab/>
        <w:t xml:space="preserve">The Full Court </w:t>
      </w:r>
      <w:r w:rsidR="00316AA4" w:rsidRPr="000C06D7">
        <w:rPr>
          <w:rFonts w:ascii="Times New Roman" w:hAnsi="Times New Roman"/>
        </w:rPr>
        <w:t>found that</w:t>
      </w:r>
      <w:r w:rsidR="006F6959" w:rsidRPr="000C06D7">
        <w:rPr>
          <w:rFonts w:ascii="Times New Roman" w:hAnsi="Times New Roman"/>
        </w:rPr>
        <w:t>,</w:t>
      </w:r>
      <w:r w:rsidR="00316AA4" w:rsidRPr="000C06D7">
        <w:rPr>
          <w:rFonts w:ascii="Times New Roman" w:hAnsi="Times New Roman"/>
        </w:rPr>
        <w:t xml:space="preserve"> in </w:t>
      </w:r>
      <w:r w:rsidR="00A2665B" w:rsidRPr="000C06D7">
        <w:rPr>
          <w:rFonts w:ascii="Times New Roman" w:hAnsi="Times New Roman"/>
        </w:rPr>
        <w:t xml:space="preserve">confining the </w:t>
      </w:r>
      <w:r w:rsidR="00650D46" w:rsidRPr="000C06D7">
        <w:rPr>
          <w:rFonts w:ascii="Times New Roman" w:hAnsi="Times New Roman"/>
        </w:rPr>
        <w:t>scope of</w:t>
      </w:r>
      <w:r w:rsidR="00A2665B" w:rsidRPr="000C06D7">
        <w:rPr>
          <w:rFonts w:ascii="Times New Roman" w:hAnsi="Times New Roman"/>
        </w:rPr>
        <w:t xml:space="preserve"> the </w:t>
      </w:r>
      <w:r w:rsidR="006F6959" w:rsidRPr="000C06D7">
        <w:rPr>
          <w:rFonts w:ascii="Times New Roman" w:hAnsi="Times New Roman"/>
        </w:rPr>
        <w:t>N</w:t>
      </w:r>
      <w:r w:rsidR="00A2665B" w:rsidRPr="000C06D7">
        <w:rPr>
          <w:rFonts w:ascii="Times New Roman" w:hAnsi="Times New Roman"/>
        </w:rPr>
        <w:t xml:space="preserve">avigation </w:t>
      </w:r>
      <w:r w:rsidR="006F6959" w:rsidRPr="000C06D7">
        <w:rPr>
          <w:rFonts w:ascii="Times New Roman" w:hAnsi="Times New Roman"/>
        </w:rPr>
        <w:t>S</w:t>
      </w:r>
      <w:r w:rsidR="00A2665B" w:rsidRPr="000C06D7">
        <w:rPr>
          <w:rFonts w:ascii="Times New Roman" w:hAnsi="Times New Roman"/>
        </w:rPr>
        <w:t xml:space="preserve">ervice </w:t>
      </w:r>
      <w:r w:rsidR="006F6959" w:rsidRPr="000C06D7">
        <w:rPr>
          <w:rFonts w:ascii="Times New Roman" w:hAnsi="Times New Roman"/>
        </w:rPr>
        <w:t>C</w:t>
      </w:r>
      <w:r w:rsidR="00A2665B" w:rsidRPr="000C06D7">
        <w:rPr>
          <w:rFonts w:ascii="Times New Roman" w:hAnsi="Times New Roman"/>
        </w:rPr>
        <w:t>harge</w:t>
      </w:r>
      <w:r w:rsidR="00604F9D" w:rsidRPr="000C06D7">
        <w:rPr>
          <w:rFonts w:ascii="Times New Roman" w:hAnsi="Times New Roman"/>
        </w:rPr>
        <w:t xml:space="preserve"> </w:t>
      </w:r>
      <w:r w:rsidR="00650D46" w:rsidRPr="000C06D7">
        <w:rPr>
          <w:rFonts w:ascii="Times New Roman" w:hAnsi="Times New Roman"/>
        </w:rPr>
        <w:t>to circumstances</w:t>
      </w:r>
      <w:r w:rsidR="00A2665B" w:rsidRPr="000C06D7">
        <w:rPr>
          <w:rFonts w:ascii="Times New Roman" w:hAnsi="Times New Roman"/>
        </w:rPr>
        <w:t xml:space="preserve"> where Glencore</w:t>
      </w:r>
      <w:r w:rsidR="00F37FDB" w:rsidRPr="000C06D7">
        <w:rPr>
          <w:rFonts w:ascii="Times New Roman" w:hAnsi="Times New Roman"/>
        </w:rPr>
        <w:t xml:space="preserve"> </w:t>
      </w:r>
      <w:r w:rsidR="00A2665B" w:rsidRPr="000C06D7">
        <w:rPr>
          <w:rFonts w:ascii="Times New Roman" w:hAnsi="Times New Roman"/>
        </w:rPr>
        <w:t>chartered a ship to enter the Port and load its coal</w:t>
      </w:r>
      <w:r w:rsidR="006F6959" w:rsidRPr="000C06D7">
        <w:rPr>
          <w:rFonts w:ascii="Times New Roman" w:hAnsi="Times New Roman"/>
        </w:rPr>
        <w:t xml:space="preserve">, </w:t>
      </w:r>
      <w:r w:rsidR="00965498" w:rsidRPr="000C06D7">
        <w:rPr>
          <w:rFonts w:ascii="Times New Roman" w:hAnsi="Times New Roman"/>
        </w:rPr>
        <w:t xml:space="preserve">the </w:t>
      </w:r>
      <w:r w:rsidR="00B75BA9" w:rsidRPr="000C06D7">
        <w:rPr>
          <w:rFonts w:ascii="Times New Roman" w:hAnsi="Times New Roman"/>
        </w:rPr>
        <w:t>Tribunal</w:t>
      </w:r>
      <w:r w:rsidR="00965498" w:rsidRPr="000C06D7">
        <w:rPr>
          <w:rFonts w:ascii="Times New Roman" w:hAnsi="Times New Roman"/>
        </w:rPr>
        <w:t xml:space="preserve"> had </w:t>
      </w:r>
      <w:r w:rsidR="00AF2B55" w:rsidRPr="000C06D7">
        <w:rPr>
          <w:rFonts w:ascii="Times New Roman" w:hAnsi="Times New Roman"/>
        </w:rPr>
        <w:t>ta</w:t>
      </w:r>
      <w:r w:rsidR="005A7F0C" w:rsidRPr="000C06D7">
        <w:rPr>
          <w:rFonts w:ascii="Times New Roman" w:hAnsi="Times New Roman"/>
        </w:rPr>
        <w:t>ken</w:t>
      </w:r>
      <w:r w:rsidR="00AF2B55" w:rsidRPr="000C06D7">
        <w:rPr>
          <w:rFonts w:ascii="Times New Roman" w:hAnsi="Times New Roman"/>
        </w:rPr>
        <w:t xml:space="preserve"> an</w:t>
      </w:r>
      <w:r w:rsidR="00B75BA9" w:rsidRPr="000C06D7">
        <w:rPr>
          <w:rFonts w:ascii="Times New Roman" w:hAnsi="Times New Roman"/>
        </w:rPr>
        <w:t xml:space="preserve"> unduly</w:t>
      </w:r>
      <w:r w:rsidR="005D6559" w:rsidRPr="000C06D7">
        <w:rPr>
          <w:rFonts w:ascii="Times New Roman" w:hAnsi="Times New Roman"/>
        </w:rPr>
        <w:t xml:space="preserve"> </w:t>
      </w:r>
      <w:r w:rsidR="002266A3" w:rsidRPr="000C06D7">
        <w:rPr>
          <w:rFonts w:ascii="Times New Roman" w:hAnsi="Times New Roman"/>
        </w:rPr>
        <w:t>physical</w:t>
      </w:r>
      <w:r w:rsidR="005D6559" w:rsidRPr="000C06D7">
        <w:rPr>
          <w:rFonts w:ascii="Times New Roman" w:hAnsi="Times New Roman"/>
        </w:rPr>
        <w:t xml:space="preserve"> view of what was meant by "the provision of the right to access and use the shipping channels" in the description of the Service</w:t>
      </w:r>
      <w:r w:rsidR="00A75A85" w:rsidRPr="000C06D7">
        <w:rPr>
          <w:rFonts w:ascii="Times New Roman" w:hAnsi="Times New Roman"/>
        </w:rPr>
        <w:t xml:space="preserve"> in the Declaration</w:t>
      </w:r>
      <w:r w:rsidR="00A65EFF" w:rsidRPr="000C06D7">
        <w:rPr>
          <w:rFonts w:ascii="Times New Roman" w:hAnsi="Times New Roman"/>
        </w:rPr>
        <w:t>.</w:t>
      </w:r>
    </w:p>
    <w:p w14:paraId="334F5A48" w14:textId="523A402D" w:rsidR="004863A0" w:rsidRPr="000C06D7" w:rsidRDefault="004863A0"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2B5198" w:rsidRPr="000C06D7">
        <w:rPr>
          <w:rFonts w:ascii="Times New Roman" w:hAnsi="Times New Roman"/>
        </w:rPr>
        <w:t>The Full Court said</w:t>
      </w:r>
      <w:r w:rsidR="00082578" w:rsidRPr="000C06D7">
        <w:rPr>
          <w:rStyle w:val="FootnoteReference"/>
          <w:rFonts w:ascii="Times New Roman" w:hAnsi="Times New Roman"/>
          <w:sz w:val="24"/>
        </w:rPr>
        <w:footnoteReference w:id="78"/>
      </w:r>
      <w:r w:rsidR="002B5198" w:rsidRPr="000C06D7">
        <w:rPr>
          <w:rFonts w:ascii="Times New Roman" w:hAnsi="Times New Roman"/>
        </w:rPr>
        <w:t>:</w:t>
      </w:r>
    </w:p>
    <w:p w14:paraId="7B8C2605" w14:textId="77777777" w:rsidR="000C06D7" w:rsidRDefault="00954D27" w:rsidP="000C06D7">
      <w:pPr>
        <w:pStyle w:val="leftright"/>
        <w:spacing w:before="0" w:after="260" w:line="280" w:lineRule="exact"/>
        <w:ind w:right="0"/>
        <w:jc w:val="both"/>
        <w:rPr>
          <w:rFonts w:ascii="Times New Roman" w:hAnsi="Times New Roman"/>
        </w:rPr>
      </w:pPr>
      <w:r w:rsidRPr="000C06D7">
        <w:rPr>
          <w:rFonts w:ascii="Times New Roman" w:hAnsi="Times New Roman"/>
        </w:rPr>
        <w:tab/>
      </w:r>
      <w:r w:rsidR="007C3BBB" w:rsidRPr="000C06D7">
        <w:rPr>
          <w:rFonts w:ascii="Times New Roman" w:hAnsi="Times New Roman"/>
        </w:rPr>
        <w:t>"Our fundamental disagreement with the Tribunal and the basis of our view</w:t>
      </w:r>
      <w:r w:rsidR="0058619C" w:rsidRPr="000C06D7">
        <w:rPr>
          <w:rFonts w:ascii="Times New Roman" w:hAnsi="Times New Roman"/>
        </w:rPr>
        <w:t xml:space="preserve"> </w:t>
      </w:r>
      <w:r w:rsidR="007C3BBB" w:rsidRPr="000C06D7">
        <w:rPr>
          <w:rFonts w:ascii="Times New Roman" w:hAnsi="Times New Roman"/>
        </w:rPr>
        <w:t>that it misconstrued the Service, and thus asked itself the wrong question, is that</w:t>
      </w:r>
      <w:r w:rsidR="0058619C" w:rsidRPr="000C06D7">
        <w:rPr>
          <w:rFonts w:ascii="Times New Roman" w:hAnsi="Times New Roman"/>
        </w:rPr>
        <w:t xml:space="preserve"> </w:t>
      </w:r>
      <w:r w:rsidR="007C3BBB" w:rsidRPr="000C06D7">
        <w:rPr>
          <w:rFonts w:ascii="Times New Roman" w:hAnsi="Times New Roman"/>
        </w:rPr>
        <w:t>access to and use of the shipping channels are not limited to, or indeed even</w:t>
      </w:r>
      <w:r w:rsidR="0058619C" w:rsidRPr="000C06D7">
        <w:rPr>
          <w:rFonts w:ascii="Times New Roman" w:hAnsi="Times New Roman"/>
        </w:rPr>
        <w:t xml:space="preserve"> </w:t>
      </w:r>
      <w:r w:rsidR="007C3BBB" w:rsidRPr="000C06D7">
        <w:rPr>
          <w:rFonts w:ascii="Times New Roman" w:hAnsi="Times New Roman"/>
        </w:rPr>
        <w:t>governed by, the notion of physical access or use by the control and navigation</w:t>
      </w:r>
      <w:r w:rsidR="0058619C" w:rsidRPr="000C06D7">
        <w:rPr>
          <w:rFonts w:ascii="Times New Roman" w:hAnsi="Times New Roman"/>
        </w:rPr>
        <w:t xml:space="preserve"> </w:t>
      </w:r>
      <w:r w:rsidR="007C3BBB" w:rsidRPr="000C06D7">
        <w:rPr>
          <w:rFonts w:ascii="Times New Roman" w:hAnsi="Times New Roman"/>
        </w:rPr>
        <w:t>of the vessel entering and leaving the Port to carry the coal. The broad context</w:t>
      </w:r>
      <w:r w:rsidR="0058619C" w:rsidRPr="000C06D7">
        <w:rPr>
          <w:rFonts w:ascii="Times New Roman" w:hAnsi="Times New Roman"/>
        </w:rPr>
        <w:t xml:space="preserve"> </w:t>
      </w:r>
      <w:r w:rsidR="007C3BBB" w:rsidRPr="000C06D7">
        <w:rPr>
          <w:rFonts w:ascii="Times New Roman" w:hAnsi="Times New Roman"/>
        </w:rPr>
        <w:t>of the purpose of the declaration as directed to the relevant dependent market of</w:t>
      </w:r>
      <w:r w:rsidR="0058619C" w:rsidRPr="000C06D7">
        <w:rPr>
          <w:rFonts w:ascii="Times New Roman" w:hAnsi="Times New Roman"/>
        </w:rPr>
        <w:t xml:space="preserve"> </w:t>
      </w:r>
      <w:r w:rsidR="007C3BBB" w:rsidRPr="000C06D7">
        <w:rPr>
          <w:rFonts w:ascii="Times New Roman" w:hAnsi="Times New Roman"/>
        </w:rPr>
        <w:t>the production, sale and export of coal makes that limitation or focus</w:t>
      </w:r>
      <w:r w:rsidR="0058619C" w:rsidRPr="000C06D7">
        <w:rPr>
          <w:rFonts w:ascii="Times New Roman" w:hAnsi="Times New Roman"/>
        </w:rPr>
        <w:t xml:space="preserve"> </w:t>
      </w:r>
      <w:r w:rsidR="007C3BBB" w:rsidRPr="000C06D7">
        <w:rPr>
          <w:rFonts w:ascii="Times New Roman" w:hAnsi="Times New Roman"/>
        </w:rPr>
        <w:t>inappropriate. Access and use can be relevantly economic though connected</w:t>
      </w:r>
      <w:r w:rsidR="0058619C" w:rsidRPr="000C06D7">
        <w:rPr>
          <w:rFonts w:ascii="Times New Roman" w:hAnsi="Times New Roman"/>
        </w:rPr>
        <w:t xml:space="preserve"> </w:t>
      </w:r>
      <w:r w:rsidR="007C3BBB" w:rsidRPr="000C06D7">
        <w:rPr>
          <w:rFonts w:ascii="Times New Roman" w:hAnsi="Times New Roman"/>
        </w:rPr>
        <w:t>closely and clearly, indeed immediately, to the physical activity involved. No</w:t>
      </w:r>
      <w:r w:rsidR="0058619C" w:rsidRPr="000C06D7">
        <w:rPr>
          <w:rFonts w:ascii="Times New Roman" w:hAnsi="Times New Roman"/>
        </w:rPr>
        <w:t xml:space="preserve"> </w:t>
      </w:r>
      <w:r w:rsidR="007C3BBB" w:rsidRPr="000C06D7">
        <w:rPr>
          <w:rFonts w:ascii="Times New Roman" w:hAnsi="Times New Roman"/>
        </w:rPr>
        <w:t>particular general principle is at play here. Coal is exported in ships in respect</w:t>
      </w:r>
      <w:r w:rsidR="0058619C" w:rsidRPr="000C06D7">
        <w:rPr>
          <w:rFonts w:ascii="Times New Roman" w:hAnsi="Times New Roman"/>
        </w:rPr>
        <w:t xml:space="preserve"> </w:t>
      </w:r>
      <w:r w:rsidR="007C3BBB" w:rsidRPr="000C06D7">
        <w:rPr>
          <w:rFonts w:ascii="Times New Roman" w:hAnsi="Times New Roman"/>
        </w:rPr>
        <w:t>of which any exporter may or may not have a particular or direct contractual</w:t>
      </w:r>
      <w:r w:rsidR="0058619C" w:rsidRPr="000C06D7">
        <w:rPr>
          <w:rFonts w:ascii="Times New Roman" w:hAnsi="Times New Roman"/>
        </w:rPr>
        <w:t xml:space="preserve"> </w:t>
      </w:r>
      <w:r w:rsidR="007C3BBB" w:rsidRPr="000C06D7">
        <w:rPr>
          <w:rFonts w:ascii="Times New Roman" w:hAnsi="Times New Roman"/>
        </w:rPr>
        <w:t>arrangement. Whether or not an exporter makes any particular arrangement</w:t>
      </w:r>
      <w:r w:rsidR="0058619C" w:rsidRPr="000C06D7">
        <w:rPr>
          <w:rFonts w:ascii="Times New Roman" w:hAnsi="Times New Roman"/>
        </w:rPr>
        <w:t xml:space="preserve"> </w:t>
      </w:r>
      <w:r w:rsidR="007C3BBB" w:rsidRPr="000C06D7">
        <w:rPr>
          <w:rFonts w:ascii="Times New Roman" w:hAnsi="Times New Roman"/>
        </w:rPr>
        <w:t>directly in controlling the physical or commercial deployment of the vessel does</w:t>
      </w:r>
      <w:r w:rsidR="0058619C" w:rsidRPr="000C06D7">
        <w:rPr>
          <w:rFonts w:ascii="Times New Roman" w:hAnsi="Times New Roman"/>
        </w:rPr>
        <w:t xml:space="preserve"> </w:t>
      </w:r>
      <w:r w:rsidR="007C3BBB" w:rsidRPr="000C06D7">
        <w:rPr>
          <w:rFonts w:ascii="Times New Roman" w:hAnsi="Times New Roman"/>
        </w:rPr>
        <w:t>not affect a conclusion as a matter of meaning of the text of the Service that the</w:t>
      </w:r>
      <w:r w:rsidR="0058619C" w:rsidRPr="000C06D7">
        <w:rPr>
          <w:rFonts w:ascii="Times New Roman" w:hAnsi="Times New Roman"/>
        </w:rPr>
        <w:t xml:space="preserve"> </w:t>
      </w:r>
      <w:r w:rsidR="007C3BBB" w:rsidRPr="000C06D7">
        <w:rPr>
          <w:rFonts w:ascii="Times New Roman" w:hAnsi="Times New Roman"/>
        </w:rPr>
        <w:t>exporter is accessing or using the shipping channels when, by its sale</w:t>
      </w:r>
      <w:r w:rsidR="0058619C" w:rsidRPr="000C06D7">
        <w:rPr>
          <w:rFonts w:ascii="Times New Roman" w:hAnsi="Times New Roman"/>
        </w:rPr>
        <w:t xml:space="preserve"> </w:t>
      </w:r>
      <w:r w:rsidR="007C3BBB" w:rsidRPr="000C06D7">
        <w:rPr>
          <w:rFonts w:ascii="Times New Roman" w:hAnsi="Times New Roman"/>
        </w:rPr>
        <w:t>arrangement, it causes a vessel to enter the Port. It does so, that is it causes a</w:t>
      </w:r>
      <w:r w:rsidR="0058619C" w:rsidRPr="000C06D7">
        <w:rPr>
          <w:rFonts w:ascii="Times New Roman" w:hAnsi="Times New Roman"/>
        </w:rPr>
        <w:t xml:space="preserve"> </w:t>
      </w:r>
      <w:r w:rsidR="007C3BBB" w:rsidRPr="000C06D7">
        <w:rPr>
          <w:rFonts w:ascii="Times New Roman" w:hAnsi="Times New Roman"/>
        </w:rPr>
        <w:t xml:space="preserve">vessel to enter the Port, when it sells CIF or FOB, irrespective of whether </w:t>
      </w:r>
      <w:r w:rsidR="007C3BBB" w:rsidRPr="000C06D7">
        <w:rPr>
          <w:rFonts w:ascii="Times New Roman" w:hAnsi="Times New Roman"/>
        </w:rPr>
        <w:lastRenderedPageBreak/>
        <w:t>it</w:t>
      </w:r>
      <w:r w:rsidR="0058619C" w:rsidRPr="000C06D7">
        <w:rPr>
          <w:rFonts w:ascii="Times New Roman" w:hAnsi="Times New Roman"/>
        </w:rPr>
        <w:t xml:space="preserve"> </w:t>
      </w:r>
      <w:r w:rsidR="007C3BBB" w:rsidRPr="000C06D7">
        <w:rPr>
          <w:rFonts w:ascii="Times New Roman" w:hAnsi="Times New Roman"/>
        </w:rPr>
        <w:t>owns, demise charters, time charters, or voyage charters the vessel, or not, as</w:t>
      </w:r>
      <w:r w:rsidR="0058619C" w:rsidRPr="000C06D7">
        <w:rPr>
          <w:rFonts w:ascii="Times New Roman" w:hAnsi="Times New Roman"/>
        </w:rPr>
        <w:t xml:space="preserve"> </w:t>
      </w:r>
      <w:r w:rsidR="007C3BBB" w:rsidRPr="000C06D7">
        <w:rPr>
          <w:rFonts w:ascii="Times New Roman" w:hAnsi="Times New Roman"/>
        </w:rPr>
        <w:t>the case may be.</w:t>
      </w:r>
      <w:r w:rsidR="0058619C" w:rsidRPr="000C06D7">
        <w:rPr>
          <w:rFonts w:ascii="Times New Roman" w:hAnsi="Times New Roman"/>
        </w:rPr>
        <w:t>"</w:t>
      </w:r>
    </w:p>
    <w:p w14:paraId="4579DBDC" w14:textId="1FBCE680" w:rsidR="00232B43" w:rsidRPr="000C06D7" w:rsidRDefault="00232B43" w:rsidP="000C06D7">
      <w:pPr>
        <w:pStyle w:val="FixListStyle"/>
        <w:spacing w:after="260" w:line="280" w:lineRule="exact"/>
        <w:ind w:right="0"/>
        <w:jc w:val="both"/>
        <w:rPr>
          <w:rFonts w:ascii="Times New Roman" w:hAnsi="Times New Roman"/>
        </w:rPr>
      </w:pPr>
      <w:r w:rsidRPr="000C06D7">
        <w:rPr>
          <w:rFonts w:ascii="Times New Roman" w:hAnsi="Times New Roman"/>
        </w:rPr>
        <w:tab/>
        <w:t xml:space="preserve">The Full Court </w:t>
      </w:r>
      <w:r w:rsidR="0063647B" w:rsidRPr="000C06D7">
        <w:rPr>
          <w:rFonts w:ascii="Times New Roman" w:hAnsi="Times New Roman"/>
        </w:rPr>
        <w:t>identif</w:t>
      </w:r>
      <w:r w:rsidR="000D35D6" w:rsidRPr="000C06D7">
        <w:rPr>
          <w:rFonts w:ascii="Times New Roman" w:hAnsi="Times New Roman"/>
        </w:rPr>
        <w:t xml:space="preserve">ied </w:t>
      </w:r>
      <w:r w:rsidR="00560A14" w:rsidRPr="000C06D7">
        <w:rPr>
          <w:rFonts w:ascii="Times New Roman" w:hAnsi="Times New Roman"/>
        </w:rPr>
        <w:t>an alternative basis</w:t>
      </w:r>
      <w:r w:rsidR="0063647B" w:rsidRPr="000C06D7">
        <w:rPr>
          <w:rFonts w:ascii="Times New Roman" w:hAnsi="Times New Roman"/>
        </w:rPr>
        <w:t xml:space="preserve"> on which </w:t>
      </w:r>
      <w:r w:rsidR="00D471BC" w:rsidRPr="000C06D7">
        <w:rPr>
          <w:rFonts w:ascii="Times New Roman" w:hAnsi="Times New Roman"/>
        </w:rPr>
        <w:t xml:space="preserve">it considered that </w:t>
      </w:r>
      <w:r w:rsidR="003804FE" w:rsidRPr="000C06D7">
        <w:rPr>
          <w:rFonts w:ascii="Times New Roman" w:hAnsi="Times New Roman"/>
        </w:rPr>
        <w:t>t</w:t>
      </w:r>
      <w:r w:rsidR="00B03540" w:rsidRPr="000C06D7">
        <w:rPr>
          <w:rFonts w:ascii="Times New Roman" w:hAnsi="Times New Roman"/>
        </w:rPr>
        <w:t>he Tribunal had erred.</w:t>
      </w:r>
      <w:r w:rsidR="007717D3" w:rsidRPr="000C06D7">
        <w:rPr>
          <w:rFonts w:ascii="Times New Roman" w:hAnsi="Times New Roman"/>
        </w:rPr>
        <w:t xml:space="preserve"> </w:t>
      </w:r>
      <w:r w:rsidR="002A4976" w:rsidRPr="000C06D7">
        <w:rPr>
          <w:rFonts w:ascii="Times New Roman" w:hAnsi="Times New Roman"/>
        </w:rPr>
        <w:t xml:space="preserve">The Service, </w:t>
      </w:r>
      <w:r w:rsidR="005A7F0C" w:rsidRPr="000C06D7">
        <w:rPr>
          <w:rFonts w:ascii="Times New Roman" w:hAnsi="Times New Roman"/>
        </w:rPr>
        <w:t xml:space="preserve">as </w:t>
      </w:r>
      <w:r w:rsidR="002A4976" w:rsidRPr="000C06D7">
        <w:rPr>
          <w:rFonts w:ascii="Times New Roman" w:hAnsi="Times New Roman"/>
        </w:rPr>
        <w:t>the Full Court</w:t>
      </w:r>
      <w:r w:rsidR="005A7F0C" w:rsidRPr="000C06D7">
        <w:rPr>
          <w:rFonts w:ascii="Times New Roman" w:hAnsi="Times New Roman"/>
        </w:rPr>
        <w:t xml:space="preserve"> saw it</w:t>
      </w:r>
      <w:r w:rsidR="000465E9" w:rsidRPr="000C06D7">
        <w:rPr>
          <w:rFonts w:ascii="Times New Roman" w:hAnsi="Times New Roman"/>
        </w:rPr>
        <w:t xml:space="preserve">, was indivisible. </w:t>
      </w:r>
      <w:r w:rsidR="00D15768" w:rsidRPr="000C06D7">
        <w:rPr>
          <w:rFonts w:ascii="Times New Roman" w:hAnsi="Times New Roman"/>
        </w:rPr>
        <w:t>T</w:t>
      </w:r>
      <w:r w:rsidR="0090363A" w:rsidRPr="000C06D7">
        <w:rPr>
          <w:rFonts w:ascii="Times New Roman" w:hAnsi="Times New Roman"/>
        </w:rPr>
        <w:t>here was no d</w:t>
      </w:r>
      <w:r w:rsidR="002B532C" w:rsidRPr="000C06D7">
        <w:rPr>
          <w:rFonts w:ascii="Times New Roman" w:hAnsi="Times New Roman"/>
        </w:rPr>
        <w:t>ispute</w:t>
      </w:r>
      <w:r w:rsidR="0090363A" w:rsidRPr="000C06D7">
        <w:rPr>
          <w:rFonts w:ascii="Times New Roman" w:hAnsi="Times New Roman"/>
        </w:rPr>
        <w:t xml:space="preserve"> that </w:t>
      </w:r>
      <w:r w:rsidR="002B532C" w:rsidRPr="000C06D7">
        <w:rPr>
          <w:rFonts w:ascii="Times New Roman" w:hAnsi="Times New Roman"/>
        </w:rPr>
        <w:t xml:space="preserve">Glencore </w:t>
      </w:r>
      <w:r w:rsidR="00FA60E0" w:rsidRPr="000C06D7">
        <w:rPr>
          <w:rFonts w:ascii="Times New Roman" w:hAnsi="Times New Roman"/>
        </w:rPr>
        <w:t>accesse</w:t>
      </w:r>
      <w:r w:rsidR="00556BF5" w:rsidRPr="000C06D7">
        <w:rPr>
          <w:rFonts w:ascii="Times New Roman" w:hAnsi="Times New Roman"/>
        </w:rPr>
        <w:t>d</w:t>
      </w:r>
      <w:r w:rsidR="00433FF6" w:rsidRPr="000C06D7">
        <w:rPr>
          <w:rFonts w:ascii="Times New Roman" w:hAnsi="Times New Roman"/>
        </w:rPr>
        <w:t xml:space="preserve"> </w:t>
      </w:r>
      <w:r w:rsidR="00CB1647" w:rsidRPr="000C06D7">
        <w:rPr>
          <w:rFonts w:ascii="Times New Roman" w:hAnsi="Times New Roman"/>
        </w:rPr>
        <w:t>th</w:t>
      </w:r>
      <w:r w:rsidR="00E50FDB" w:rsidRPr="000C06D7">
        <w:rPr>
          <w:rFonts w:ascii="Times New Roman" w:hAnsi="Times New Roman"/>
        </w:rPr>
        <w:t>at</w:t>
      </w:r>
      <w:r w:rsidR="00CB1647" w:rsidRPr="000C06D7">
        <w:rPr>
          <w:rFonts w:ascii="Times New Roman" w:hAnsi="Times New Roman"/>
        </w:rPr>
        <w:t xml:space="preserve"> part of the Service</w:t>
      </w:r>
      <w:r w:rsidR="00E50FDB" w:rsidRPr="000C06D7">
        <w:rPr>
          <w:rFonts w:ascii="Times New Roman" w:hAnsi="Times New Roman"/>
        </w:rPr>
        <w:t xml:space="preserve"> which</w:t>
      </w:r>
      <w:r w:rsidR="00917989" w:rsidRPr="000C06D7">
        <w:rPr>
          <w:rFonts w:ascii="Times New Roman" w:hAnsi="Times New Roman"/>
        </w:rPr>
        <w:t xml:space="preserve"> </w:t>
      </w:r>
      <w:r w:rsidR="00CB1647" w:rsidRPr="000C06D7">
        <w:rPr>
          <w:rFonts w:ascii="Times New Roman" w:hAnsi="Times New Roman"/>
        </w:rPr>
        <w:t>comprise</w:t>
      </w:r>
      <w:r w:rsidR="00556BF5" w:rsidRPr="000C06D7">
        <w:rPr>
          <w:rFonts w:ascii="Times New Roman" w:hAnsi="Times New Roman"/>
        </w:rPr>
        <w:t>d</w:t>
      </w:r>
      <w:r w:rsidR="00CB1647" w:rsidRPr="000C06D7">
        <w:rPr>
          <w:rFonts w:ascii="Times New Roman" w:hAnsi="Times New Roman"/>
        </w:rPr>
        <w:t xml:space="preserve"> </w:t>
      </w:r>
      <w:r w:rsidR="00AE2C9D" w:rsidRPr="000C06D7">
        <w:rPr>
          <w:rFonts w:ascii="Times New Roman" w:hAnsi="Times New Roman"/>
        </w:rPr>
        <w:t xml:space="preserve">use </w:t>
      </w:r>
      <w:r w:rsidR="00CB1647" w:rsidRPr="000C06D7">
        <w:rPr>
          <w:rFonts w:ascii="Times New Roman" w:hAnsi="Times New Roman"/>
        </w:rPr>
        <w:t xml:space="preserve">of </w:t>
      </w:r>
      <w:r w:rsidR="00433FF6" w:rsidRPr="000C06D7">
        <w:rPr>
          <w:rFonts w:ascii="Times New Roman" w:hAnsi="Times New Roman"/>
        </w:rPr>
        <w:t>the</w:t>
      </w:r>
      <w:r w:rsidR="00FA60E0" w:rsidRPr="000C06D7">
        <w:rPr>
          <w:rFonts w:ascii="Times New Roman" w:hAnsi="Times New Roman"/>
        </w:rPr>
        <w:t xml:space="preserve"> loading berths</w:t>
      </w:r>
      <w:r w:rsidR="00D15768" w:rsidRPr="000C06D7">
        <w:rPr>
          <w:rFonts w:ascii="Times New Roman" w:hAnsi="Times New Roman"/>
        </w:rPr>
        <w:t xml:space="preserve"> where Glencore sold FOB</w:t>
      </w:r>
      <w:r w:rsidR="00866D65" w:rsidRPr="000C06D7">
        <w:rPr>
          <w:rFonts w:ascii="Times New Roman" w:hAnsi="Times New Roman"/>
        </w:rPr>
        <w:t xml:space="preserve">. </w:t>
      </w:r>
      <w:r w:rsidR="00E13C1F" w:rsidRPr="000C06D7">
        <w:rPr>
          <w:rFonts w:ascii="Times New Roman" w:hAnsi="Times New Roman"/>
        </w:rPr>
        <w:t xml:space="preserve">There was </w:t>
      </w:r>
      <w:r w:rsidR="008A7423" w:rsidRPr="000C06D7">
        <w:rPr>
          <w:rFonts w:ascii="Times New Roman" w:hAnsi="Times New Roman"/>
        </w:rPr>
        <w:t xml:space="preserve">also </w:t>
      </w:r>
      <w:r w:rsidR="00E13C1F" w:rsidRPr="000C06D7">
        <w:rPr>
          <w:rFonts w:ascii="Times New Roman" w:hAnsi="Times New Roman"/>
        </w:rPr>
        <w:t>no dispute that</w:t>
      </w:r>
      <w:r w:rsidR="008A7423" w:rsidRPr="000C06D7">
        <w:rPr>
          <w:rFonts w:ascii="Times New Roman" w:hAnsi="Times New Roman"/>
        </w:rPr>
        <w:t>, i</w:t>
      </w:r>
      <w:r w:rsidR="00DB6615" w:rsidRPr="000C06D7">
        <w:rPr>
          <w:rFonts w:ascii="Times New Roman" w:hAnsi="Times New Roman"/>
        </w:rPr>
        <w:t xml:space="preserve">n respect of </w:t>
      </w:r>
      <w:r w:rsidR="00B40F33" w:rsidRPr="000C06D7">
        <w:rPr>
          <w:rFonts w:ascii="Times New Roman" w:hAnsi="Times New Roman"/>
        </w:rPr>
        <w:t>its access to that part of the Service,</w:t>
      </w:r>
      <w:r w:rsidR="00DB6615" w:rsidRPr="000C06D7">
        <w:rPr>
          <w:rFonts w:ascii="Times New Roman" w:hAnsi="Times New Roman"/>
        </w:rPr>
        <w:t xml:space="preserve"> </w:t>
      </w:r>
      <w:r w:rsidR="00B40F33" w:rsidRPr="000C06D7">
        <w:rPr>
          <w:rFonts w:ascii="Times New Roman" w:hAnsi="Times New Roman"/>
        </w:rPr>
        <w:t xml:space="preserve">Glencore </w:t>
      </w:r>
      <w:r w:rsidR="00556BF5" w:rsidRPr="000C06D7">
        <w:rPr>
          <w:rFonts w:ascii="Times New Roman" w:hAnsi="Times New Roman"/>
        </w:rPr>
        <w:t>wa</w:t>
      </w:r>
      <w:r w:rsidR="00B40F33" w:rsidRPr="000C06D7">
        <w:rPr>
          <w:rFonts w:ascii="Times New Roman" w:hAnsi="Times New Roman"/>
        </w:rPr>
        <w:t>s</w:t>
      </w:r>
      <w:r w:rsidR="00DA0FCD" w:rsidRPr="000C06D7">
        <w:rPr>
          <w:rFonts w:ascii="Times New Roman" w:hAnsi="Times New Roman"/>
        </w:rPr>
        <w:t xml:space="preserve"> liable to pay </w:t>
      </w:r>
      <w:r w:rsidR="00DB6615" w:rsidRPr="000C06D7">
        <w:rPr>
          <w:rFonts w:ascii="Times New Roman" w:hAnsi="Times New Roman"/>
        </w:rPr>
        <w:t>the Wharfage Charge</w:t>
      </w:r>
      <w:r w:rsidR="00F43665" w:rsidRPr="000C06D7">
        <w:rPr>
          <w:rFonts w:ascii="Times New Roman" w:hAnsi="Times New Roman"/>
        </w:rPr>
        <w:t xml:space="preserve">. </w:t>
      </w:r>
      <w:r w:rsidR="00803C4B" w:rsidRPr="000C06D7">
        <w:rPr>
          <w:rFonts w:ascii="Times New Roman" w:hAnsi="Times New Roman"/>
        </w:rPr>
        <w:t>I</w:t>
      </w:r>
      <w:r w:rsidR="00EA37F1" w:rsidRPr="000C06D7">
        <w:rPr>
          <w:rFonts w:ascii="Times New Roman" w:hAnsi="Times New Roman"/>
        </w:rPr>
        <w:t xml:space="preserve">f Glencore </w:t>
      </w:r>
      <w:r w:rsidR="00F43665" w:rsidRPr="000C06D7">
        <w:rPr>
          <w:rFonts w:ascii="Times New Roman" w:hAnsi="Times New Roman"/>
        </w:rPr>
        <w:t>access</w:t>
      </w:r>
      <w:r w:rsidR="00EA37F1" w:rsidRPr="000C06D7">
        <w:rPr>
          <w:rFonts w:ascii="Times New Roman" w:hAnsi="Times New Roman"/>
        </w:rPr>
        <w:t>e</w:t>
      </w:r>
      <w:r w:rsidR="00556BF5" w:rsidRPr="000C06D7">
        <w:rPr>
          <w:rFonts w:ascii="Times New Roman" w:hAnsi="Times New Roman"/>
        </w:rPr>
        <w:t>d</w:t>
      </w:r>
      <w:r w:rsidR="00F43665" w:rsidRPr="000C06D7">
        <w:rPr>
          <w:rFonts w:ascii="Times New Roman" w:hAnsi="Times New Roman"/>
        </w:rPr>
        <w:t xml:space="preserve"> </w:t>
      </w:r>
      <w:r w:rsidR="00850FBD" w:rsidRPr="000C06D7">
        <w:rPr>
          <w:rFonts w:ascii="Times New Roman" w:hAnsi="Times New Roman"/>
        </w:rPr>
        <w:t xml:space="preserve">that </w:t>
      </w:r>
      <w:r w:rsidR="00F43665" w:rsidRPr="000C06D7">
        <w:rPr>
          <w:rFonts w:ascii="Times New Roman" w:hAnsi="Times New Roman"/>
        </w:rPr>
        <w:t xml:space="preserve">part of the </w:t>
      </w:r>
      <w:r w:rsidR="00803C4B" w:rsidRPr="000C06D7">
        <w:rPr>
          <w:rFonts w:ascii="Times New Roman" w:hAnsi="Times New Roman"/>
        </w:rPr>
        <w:t>Service</w:t>
      </w:r>
      <w:r w:rsidR="00850FBD" w:rsidRPr="000C06D7">
        <w:rPr>
          <w:rFonts w:ascii="Times New Roman" w:hAnsi="Times New Roman"/>
        </w:rPr>
        <w:t xml:space="preserve"> which comprise</w:t>
      </w:r>
      <w:r w:rsidR="00AD5FE6" w:rsidRPr="000C06D7">
        <w:rPr>
          <w:rFonts w:ascii="Times New Roman" w:hAnsi="Times New Roman"/>
        </w:rPr>
        <w:t>d</w:t>
      </w:r>
      <w:r w:rsidR="00850FBD" w:rsidRPr="000C06D7">
        <w:rPr>
          <w:rFonts w:ascii="Times New Roman" w:hAnsi="Times New Roman"/>
        </w:rPr>
        <w:t xml:space="preserve"> use of the loading berths</w:t>
      </w:r>
      <w:r w:rsidR="00803C4B" w:rsidRPr="000C06D7">
        <w:rPr>
          <w:rFonts w:ascii="Times New Roman" w:hAnsi="Times New Roman"/>
        </w:rPr>
        <w:t xml:space="preserve">, </w:t>
      </w:r>
      <w:r w:rsidR="00850FBD" w:rsidRPr="000C06D7">
        <w:rPr>
          <w:rFonts w:ascii="Times New Roman" w:hAnsi="Times New Roman"/>
        </w:rPr>
        <w:t xml:space="preserve">as the Full Court saw it, </w:t>
      </w:r>
      <w:r w:rsidR="006961F1" w:rsidRPr="000C06D7">
        <w:rPr>
          <w:rFonts w:ascii="Times New Roman" w:hAnsi="Times New Roman"/>
        </w:rPr>
        <w:t xml:space="preserve">Glencore </w:t>
      </w:r>
      <w:r w:rsidR="003A7E2D" w:rsidRPr="000C06D7">
        <w:rPr>
          <w:rFonts w:ascii="Times New Roman" w:hAnsi="Times New Roman"/>
        </w:rPr>
        <w:t xml:space="preserve">also </w:t>
      </w:r>
      <w:r w:rsidR="006961F1" w:rsidRPr="000C06D7">
        <w:rPr>
          <w:rFonts w:ascii="Times New Roman" w:hAnsi="Times New Roman"/>
        </w:rPr>
        <w:t>necessarily</w:t>
      </w:r>
      <w:r w:rsidR="00A54547" w:rsidRPr="000C06D7">
        <w:rPr>
          <w:rFonts w:ascii="Times New Roman" w:hAnsi="Times New Roman"/>
        </w:rPr>
        <w:t xml:space="preserve"> </w:t>
      </w:r>
      <w:r w:rsidR="006961F1" w:rsidRPr="000C06D7">
        <w:rPr>
          <w:rFonts w:ascii="Times New Roman" w:hAnsi="Times New Roman"/>
        </w:rPr>
        <w:t>accesse</w:t>
      </w:r>
      <w:r w:rsidR="00AD5FE6" w:rsidRPr="000C06D7">
        <w:rPr>
          <w:rFonts w:ascii="Times New Roman" w:hAnsi="Times New Roman"/>
        </w:rPr>
        <w:t>d</w:t>
      </w:r>
      <w:r w:rsidR="006961F1" w:rsidRPr="000C06D7">
        <w:rPr>
          <w:rFonts w:ascii="Times New Roman" w:hAnsi="Times New Roman"/>
        </w:rPr>
        <w:t xml:space="preserve"> </w:t>
      </w:r>
      <w:r w:rsidR="00A54547" w:rsidRPr="000C06D7">
        <w:rPr>
          <w:rFonts w:ascii="Times New Roman" w:hAnsi="Times New Roman"/>
        </w:rPr>
        <w:t>the other part of the Service</w:t>
      </w:r>
      <w:r w:rsidR="00046CB6" w:rsidRPr="000C06D7">
        <w:rPr>
          <w:rFonts w:ascii="Times New Roman" w:hAnsi="Times New Roman"/>
        </w:rPr>
        <w:t>,</w:t>
      </w:r>
      <w:r w:rsidR="00A54547" w:rsidRPr="000C06D7">
        <w:rPr>
          <w:rFonts w:ascii="Times New Roman" w:hAnsi="Times New Roman"/>
        </w:rPr>
        <w:t xml:space="preserve"> which comprise</w:t>
      </w:r>
      <w:r w:rsidR="00AD5FE6" w:rsidRPr="000C06D7">
        <w:rPr>
          <w:rFonts w:ascii="Times New Roman" w:hAnsi="Times New Roman"/>
        </w:rPr>
        <w:t>d</w:t>
      </w:r>
      <w:r w:rsidR="00A54547" w:rsidRPr="000C06D7">
        <w:rPr>
          <w:rFonts w:ascii="Times New Roman" w:hAnsi="Times New Roman"/>
        </w:rPr>
        <w:t xml:space="preserve"> </w:t>
      </w:r>
      <w:r w:rsidR="006961F1" w:rsidRPr="000C06D7">
        <w:rPr>
          <w:rFonts w:ascii="Times New Roman" w:hAnsi="Times New Roman"/>
        </w:rPr>
        <w:t>the shipping channels</w:t>
      </w:r>
      <w:r w:rsidR="00E00944" w:rsidRPr="000C06D7">
        <w:rPr>
          <w:rFonts w:ascii="Times New Roman" w:hAnsi="Times New Roman"/>
        </w:rPr>
        <w:t xml:space="preserve"> needed </w:t>
      </w:r>
      <w:r w:rsidR="006961F1" w:rsidRPr="000C06D7">
        <w:rPr>
          <w:rFonts w:ascii="Times New Roman" w:hAnsi="Times New Roman"/>
        </w:rPr>
        <w:t xml:space="preserve">to </w:t>
      </w:r>
      <w:r w:rsidR="00E00944" w:rsidRPr="000C06D7">
        <w:rPr>
          <w:rFonts w:ascii="Times New Roman" w:hAnsi="Times New Roman"/>
        </w:rPr>
        <w:t>get to</w:t>
      </w:r>
      <w:r w:rsidR="006961F1" w:rsidRPr="000C06D7">
        <w:rPr>
          <w:rFonts w:ascii="Times New Roman" w:hAnsi="Times New Roman"/>
        </w:rPr>
        <w:t xml:space="preserve"> </w:t>
      </w:r>
      <w:r w:rsidR="003A7E2D" w:rsidRPr="000C06D7">
        <w:rPr>
          <w:rFonts w:ascii="Times New Roman" w:hAnsi="Times New Roman"/>
        </w:rPr>
        <w:t xml:space="preserve">and from </w:t>
      </w:r>
      <w:r w:rsidR="006961F1" w:rsidRPr="000C06D7">
        <w:rPr>
          <w:rFonts w:ascii="Times New Roman" w:hAnsi="Times New Roman"/>
        </w:rPr>
        <w:t>the loading berths</w:t>
      </w:r>
      <w:r w:rsidR="00A14AD8" w:rsidRPr="000C06D7">
        <w:rPr>
          <w:rStyle w:val="FootnoteReference"/>
          <w:rFonts w:ascii="Times New Roman" w:hAnsi="Times New Roman"/>
          <w:sz w:val="24"/>
        </w:rPr>
        <w:footnoteReference w:id="79"/>
      </w:r>
      <w:r w:rsidR="00E00944" w:rsidRPr="000C06D7">
        <w:rPr>
          <w:rFonts w:ascii="Times New Roman" w:hAnsi="Times New Roman"/>
        </w:rPr>
        <w:t>.</w:t>
      </w:r>
    </w:p>
    <w:p w14:paraId="2A5A402D" w14:textId="2CE38269" w:rsidR="002B5198" w:rsidRPr="000C06D7" w:rsidRDefault="001D5A9E"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AF4F18" w:rsidRPr="000C06D7">
        <w:rPr>
          <w:rFonts w:ascii="Times New Roman" w:hAnsi="Times New Roman"/>
        </w:rPr>
        <w:t>T</w:t>
      </w:r>
      <w:r w:rsidRPr="000C06D7">
        <w:rPr>
          <w:rFonts w:ascii="Times New Roman" w:hAnsi="Times New Roman"/>
        </w:rPr>
        <w:t>he Full Court added</w:t>
      </w:r>
      <w:r w:rsidR="000A4046" w:rsidRPr="000C06D7">
        <w:rPr>
          <w:rFonts w:ascii="Times New Roman" w:hAnsi="Times New Roman"/>
        </w:rPr>
        <w:t xml:space="preserve"> the following observation</w:t>
      </w:r>
      <w:r w:rsidR="00082578" w:rsidRPr="000C06D7">
        <w:rPr>
          <w:rStyle w:val="FootnoteReference"/>
          <w:rFonts w:ascii="Times New Roman" w:hAnsi="Times New Roman"/>
          <w:sz w:val="24"/>
        </w:rPr>
        <w:footnoteReference w:id="80"/>
      </w:r>
      <w:r w:rsidRPr="000C06D7">
        <w:rPr>
          <w:rFonts w:ascii="Times New Roman" w:hAnsi="Times New Roman"/>
        </w:rPr>
        <w:t>:</w:t>
      </w:r>
    </w:p>
    <w:p w14:paraId="508701C4" w14:textId="77777777" w:rsidR="000C06D7" w:rsidRDefault="00DE7287" w:rsidP="000C06D7">
      <w:pPr>
        <w:pStyle w:val="leftright"/>
        <w:spacing w:before="0" w:after="260" w:line="280" w:lineRule="exact"/>
        <w:ind w:right="0"/>
        <w:jc w:val="both"/>
        <w:rPr>
          <w:rFonts w:ascii="Times New Roman" w:hAnsi="Times New Roman"/>
        </w:rPr>
      </w:pPr>
      <w:r w:rsidRPr="000C06D7">
        <w:rPr>
          <w:rFonts w:ascii="Times New Roman" w:hAnsi="Times New Roman"/>
        </w:rPr>
        <w:tab/>
      </w:r>
      <w:r w:rsidR="00AD6AAC" w:rsidRPr="000C06D7">
        <w:rPr>
          <w:rFonts w:ascii="Times New Roman" w:hAnsi="Times New Roman"/>
        </w:rPr>
        <w:t>"</w:t>
      </w:r>
      <w:r w:rsidR="00E32D98" w:rsidRPr="000C06D7">
        <w:rPr>
          <w:rFonts w:ascii="Times New Roman" w:hAnsi="Times New Roman"/>
        </w:rPr>
        <w:t>If, as we consider to be the case, Glencore is accessing and using the Service</w:t>
      </w:r>
      <w:r w:rsidR="00126825" w:rsidRPr="000C06D7">
        <w:rPr>
          <w:rFonts w:ascii="Times New Roman" w:hAnsi="Times New Roman"/>
        </w:rPr>
        <w:t xml:space="preserve"> </w:t>
      </w:r>
      <w:r w:rsidR="00E32D98" w:rsidRPr="000C06D7">
        <w:rPr>
          <w:rFonts w:ascii="Times New Roman" w:hAnsi="Times New Roman"/>
        </w:rPr>
        <w:t>and shipping channels, the determination through a bilateral arbitration can,</w:t>
      </w:r>
      <w:r w:rsidR="00126825" w:rsidRPr="000C06D7">
        <w:rPr>
          <w:rFonts w:ascii="Times New Roman" w:hAnsi="Times New Roman"/>
        </w:rPr>
        <w:t xml:space="preserve"> </w:t>
      </w:r>
      <w:r w:rsidR="00E32D98" w:rsidRPr="000C06D7">
        <w:rPr>
          <w:rFonts w:ascii="Times New Roman" w:hAnsi="Times New Roman"/>
        </w:rPr>
        <w:t>under s</w:t>
      </w:r>
      <w:r w:rsidR="00D33B5C" w:rsidRPr="000C06D7">
        <w:rPr>
          <w:rFonts w:ascii="Times New Roman" w:hAnsi="Times New Roman"/>
        </w:rPr>
        <w:t> </w:t>
      </w:r>
      <w:r w:rsidR="00E32D98" w:rsidRPr="000C06D7">
        <w:rPr>
          <w:rFonts w:ascii="Times New Roman" w:hAnsi="Times New Roman"/>
        </w:rPr>
        <w:t>44V(2), set the terms of access as between Glencore and PNO such that</w:t>
      </w:r>
      <w:r w:rsidR="00126825" w:rsidRPr="000C06D7">
        <w:rPr>
          <w:rFonts w:ascii="Times New Roman" w:hAnsi="Times New Roman"/>
        </w:rPr>
        <w:t xml:space="preserve"> </w:t>
      </w:r>
      <w:r w:rsidR="00E32D98" w:rsidRPr="000C06D7">
        <w:rPr>
          <w:rFonts w:ascii="Times New Roman" w:hAnsi="Times New Roman"/>
        </w:rPr>
        <w:t>another person who may have a right of access to the shipping channels to carry</w:t>
      </w:r>
      <w:r w:rsidR="00126825" w:rsidRPr="000C06D7">
        <w:rPr>
          <w:rFonts w:ascii="Times New Roman" w:hAnsi="Times New Roman"/>
        </w:rPr>
        <w:t xml:space="preserve"> </w:t>
      </w:r>
      <w:r w:rsidR="00E32D98" w:rsidRPr="000C06D7">
        <w:rPr>
          <w:rFonts w:ascii="Times New Roman" w:hAnsi="Times New Roman"/>
        </w:rPr>
        <w:t>Glencore</w:t>
      </w:r>
      <w:r w:rsidR="00FD7766" w:rsidRPr="000C06D7">
        <w:rPr>
          <w:rFonts w:ascii="Times New Roman" w:hAnsi="Times New Roman"/>
        </w:rPr>
        <w:t>'</w:t>
      </w:r>
      <w:r w:rsidR="00E32D98" w:rsidRPr="000C06D7">
        <w:rPr>
          <w:rFonts w:ascii="Times New Roman" w:hAnsi="Times New Roman"/>
        </w:rPr>
        <w:t xml:space="preserve">s coal and who may be subject to the </w:t>
      </w:r>
      <w:r w:rsidR="004A4C53" w:rsidRPr="000C06D7">
        <w:rPr>
          <w:rFonts w:ascii="Times New Roman" w:hAnsi="Times New Roman"/>
        </w:rPr>
        <w:t>[</w:t>
      </w:r>
      <w:r w:rsidR="00E32D98" w:rsidRPr="000C06D7">
        <w:rPr>
          <w:rFonts w:ascii="Times New Roman" w:hAnsi="Times New Roman"/>
        </w:rPr>
        <w:t>N</w:t>
      </w:r>
      <w:r w:rsidR="004A4C53" w:rsidRPr="000C06D7">
        <w:rPr>
          <w:rFonts w:ascii="Times New Roman" w:hAnsi="Times New Roman"/>
        </w:rPr>
        <w:t xml:space="preserve">avigation </w:t>
      </w:r>
      <w:r w:rsidR="00E32D98" w:rsidRPr="000C06D7">
        <w:rPr>
          <w:rFonts w:ascii="Times New Roman" w:hAnsi="Times New Roman"/>
        </w:rPr>
        <w:t>S</w:t>
      </w:r>
      <w:r w:rsidR="004A4C53" w:rsidRPr="000C06D7">
        <w:rPr>
          <w:rFonts w:ascii="Times New Roman" w:hAnsi="Times New Roman"/>
        </w:rPr>
        <w:t xml:space="preserve">ervice </w:t>
      </w:r>
      <w:r w:rsidR="00E32D98" w:rsidRPr="000C06D7">
        <w:rPr>
          <w:rFonts w:ascii="Times New Roman" w:hAnsi="Times New Roman"/>
        </w:rPr>
        <w:t>C</w:t>
      </w:r>
      <w:r w:rsidR="004A4C53" w:rsidRPr="000C06D7">
        <w:rPr>
          <w:rFonts w:ascii="Times New Roman" w:hAnsi="Times New Roman"/>
        </w:rPr>
        <w:t>harge]</w:t>
      </w:r>
      <w:r w:rsidR="00E32D98" w:rsidRPr="000C06D7">
        <w:rPr>
          <w:rFonts w:ascii="Times New Roman" w:hAnsi="Times New Roman"/>
        </w:rPr>
        <w:t>, can, through Glencore be</w:t>
      </w:r>
      <w:r w:rsidR="00126825" w:rsidRPr="000C06D7">
        <w:rPr>
          <w:rFonts w:ascii="Times New Roman" w:hAnsi="Times New Roman"/>
        </w:rPr>
        <w:t xml:space="preserve"> </w:t>
      </w:r>
      <w:r w:rsidR="00E32D98" w:rsidRPr="000C06D7">
        <w:rPr>
          <w:rFonts w:ascii="Times New Roman" w:hAnsi="Times New Roman"/>
        </w:rPr>
        <w:t>given the ability or option of taking up Glencore</w:t>
      </w:r>
      <w:r w:rsidR="00FD7766" w:rsidRPr="000C06D7">
        <w:rPr>
          <w:rFonts w:ascii="Times New Roman" w:hAnsi="Times New Roman"/>
        </w:rPr>
        <w:t>'</w:t>
      </w:r>
      <w:r w:rsidR="00E32D98" w:rsidRPr="000C06D7">
        <w:rPr>
          <w:rFonts w:ascii="Times New Roman" w:hAnsi="Times New Roman"/>
        </w:rPr>
        <w:t>s arbitrated price. The precise</w:t>
      </w:r>
      <w:r w:rsidR="00126825" w:rsidRPr="000C06D7">
        <w:rPr>
          <w:rFonts w:ascii="Times New Roman" w:hAnsi="Times New Roman"/>
        </w:rPr>
        <w:t xml:space="preserve"> </w:t>
      </w:r>
      <w:r w:rsidR="00E32D98" w:rsidRPr="000C06D7">
        <w:rPr>
          <w:rFonts w:ascii="Times New Roman" w:hAnsi="Times New Roman"/>
        </w:rPr>
        <w:t>mechanism need not be set out here, save to say that it would need to be a</w:t>
      </w:r>
      <w:r w:rsidR="00126825" w:rsidRPr="000C06D7">
        <w:rPr>
          <w:rFonts w:ascii="Times New Roman" w:hAnsi="Times New Roman"/>
        </w:rPr>
        <w:t xml:space="preserve"> </w:t>
      </w:r>
      <w:r w:rsidR="00E32D98" w:rsidRPr="000C06D7">
        <w:rPr>
          <w:rFonts w:ascii="Times New Roman" w:hAnsi="Times New Roman"/>
        </w:rPr>
        <w:t>product of the arbitrated bilateral rights and obligations between Glencore and</w:t>
      </w:r>
      <w:r w:rsidR="00126825" w:rsidRPr="000C06D7">
        <w:rPr>
          <w:rFonts w:ascii="Times New Roman" w:hAnsi="Times New Roman"/>
        </w:rPr>
        <w:t xml:space="preserve"> </w:t>
      </w:r>
      <w:r w:rsidR="00E32D98" w:rsidRPr="000C06D7">
        <w:rPr>
          <w:rFonts w:ascii="Times New Roman" w:hAnsi="Times New Roman"/>
        </w:rPr>
        <w:t>PNO and conform practically to the workings of the Port and the PMA</w:t>
      </w:r>
      <w:r w:rsidR="00126825" w:rsidRPr="000C06D7">
        <w:rPr>
          <w:rFonts w:ascii="Times New Roman" w:hAnsi="Times New Roman"/>
        </w:rPr>
        <w:t xml:space="preserve"> </w:t>
      </w:r>
      <w:r w:rsidR="00E32D98" w:rsidRPr="000C06D7">
        <w:rPr>
          <w:rFonts w:ascii="Times New Roman" w:hAnsi="Times New Roman"/>
        </w:rPr>
        <w:t>Act. This</w:t>
      </w:r>
      <w:r w:rsidR="00126825" w:rsidRPr="000C06D7">
        <w:rPr>
          <w:rFonts w:ascii="Times New Roman" w:hAnsi="Times New Roman"/>
        </w:rPr>
        <w:t xml:space="preserve"> </w:t>
      </w:r>
      <w:r w:rsidR="00E32D98" w:rsidRPr="000C06D7">
        <w:rPr>
          <w:rFonts w:ascii="Times New Roman" w:hAnsi="Times New Roman"/>
        </w:rPr>
        <w:t>would ensure the benefit to Glencore of the arbitrated terms of access, and if for</w:t>
      </w:r>
      <w:r w:rsidR="00126825" w:rsidRPr="000C06D7">
        <w:rPr>
          <w:rFonts w:ascii="Times New Roman" w:hAnsi="Times New Roman"/>
        </w:rPr>
        <w:t xml:space="preserve"> </w:t>
      </w:r>
      <w:r w:rsidR="00E32D98" w:rsidRPr="000C06D7">
        <w:rPr>
          <w:rFonts w:ascii="Times New Roman" w:hAnsi="Times New Roman"/>
        </w:rPr>
        <w:t>its own commercial reasons a shipowner or charterer wanted to pay more (for</w:t>
      </w:r>
      <w:r w:rsidR="00126825" w:rsidRPr="000C06D7">
        <w:rPr>
          <w:rFonts w:ascii="Times New Roman" w:hAnsi="Times New Roman"/>
        </w:rPr>
        <w:t xml:space="preserve"> </w:t>
      </w:r>
      <w:r w:rsidR="00E32D98" w:rsidRPr="000C06D7">
        <w:rPr>
          <w:rFonts w:ascii="Times New Roman" w:hAnsi="Times New Roman"/>
        </w:rPr>
        <w:t>some preferential access, or its own commercial reasons otherwise) it would not</w:t>
      </w:r>
      <w:r w:rsidR="00126825" w:rsidRPr="000C06D7">
        <w:rPr>
          <w:rFonts w:ascii="Times New Roman" w:hAnsi="Times New Roman"/>
        </w:rPr>
        <w:t xml:space="preserve"> </w:t>
      </w:r>
      <w:r w:rsidR="00E32D98" w:rsidRPr="000C06D7">
        <w:rPr>
          <w:rFonts w:ascii="Times New Roman" w:hAnsi="Times New Roman"/>
        </w:rPr>
        <w:t>be bound to take Glencore</w:t>
      </w:r>
      <w:r w:rsidR="00DC7058" w:rsidRPr="000C06D7">
        <w:rPr>
          <w:rFonts w:ascii="Times New Roman" w:hAnsi="Times New Roman"/>
        </w:rPr>
        <w:t>'</w:t>
      </w:r>
      <w:r w:rsidR="00E32D98" w:rsidRPr="000C06D7">
        <w:rPr>
          <w:rFonts w:ascii="Times New Roman" w:hAnsi="Times New Roman"/>
        </w:rPr>
        <w:t>s arbitrated price. That may or may not be a</w:t>
      </w:r>
      <w:r w:rsidR="00FD7766" w:rsidRPr="000C06D7">
        <w:rPr>
          <w:rFonts w:ascii="Times New Roman" w:hAnsi="Times New Roman"/>
        </w:rPr>
        <w:t xml:space="preserve"> </w:t>
      </w:r>
      <w:r w:rsidR="00E32D98" w:rsidRPr="000C06D7">
        <w:rPr>
          <w:rFonts w:ascii="Times New Roman" w:hAnsi="Times New Roman"/>
        </w:rPr>
        <w:t>commercial issue for Glencore: to be solved either in its contractual</w:t>
      </w:r>
      <w:r w:rsidR="00FD7766" w:rsidRPr="000C06D7">
        <w:rPr>
          <w:rFonts w:ascii="Times New Roman" w:hAnsi="Times New Roman"/>
        </w:rPr>
        <w:t xml:space="preserve"> </w:t>
      </w:r>
      <w:r w:rsidR="00E32D98" w:rsidRPr="000C06D7">
        <w:rPr>
          <w:rFonts w:ascii="Times New Roman" w:hAnsi="Times New Roman"/>
        </w:rPr>
        <w:t>arrangements with the buyer or the shipowner or by making a representation for</w:t>
      </w:r>
      <w:r w:rsidR="00FD7766" w:rsidRPr="000C06D7">
        <w:rPr>
          <w:rFonts w:ascii="Times New Roman" w:hAnsi="Times New Roman"/>
        </w:rPr>
        <w:t xml:space="preserve"> </w:t>
      </w:r>
      <w:r w:rsidR="00E32D98" w:rsidRPr="000C06D7">
        <w:rPr>
          <w:rFonts w:ascii="Times New Roman" w:hAnsi="Times New Roman"/>
        </w:rPr>
        <w:t>the purposes of s 48(4)(b) of the PMA Act. Such an arrangement falls entirely</w:t>
      </w:r>
      <w:r w:rsidR="00FD7766" w:rsidRPr="000C06D7">
        <w:rPr>
          <w:rFonts w:ascii="Times New Roman" w:hAnsi="Times New Roman"/>
        </w:rPr>
        <w:t xml:space="preserve"> </w:t>
      </w:r>
      <w:r w:rsidR="00E32D98" w:rsidRPr="000C06D7">
        <w:rPr>
          <w:rFonts w:ascii="Times New Roman" w:hAnsi="Times New Roman"/>
        </w:rPr>
        <w:t xml:space="preserve">within the clause </w:t>
      </w:r>
      <w:r w:rsidR="00FD7766" w:rsidRPr="000C06D7">
        <w:rPr>
          <w:rFonts w:ascii="Times New Roman" w:hAnsi="Times New Roman"/>
        </w:rPr>
        <w:t>'</w:t>
      </w:r>
      <w:r w:rsidR="00E32D98" w:rsidRPr="000C06D7">
        <w:rPr>
          <w:rFonts w:ascii="Times New Roman" w:hAnsi="Times New Roman"/>
        </w:rPr>
        <w:t xml:space="preserve">any matter relating to access by </w:t>
      </w:r>
      <w:r w:rsidR="00E32D98" w:rsidRPr="000C06D7">
        <w:rPr>
          <w:rFonts w:ascii="Times New Roman" w:hAnsi="Times New Roman"/>
        </w:rPr>
        <w:lastRenderedPageBreak/>
        <w:t>[Glencore]</w:t>
      </w:r>
      <w:r w:rsidR="00FD7766" w:rsidRPr="000C06D7">
        <w:rPr>
          <w:rFonts w:ascii="Times New Roman" w:hAnsi="Times New Roman"/>
        </w:rPr>
        <w:t>'</w:t>
      </w:r>
      <w:r w:rsidR="00E32D98" w:rsidRPr="000C06D7">
        <w:rPr>
          <w:rFonts w:ascii="Times New Roman" w:hAnsi="Times New Roman"/>
        </w:rPr>
        <w:t xml:space="preserve"> in the chapeau to</w:t>
      </w:r>
      <w:r w:rsidR="005456DB" w:rsidRPr="000C06D7">
        <w:rPr>
          <w:rFonts w:ascii="Times New Roman" w:hAnsi="Times New Roman"/>
        </w:rPr>
        <w:t xml:space="preserve"> </w:t>
      </w:r>
      <w:r w:rsidR="00E32D98" w:rsidRPr="000C06D7">
        <w:rPr>
          <w:rFonts w:ascii="Times New Roman" w:hAnsi="Times New Roman"/>
        </w:rPr>
        <w:t>s 44V(2). The working out of such arrangements in the terms would be a matter</w:t>
      </w:r>
      <w:r w:rsidR="005456DB" w:rsidRPr="000C06D7">
        <w:rPr>
          <w:rFonts w:ascii="Times New Roman" w:hAnsi="Times New Roman"/>
        </w:rPr>
        <w:t xml:space="preserve"> </w:t>
      </w:r>
      <w:r w:rsidR="00E32D98" w:rsidRPr="000C06D7">
        <w:rPr>
          <w:rFonts w:ascii="Times New Roman" w:hAnsi="Times New Roman"/>
        </w:rPr>
        <w:t>for the Tribunal in the re-arbitration.</w:t>
      </w:r>
      <w:r w:rsidR="005456DB" w:rsidRPr="000C06D7">
        <w:rPr>
          <w:rFonts w:ascii="Times New Roman" w:hAnsi="Times New Roman"/>
        </w:rPr>
        <w:t>"</w:t>
      </w:r>
    </w:p>
    <w:p w14:paraId="609D1295" w14:textId="2F0EBBAE" w:rsidR="001E6F86" w:rsidRPr="000C06D7" w:rsidRDefault="008A7423" w:rsidP="000C06D7">
      <w:pPr>
        <w:pStyle w:val="NormalBody"/>
        <w:spacing w:after="260" w:line="280" w:lineRule="exact"/>
        <w:ind w:right="0"/>
        <w:jc w:val="both"/>
        <w:rPr>
          <w:rFonts w:ascii="Times New Roman" w:hAnsi="Times New Roman"/>
        </w:rPr>
      </w:pPr>
      <w:r w:rsidRPr="000C06D7">
        <w:rPr>
          <w:rFonts w:ascii="Times New Roman" w:hAnsi="Times New Roman"/>
        </w:rPr>
        <w:t xml:space="preserve">The Full Court </w:t>
      </w:r>
      <w:r w:rsidR="00B0214D" w:rsidRPr="000C06D7">
        <w:rPr>
          <w:rFonts w:ascii="Times New Roman" w:hAnsi="Times New Roman"/>
        </w:rPr>
        <w:t>further</w:t>
      </w:r>
      <w:r w:rsidRPr="000C06D7">
        <w:rPr>
          <w:rFonts w:ascii="Times New Roman" w:hAnsi="Times New Roman"/>
        </w:rPr>
        <w:t xml:space="preserve"> </w:t>
      </w:r>
      <w:r w:rsidR="00811536" w:rsidRPr="000C06D7">
        <w:rPr>
          <w:rFonts w:ascii="Times New Roman" w:hAnsi="Times New Roman"/>
        </w:rPr>
        <w:t>add</w:t>
      </w:r>
      <w:r w:rsidR="00B0214D" w:rsidRPr="000C06D7">
        <w:rPr>
          <w:rFonts w:ascii="Times New Roman" w:hAnsi="Times New Roman"/>
        </w:rPr>
        <w:t>ed</w:t>
      </w:r>
      <w:r w:rsidR="00811536" w:rsidRPr="000C06D7">
        <w:rPr>
          <w:rStyle w:val="FootnoteReference"/>
          <w:rFonts w:ascii="Times New Roman" w:hAnsi="Times New Roman"/>
          <w:sz w:val="24"/>
        </w:rPr>
        <w:footnoteReference w:id="81"/>
      </w:r>
      <w:r w:rsidR="00811536" w:rsidRPr="000C06D7">
        <w:rPr>
          <w:rFonts w:ascii="Times New Roman" w:hAnsi="Times New Roman"/>
        </w:rPr>
        <w:t>:</w:t>
      </w:r>
    </w:p>
    <w:p w14:paraId="2D1BDC52" w14:textId="77777777" w:rsidR="000C06D7" w:rsidRDefault="007014A1" w:rsidP="000C06D7">
      <w:pPr>
        <w:pStyle w:val="leftright"/>
        <w:spacing w:before="0" w:after="260" w:line="280" w:lineRule="exact"/>
        <w:ind w:right="0"/>
        <w:jc w:val="both"/>
        <w:rPr>
          <w:rFonts w:ascii="Times New Roman" w:hAnsi="Times New Roman"/>
        </w:rPr>
      </w:pPr>
      <w:r w:rsidRPr="000C06D7">
        <w:rPr>
          <w:rFonts w:ascii="Times New Roman" w:hAnsi="Times New Roman"/>
        </w:rPr>
        <w:tab/>
      </w:r>
      <w:r w:rsidR="004E7515" w:rsidRPr="000C06D7">
        <w:rPr>
          <w:rFonts w:ascii="Times New Roman" w:hAnsi="Times New Roman"/>
        </w:rPr>
        <w:t>"</w:t>
      </w:r>
      <w:r w:rsidR="006A3D45" w:rsidRPr="000C06D7">
        <w:rPr>
          <w:rFonts w:ascii="Times New Roman" w:hAnsi="Times New Roman"/>
        </w:rPr>
        <w:t>Nor would there be any exceeding of the reach of Pt IIIA. The terms of access of Glencore are being fixed by determination which includes a mechanism of delivering an equivalent price to another party whose access overlaps or coincides with Glencore</w:t>
      </w:r>
      <w:r w:rsidR="003E537A" w:rsidRPr="000C06D7">
        <w:rPr>
          <w:rFonts w:ascii="Times New Roman" w:hAnsi="Times New Roman"/>
        </w:rPr>
        <w:t>'</w:t>
      </w:r>
      <w:r w:rsidR="006A3D45" w:rsidRPr="000C06D7">
        <w:rPr>
          <w:rFonts w:ascii="Times New Roman" w:hAnsi="Times New Roman"/>
        </w:rPr>
        <w:t>s access, so as to provide terms of access</w:t>
      </w:r>
      <w:r w:rsidR="005A563D" w:rsidRPr="000C06D7">
        <w:rPr>
          <w:rFonts w:ascii="Times New Roman" w:hAnsi="Times New Roman"/>
        </w:rPr>
        <w:t xml:space="preserve"> </w:t>
      </w:r>
      <w:r w:rsidR="005A563D" w:rsidRPr="000C06D7">
        <w:rPr>
          <w:rFonts w:ascii="Times New Roman" w:hAnsi="Times New Roman"/>
          <w:i/>
        </w:rPr>
        <w:t>for Glencore</w:t>
      </w:r>
      <w:r w:rsidR="005A563D" w:rsidRPr="000C06D7">
        <w:rPr>
          <w:rFonts w:ascii="Times New Roman" w:hAnsi="Times New Roman"/>
        </w:rPr>
        <w:t xml:space="preserve">. To require PNO to give the relevant shipowner a mechanism to take a </w:t>
      </w:r>
      <w:r w:rsidR="000857E9" w:rsidRPr="000C06D7">
        <w:rPr>
          <w:rFonts w:ascii="Times New Roman" w:hAnsi="Times New Roman"/>
        </w:rPr>
        <w:t>[</w:t>
      </w:r>
      <w:r w:rsidR="00D16E3D" w:rsidRPr="000C06D7">
        <w:rPr>
          <w:rFonts w:ascii="Times New Roman" w:hAnsi="Times New Roman"/>
        </w:rPr>
        <w:t>n</w:t>
      </w:r>
      <w:r w:rsidR="004A4C53" w:rsidRPr="000C06D7">
        <w:rPr>
          <w:rFonts w:ascii="Times New Roman" w:hAnsi="Times New Roman"/>
        </w:rPr>
        <w:t xml:space="preserve">avigation </w:t>
      </w:r>
      <w:r w:rsidR="000857E9" w:rsidRPr="000C06D7">
        <w:rPr>
          <w:rFonts w:ascii="Times New Roman" w:hAnsi="Times New Roman"/>
        </w:rPr>
        <w:t xml:space="preserve">service charge] </w:t>
      </w:r>
      <w:r w:rsidR="005A563D" w:rsidRPr="000C06D7">
        <w:rPr>
          <w:rFonts w:ascii="Times New Roman" w:hAnsi="Times New Roman"/>
        </w:rPr>
        <w:t xml:space="preserve">of not more than </w:t>
      </w:r>
      <w:r w:rsidR="00987954" w:rsidRPr="000C06D7">
        <w:rPr>
          <w:rFonts w:ascii="Times New Roman" w:hAnsi="Times New Roman"/>
        </w:rPr>
        <w:t>$</w:t>
      </w:r>
      <w:r w:rsidR="005A563D" w:rsidRPr="000C06D7">
        <w:rPr>
          <w:rFonts w:ascii="Times New Roman" w:hAnsi="Times New Roman"/>
        </w:rPr>
        <w:t>X as one of the terms and conditions of access by Glencore to the Service is only to ensure, or to make more likely, that Glencore</w:t>
      </w:r>
      <w:r w:rsidR="00BF5C3F" w:rsidRPr="000C06D7">
        <w:rPr>
          <w:rFonts w:ascii="Times New Roman" w:hAnsi="Times New Roman"/>
        </w:rPr>
        <w:t xml:space="preserve"> </w:t>
      </w:r>
      <w:r w:rsidR="005A563D" w:rsidRPr="000C06D7">
        <w:rPr>
          <w:rFonts w:ascii="Times New Roman" w:hAnsi="Times New Roman"/>
        </w:rPr>
        <w:t>will obtain the economic benefit of the declaration of the Service for its access</w:t>
      </w:r>
      <w:r w:rsidR="00BF5C3F" w:rsidRPr="000C06D7">
        <w:rPr>
          <w:rFonts w:ascii="Times New Roman" w:hAnsi="Times New Roman"/>
        </w:rPr>
        <w:t xml:space="preserve"> </w:t>
      </w:r>
      <w:r w:rsidR="005A563D" w:rsidRPr="000C06D7">
        <w:rPr>
          <w:rFonts w:ascii="Times New Roman" w:hAnsi="Times New Roman"/>
        </w:rPr>
        <w:t>to the Service.</w:t>
      </w:r>
      <w:r w:rsidR="00BF5C3F" w:rsidRPr="000C06D7">
        <w:rPr>
          <w:rFonts w:ascii="Times New Roman" w:hAnsi="Times New Roman"/>
        </w:rPr>
        <w:t>"</w:t>
      </w:r>
    </w:p>
    <w:p w14:paraId="740FF4A6" w14:textId="4B58EA28" w:rsidR="00445497" w:rsidRPr="000C06D7" w:rsidRDefault="00445497" w:rsidP="000C06D7">
      <w:pPr>
        <w:pStyle w:val="HeadingL2"/>
        <w:spacing w:after="260" w:line="280" w:lineRule="exact"/>
        <w:ind w:right="0"/>
        <w:jc w:val="both"/>
        <w:rPr>
          <w:rFonts w:ascii="Times New Roman" w:hAnsi="Times New Roman"/>
        </w:rPr>
      </w:pPr>
      <w:r w:rsidRPr="000C06D7">
        <w:rPr>
          <w:rFonts w:ascii="Times New Roman" w:hAnsi="Times New Roman"/>
        </w:rPr>
        <w:t>Amount of the Navigation Service Charge</w:t>
      </w:r>
    </w:p>
    <w:p w14:paraId="7A3541D9" w14:textId="6DDFFB6D" w:rsidR="006F2E61" w:rsidRPr="000C06D7" w:rsidRDefault="006F2E61"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427FE2" w:rsidRPr="000C06D7">
        <w:rPr>
          <w:rFonts w:ascii="Times New Roman" w:hAnsi="Times New Roman"/>
        </w:rPr>
        <w:t>The Full Court</w:t>
      </w:r>
      <w:r w:rsidR="00154296" w:rsidRPr="000C06D7">
        <w:rPr>
          <w:rFonts w:ascii="Times New Roman" w:hAnsi="Times New Roman"/>
        </w:rPr>
        <w:t xml:space="preserve"> went on to</w:t>
      </w:r>
      <w:r w:rsidR="00427FE2" w:rsidRPr="000C06D7">
        <w:rPr>
          <w:rFonts w:ascii="Times New Roman" w:hAnsi="Times New Roman"/>
        </w:rPr>
        <w:t xml:space="preserve"> </w:t>
      </w:r>
      <w:r w:rsidR="003275EA" w:rsidRPr="000C06D7">
        <w:rPr>
          <w:rFonts w:ascii="Times New Roman" w:hAnsi="Times New Roman"/>
        </w:rPr>
        <w:t>f</w:t>
      </w:r>
      <w:r w:rsidR="00154296" w:rsidRPr="000C06D7">
        <w:rPr>
          <w:rFonts w:ascii="Times New Roman" w:hAnsi="Times New Roman"/>
        </w:rPr>
        <w:t>ind</w:t>
      </w:r>
      <w:r w:rsidR="003275EA" w:rsidRPr="000C06D7">
        <w:rPr>
          <w:rFonts w:ascii="Times New Roman" w:hAnsi="Times New Roman"/>
        </w:rPr>
        <w:t xml:space="preserve"> </w:t>
      </w:r>
      <w:r w:rsidR="00427FE2" w:rsidRPr="000C06D7">
        <w:rPr>
          <w:rFonts w:ascii="Times New Roman" w:hAnsi="Times New Roman"/>
        </w:rPr>
        <w:t>that</w:t>
      </w:r>
      <w:r w:rsidR="003275EA" w:rsidRPr="000C06D7">
        <w:rPr>
          <w:rFonts w:ascii="Times New Roman" w:hAnsi="Times New Roman"/>
        </w:rPr>
        <w:t>,</w:t>
      </w:r>
      <w:r w:rsidR="00427FE2" w:rsidRPr="000C06D7">
        <w:rPr>
          <w:rFonts w:ascii="Times New Roman" w:hAnsi="Times New Roman"/>
        </w:rPr>
        <w:t xml:space="preserve"> in declining to arrive at an RAB by adjusting the DORC downwards by reference to user contributions</w:t>
      </w:r>
      <w:r w:rsidR="003275EA" w:rsidRPr="000C06D7">
        <w:rPr>
          <w:rFonts w:ascii="Times New Roman" w:hAnsi="Times New Roman"/>
        </w:rPr>
        <w:t xml:space="preserve">, </w:t>
      </w:r>
      <w:r w:rsidR="00537370" w:rsidRPr="000C06D7">
        <w:rPr>
          <w:rFonts w:ascii="Times New Roman" w:hAnsi="Times New Roman"/>
        </w:rPr>
        <w:t xml:space="preserve">the Tribunal </w:t>
      </w:r>
      <w:r w:rsidR="00531F99" w:rsidRPr="000C06D7">
        <w:rPr>
          <w:rFonts w:ascii="Times New Roman" w:hAnsi="Times New Roman"/>
        </w:rPr>
        <w:t xml:space="preserve">misconstrued and misapplied </w:t>
      </w:r>
      <w:r w:rsidR="00A171C9" w:rsidRPr="000C06D7">
        <w:rPr>
          <w:rFonts w:ascii="Times New Roman" w:hAnsi="Times New Roman"/>
        </w:rPr>
        <w:t xml:space="preserve">the mandatory consideration in </w:t>
      </w:r>
      <w:r w:rsidR="000D710A" w:rsidRPr="000C06D7">
        <w:rPr>
          <w:rFonts w:ascii="Times New Roman" w:hAnsi="Times New Roman"/>
        </w:rPr>
        <w:t>s</w:t>
      </w:r>
      <w:r w:rsidR="00201AC8" w:rsidRPr="000C06D7">
        <w:rPr>
          <w:rFonts w:ascii="Times New Roman" w:hAnsi="Times New Roman"/>
        </w:rPr>
        <w:t> </w:t>
      </w:r>
      <w:r w:rsidR="00E03691" w:rsidRPr="000C06D7">
        <w:rPr>
          <w:rFonts w:ascii="Times New Roman" w:hAnsi="Times New Roman"/>
        </w:rPr>
        <w:t>44X(1)(e)</w:t>
      </w:r>
      <w:r w:rsidR="00531F99" w:rsidRPr="000C06D7">
        <w:rPr>
          <w:rFonts w:ascii="Times New Roman" w:hAnsi="Times New Roman"/>
        </w:rPr>
        <w:t xml:space="preserve"> </w:t>
      </w:r>
      <w:r w:rsidR="00E03691" w:rsidRPr="000C06D7">
        <w:rPr>
          <w:rFonts w:ascii="Times New Roman" w:hAnsi="Times New Roman"/>
        </w:rPr>
        <w:t xml:space="preserve">and </w:t>
      </w:r>
      <w:r w:rsidR="00A171C9" w:rsidRPr="000C06D7">
        <w:rPr>
          <w:rFonts w:ascii="Times New Roman" w:hAnsi="Times New Roman"/>
        </w:rPr>
        <w:t xml:space="preserve">the pricing principle in </w:t>
      </w:r>
      <w:r w:rsidR="003B3CEF" w:rsidRPr="000C06D7">
        <w:rPr>
          <w:rFonts w:ascii="Times New Roman" w:hAnsi="Times New Roman"/>
        </w:rPr>
        <w:t>s</w:t>
      </w:r>
      <w:r w:rsidR="00201AC8" w:rsidRPr="000C06D7">
        <w:rPr>
          <w:rFonts w:ascii="Times New Roman" w:hAnsi="Times New Roman"/>
        </w:rPr>
        <w:t> </w:t>
      </w:r>
      <w:r w:rsidR="003B3CEF" w:rsidRPr="000C06D7">
        <w:rPr>
          <w:rFonts w:ascii="Times New Roman" w:hAnsi="Times New Roman"/>
        </w:rPr>
        <w:t>44ZZCA</w:t>
      </w:r>
      <w:r w:rsidR="001E14A3" w:rsidRPr="000C06D7">
        <w:rPr>
          <w:rFonts w:ascii="Times New Roman" w:hAnsi="Times New Roman"/>
        </w:rPr>
        <w:t>(a)(ii) of the Act</w:t>
      </w:r>
      <w:r w:rsidR="00192D71" w:rsidRPr="000C06D7">
        <w:rPr>
          <w:rFonts w:ascii="Times New Roman" w:hAnsi="Times New Roman"/>
        </w:rPr>
        <w:t xml:space="preserve"> </w:t>
      </w:r>
      <w:r w:rsidR="00093B6E" w:rsidRPr="000C06D7">
        <w:rPr>
          <w:rFonts w:ascii="Times New Roman" w:hAnsi="Times New Roman"/>
        </w:rPr>
        <w:t>when determining the amount of the Navigation Service Charge</w:t>
      </w:r>
      <w:r w:rsidR="001E14A3" w:rsidRPr="000C06D7">
        <w:rPr>
          <w:rFonts w:ascii="Times New Roman" w:hAnsi="Times New Roman"/>
        </w:rPr>
        <w:t>.</w:t>
      </w:r>
    </w:p>
    <w:p w14:paraId="30C9DFC2" w14:textId="6342CB44" w:rsidR="001E14A3" w:rsidRPr="000C06D7" w:rsidRDefault="001E14A3"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5A5375" w:rsidRPr="000C06D7">
        <w:rPr>
          <w:rFonts w:ascii="Times New Roman" w:hAnsi="Times New Roman"/>
        </w:rPr>
        <w:t>T</w:t>
      </w:r>
      <w:r w:rsidR="00C51C17" w:rsidRPr="000C06D7">
        <w:rPr>
          <w:rFonts w:ascii="Times New Roman" w:hAnsi="Times New Roman"/>
        </w:rPr>
        <w:t xml:space="preserve">he </w:t>
      </w:r>
      <w:r w:rsidR="006F7267" w:rsidRPr="000C06D7">
        <w:rPr>
          <w:rFonts w:ascii="Times New Roman" w:hAnsi="Times New Roman"/>
        </w:rPr>
        <w:t xml:space="preserve">requirement of </w:t>
      </w:r>
      <w:r w:rsidR="009F5505" w:rsidRPr="000C06D7">
        <w:rPr>
          <w:rFonts w:ascii="Times New Roman" w:hAnsi="Times New Roman"/>
        </w:rPr>
        <w:t>s</w:t>
      </w:r>
      <w:r w:rsidR="00201AC8" w:rsidRPr="000C06D7">
        <w:rPr>
          <w:rFonts w:ascii="Times New Roman" w:hAnsi="Times New Roman"/>
        </w:rPr>
        <w:t> </w:t>
      </w:r>
      <w:r w:rsidR="009F5505" w:rsidRPr="000C06D7">
        <w:rPr>
          <w:rFonts w:ascii="Times New Roman" w:hAnsi="Times New Roman"/>
        </w:rPr>
        <w:t>44X(1)(e)</w:t>
      </w:r>
      <w:r w:rsidR="00EC4E32" w:rsidRPr="000C06D7" w:rsidDel="00EC4E32">
        <w:rPr>
          <w:rFonts w:ascii="Times New Roman" w:hAnsi="Times New Roman"/>
        </w:rPr>
        <w:t xml:space="preserve"> </w:t>
      </w:r>
      <w:r w:rsidR="00B24BC3" w:rsidRPr="000C06D7">
        <w:rPr>
          <w:rFonts w:ascii="Times New Roman" w:hAnsi="Times New Roman"/>
        </w:rPr>
        <w:t>to take into account "</w:t>
      </w:r>
      <w:r w:rsidR="00272415" w:rsidRPr="000C06D7">
        <w:rPr>
          <w:rFonts w:ascii="Times New Roman" w:hAnsi="Times New Roman"/>
        </w:rPr>
        <w:t xml:space="preserve">the value to the provider of extensions </w:t>
      </w:r>
      <w:r w:rsidR="00466676" w:rsidRPr="000C06D7">
        <w:rPr>
          <w:rFonts w:ascii="Times New Roman" w:hAnsi="Times New Roman"/>
        </w:rPr>
        <w:t>...</w:t>
      </w:r>
      <w:r w:rsidR="00272415" w:rsidRPr="000C06D7">
        <w:rPr>
          <w:rFonts w:ascii="Times New Roman" w:hAnsi="Times New Roman"/>
        </w:rPr>
        <w:t xml:space="preserve"> whose cost is borne by someone else</w:t>
      </w:r>
      <w:r w:rsidR="00B24BC3" w:rsidRPr="000C06D7">
        <w:rPr>
          <w:rFonts w:ascii="Times New Roman" w:hAnsi="Times New Roman"/>
        </w:rPr>
        <w:t>"</w:t>
      </w:r>
      <w:r w:rsidR="006F7267" w:rsidRPr="000C06D7">
        <w:rPr>
          <w:rFonts w:ascii="Times New Roman" w:hAnsi="Times New Roman"/>
        </w:rPr>
        <w:t xml:space="preserve"> was construed by the Full Court</w:t>
      </w:r>
      <w:r w:rsidR="00922053" w:rsidRPr="000C06D7">
        <w:rPr>
          <w:rFonts w:ascii="Times New Roman" w:hAnsi="Times New Roman"/>
        </w:rPr>
        <w:t xml:space="preserve"> as</w:t>
      </w:r>
      <w:r w:rsidR="00345887" w:rsidRPr="000C06D7">
        <w:rPr>
          <w:rFonts w:ascii="Times New Roman" w:hAnsi="Times New Roman"/>
        </w:rPr>
        <w:t xml:space="preserve"> </w:t>
      </w:r>
      <w:r w:rsidR="00154296" w:rsidRPr="000C06D7">
        <w:rPr>
          <w:rFonts w:ascii="Times New Roman" w:hAnsi="Times New Roman"/>
        </w:rPr>
        <w:t>requir</w:t>
      </w:r>
      <w:r w:rsidR="00922053" w:rsidRPr="000C06D7">
        <w:rPr>
          <w:rFonts w:ascii="Times New Roman" w:hAnsi="Times New Roman"/>
        </w:rPr>
        <w:t>ing</w:t>
      </w:r>
      <w:r w:rsidR="00154296" w:rsidRPr="000C06D7">
        <w:rPr>
          <w:rFonts w:ascii="Times New Roman" w:hAnsi="Times New Roman"/>
        </w:rPr>
        <w:t xml:space="preserve"> account to be taken of</w:t>
      </w:r>
      <w:r w:rsidR="0032174A" w:rsidRPr="000C06D7">
        <w:rPr>
          <w:rFonts w:ascii="Times New Roman" w:hAnsi="Times New Roman"/>
        </w:rPr>
        <w:t xml:space="preserve"> </w:t>
      </w:r>
      <w:r w:rsidR="007B1D85" w:rsidRPr="000C06D7">
        <w:rPr>
          <w:rFonts w:ascii="Times New Roman" w:hAnsi="Times New Roman"/>
        </w:rPr>
        <w:t>"</w:t>
      </w:r>
      <w:r w:rsidR="007B1D85" w:rsidRPr="000C06D7">
        <w:rPr>
          <w:rFonts w:ascii="Times New Roman" w:hAnsi="Times New Roman"/>
          <w:color w:val="000000"/>
          <w:shd w:val="clear" w:color="auto" w:fill="FFFFFF"/>
        </w:rPr>
        <w:t>instances where the cost has been borne by someone other than the provider or access seeker</w:t>
      </w:r>
      <w:r w:rsidR="006854CF" w:rsidRPr="000C06D7">
        <w:rPr>
          <w:rFonts w:ascii="Times New Roman" w:hAnsi="Times New Roman"/>
          <w:color w:val="000000"/>
          <w:shd w:val="clear" w:color="auto" w:fill="FFFFFF"/>
        </w:rPr>
        <w:t xml:space="preserve"> [and]</w:t>
      </w:r>
      <w:r w:rsidR="007B1D85" w:rsidRPr="000C06D7">
        <w:rPr>
          <w:rFonts w:ascii="Times New Roman" w:hAnsi="Times New Roman"/>
          <w:color w:val="000000"/>
          <w:shd w:val="clear" w:color="auto" w:fill="FFFFFF"/>
        </w:rPr>
        <w:t xml:space="preserve"> where the extension was not the outcome of the exercise of rights conferred by Part IIIA itself</w:t>
      </w:r>
      <w:r w:rsidR="00EB443F" w:rsidRPr="000C06D7">
        <w:rPr>
          <w:rFonts w:ascii="Times New Roman" w:hAnsi="Times New Roman"/>
          <w:color w:val="000000"/>
          <w:shd w:val="clear" w:color="auto" w:fill="FFFFFF"/>
        </w:rPr>
        <w:t>"</w:t>
      </w:r>
      <w:r w:rsidR="00163890" w:rsidRPr="000C06D7">
        <w:rPr>
          <w:rStyle w:val="FootnoteReference"/>
          <w:rFonts w:ascii="Times New Roman" w:hAnsi="Times New Roman"/>
          <w:color w:val="000000"/>
          <w:sz w:val="24"/>
          <w:shd w:val="clear" w:color="auto" w:fill="FFFFFF"/>
        </w:rPr>
        <w:footnoteReference w:id="82"/>
      </w:r>
      <w:r w:rsidR="00EB443F" w:rsidRPr="000C06D7">
        <w:rPr>
          <w:rFonts w:ascii="Times New Roman" w:hAnsi="Times New Roman"/>
          <w:color w:val="000000"/>
          <w:shd w:val="clear" w:color="auto" w:fill="FFFFFF"/>
        </w:rPr>
        <w:t xml:space="preserve">. </w:t>
      </w:r>
      <w:r w:rsidR="004C7BC9" w:rsidRPr="000C06D7">
        <w:rPr>
          <w:rFonts w:ascii="Times New Roman" w:hAnsi="Times New Roman"/>
          <w:color w:val="000000"/>
          <w:shd w:val="clear" w:color="auto" w:fill="FFFFFF"/>
        </w:rPr>
        <w:t>On</w:t>
      </w:r>
      <w:r w:rsidR="00163890" w:rsidRPr="000C06D7">
        <w:rPr>
          <w:rFonts w:ascii="Times New Roman" w:hAnsi="Times New Roman"/>
          <w:color w:val="000000"/>
          <w:shd w:val="clear" w:color="auto" w:fill="FFFFFF"/>
        </w:rPr>
        <w:t xml:space="preserve"> that construction</w:t>
      </w:r>
      <w:r w:rsidR="0032174A" w:rsidRPr="000C06D7">
        <w:rPr>
          <w:rFonts w:ascii="Times New Roman" w:hAnsi="Times New Roman"/>
          <w:color w:val="000000"/>
          <w:shd w:val="clear" w:color="auto" w:fill="FFFFFF"/>
        </w:rPr>
        <w:t xml:space="preserve">, </w:t>
      </w:r>
      <w:r w:rsidR="006F7267" w:rsidRPr="000C06D7">
        <w:rPr>
          <w:rFonts w:ascii="Times New Roman" w:hAnsi="Times New Roman"/>
          <w:color w:val="000000"/>
          <w:shd w:val="clear" w:color="auto" w:fill="FFFFFF"/>
        </w:rPr>
        <w:t xml:space="preserve">according to the Full Court, </w:t>
      </w:r>
      <w:r w:rsidR="00163890" w:rsidRPr="000C06D7">
        <w:rPr>
          <w:rFonts w:ascii="Times New Roman" w:hAnsi="Times New Roman"/>
          <w:color w:val="000000"/>
          <w:shd w:val="clear" w:color="auto" w:fill="FFFFFF"/>
        </w:rPr>
        <w:t>the Tribunal "was obliged to take into account the present value to PNO of extensions being borne by others by reason of past user contributions"</w:t>
      </w:r>
      <w:r w:rsidR="00AF0A84" w:rsidRPr="000C06D7">
        <w:rPr>
          <w:rFonts w:ascii="Times New Roman" w:hAnsi="Times New Roman"/>
          <w:color w:val="000000"/>
          <w:shd w:val="clear" w:color="auto" w:fill="FFFFFF"/>
        </w:rPr>
        <w:t xml:space="preserve">. </w:t>
      </w:r>
      <w:r w:rsidR="007B5516" w:rsidRPr="000C06D7">
        <w:rPr>
          <w:rFonts w:ascii="Times New Roman" w:hAnsi="Times New Roman"/>
          <w:color w:val="000000"/>
          <w:shd w:val="clear" w:color="auto" w:fill="FFFFFF"/>
        </w:rPr>
        <w:t>It followed</w:t>
      </w:r>
      <w:r w:rsidR="00AF0A84" w:rsidRPr="000C06D7">
        <w:rPr>
          <w:rFonts w:ascii="Times New Roman" w:hAnsi="Times New Roman"/>
          <w:color w:val="000000"/>
          <w:shd w:val="clear" w:color="auto" w:fill="FFFFFF"/>
        </w:rPr>
        <w:t xml:space="preserve"> </w:t>
      </w:r>
      <w:r w:rsidR="00960C40" w:rsidRPr="000C06D7">
        <w:rPr>
          <w:rFonts w:ascii="Times New Roman" w:hAnsi="Times New Roman"/>
          <w:color w:val="000000"/>
          <w:shd w:val="clear" w:color="auto" w:fill="FFFFFF"/>
        </w:rPr>
        <w:t>that</w:t>
      </w:r>
      <w:r w:rsidR="007B5516" w:rsidRPr="000C06D7">
        <w:rPr>
          <w:rFonts w:ascii="Times New Roman" w:hAnsi="Times New Roman"/>
          <w:color w:val="000000"/>
          <w:shd w:val="clear" w:color="auto" w:fill="FFFFFF"/>
        </w:rPr>
        <w:t>,</w:t>
      </w:r>
      <w:r w:rsidR="00960C40" w:rsidRPr="000C06D7">
        <w:rPr>
          <w:rFonts w:ascii="Times New Roman" w:hAnsi="Times New Roman"/>
          <w:color w:val="000000"/>
          <w:shd w:val="clear" w:color="auto" w:fill="FFFFFF"/>
        </w:rPr>
        <w:t xml:space="preserve"> </w:t>
      </w:r>
      <w:r w:rsidR="00E33492" w:rsidRPr="000C06D7">
        <w:rPr>
          <w:rFonts w:ascii="Times New Roman" w:hAnsi="Times New Roman"/>
          <w:color w:val="000000"/>
          <w:shd w:val="clear" w:color="auto" w:fill="FFFFFF"/>
        </w:rPr>
        <w:t>"</w:t>
      </w:r>
      <w:r w:rsidR="00164F4A" w:rsidRPr="000C06D7">
        <w:rPr>
          <w:rFonts w:ascii="Times New Roman" w:hAnsi="Times New Roman"/>
          <w:color w:val="000000"/>
          <w:shd w:val="clear" w:color="auto" w:fill="FFFFFF"/>
        </w:rPr>
        <w:t>[b]</w:t>
      </w:r>
      <w:r w:rsidR="00E33492" w:rsidRPr="000C06D7">
        <w:rPr>
          <w:rFonts w:ascii="Times New Roman" w:hAnsi="Times New Roman"/>
          <w:color w:val="000000"/>
          <w:shd w:val="clear" w:color="auto" w:fill="FFFFFF"/>
        </w:rPr>
        <w:t xml:space="preserve">y approaching </w:t>
      </w:r>
      <w:r w:rsidR="00E33492" w:rsidRPr="000C06D7">
        <w:rPr>
          <w:rFonts w:ascii="Times New Roman" w:hAnsi="Times New Roman"/>
          <w:color w:val="000000"/>
          <w:shd w:val="clear" w:color="auto" w:fill="FFFFFF"/>
        </w:rPr>
        <w:lastRenderedPageBreak/>
        <w:t>the issue in the way that it did, the Tribunal closed out that possibility in a manner that was not consistent with the correct interpretation of s</w:t>
      </w:r>
      <w:r w:rsidR="00DC3EA1" w:rsidRPr="000C06D7">
        <w:rPr>
          <w:rFonts w:ascii="Times New Roman" w:hAnsi="Times New Roman"/>
          <w:color w:val="000000"/>
          <w:shd w:val="clear" w:color="auto" w:fill="FFFFFF"/>
        </w:rPr>
        <w:t> </w:t>
      </w:r>
      <w:r w:rsidR="00E33492" w:rsidRPr="000C06D7">
        <w:rPr>
          <w:rFonts w:ascii="Times New Roman" w:hAnsi="Times New Roman"/>
          <w:color w:val="000000"/>
          <w:shd w:val="clear" w:color="auto" w:fill="FFFFFF"/>
        </w:rPr>
        <w:t>44X(1)(e)</w:t>
      </w:r>
      <w:r w:rsidR="00164F4A" w:rsidRPr="000C06D7">
        <w:rPr>
          <w:rFonts w:ascii="Times New Roman" w:hAnsi="Times New Roman"/>
          <w:color w:val="000000"/>
          <w:shd w:val="clear" w:color="auto" w:fill="FFFFFF"/>
        </w:rPr>
        <w:t>"</w:t>
      </w:r>
      <w:r w:rsidR="00164F4A" w:rsidRPr="000C06D7">
        <w:rPr>
          <w:rStyle w:val="FootnoteReference"/>
          <w:rFonts w:ascii="Times New Roman" w:hAnsi="Times New Roman"/>
          <w:color w:val="000000"/>
          <w:sz w:val="24"/>
          <w:shd w:val="clear" w:color="auto" w:fill="FFFFFF"/>
        </w:rPr>
        <w:footnoteReference w:id="83"/>
      </w:r>
      <w:r w:rsidR="00E33492" w:rsidRPr="000C06D7">
        <w:rPr>
          <w:rFonts w:ascii="Times New Roman" w:hAnsi="Times New Roman"/>
          <w:color w:val="000000"/>
          <w:shd w:val="clear" w:color="auto" w:fill="FFFFFF"/>
        </w:rPr>
        <w:t>.</w:t>
      </w:r>
    </w:p>
    <w:p w14:paraId="37C7460D" w14:textId="2813A59D" w:rsidR="00164F4A" w:rsidRPr="000C06D7" w:rsidRDefault="00164F4A" w:rsidP="000C06D7">
      <w:pPr>
        <w:pStyle w:val="FixListStyle"/>
        <w:spacing w:after="260" w:line="280" w:lineRule="exact"/>
        <w:ind w:right="0"/>
        <w:jc w:val="both"/>
        <w:rPr>
          <w:rFonts w:ascii="Times New Roman" w:hAnsi="Times New Roman"/>
        </w:rPr>
      </w:pPr>
      <w:r w:rsidRPr="000C06D7">
        <w:rPr>
          <w:rFonts w:ascii="Times New Roman" w:hAnsi="Times New Roman"/>
          <w:color w:val="000000"/>
          <w:shd w:val="clear" w:color="auto" w:fill="FFFFFF"/>
        </w:rPr>
        <w:tab/>
      </w:r>
      <w:r w:rsidR="009F5505" w:rsidRPr="000C06D7">
        <w:rPr>
          <w:rFonts w:ascii="Times New Roman" w:hAnsi="Times New Roman"/>
        </w:rPr>
        <w:t>T</w:t>
      </w:r>
      <w:r w:rsidR="00C22BA7" w:rsidRPr="000C06D7">
        <w:rPr>
          <w:rFonts w:ascii="Times New Roman" w:hAnsi="Times New Roman"/>
        </w:rPr>
        <w:t>he pricing principle</w:t>
      </w:r>
      <w:r w:rsidR="009F5505" w:rsidRPr="000C06D7">
        <w:rPr>
          <w:rFonts w:ascii="Times New Roman" w:hAnsi="Times New Roman"/>
        </w:rPr>
        <w:t xml:space="preserve"> in s</w:t>
      </w:r>
      <w:r w:rsidR="006328A8" w:rsidRPr="000C06D7">
        <w:rPr>
          <w:rFonts w:ascii="Times New Roman" w:hAnsi="Times New Roman"/>
        </w:rPr>
        <w:t> </w:t>
      </w:r>
      <w:r w:rsidR="009F5505" w:rsidRPr="000C06D7">
        <w:rPr>
          <w:rFonts w:ascii="Times New Roman" w:hAnsi="Times New Roman"/>
        </w:rPr>
        <w:t>44ZZCA(a)(ii)</w:t>
      </w:r>
      <w:r w:rsidR="0013065A" w:rsidRPr="000C06D7">
        <w:rPr>
          <w:rFonts w:ascii="Times New Roman" w:hAnsi="Times New Roman"/>
        </w:rPr>
        <w:t xml:space="preserve"> </w:t>
      </w:r>
      <w:r w:rsidR="00420A55" w:rsidRPr="000C06D7">
        <w:rPr>
          <w:rFonts w:ascii="Times New Roman" w:hAnsi="Times New Roman"/>
        </w:rPr>
        <w:t>–</w:t>
      </w:r>
      <w:r w:rsidR="0013065A" w:rsidRPr="000C06D7">
        <w:rPr>
          <w:rFonts w:ascii="Times New Roman" w:hAnsi="Times New Roman"/>
        </w:rPr>
        <w:t xml:space="preserve"> </w:t>
      </w:r>
      <w:r w:rsidR="003D76B5" w:rsidRPr="000C06D7">
        <w:rPr>
          <w:rFonts w:ascii="Times New Roman" w:hAnsi="Times New Roman"/>
        </w:rPr>
        <w:t xml:space="preserve">that </w:t>
      </w:r>
      <w:r w:rsidR="00F902E8" w:rsidRPr="000C06D7">
        <w:rPr>
          <w:rFonts w:ascii="Times New Roman" w:hAnsi="Times New Roman"/>
        </w:rPr>
        <w:t>regulated access prices should "include a return on investment commensurate with the regulatory and commercial risks involved"</w:t>
      </w:r>
      <w:r w:rsidR="00492539" w:rsidRPr="000C06D7">
        <w:rPr>
          <w:rFonts w:ascii="Times New Roman" w:hAnsi="Times New Roman"/>
        </w:rPr>
        <w:t xml:space="preserve"> </w:t>
      </w:r>
      <w:r w:rsidR="002A3220" w:rsidRPr="000C06D7">
        <w:rPr>
          <w:rFonts w:ascii="Times New Roman" w:hAnsi="Times New Roman"/>
        </w:rPr>
        <w:t xml:space="preserve">– </w:t>
      </w:r>
      <w:r w:rsidR="00441C05" w:rsidRPr="000C06D7">
        <w:rPr>
          <w:rFonts w:ascii="Times New Roman" w:hAnsi="Times New Roman"/>
        </w:rPr>
        <w:t xml:space="preserve">was construed by the Full Court </w:t>
      </w:r>
      <w:r w:rsidR="008D05BC" w:rsidRPr="000C06D7">
        <w:rPr>
          <w:rFonts w:ascii="Times New Roman" w:hAnsi="Times New Roman"/>
        </w:rPr>
        <w:t>to require</w:t>
      </w:r>
      <w:r w:rsidR="00C22BA7" w:rsidRPr="000C06D7">
        <w:rPr>
          <w:rFonts w:ascii="Times New Roman" w:hAnsi="Times New Roman"/>
          <w:color w:val="000000"/>
          <w:shd w:val="clear" w:color="auto" w:fill="FFFFFF"/>
        </w:rPr>
        <w:t xml:space="preserve"> "</w:t>
      </w:r>
      <w:r w:rsidR="008D05BC" w:rsidRPr="000C06D7">
        <w:rPr>
          <w:rFonts w:ascii="Times New Roman" w:hAnsi="Times New Roman"/>
          <w:color w:val="000000"/>
          <w:shd w:val="clear" w:color="auto" w:fill="FFFFFF"/>
        </w:rPr>
        <w:t>the formulation of an appropriate conclusion as to the value of the extent of the investment to be used in the assessment of the extent of return</w:t>
      </w:r>
      <w:r w:rsidR="00AC4E99" w:rsidRPr="000C06D7">
        <w:rPr>
          <w:rFonts w:ascii="Times New Roman" w:hAnsi="Times New Roman"/>
          <w:color w:val="000000"/>
          <w:shd w:val="clear" w:color="auto" w:fill="FFFFFF"/>
        </w:rPr>
        <w:t>". This, according to the Full Court, the Tribunal</w:t>
      </w:r>
      <w:r w:rsidR="00215DD4" w:rsidRPr="000C06D7">
        <w:rPr>
          <w:rFonts w:ascii="Times New Roman" w:hAnsi="Times New Roman"/>
          <w:color w:val="000000"/>
          <w:shd w:val="clear" w:color="auto" w:fill="FFFFFF"/>
        </w:rPr>
        <w:t xml:space="preserve"> "failed to do </w:t>
      </w:r>
      <w:r w:rsidR="002E0115" w:rsidRPr="000C06D7">
        <w:rPr>
          <w:rFonts w:ascii="Times New Roman" w:hAnsi="Times New Roman"/>
          <w:color w:val="000000"/>
          <w:shd w:val="clear" w:color="auto" w:fill="FFFFFF"/>
        </w:rPr>
        <w:t xml:space="preserve">... </w:t>
      </w:r>
      <w:r w:rsidR="00215DD4" w:rsidRPr="000C06D7">
        <w:rPr>
          <w:rFonts w:ascii="Times New Roman" w:hAnsi="Times New Roman"/>
          <w:color w:val="000000"/>
          <w:shd w:val="clear" w:color="auto" w:fill="FFFFFF"/>
        </w:rPr>
        <w:t>because of its view that a capital value determined in accordance with the agreed DORC methodology (without adjustment for any user funded contributions) was a value that would conform to the statutory requirement. That was not necessarily so</w:t>
      </w:r>
      <w:r w:rsidR="00601CAB" w:rsidRPr="000C06D7">
        <w:rPr>
          <w:rFonts w:ascii="Times New Roman" w:hAnsi="Times New Roman"/>
          <w:color w:val="000000"/>
          <w:shd w:val="clear" w:color="auto" w:fill="FFFFFF"/>
        </w:rPr>
        <w:t>.</w:t>
      </w:r>
      <w:r w:rsidR="00215DD4" w:rsidRPr="000C06D7">
        <w:rPr>
          <w:rFonts w:ascii="Times New Roman" w:hAnsi="Times New Roman"/>
          <w:color w:val="000000"/>
          <w:shd w:val="clear" w:color="auto" w:fill="FFFFFF"/>
        </w:rPr>
        <w:t>"</w:t>
      </w:r>
      <w:r w:rsidR="00F26407" w:rsidRPr="000C06D7">
        <w:rPr>
          <w:rStyle w:val="FootnoteReference"/>
          <w:rFonts w:ascii="Times New Roman" w:hAnsi="Times New Roman"/>
          <w:color w:val="000000"/>
          <w:sz w:val="24"/>
          <w:shd w:val="clear" w:color="auto" w:fill="FFFFFF"/>
        </w:rPr>
        <w:footnoteReference w:id="84"/>
      </w:r>
    </w:p>
    <w:p w14:paraId="4E88C80E" w14:textId="6AC24C52" w:rsidR="00793E9F" w:rsidRPr="000C06D7" w:rsidRDefault="00A81922" w:rsidP="000C06D7">
      <w:pPr>
        <w:pStyle w:val="HeadingL1"/>
        <w:spacing w:after="260" w:line="280" w:lineRule="exact"/>
        <w:ind w:right="0"/>
        <w:jc w:val="both"/>
        <w:rPr>
          <w:rFonts w:ascii="Times New Roman" w:hAnsi="Times New Roman"/>
        </w:rPr>
      </w:pPr>
      <w:r w:rsidRPr="000C06D7">
        <w:rPr>
          <w:rFonts w:ascii="Times New Roman" w:hAnsi="Times New Roman"/>
        </w:rPr>
        <w:t>Issues</w:t>
      </w:r>
    </w:p>
    <w:p w14:paraId="4B27FD24" w14:textId="042B0238" w:rsidR="0061551C" w:rsidRPr="000C06D7" w:rsidRDefault="00F86B24"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376076" w:rsidRPr="000C06D7">
        <w:rPr>
          <w:rFonts w:ascii="Times New Roman" w:hAnsi="Times New Roman"/>
        </w:rPr>
        <w:t xml:space="preserve">In its appeal to this Court, </w:t>
      </w:r>
      <w:r w:rsidR="002023F1" w:rsidRPr="000C06D7">
        <w:rPr>
          <w:rFonts w:ascii="Times New Roman" w:hAnsi="Times New Roman"/>
        </w:rPr>
        <w:t xml:space="preserve">PNO challenges </w:t>
      </w:r>
      <w:r w:rsidR="00003564" w:rsidRPr="000C06D7">
        <w:rPr>
          <w:rFonts w:ascii="Times New Roman" w:hAnsi="Times New Roman"/>
        </w:rPr>
        <w:t xml:space="preserve">the reasoning adopted by the Full Court </w:t>
      </w:r>
      <w:r w:rsidR="00262DF4" w:rsidRPr="000C06D7">
        <w:rPr>
          <w:rFonts w:ascii="Times New Roman" w:hAnsi="Times New Roman"/>
        </w:rPr>
        <w:t>in discerning legal error on the part of the Tribunal</w:t>
      </w:r>
      <w:r w:rsidR="00975063" w:rsidRPr="000C06D7">
        <w:rPr>
          <w:rFonts w:ascii="Times New Roman" w:hAnsi="Times New Roman"/>
        </w:rPr>
        <w:t xml:space="preserve"> </w:t>
      </w:r>
      <w:r w:rsidR="00003564" w:rsidRPr="000C06D7">
        <w:rPr>
          <w:rFonts w:ascii="Times New Roman" w:hAnsi="Times New Roman"/>
        </w:rPr>
        <w:t xml:space="preserve">both </w:t>
      </w:r>
      <w:r w:rsidR="0045154D" w:rsidRPr="000C06D7">
        <w:rPr>
          <w:rFonts w:ascii="Times New Roman" w:hAnsi="Times New Roman"/>
        </w:rPr>
        <w:t>in relation</w:t>
      </w:r>
      <w:r w:rsidR="004F0FC8" w:rsidRPr="000C06D7">
        <w:rPr>
          <w:rFonts w:ascii="Times New Roman" w:hAnsi="Times New Roman"/>
        </w:rPr>
        <w:t xml:space="preserve"> to </w:t>
      </w:r>
      <w:r w:rsidR="00003564" w:rsidRPr="000C06D7">
        <w:rPr>
          <w:rFonts w:ascii="Times New Roman" w:hAnsi="Times New Roman"/>
        </w:rPr>
        <w:t xml:space="preserve">the scope of the Navigation Service Charge and </w:t>
      </w:r>
      <w:r w:rsidR="00653DA4" w:rsidRPr="000C06D7">
        <w:rPr>
          <w:rFonts w:ascii="Times New Roman" w:hAnsi="Times New Roman"/>
        </w:rPr>
        <w:t>in relation</w:t>
      </w:r>
      <w:r w:rsidR="004F0FC8" w:rsidRPr="000C06D7">
        <w:rPr>
          <w:rFonts w:ascii="Times New Roman" w:hAnsi="Times New Roman"/>
        </w:rPr>
        <w:t xml:space="preserve"> to </w:t>
      </w:r>
      <w:r w:rsidR="00003564" w:rsidRPr="000C06D7">
        <w:rPr>
          <w:rFonts w:ascii="Times New Roman" w:hAnsi="Times New Roman"/>
        </w:rPr>
        <w:t>the amount of the Navigation Service Charge.</w:t>
      </w:r>
    </w:p>
    <w:p w14:paraId="6B6333F5" w14:textId="4150ABF8" w:rsidR="0061551C" w:rsidRPr="000C06D7" w:rsidRDefault="005314BD"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C705D7" w:rsidRPr="000C06D7">
        <w:rPr>
          <w:rFonts w:ascii="Times New Roman" w:hAnsi="Times New Roman"/>
        </w:rPr>
        <w:t xml:space="preserve">In relation to the </w:t>
      </w:r>
      <w:r w:rsidR="00F44E17" w:rsidRPr="000C06D7">
        <w:rPr>
          <w:rFonts w:ascii="Times New Roman" w:hAnsi="Times New Roman"/>
        </w:rPr>
        <w:t>scope</w:t>
      </w:r>
      <w:r w:rsidR="00C705D7" w:rsidRPr="000C06D7">
        <w:rPr>
          <w:rFonts w:ascii="Times New Roman" w:hAnsi="Times New Roman"/>
        </w:rPr>
        <w:t xml:space="preserve"> of the Navigation Service Charge, </w:t>
      </w:r>
      <w:r w:rsidR="006B3B6D" w:rsidRPr="000C06D7">
        <w:rPr>
          <w:rFonts w:ascii="Times New Roman" w:hAnsi="Times New Roman"/>
        </w:rPr>
        <w:t xml:space="preserve">PNO </w:t>
      </w:r>
      <w:r w:rsidR="00C705D7" w:rsidRPr="000C06D7">
        <w:rPr>
          <w:rFonts w:ascii="Times New Roman" w:hAnsi="Times New Roman"/>
        </w:rPr>
        <w:t>argues that the Full Court</w:t>
      </w:r>
      <w:r w:rsidR="00FC19B6" w:rsidRPr="000C06D7">
        <w:rPr>
          <w:rFonts w:ascii="Times New Roman" w:hAnsi="Times New Roman"/>
        </w:rPr>
        <w:t xml:space="preserve"> was wrong to </w:t>
      </w:r>
      <w:r w:rsidR="005E347D" w:rsidRPr="000C06D7">
        <w:rPr>
          <w:rFonts w:ascii="Times New Roman" w:hAnsi="Times New Roman"/>
        </w:rPr>
        <w:t>characterise Glencore</w:t>
      </w:r>
      <w:r w:rsidR="00341EFE" w:rsidRPr="000C06D7">
        <w:rPr>
          <w:rFonts w:ascii="Times New Roman" w:hAnsi="Times New Roman"/>
        </w:rPr>
        <w:t>,</w:t>
      </w:r>
      <w:r w:rsidR="005E347D" w:rsidRPr="000C06D7">
        <w:rPr>
          <w:rFonts w:ascii="Times New Roman" w:hAnsi="Times New Roman"/>
        </w:rPr>
        <w:t xml:space="preserve"> when selling FOB</w:t>
      </w:r>
      <w:r w:rsidR="00341EFE" w:rsidRPr="000C06D7">
        <w:rPr>
          <w:rFonts w:ascii="Times New Roman" w:hAnsi="Times New Roman"/>
        </w:rPr>
        <w:t>,</w:t>
      </w:r>
      <w:r w:rsidR="005E347D" w:rsidRPr="000C06D7">
        <w:rPr>
          <w:rFonts w:ascii="Times New Roman" w:hAnsi="Times New Roman"/>
        </w:rPr>
        <w:t xml:space="preserve"> as </w:t>
      </w:r>
      <w:r w:rsidR="00881CF6" w:rsidRPr="000C06D7">
        <w:rPr>
          <w:rFonts w:ascii="Times New Roman" w:hAnsi="Times New Roman"/>
        </w:rPr>
        <w:t xml:space="preserve">a "third party" </w:t>
      </w:r>
      <w:r w:rsidR="00922E32" w:rsidRPr="000C06D7">
        <w:rPr>
          <w:rFonts w:ascii="Times New Roman" w:hAnsi="Times New Roman"/>
        </w:rPr>
        <w:t xml:space="preserve">in </w:t>
      </w:r>
      <w:r w:rsidR="000F2D58" w:rsidRPr="000C06D7">
        <w:rPr>
          <w:rFonts w:ascii="Times New Roman" w:hAnsi="Times New Roman"/>
        </w:rPr>
        <w:t xml:space="preserve">relation to the Service </w:t>
      </w:r>
      <w:r w:rsidR="002910F1" w:rsidRPr="000C06D7">
        <w:rPr>
          <w:rFonts w:ascii="Times New Roman" w:hAnsi="Times New Roman"/>
        </w:rPr>
        <w:t>within the meaning of Pt IIIA of the Act</w:t>
      </w:r>
      <w:r w:rsidR="004F6C6A" w:rsidRPr="000C06D7">
        <w:rPr>
          <w:rFonts w:ascii="Times New Roman" w:hAnsi="Times New Roman"/>
        </w:rPr>
        <w:t xml:space="preserve">. </w:t>
      </w:r>
      <w:r w:rsidR="002339C5" w:rsidRPr="000C06D7">
        <w:rPr>
          <w:rFonts w:ascii="Times New Roman" w:hAnsi="Times New Roman"/>
        </w:rPr>
        <w:t xml:space="preserve">The statutory </w:t>
      </w:r>
      <w:r w:rsidR="00DA2D61" w:rsidRPr="000C06D7">
        <w:rPr>
          <w:rFonts w:ascii="Times New Roman" w:hAnsi="Times New Roman"/>
        </w:rPr>
        <w:t>reference to</w:t>
      </w:r>
      <w:r w:rsidR="002339C5" w:rsidRPr="000C06D7">
        <w:rPr>
          <w:rFonts w:ascii="Times New Roman" w:hAnsi="Times New Roman"/>
        </w:rPr>
        <w:t xml:space="preserve"> "access"</w:t>
      </w:r>
      <w:r w:rsidR="00D72423" w:rsidRPr="000C06D7">
        <w:rPr>
          <w:rFonts w:ascii="Times New Roman" w:hAnsi="Times New Roman"/>
        </w:rPr>
        <w:t xml:space="preserve">, </w:t>
      </w:r>
      <w:r w:rsidR="006B3B6D" w:rsidRPr="000C06D7">
        <w:rPr>
          <w:rFonts w:ascii="Times New Roman" w:hAnsi="Times New Roman"/>
        </w:rPr>
        <w:t>PNO argues</w:t>
      </w:r>
      <w:r w:rsidR="00D72423" w:rsidRPr="000C06D7">
        <w:rPr>
          <w:rFonts w:ascii="Times New Roman" w:hAnsi="Times New Roman"/>
        </w:rPr>
        <w:t xml:space="preserve">, </w:t>
      </w:r>
      <w:r w:rsidR="00DA2D61" w:rsidRPr="000C06D7">
        <w:rPr>
          <w:rFonts w:ascii="Times New Roman" w:hAnsi="Times New Roman"/>
        </w:rPr>
        <w:t>connote</w:t>
      </w:r>
      <w:r w:rsidR="00ED04A2" w:rsidRPr="000C06D7">
        <w:rPr>
          <w:rFonts w:ascii="Times New Roman" w:hAnsi="Times New Roman"/>
        </w:rPr>
        <w:t>s</w:t>
      </w:r>
      <w:r w:rsidR="00B37C8E" w:rsidRPr="000C06D7">
        <w:rPr>
          <w:rFonts w:ascii="Times New Roman" w:hAnsi="Times New Roman"/>
        </w:rPr>
        <w:t xml:space="preserve"> </w:t>
      </w:r>
      <w:r w:rsidR="009B6E20" w:rsidRPr="000C06D7">
        <w:rPr>
          <w:rFonts w:ascii="Times New Roman" w:hAnsi="Times New Roman"/>
        </w:rPr>
        <w:t>some</w:t>
      </w:r>
      <w:r w:rsidR="00B37C8E" w:rsidRPr="000C06D7">
        <w:rPr>
          <w:rFonts w:ascii="Times New Roman" w:hAnsi="Times New Roman"/>
        </w:rPr>
        <w:t xml:space="preserve"> measure of </w:t>
      </w:r>
      <w:r w:rsidR="001420AF" w:rsidRPr="000C06D7">
        <w:rPr>
          <w:rFonts w:ascii="Times New Roman" w:hAnsi="Times New Roman"/>
        </w:rPr>
        <w:t xml:space="preserve">control over </w:t>
      </w:r>
      <w:r w:rsidR="00DA2D61" w:rsidRPr="000C06D7">
        <w:rPr>
          <w:rFonts w:ascii="Times New Roman" w:hAnsi="Times New Roman"/>
        </w:rPr>
        <w:t>physical activity.</w:t>
      </w:r>
      <w:r w:rsidR="00342BA8" w:rsidRPr="000C06D7">
        <w:rPr>
          <w:rFonts w:ascii="Times New Roman" w:hAnsi="Times New Roman"/>
        </w:rPr>
        <w:t xml:space="preserve"> </w:t>
      </w:r>
      <w:r w:rsidR="00136941" w:rsidRPr="000C06D7">
        <w:rPr>
          <w:rFonts w:ascii="Times New Roman" w:hAnsi="Times New Roman"/>
        </w:rPr>
        <w:t xml:space="preserve">Mere economic benefit </w:t>
      </w:r>
      <w:r w:rsidR="000774B8" w:rsidRPr="000C06D7">
        <w:rPr>
          <w:rFonts w:ascii="Times New Roman" w:hAnsi="Times New Roman"/>
        </w:rPr>
        <w:t xml:space="preserve">from the physical activity of another </w:t>
      </w:r>
      <w:r w:rsidR="00136941" w:rsidRPr="000C06D7">
        <w:rPr>
          <w:rFonts w:ascii="Times New Roman" w:hAnsi="Times New Roman"/>
        </w:rPr>
        <w:t xml:space="preserve">is </w:t>
      </w:r>
      <w:r w:rsidR="00DF226E" w:rsidRPr="000C06D7">
        <w:rPr>
          <w:rFonts w:ascii="Times New Roman" w:hAnsi="Times New Roman"/>
        </w:rPr>
        <w:t>not enough</w:t>
      </w:r>
      <w:r w:rsidR="00136941" w:rsidRPr="000C06D7">
        <w:rPr>
          <w:rFonts w:ascii="Times New Roman" w:hAnsi="Times New Roman"/>
        </w:rPr>
        <w:t xml:space="preserve">. </w:t>
      </w:r>
      <w:r w:rsidR="004068C6" w:rsidRPr="000C06D7">
        <w:rPr>
          <w:rFonts w:ascii="Times New Roman" w:hAnsi="Times New Roman"/>
        </w:rPr>
        <w:t>W</w:t>
      </w:r>
      <w:r w:rsidR="00342BA8" w:rsidRPr="000C06D7">
        <w:rPr>
          <w:rFonts w:ascii="Times New Roman" w:hAnsi="Times New Roman"/>
        </w:rPr>
        <w:t>hen selling FOB</w:t>
      </w:r>
      <w:r w:rsidR="000F2D58" w:rsidRPr="000C06D7">
        <w:rPr>
          <w:rFonts w:ascii="Times New Roman" w:hAnsi="Times New Roman"/>
        </w:rPr>
        <w:t xml:space="preserve">, </w:t>
      </w:r>
      <w:r w:rsidR="004068C6" w:rsidRPr="000C06D7">
        <w:rPr>
          <w:rFonts w:ascii="Times New Roman" w:hAnsi="Times New Roman"/>
        </w:rPr>
        <w:t xml:space="preserve">Glencore </w:t>
      </w:r>
      <w:r w:rsidR="006B24D3" w:rsidRPr="000C06D7">
        <w:rPr>
          <w:rFonts w:ascii="Times New Roman" w:hAnsi="Times New Roman"/>
        </w:rPr>
        <w:t xml:space="preserve">is not a person who </w:t>
      </w:r>
      <w:r w:rsidR="00C523A7" w:rsidRPr="000C06D7">
        <w:rPr>
          <w:rFonts w:ascii="Times New Roman" w:hAnsi="Times New Roman"/>
        </w:rPr>
        <w:t>want</w:t>
      </w:r>
      <w:r w:rsidR="006B24D3" w:rsidRPr="000C06D7">
        <w:rPr>
          <w:rFonts w:ascii="Times New Roman" w:hAnsi="Times New Roman"/>
        </w:rPr>
        <w:t>s</w:t>
      </w:r>
      <w:r w:rsidR="00C523A7" w:rsidRPr="000C06D7">
        <w:rPr>
          <w:rFonts w:ascii="Times New Roman" w:hAnsi="Times New Roman"/>
        </w:rPr>
        <w:t xml:space="preserve"> "access" </w:t>
      </w:r>
      <w:r w:rsidR="00657A3A" w:rsidRPr="000C06D7">
        <w:rPr>
          <w:rFonts w:ascii="Times New Roman" w:hAnsi="Times New Roman"/>
        </w:rPr>
        <w:t xml:space="preserve">to that part of the Service </w:t>
      </w:r>
      <w:r w:rsidR="00D74B78" w:rsidRPr="000C06D7">
        <w:rPr>
          <w:rFonts w:ascii="Times New Roman" w:hAnsi="Times New Roman"/>
        </w:rPr>
        <w:t>which</w:t>
      </w:r>
      <w:r w:rsidR="00657A3A" w:rsidRPr="000C06D7">
        <w:rPr>
          <w:rFonts w:ascii="Times New Roman" w:hAnsi="Times New Roman"/>
        </w:rPr>
        <w:t xml:space="preserve"> comprise</w:t>
      </w:r>
      <w:r w:rsidR="000F2D58" w:rsidRPr="000C06D7">
        <w:rPr>
          <w:rFonts w:ascii="Times New Roman" w:hAnsi="Times New Roman"/>
        </w:rPr>
        <w:t>s</w:t>
      </w:r>
      <w:r w:rsidR="00657A3A" w:rsidRPr="000C06D7">
        <w:rPr>
          <w:rFonts w:ascii="Times New Roman" w:hAnsi="Times New Roman"/>
        </w:rPr>
        <w:t xml:space="preserve"> use of the shipping channels</w:t>
      </w:r>
      <w:r w:rsidR="00D00AEF" w:rsidRPr="000C06D7">
        <w:rPr>
          <w:rFonts w:ascii="Times New Roman" w:hAnsi="Times New Roman"/>
        </w:rPr>
        <w:t xml:space="preserve">. </w:t>
      </w:r>
      <w:r w:rsidR="0086082F" w:rsidRPr="000C06D7">
        <w:rPr>
          <w:rFonts w:ascii="Times New Roman" w:hAnsi="Times New Roman"/>
        </w:rPr>
        <w:t>T</w:t>
      </w:r>
      <w:r w:rsidR="00D00AEF" w:rsidRPr="000C06D7">
        <w:rPr>
          <w:rFonts w:ascii="Times New Roman" w:hAnsi="Times New Roman"/>
        </w:rPr>
        <w:t>he</w:t>
      </w:r>
      <w:r w:rsidR="00341EFE" w:rsidRPr="000C06D7">
        <w:rPr>
          <w:rFonts w:ascii="Times New Roman" w:hAnsi="Times New Roman"/>
        </w:rPr>
        <w:t xml:space="preserve"> only</w:t>
      </w:r>
      <w:r w:rsidR="00D00AEF" w:rsidRPr="000C06D7">
        <w:rPr>
          <w:rFonts w:ascii="Times New Roman" w:hAnsi="Times New Roman"/>
        </w:rPr>
        <w:t xml:space="preserve"> person</w:t>
      </w:r>
      <w:r w:rsidR="004C4DC8" w:rsidRPr="000C06D7">
        <w:rPr>
          <w:rFonts w:ascii="Times New Roman" w:hAnsi="Times New Roman"/>
        </w:rPr>
        <w:t xml:space="preserve"> </w:t>
      </w:r>
      <w:r w:rsidR="00703574" w:rsidRPr="000C06D7">
        <w:rPr>
          <w:rFonts w:ascii="Times New Roman" w:hAnsi="Times New Roman"/>
        </w:rPr>
        <w:t xml:space="preserve">who </w:t>
      </w:r>
      <w:r w:rsidR="00D74B78" w:rsidRPr="000C06D7">
        <w:rPr>
          <w:rFonts w:ascii="Times New Roman" w:hAnsi="Times New Roman"/>
        </w:rPr>
        <w:t>wants "access"</w:t>
      </w:r>
      <w:r w:rsidR="00CB1D75" w:rsidRPr="000C06D7">
        <w:rPr>
          <w:rFonts w:ascii="Times New Roman" w:hAnsi="Times New Roman"/>
        </w:rPr>
        <w:t xml:space="preserve"> to</w:t>
      </w:r>
      <w:r w:rsidR="00D74B78" w:rsidRPr="000C06D7">
        <w:rPr>
          <w:rFonts w:ascii="Times New Roman" w:hAnsi="Times New Roman"/>
        </w:rPr>
        <w:t xml:space="preserve"> </w:t>
      </w:r>
      <w:r w:rsidR="00CB1D75" w:rsidRPr="000C06D7">
        <w:rPr>
          <w:rFonts w:ascii="Times New Roman" w:hAnsi="Times New Roman"/>
        </w:rPr>
        <w:t>use of the shipping channels</w:t>
      </w:r>
      <w:r w:rsidR="00341EFE" w:rsidRPr="000C06D7">
        <w:rPr>
          <w:rFonts w:ascii="Times New Roman" w:hAnsi="Times New Roman"/>
        </w:rPr>
        <w:t xml:space="preserve"> in that circumstance</w:t>
      </w:r>
      <w:r w:rsidR="00CB1D75" w:rsidRPr="000C06D7">
        <w:rPr>
          <w:rFonts w:ascii="Times New Roman" w:hAnsi="Times New Roman"/>
        </w:rPr>
        <w:t xml:space="preserve"> </w:t>
      </w:r>
      <w:r w:rsidR="00D00AEF" w:rsidRPr="000C06D7">
        <w:rPr>
          <w:rFonts w:ascii="Times New Roman" w:hAnsi="Times New Roman"/>
        </w:rPr>
        <w:t xml:space="preserve">is </w:t>
      </w:r>
      <w:r w:rsidR="00842023" w:rsidRPr="000C06D7">
        <w:rPr>
          <w:rFonts w:ascii="Times New Roman" w:hAnsi="Times New Roman"/>
        </w:rPr>
        <w:t>the owner or charterer of the ship</w:t>
      </w:r>
      <w:r w:rsidR="00CB1D75" w:rsidRPr="000C06D7">
        <w:rPr>
          <w:rFonts w:ascii="Times New Roman" w:hAnsi="Times New Roman"/>
        </w:rPr>
        <w:t xml:space="preserve">, </w:t>
      </w:r>
      <w:r w:rsidR="009800B5" w:rsidRPr="000C06D7">
        <w:rPr>
          <w:rFonts w:ascii="Times New Roman" w:hAnsi="Times New Roman"/>
        </w:rPr>
        <w:t xml:space="preserve">with whom </w:t>
      </w:r>
      <w:r w:rsidR="00D00AEF" w:rsidRPr="000C06D7">
        <w:rPr>
          <w:rFonts w:ascii="Times New Roman" w:hAnsi="Times New Roman"/>
        </w:rPr>
        <w:t>Glencore</w:t>
      </w:r>
      <w:r w:rsidR="009800B5" w:rsidRPr="000C06D7">
        <w:rPr>
          <w:rFonts w:ascii="Times New Roman" w:hAnsi="Times New Roman"/>
        </w:rPr>
        <w:t xml:space="preserve"> has no contractual relationship</w:t>
      </w:r>
      <w:r w:rsidR="00293950" w:rsidRPr="000C06D7">
        <w:rPr>
          <w:rFonts w:ascii="Times New Roman" w:hAnsi="Times New Roman"/>
        </w:rPr>
        <w:t xml:space="preserve"> and </w:t>
      </w:r>
      <w:r w:rsidR="0055703D" w:rsidRPr="000C06D7">
        <w:rPr>
          <w:rFonts w:ascii="Times New Roman" w:hAnsi="Times New Roman"/>
        </w:rPr>
        <w:t>in respect of</w:t>
      </w:r>
      <w:r w:rsidR="00293950" w:rsidRPr="000C06D7">
        <w:rPr>
          <w:rFonts w:ascii="Times New Roman" w:hAnsi="Times New Roman"/>
        </w:rPr>
        <w:t xml:space="preserve"> wh</w:t>
      </w:r>
      <w:r w:rsidR="0055703D" w:rsidRPr="000C06D7">
        <w:rPr>
          <w:rFonts w:ascii="Times New Roman" w:hAnsi="Times New Roman"/>
        </w:rPr>
        <w:t>om it therefore has no control.</w:t>
      </w:r>
    </w:p>
    <w:p w14:paraId="54A1582F" w14:textId="3B3D12E0" w:rsidR="006901FD" w:rsidRPr="000C06D7" w:rsidRDefault="0061551C"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5314BD" w:rsidRPr="000C06D7">
        <w:rPr>
          <w:rFonts w:ascii="Times New Roman" w:hAnsi="Times New Roman"/>
        </w:rPr>
        <w:t xml:space="preserve">In relation to the amount of the Navigation Service Charge, </w:t>
      </w:r>
      <w:r w:rsidR="006B3B6D" w:rsidRPr="000C06D7">
        <w:rPr>
          <w:rFonts w:ascii="Times New Roman" w:hAnsi="Times New Roman"/>
        </w:rPr>
        <w:t xml:space="preserve">PNO </w:t>
      </w:r>
      <w:r w:rsidR="005314BD" w:rsidRPr="000C06D7">
        <w:rPr>
          <w:rFonts w:ascii="Times New Roman" w:hAnsi="Times New Roman"/>
        </w:rPr>
        <w:t xml:space="preserve">argues that </w:t>
      </w:r>
      <w:r w:rsidR="00A55C2B" w:rsidRPr="000C06D7">
        <w:rPr>
          <w:rFonts w:ascii="Times New Roman" w:hAnsi="Times New Roman"/>
        </w:rPr>
        <w:t xml:space="preserve">the Full Court </w:t>
      </w:r>
      <w:r w:rsidR="00201F76" w:rsidRPr="000C06D7">
        <w:rPr>
          <w:rFonts w:ascii="Times New Roman" w:hAnsi="Times New Roman"/>
        </w:rPr>
        <w:t>misconstrued</w:t>
      </w:r>
      <w:r w:rsidR="00A55C2B" w:rsidRPr="000C06D7">
        <w:rPr>
          <w:rFonts w:ascii="Times New Roman" w:hAnsi="Times New Roman"/>
        </w:rPr>
        <w:t xml:space="preserve"> s</w:t>
      </w:r>
      <w:r w:rsidR="006B3B6D" w:rsidRPr="000C06D7">
        <w:rPr>
          <w:rFonts w:ascii="Times New Roman" w:hAnsi="Times New Roman"/>
        </w:rPr>
        <w:t> </w:t>
      </w:r>
      <w:r w:rsidR="00A55C2B" w:rsidRPr="000C06D7">
        <w:rPr>
          <w:rFonts w:ascii="Times New Roman" w:hAnsi="Times New Roman"/>
        </w:rPr>
        <w:t>44X(1)(e) and</w:t>
      </w:r>
      <w:r w:rsidR="00201F76" w:rsidRPr="000C06D7">
        <w:rPr>
          <w:rFonts w:ascii="Times New Roman" w:hAnsi="Times New Roman"/>
        </w:rPr>
        <w:t xml:space="preserve"> overstated the effect of</w:t>
      </w:r>
      <w:r w:rsidR="00A55C2B" w:rsidRPr="000C06D7">
        <w:rPr>
          <w:rFonts w:ascii="Times New Roman" w:hAnsi="Times New Roman"/>
        </w:rPr>
        <w:t xml:space="preserve"> s</w:t>
      </w:r>
      <w:r w:rsidR="006B3B6D" w:rsidRPr="000C06D7">
        <w:rPr>
          <w:rFonts w:ascii="Times New Roman" w:hAnsi="Times New Roman"/>
        </w:rPr>
        <w:t> </w:t>
      </w:r>
      <w:r w:rsidR="00A55C2B" w:rsidRPr="000C06D7">
        <w:rPr>
          <w:rFonts w:ascii="Times New Roman" w:hAnsi="Times New Roman"/>
        </w:rPr>
        <w:t>44ZZCA(a)(ii) of the Act.</w:t>
      </w:r>
    </w:p>
    <w:p w14:paraId="06696D1B" w14:textId="1EFFA6D3" w:rsidR="00A45FFE" w:rsidRPr="000C06D7" w:rsidRDefault="006901FD" w:rsidP="000C06D7">
      <w:pPr>
        <w:pStyle w:val="FixListStyle"/>
        <w:spacing w:after="260" w:line="280" w:lineRule="exact"/>
        <w:ind w:right="0"/>
        <w:jc w:val="both"/>
        <w:rPr>
          <w:rFonts w:ascii="Times New Roman" w:hAnsi="Times New Roman"/>
        </w:rPr>
      </w:pPr>
      <w:r w:rsidRPr="000C06D7">
        <w:rPr>
          <w:rFonts w:ascii="Times New Roman" w:hAnsi="Times New Roman"/>
        </w:rPr>
        <w:lastRenderedPageBreak/>
        <w:tab/>
      </w:r>
      <w:r w:rsidR="00A45FFE" w:rsidRPr="000C06D7">
        <w:rPr>
          <w:rFonts w:ascii="Times New Roman" w:hAnsi="Times New Roman"/>
        </w:rPr>
        <w:t xml:space="preserve">For the reasons which follow, </w:t>
      </w:r>
      <w:r w:rsidR="00DA681F" w:rsidRPr="000C06D7">
        <w:rPr>
          <w:rFonts w:ascii="Times New Roman" w:hAnsi="Times New Roman"/>
        </w:rPr>
        <w:t xml:space="preserve">PNO's </w:t>
      </w:r>
      <w:r w:rsidR="00A45FFE" w:rsidRPr="000C06D7">
        <w:rPr>
          <w:rFonts w:ascii="Times New Roman" w:hAnsi="Times New Roman"/>
        </w:rPr>
        <w:t xml:space="preserve">argument about the scope of the Navigation Service Charge </w:t>
      </w:r>
      <w:r w:rsidR="00892556" w:rsidRPr="000C06D7">
        <w:rPr>
          <w:rFonts w:ascii="Times New Roman" w:hAnsi="Times New Roman"/>
        </w:rPr>
        <w:t>is to be rejected</w:t>
      </w:r>
      <w:r w:rsidR="00DA681F" w:rsidRPr="000C06D7">
        <w:rPr>
          <w:rFonts w:ascii="Times New Roman" w:hAnsi="Times New Roman"/>
        </w:rPr>
        <w:t>,</w:t>
      </w:r>
      <w:r w:rsidR="00407BDE" w:rsidRPr="000C06D7">
        <w:rPr>
          <w:rFonts w:ascii="Times New Roman" w:hAnsi="Times New Roman"/>
        </w:rPr>
        <w:t xml:space="preserve"> </w:t>
      </w:r>
      <w:r w:rsidR="00E02CD0" w:rsidRPr="000C06D7">
        <w:rPr>
          <w:rFonts w:ascii="Times New Roman" w:hAnsi="Times New Roman"/>
        </w:rPr>
        <w:t xml:space="preserve">while its argument about </w:t>
      </w:r>
      <w:r w:rsidR="00A45FFE" w:rsidRPr="000C06D7">
        <w:rPr>
          <w:rFonts w:ascii="Times New Roman" w:hAnsi="Times New Roman"/>
        </w:rPr>
        <w:t>the amount of the Navigation Service Charge</w:t>
      </w:r>
      <w:r w:rsidR="00E02CD0" w:rsidRPr="000C06D7">
        <w:rPr>
          <w:rFonts w:ascii="Times New Roman" w:hAnsi="Times New Roman"/>
        </w:rPr>
        <w:t xml:space="preserve"> is to be accepted</w:t>
      </w:r>
      <w:r w:rsidR="00A45FFE" w:rsidRPr="000C06D7">
        <w:rPr>
          <w:rFonts w:ascii="Times New Roman" w:hAnsi="Times New Roman"/>
        </w:rPr>
        <w:t>.</w:t>
      </w:r>
    </w:p>
    <w:p w14:paraId="53708439" w14:textId="1F128E34" w:rsidR="00D36A52" w:rsidRPr="000C06D7" w:rsidRDefault="00CA4C80" w:rsidP="000C06D7">
      <w:pPr>
        <w:pStyle w:val="HeadingL1"/>
        <w:spacing w:after="260" w:line="280" w:lineRule="exact"/>
        <w:ind w:right="0"/>
        <w:jc w:val="both"/>
        <w:rPr>
          <w:rFonts w:ascii="Times New Roman" w:hAnsi="Times New Roman"/>
        </w:rPr>
      </w:pPr>
      <w:r w:rsidRPr="000C06D7">
        <w:rPr>
          <w:rFonts w:ascii="Times New Roman" w:hAnsi="Times New Roman"/>
        </w:rPr>
        <w:t>Scope of the Navigation Service Charge</w:t>
      </w:r>
    </w:p>
    <w:p w14:paraId="46622630" w14:textId="159714D4" w:rsidR="008E17D1" w:rsidRPr="000C06D7" w:rsidRDefault="008E17D1"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99705A" w:rsidRPr="000C06D7">
        <w:rPr>
          <w:rFonts w:ascii="Times New Roman" w:hAnsi="Times New Roman"/>
        </w:rPr>
        <w:t xml:space="preserve">The issues concerning the scope of the </w:t>
      </w:r>
      <w:r w:rsidR="00020552" w:rsidRPr="000C06D7">
        <w:rPr>
          <w:rFonts w:ascii="Times New Roman" w:hAnsi="Times New Roman"/>
        </w:rPr>
        <w:t xml:space="preserve">Navigation Service Charge are best addressed </w:t>
      </w:r>
      <w:r w:rsidR="00F20AFC" w:rsidRPr="000C06D7">
        <w:rPr>
          <w:rFonts w:ascii="Times New Roman" w:hAnsi="Times New Roman"/>
        </w:rPr>
        <w:t xml:space="preserve">by </w:t>
      </w:r>
      <w:r w:rsidR="0086082F" w:rsidRPr="000C06D7">
        <w:rPr>
          <w:rFonts w:ascii="Times New Roman" w:hAnsi="Times New Roman"/>
        </w:rPr>
        <w:t>cons</w:t>
      </w:r>
      <w:r w:rsidR="00AA67BC" w:rsidRPr="000C06D7">
        <w:rPr>
          <w:rFonts w:ascii="Times New Roman" w:hAnsi="Times New Roman"/>
        </w:rPr>
        <w:t>truing</w:t>
      </w:r>
      <w:r w:rsidR="0086082F" w:rsidRPr="000C06D7">
        <w:rPr>
          <w:rFonts w:ascii="Times New Roman" w:hAnsi="Times New Roman"/>
        </w:rPr>
        <w:t xml:space="preserve"> </w:t>
      </w:r>
      <w:r w:rsidR="00E807B3" w:rsidRPr="000C06D7">
        <w:rPr>
          <w:rFonts w:ascii="Times New Roman" w:hAnsi="Times New Roman"/>
        </w:rPr>
        <w:t xml:space="preserve">the meaning of "access" </w:t>
      </w:r>
      <w:r w:rsidR="00AA67BC" w:rsidRPr="000C06D7">
        <w:rPr>
          <w:rFonts w:ascii="Times New Roman" w:hAnsi="Times New Roman"/>
        </w:rPr>
        <w:t xml:space="preserve">in the context of </w:t>
      </w:r>
      <w:r w:rsidR="00E807B3" w:rsidRPr="000C06D7">
        <w:rPr>
          <w:rFonts w:ascii="Times New Roman" w:hAnsi="Times New Roman"/>
        </w:rPr>
        <w:t>Pt IIIA of the Act</w:t>
      </w:r>
      <w:r w:rsidR="00AA67BC" w:rsidRPr="000C06D7">
        <w:rPr>
          <w:rFonts w:ascii="Times New Roman" w:hAnsi="Times New Roman"/>
        </w:rPr>
        <w:t xml:space="preserve"> before turning to </w:t>
      </w:r>
      <w:r w:rsidR="00F20AFC" w:rsidRPr="000C06D7">
        <w:rPr>
          <w:rFonts w:ascii="Times New Roman" w:hAnsi="Times New Roman"/>
        </w:rPr>
        <w:t xml:space="preserve">construe </w:t>
      </w:r>
      <w:r w:rsidR="00AA67BC" w:rsidRPr="000C06D7">
        <w:rPr>
          <w:rFonts w:ascii="Times New Roman" w:hAnsi="Times New Roman"/>
        </w:rPr>
        <w:t xml:space="preserve">the </w:t>
      </w:r>
      <w:r w:rsidR="007830FA" w:rsidRPr="000C06D7">
        <w:rPr>
          <w:rFonts w:ascii="Times New Roman" w:hAnsi="Times New Roman"/>
        </w:rPr>
        <w:t xml:space="preserve">Service as </w:t>
      </w:r>
      <w:r w:rsidR="00F20AFC" w:rsidRPr="000C06D7">
        <w:rPr>
          <w:rFonts w:ascii="Times New Roman" w:hAnsi="Times New Roman"/>
        </w:rPr>
        <w:t xml:space="preserve">identified </w:t>
      </w:r>
      <w:r w:rsidR="007830FA" w:rsidRPr="000C06D7">
        <w:rPr>
          <w:rFonts w:ascii="Times New Roman" w:hAnsi="Times New Roman"/>
        </w:rPr>
        <w:t>in the Declaration.</w:t>
      </w:r>
    </w:p>
    <w:p w14:paraId="6E3A1C1E" w14:textId="34EE3A6B" w:rsidR="007830FA" w:rsidRPr="000C06D7" w:rsidRDefault="007830FA" w:rsidP="000C06D7">
      <w:pPr>
        <w:pStyle w:val="HeadingL2"/>
        <w:spacing w:after="260" w:line="280" w:lineRule="exact"/>
        <w:ind w:right="0"/>
        <w:jc w:val="both"/>
        <w:rPr>
          <w:rFonts w:ascii="Times New Roman" w:hAnsi="Times New Roman"/>
        </w:rPr>
      </w:pPr>
      <w:r w:rsidRPr="000C06D7">
        <w:rPr>
          <w:rFonts w:ascii="Times New Roman" w:hAnsi="Times New Roman"/>
        </w:rPr>
        <w:t>The meaning of "access" in the context of Pt IIIA</w:t>
      </w:r>
    </w:p>
    <w:p w14:paraId="6AD586DB" w14:textId="6C2838BE" w:rsidR="00982E4E" w:rsidRPr="000C06D7" w:rsidRDefault="00B20307"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BD0161" w:rsidRPr="000C06D7">
        <w:rPr>
          <w:rFonts w:ascii="Times New Roman" w:hAnsi="Times New Roman"/>
        </w:rPr>
        <w:t>T</w:t>
      </w:r>
      <w:r w:rsidR="00025253" w:rsidRPr="000C06D7">
        <w:rPr>
          <w:rFonts w:ascii="Times New Roman" w:hAnsi="Times New Roman"/>
        </w:rPr>
        <w:t>he principle</w:t>
      </w:r>
      <w:r w:rsidR="00BD0161" w:rsidRPr="000C06D7">
        <w:rPr>
          <w:rFonts w:ascii="Times New Roman" w:hAnsi="Times New Roman"/>
        </w:rPr>
        <w:t>s</w:t>
      </w:r>
      <w:r w:rsidR="00025253" w:rsidRPr="000C06D7">
        <w:rPr>
          <w:rFonts w:ascii="Times New Roman" w:hAnsi="Times New Roman"/>
        </w:rPr>
        <w:t xml:space="preserve"> of statutory cons</w:t>
      </w:r>
      <w:r w:rsidR="00BD0161" w:rsidRPr="000C06D7">
        <w:rPr>
          <w:rFonts w:ascii="Times New Roman" w:hAnsi="Times New Roman"/>
        </w:rPr>
        <w:t xml:space="preserve">truction are </w:t>
      </w:r>
      <w:r w:rsidR="008C6307" w:rsidRPr="000C06D7">
        <w:rPr>
          <w:rFonts w:ascii="Times New Roman" w:hAnsi="Times New Roman"/>
        </w:rPr>
        <w:t>familiar</w:t>
      </w:r>
      <w:r w:rsidR="00AA651E" w:rsidRPr="000C06D7">
        <w:rPr>
          <w:rFonts w:ascii="Times New Roman" w:hAnsi="Times New Roman"/>
        </w:rPr>
        <w:t>. Oftentimes</w:t>
      </w:r>
      <w:r w:rsidR="00452471" w:rsidRPr="000C06D7">
        <w:rPr>
          <w:rFonts w:ascii="Times New Roman" w:hAnsi="Times New Roman"/>
        </w:rPr>
        <w:t xml:space="preserve"> they can seem</w:t>
      </w:r>
      <w:r w:rsidR="008C6307" w:rsidRPr="000C06D7">
        <w:rPr>
          <w:rFonts w:ascii="Times New Roman" w:hAnsi="Times New Roman"/>
        </w:rPr>
        <w:t xml:space="preserve"> banal.</w:t>
      </w:r>
      <w:r w:rsidR="007A2080" w:rsidRPr="000C06D7">
        <w:rPr>
          <w:rFonts w:ascii="Times New Roman" w:hAnsi="Times New Roman"/>
        </w:rPr>
        <w:t xml:space="preserve"> </w:t>
      </w:r>
      <w:r w:rsidR="008A4708" w:rsidRPr="000C06D7">
        <w:rPr>
          <w:rFonts w:ascii="Times New Roman" w:hAnsi="Times New Roman"/>
        </w:rPr>
        <w:t>The task of c</w:t>
      </w:r>
      <w:r w:rsidR="00120A49" w:rsidRPr="000C06D7">
        <w:rPr>
          <w:rFonts w:ascii="Times New Roman" w:hAnsi="Times New Roman"/>
        </w:rPr>
        <w:t>onstruin</w:t>
      </w:r>
      <w:r w:rsidR="008A4708" w:rsidRPr="000C06D7">
        <w:rPr>
          <w:rFonts w:ascii="Times New Roman" w:hAnsi="Times New Roman"/>
        </w:rPr>
        <w:t>g</w:t>
      </w:r>
      <w:r w:rsidR="00120A49" w:rsidRPr="000C06D7">
        <w:rPr>
          <w:rFonts w:ascii="Times New Roman" w:hAnsi="Times New Roman"/>
        </w:rPr>
        <w:t xml:space="preserve"> "access" in the context of Pt</w:t>
      </w:r>
      <w:r w:rsidR="007C316C" w:rsidRPr="000C06D7">
        <w:rPr>
          <w:rFonts w:ascii="Times New Roman" w:hAnsi="Times New Roman"/>
        </w:rPr>
        <w:t> </w:t>
      </w:r>
      <w:r w:rsidR="00120A49" w:rsidRPr="000C06D7">
        <w:rPr>
          <w:rFonts w:ascii="Times New Roman" w:hAnsi="Times New Roman"/>
        </w:rPr>
        <w:t>IIIA of the Act</w:t>
      </w:r>
      <w:r w:rsidR="001257F9" w:rsidRPr="000C06D7">
        <w:rPr>
          <w:rFonts w:ascii="Times New Roman" w:hAnsi="Times New Roman"/>
        </w:rPr>
        <w:t xml:space="preserve"> is nonetheless assisted by </w:t>
      </w:r>
      <w:r w:rsidR="00385684" w:rsidRPr="000C06D7">
        <w:rPr>
          <w:rFonts w:ascii="Times New Roman" w:hAnsi="Times New Roman"/>
        </w:rPr>
        <w:t>noti</w:t>
      </w:r>
      <w:r w:rsidR="007B0821" w:rsidRPr="000C06D7">
        <w:rPr>
          <w:rFonts w:ascii="Times New Roman" w:hAnsi="Times New Roman"/>
        </w:rPr>
        <w:t>ci</w:t>
      </w:r>
      <w:r w:rsidR="00385684" w:rsidRPr="000C06D7">
        <w:rPr>
          <w:rFonts w:ascii="Times New Roman" w:hAnsi="Times New Roman"/>
        </w:rPr>
        <w:t>ng</w:t>
      </w:r>
      <w:r w:rsidR="00060788" w:rsidRPr="000C06D7">
        <w:rPr>
          <w:rFonts w:ascii="Times New Roman" w:hAnsi="Times New Roman"/>
        </w:rPr>
        <w:t xml:space="preserve"> </w:t>
      </w:r>
      <w:r w:rsidR="00A64987" w:rsidRPr="000C06D7">
        <w:rPr>
          <w:rFonts w:ascii="Times New Roman" w:hAnsi="Times New Roman"/>
        </w:rPr>
        <w:t>four</w:t>
      </w:r>
      <w:r w:rsidR="00982E4E" w:rsidRPr="000C06D7">
        <w:rPr>
          <w:rFonts w:ascii="Times New Roman" w:hAnsi="Times New Roman"/>
        </w:rPr>
        <w:t xml:space="preserve"> </w:t>
      </w:r>
      <w:r w:rsidR="00CF09F2" w:rsidRPr="000C06D7">
        <w:rPr>
          <w:rFonts w:ascii="Times New Roman" w:hAnsi="Times New Roman"/>
        </w:rPr>
        <w:t>of those</w:t>
      </w:r>
      <w:r w:rsidR="00755683" w:rsidRPr="000C06D7">
        <w:rPr>
          <w:rFonts w:ascii="Times New Roman" w:hAnsi="Times New Roman"/>
        </w:rPr>
        <w:t xml:space="preserve"> </w:t>
      </w:r>
      <w:r w:rsidR="00982E4E" w:rsidRPr="000C06D7">
        <w:rPr>
          <w:rFonts w:ascii="Times New Roman" w:hAnsi="Times New Roman"/>
        </w:rPr>
        <w:t>principles</w:t>
      </w:r>
      <w:r w:rsidR="00925FE4" w:rsidRPr="000C06D7">
        <w:rPr>
          <w:rFonts w:ascii="Times New Roman" w:hAnsi="Times New Roman"/>
        </w:rPr>
        <w:t xml:space="preserve"> and highlighting their </w:t>
      </w:r>
      <w:r w:rsidR="00F20AFC" w:rsidRPr="000C06D7">
        <w:rPr>
          <w:rFonts w:ascii="Times New Roman" w:hAnsi="Times New Roman"/>
        </w:rPr>
        <w:t xml:space="preserve">present </w:t>
      </w:r>
      <w:r w:rsidR="000F21CB" w:rsidRPr="000C06D7">
        <w:rPr>
          <w:rFonts w:ascii="Times New Roman" w:hAnsi="Times New Roman"/>
        </w:rPr>
        <w:t>significance</w:t>
      </w:r>
      <w:r w:rsidR="00982E4E" w:rsidRPr="000C06D7">
        <w:rPr>
          <w:rFonts w:ascii="Times New Roman" w:hAnsi="Times New Roman"/>
        </w:rPr>
        <w:t>.</w:t>
      </w:r>
    </w:p>
    <w:p w14:paraId="16533BFA" w14:textId="6036ADFF" w:rsidR="007830FA" w:rsidRPr="000C06D7" w:rsidRDefault="00982E4E" w:rsidP="000C06D7">
      <w:pPr>
        <w:pStyle w:val="FixListStyle"/>
        <w:spacing w:after="260" w:line="280" w:lineRule="exact"/>
        <w:ind w:right="0"/>
        <w:jc w:val="both"/>
        <w:rPr>
          <w:rFonts w:ascii="Times New Roman" w:hAnsi="Times New Roman"/>
        </w:rPr>
      </w:pPr>
      <w:r w:rsidRPr="000C06D7">
        <w:rPr>
          <w:rFonts w:ascii="Times New Roman" w:hAnsi="Times New Roman"/>
        </w:rPr>
        <w:tab/>
        <w:t xml:space="preserve">First, </w:t>
      </w:r>
      <w:r w:rsidR="00FF4B64" w:rsidRPr="000C06D7">
        <w:rPr>
          <w:rFonts w:ascii="Times New Roman" w:hAnsi="Times New Roman"/>
        </w:rPr>
        <w:t>Pt</w:t>
      </w:r>
      <w:r w:rsidR="007C316C" w:rsidRPr="000C06D7">
        <w:rPr>
          <w:rFonts w:ascii="Times New Roman" w:hAnsi="Times New Roman"/>
        </w:rPr>
        <w:t> </w:t>
      </w:r>
      <w:r w:rsidR="00FF4B64" w:rsidRPr="000C06D7">
        <w:rPr>
          <w:rFonts w:ascii="Times New Roman" w:hAnsi="Times New Roman"/>
        </w:rPr>
        <w:t xml:space="preserve">IIIA </w:t>
      </w:r>
      <w:r w:rsidR="00503697" w:rsidRPr="000C06D7">
        <w:rPr>
          <w:rFonts w:ascii="Times New Roman" w:hAnsi="Times New Roman"/>
        </w:rPr>
        <w:t>is</w:t>
      </w:r>
      <w:r w:rsidR="00E17D4A" w:rsidRPr="000C06D7">
        <w:rPr>
          <w:rFonts w:ascii="Times New Roman" w:hAnsi="Times New Roman"/>
        </w:rPr>
        <w:t xml:space="preserve"> "always speaking in the present"</w:t>
      </w:r>
      <w:r w:rsidR="00E17D4A" w:rsidRPr="000C06D7">
        <w:rPr>
          <w:rStyle w:val="FootnoteReference"/>
          <w:rFonts w:ascii="Times New Roman" w:hAnsi="Times New Roman"/>
          <w:sz w:val="24"/>
        </w:rPr>
        <w:footnoteReference w:id="85"/>
      </w:r>
      <w:r w:rsidR="00E17D4A" w:rsidRPr="000C06D7">
        <w:rPr>
          <w:rFonts w:ascii="Times New Roman" w:hAnsi="Times New Roman"/>
        </w:rPr>
        <w:t>.</w:t>
      </w:r>
      <w:r w:rsidR="00A0447F" w:rsidRPr="000C06D7">
        <w:rPr>
          <w:rFonts w:ascii="Times New Roman" w:hAnsi="Times New Roman"/>
        </w:rPr>
        <w:t xml:space="preserve"> One corollary is that</w:t>
      </w:r>
      <w:r w:rsidR="00786F50" w:rsidRPr="000C06D7">
        <w:rPr>
          <w:rFonts w:ascii="Times New Roman" w:hAnsi="Times New Roman"/>
        </w:rPr>
        <w:t xml:space="preserve"> the </w:t>
      </w:r>
      <w:r w:rsidR="00F74BF2" w:rsidRPr="000C06D7">
        <w:rPr>
          <w:rFonts w:ascii="Times New Roman" w:hAnsi="Times New Roman"/>
        </w:rPr>
        <w:t xml:space="preserve">1995 Act, the </w:t>
      </w:r>
      <w:r w:rsidR="00786F50" w:rsidRPr="000C06D7">
        <w:rPr>
          <w:rFonts w:ascii="Times New Roman" w:hAnsi="Times New Roman"/>
        </w:rPr>
        <w:t xml:space="preserve">2006 Act and the 2017 Act </w:t>
      </w:r>
      <w:r w:rsidR="00244DB7" w:rsidRPr="000C06D7">
        <w:rPr>
          <w:rFonts w:ascii="Times New Roman" w:hAnsi="Times New Roman"/>
        </w:rPr>
        <w:t>must</w:t>
      </w:r>
      <w:r w:rsidR="00786F50" w:rsidRPr="000C06D7">
        <w:rPr>
          <w:rFonts w:ascii="Times New Roman" w:hAnsi="Times New Roman"/>
        </w:rPr>
        <w:t xml:space="preserve"> </w:t>
      </w:r>
      <w:r w:rsidR="00B63B18" w:rsidRPr="000C06D7">
        <w:rPr>
          <w:rFonts w:ascii="Times New Roman" w:hAnsi="Times New Roman"/>
        </w:rPr>
        <w:t xml:space="preserve">now </w:t>
      </w:r>
      <w:r w:rsidR="00684E6C" w:rsidRPr="000C06D7">
        <w:rPr>
          <w:rFonts w:ascii="Times New Roman" w:hAnsi="Times New Roman"/>
        </w:rPr>
        <w:t xml:space="preserve">be </w:t>
      </w:r>
      <w:r w:rsidR="00F85BD6" w:rsidRPr="000C06D7">
        <w:rPr>
          <w:rFonts w:ascii="Times New Roman" w:hAnsi="Times New Roman"/>
        </w:rPr>
        <w:t>read together</w:t>
      </w:r>
      <w:r w:rsidR="00684E6C" w:rsidRPr="000C06D7">
        <w:rPr>
          <w:rStyle w:val="FootnoteReference"/>
          <w:rFonts w:ascii="Times New Roman" w:hAnsi="Times New Roman"/>
          <w:sz w:val="24"/>
        </w:rPr>
        <w:footnoteReference w:id="86"/>
      </w:r>
      <w:r w:rsidR="00F85BD6" w:rsidRPr="000C06D7">
        <w:rPr>
          <w:rFonts w:ascii="Times New Roman" w:hAnsi="Times New Roman"/>
        </w:rPr>
        <w:t xml:space="preserve"> "as a combined statement of the will of the legislature"</w:t>
      </w:r>
      <w:r w:rsidR="00F85BD6" w:rsidRPr="000C06D7">
        <w:rPr>
          <w:rStyle w:val="FootnoteReference"/>
          <w:rFonts w:ascii="Times New Roman" w:hAnsi="Times New Roman"/>
          <w:sz w:val="24"/>
        </w:rPr>
        <w:footnoteReference w:id="87"/>
      </w:r>
      <w:r w:rsidR="00F85BD6" w:rsidRPr="000C06D7">
        <w:rPr>
          <w:rFonts w:ascii="Times New Roman" w:hAnsi="Times New Roman"/>
        </w:rPr>
        <w:t>.</w:t>
      </w:r>
      <w:r w:rsidR="007C75C8" w:rsidRPr="000C06D7">
        <w:rPr>
          <w:rFonts w:ascii="Times New Roman" w:hAnsi="Times New Roman"/>
        </w:rPr>
        <w:t xml:space="preserve"> Another corollary is that</w:t>
      </w:r>
      <w:r w:rsidR="00232544" w:rsidRPr="000C06D7">
        <w:rPr>
          <w:rFonts w:ascii="Times New Roman" w:hAnsi="Times New Roman"/>
        </w:rPr>
        <w:t xml:space="preserve"> </w:t>
      </w:r>
      <w:r w:rsidR="00062BBB" w:rsidRPr="000C06D7">
        <w:rPr>
          <w:rFonts w:ascii="Times New Roman" w:hAnsi="Times New Roman"/>
        </w:rPr>
        <w:t xml:space="preserve">meaning </w:t>
      </w:r>
      <w:r w:rsidR="005D2B27" w:rsidRPr="000C06D7">
        <w:rPr>
          <w:rFonts w:ascii="Times New Roman" w:hAnsi="Times New Roman"/>
        </w:rPr>
        <w:t>must now be attr</w:t>
      </w:r>
      <w:r w:rsidR="0076336F" w:rsidRPr="000C06D7">
        <w:rPr>
          <w:rFonts w:ascii="Times New Roman" w:hAnsi="Times New Roman"/>
        </w:rPr>
        <w:t>ibuted to</w:t>
      </w:r>
      <w:r w:rsidR="00007C9A" w:rsidRPr="000C06D7">
        <w:rPr>
          <w:rFonts w:ascii="Times New Roman" w:hAnsi="Times New Roman"/>
        </w:rPr>
        <w:t xml:space="preserve"> the ongoing reference to "access</w:t>
      </w:r>
      <w:r w:rsidR="00172939" w:rsidRPr="000C06D7">
        <w:rPr>
          <w:rFonts w:ascii="Times New Roman" w:hAnsi="Times New Roman"/>
        </w:rPr>
        <w:t>"</w:t>
      </w:r>
      <w:r w:rsidR="004F5816" w:rsidRPr="000C06D7">
        <w:rPr>
          <w:rFonts w:ascii="Times New Roman" w:hAnsi="Times New Roman"/>
        </w:rPr>
        <w:t xml:space="preserve"> </w:t>
      </w:r>
      <w:r w:rsidR="001331D8" w:rsidRPr="000C06D7">
        <w:rPr>
          <w:rFonts w:ascii="Times New Roman" w:hAnsi="Times New Roman"/>
        </w:rPr>
        <w:t>having regard</w:t>
      </w:r>
      <w:r w:rsidR="004F5816" w:rsidRPr="000C06D7">
        <w:rPr>
          <w:rFonts w:ascii="Times New Roman" w:hAnsi="Times New Roman"/>
        </w:rPr>
        <w:t xml:space="preserve"> to </w:t>
      </w:r>
      <w:r w:rsidR="00E94035" w:rsidRPr="000C06D7">
        <w:rPr>
          <w:rFonts w:ascii="Times New Roman" w:hAnsi="Times New Roman"/>
        </w:rPr>
        <w:t>how well</w:t>
      </w:r>
      <w:r w:rsidR="001331D8" w:rsidRPr="000C06D7">
        <w:rPr>
          <w:rFonts w:ascii="Times New Roman" w:hAnsi="Times New Roman"/>
        </w:rPr>
        <w:t xml:space="preserve"> </w:t>
      </w:r>
      <w:r w:rsidR="00714ECC" w:rsidRPr="000C06D7">
        <w:rPr>
          <w:rFonts w:ascii="Times New Roman" w:hAnsi="Times New Roman"/>
        </w:rPr>
        <w:t>a potentially attributable</w:t>
      </w:r>
      <w:r w:rsidR="001331D8" w:rsidRPr="000C06D7">
        <w:rPr>
          <w:rFonts w:ascii="Times New Roman" w:hAnsi="Times New Roman"/>
        </w:rPr>
        <w:t xml:space="preserve"> m</w:t>
      </w:r>
      <w:r w:rsidR="00431715" w:rsidRPr="000C06D7">
        <w:rPr>
          <w:rFonts w:ascii="Times New Roman" w:hAnsi="Times New Roman"/>
        </w:rPr>
        <w:t xml:space="preserve">eaning </w:t>
      </w:r>
      <w:r w:rsidR="00E94035" w:rsidRPr="000C06D7">
        <w:rPr>
          <w:rFonts w:ascii="Times New Roman" w:hAnsi="Times New Roman"/>
        </w:rPr>
        <w:t xml:space="preserve">fits </w:t>
      </w:r>
      <w:r w:rsidR="00431715" w:rsidRPr="000C06D7">
        <w:rPr>
          <w:rFonts w:ascii="Times New Roman" w:hAnsi="Times New Roman"/>
        </w:rPr>
        <w:t>with</w:t>
      </w:r>
      <w:r w:rsidR="006E5600" w:rsidRPr="000C06D7">
        <w:rPr>
          <w:rFonts w:ascii="Times New Roman" w:hAnsi="Times New Roman"/>
        </w:rPr>
        <w:t>in</w:t>
      </w:r>
      <w:r w:rsidR="00431715" w:rsidRPr="000C06D7">
        <w:rPr>
          <w:rFonts w:ascii="Times New Roman" w:hAnsi="Times New Roman"/>
        </w:rPr>
        <w:t xml:space="preserve"> </w:t>
      </w:r>
      <w:r w:rsidR="007C75C8" w:rsidRPr="000C06D7">
        <w:rPr>
          <w:rFonts w:ascii="Times New Roman" w:hAnsi="Times New Roman"/>
        </w:rPr>
        <w:t>the</w:t>
      </w:r>
      <w:r w:rsidR="005218BA" w:rsidRPr="000C06D7">
        <w:rPr>
          <w:rFonts w:ascii="Times New Roman" w:hAnsi="Times New Roman"/>
        </w:rPr>
        <w:t xml:space="preserve"> scheme of </w:t>
      </w:r>
      <w:r w:rsidR="00897A7F" w:rsidRPr="000C06D7">
        <w:rPr>
          <w:rFonts w:ascii="Times New Roman" w:hAnsi="Times New Roman"/>
        </w:rPr>
        <w:t>Pt</w:t>
      </w:r>
      <w:r w:rsidR="00E6349A" w:rsidRPr="000C06D7">
        <w:rPr>
          <w:rFonts w:ascii="Times New Roman" w:hAnsi="Times New Roman"/>
        </w:rPr>
        <w:t> </w:t>
      </w:r>
      <w:r w:rsidR="00897A7F" w:rsidRPr="000C06D7">
        <w:rPr>
          <w:rFonts w:ascii="Times New Roman" w:hAnsi="Times New Roman"/>
        </w:rPr>
        <w:t xml:space="preserve">IIIA </w:t>
      </w:r>
      <w:r w:rsidR="00E02DE2" w:rsidRPr="000C06D7">
        <w:rPr>
          <w:rFonts w:ascii="Times New Roman" w:hAnsi="Times New Roman"/>
        </w:rPr>
        <w:t>as</w:t>
      </w:r>
      <w:r w:rsidR="00232544" w:rsidRPr="000C06D7">
        <w:rPr>
          <w:rFonts w:ascii="Times New Roman" w:hAnsi="Times New Roman"/>
        </w:rPr>
        <w:t xml:space="preserve"> that scheme</w:t>
      </w:r>
      <w:r w:rsidR="00E02DE2" w:rsidRPr="000C06D7">
        <w:rPr>
          <w:rFonts w:ascii="Times New Roman" w:hAnsi="Times New Roman"/>
        </w:rPr>
        <w:t xml:space="preserve"> has </w:t>
      </w:r>
      <w:r w:rsidR="00351FD8" w:rsidRPr="000C06D7">
        <w:rPr>
          <w:rFonts w:ascii="Times New Roman" w:hAnsi="Times New Roman"/>
        </w:rPr>
        <w:t xml:space="preserve">emerged from the </w:t>
      </w:r>
      <w:r w:rsidR="00C767EE" w:rsidRPr="000C06D7">
        <w:rPr>
          <w:rFonts w:ascii="Times New Roman" w:hAnsi="Times New Roman"/>
        </w:rPr>
        <w:t xml:space="preserve">totality of those </w:t>
      </w:r>
      <w:r w:rsidR="007C75C8" w:rsidRPr="000C06D7">
        <w:rPr>
          <w:rFonts w:ascii="Times New Roman" w:hAnsi="Times New Roman"/>
        </w:rPr>
        <w:t>amendments</w:t>
      </w:r>
      <w:r w:rsidR="00C767EE" w:rsidRPr="000C06D7">
        <w:rPr>
          <w:rFonts w:ascii="Times New Roman" w:hAnsi="Times New Roman"/>
        </w:rPr>
        <w:t xml:space="preserve">. </w:t>
      </w:r>
      <w:r w:rsidR="00241144" w:rsidRPr="000C06D7">
        <w:rPr>
          <w:rFonts w:ascii="Times New Roman" w:hAnsi="Times New Roman"/>
        </w:rPr>
        <w:t xml:space="preserve">Here, the </w:t>
      </w:r>
      <w:r w:rsidR="00B21659" w:rsidRPr="000C06D7">
        <w:rPr>
          <w:rFonts w:ascii="Times New Roman" w:hAnsi="Times New Roman"/>
        </w:rPr>
        <w:t xml:space="preserve">fact that </w:t>
      </w:r>
      <w:r w:rsidR="00241144" w:rsidRPr="000C06D7">
        <w:rPr>
          <w:rFonts w:ascii="Times New Roman" w:hAnsi="Times New Roman"/>
        </w:rPr>
        <w:t>notification of the access dispute</w:t>
      </w:r>
      <w:r w:rsidR="00285D99" w:rsidRPr="000C06D7">
        <w:rPr>
          <w:rFonts w:ascii="Times New Roman" w:hAnsi="Times New Roman"/>
        </w:rPr>
        <w:t xml:space="preserve"> </w:t>
      </w:r>
      <w:r w:rsidR="003C10EA" w:rsidRPr="000C06D7">
        <w:rPr>
          <w:rFonts w:ascii="Times New Roman" w:hAnsi="Times New Roman"/>
        </w:rPr>
        <w:t xml:space="preserve">predated the </w:t>
      </w:r>
      <w:r w:rsidR="00E536B3" w:rsidRPr="000C06D7">
        <w:rPr>
          <w:rFonts w:ascii="Times New Roman" w:hAnsi="Times New Roman"/>
        </w:rPr>
        <w:t>2017 Act</w:t>
      </w:r>
      <w:r w:rsidR="00B528CA" w:rsidRPr="000C06D7">
        <w:rPr>
          <w:rFonts w:ascii="Times New Roman" w:hAnsi="Times New Roman"/>
        </w:rPr>
        <w:t xml:space="preserve"> arguably means that the Act as it stood before the 2017 Act governed the substantive </w:t>
      </w:r>
      <w:r w:rsidR="00EF193F" w:rsidRPr="000C06D7">
        <w:rPr>
          <w:rFonts w:ascii="Times New Roman" w:hAnsi="Times New Roman"/>
        </w:rPr>
        <w:t>rights in issue</w:t>
      </w:r>
      <w:r w:rsidR="00285D99" w:rsidRPr="000C06D7">
        <w:rPr>
          <w:rFonts w:ascii="Times New Roman" w:hAnsi="Times New Roman"/>
        </w:rPr>
        <w:t xml:space="preserve"> </w:t>
      </w:r>
      <w:r w:rsidR="00B75AEF" w:rsidRPr="000C06D7">
        <w:rPr>
          <w:rFonts w:ascii="Times New Roman" w:hAnsi="Times New Roman"/>
        </w:rPr>
        <w:t>in the re-arbitration before</w:t>
      </w:r>
      <w:r w:rsidR="00285D99" w:rsidRPr="000C06D7">
        <w:rPr>
          <w:rFonts w:ascii="Times New Roman" w:hAnsi="Times New Roman"/>
        </w:rPr>
        <w:t xml:space="preserve"> </w:t>
      </w:r>
      <w:r w:rsidR="00DA6283" w:rsidRPr="000C06D7">
        <w:rPr>
          <w:rFonts w:ascii="Times New Roman" w:hAnsi="Times New Roman"/>
        </w:rPr>
        <w:t>the Tribunal</w:t>
      </w:r>
      <w:r w:rsidR="00460FED" w:rsidRPr="000C06D7">
        <w:rPr>
          <w:rStyle w:val="FootnoteReference"/>
          <w:rFonts w:ascii="Times New Roman" w:hAnsi="Times New Roman"/>
          <w:sz w:val="24"/>
        </w:rPr>
        <w:footnoteReference w:id="88"/>
      </w:r>
      <w:r w:rsidR="00460FED" w:rsidRPr="000C06D7">
        <w:rPr>
          <w:rFonts w:ascii="Times New Roman" w:hAnsi="Times New Roman"/>
        </w:rPr>
        <w:t>.</w:t>
      </w:r>
      <w:r w:rsidR="000B6473" w:rsidRPr="000C06D7">
        <w:rPr>
          <w:rFonts w:ascii="Times New Roman" w:hAnsi="Times New Roman"/>
        </w:rPr>
        <w:t xml:space="preserve"> Certainly, the reference to "access"</w:t>
      </w:r>
      <w:r w:rsidR="007264A6" w:rsidRPr="000C06D7">
        <w:rPr>
          <w:rFonts w:ascii="Times New Roman" w:hAnsi="Times New Roman"/>
        </w:rPr>
        <w:t xml:space="preserve"> in the description of the Service can only be understood in the context of the Act at the </w:t>
      </w:r>
      <w:r w:rsidR="007264A6" w:rsidRPr="000C06D7">
        <w:rPr>
          <w:rFonts w:ascii="Times New Roman" w:hAnsi="Times New Roman"/>
        </w:rPr>
        <w:lastRenderedPageBreak/>
        <w:t>time the De</w:t>
      </w:r>
      <w:r w:rsidR="00BC067C" w:rsidRPr="000C06D7">
        <w:rPr>
          <w:rFonts w:ascii="Times New Roman" w:hAnsi="Times New Roman"/>
        </w:rPr>
        <w:t>claration was made in 2016.</w:t>
      </w:r>
      <w:r w:rsidR="00285D99" w:rsidRPr="000C06D7">
        <w:rPr>
          <w:rFonts w:ascii="Times New Roman" w:hAnsi="Times New Roman"/>
        </w:rPr>
        <w:t xml:space="preserve"> </w:t>
      </w:r>
      <w:r w:rsidR="00F253ED" w:rsidRPr="000C06D7">
        <w:rPr>
          <w:rFonts w:ascii="Times New Roman" w:hAnsi="Times New Roman"/>
        </w:rPr>
        <w:t>Be that as it may, the</w:t>
      </w:r>
      <w:r w:rsidR="00285D99" w:rsidRPr="000C06D7">
        <w:rPr>
          <w:rFonts w:ascii="Times New Roman" w:hAnsi="Times New Roman"/>
        </w:rPr>
        <w:t xml:space="preserve"> </w:t>
      </w:r>
      <w:r w:rsidR="00172939" w:rsidRPr="000C06D7">
        <w:rPr>
          <w:rFonts w:ascii="Times New Roman" w:hAnsi="Times New Roman"/>
        </w:rPr>
        <w:t xml:space="preserve">operation of the 2017 Act </w:t>
      </w:r>
      <w:r w:rsidR="00086E37" w:rsidRPr="000C06D7">
        <w:rPr>
          <w:rFonts w:ascii="Times New Roman" w:hAnsi="Times New Roman"/>
        </w:rPr>
        <w:t>can</w:t>
      </w:r>
      <w:r w:rsidR="00876731" w:rsidRPr="000C06D7">
        <w:rPr>
          <w:rFonts w:ascii="Times New Roman" w:hAnsi="Times New Roman"/>
        </w:rPr>
        <w:t>not</w:t>
      </w:r>
      <w:r w:rsidR="00086E37" w:rsidRPr="000C06D7">
        <w:rPr>
          <w:rFonts w:ascii="Times New Roman" w:hAnsi="Times New Roman"/>
        </w:rPr>
        <w:t xml:space="preserve"> </w:t>
      </w:r>
      <w:r w:rsidR="00172939" w:rsidRPr="000C06D7">
        <w:rPr>
          <w:rFonts w:ascii="Times New Roman" w:hAnsi="Times New Roman"/>
        </w:rPr>
        <w:t>be ignored</w:t>
      </w:r>
      <w:r w:rsidR="005966F5" w:rsidRPr="000C06D7">
        <w:rPr>
          <w:rFonts w:ascii="Times New Roman" w:hAnsi="Times New Roman"/>
        </w:rPr>
        <w:t xml:space="preserve"> in assessing th</w:t>
      </w:r>
      <w:r w:rsidR="000D6A63" w:rsidRPr="000C06D7">
        <w:rPr>
          <w:rFonts w:ascii="Times New Roman" w:hAnsi="Times New Roman"/>
        </w:rPr>
        <w:t>e</w:t>
      </w:r>
      <w:r w:rsidR="005966F5" w:rsidRPr="000C06D7">
        <w:rPr>
          <w:rFonts w:ascii="Times New Roman" w:hAnsi="Times New Roman"/>
        </w:rPr>
        <w:t xml:space="preserve"> fit</w:t>
      </w:r>
      <w:r w:rsidR="003C7F1E" w:rsidRPr="000C06D7">
        <w:rPr>
          <w:rFonts w:ascii="Times New Roman" w:hAnsi="Times New Roman"/>
        </w:rPr>
        <w:t xml:space="preserve"> of a potentially attributable meaning within the scheme of the Part</w:t>
      </w:r>
      <w:r w:rsidR="00431715" w:rsidRPr="000C06D7">
        <w:rPr>
          <w:rStyle w:val="FootnoteReference"/>
          <w:rFonts w:ascii="Times New Roman" w:hAnsi="Times New Roman"/>
          <w:sz w:val="24"/>
        </w:rPr>
        <w:footnoteReference w:id="89"/>
      </w:r>
      <w:r w:rsidR="000E223B" w:rsidRPr="000C06D7">
        <w:rPr>
          <w:rFonts w:ascii="Times New Roman" w:hAnsi="Times New Roman"/>
        </w:rPr>
        <w:t>.</w:t>
      </w:r>
    </w:p>
    <w:p w14:paraId="4733C5E5" w14:textId="2CBDF2EB" w:rsidR="00925FE4" w:rsidRPr="000C06D7" w:rsidRDefault="00925FE4" w:rsidP="000C06D7">
      <w:pPr>
        <w:pStyle w:val="FixListStyle"/>
        <w:spacing w:after="260" w:line="280" w:lineRule="exact"/>
        <w:ind w:right="0"/>
        <w:jc w:val="both"/>
        <w:rPr>
          <w:rFonts w:ascii="Times New Roman" w:hAnsi="Times New Roman"/>
        </w:rPr>
      </w:pPr>
      <w:r w:rsidRPr="000C06D7">
        <w:rPr>
          <w:rFonts w:ascii="Times New Roman" w:hAnsi="Times New Roman"/>
        </w:rPr>
        <w:tab/>
        <w:t xml:space="preserve">Second, </w:t>
      </w:r>
      <w:r w:rsidR="00235F2A" w:rsidRPr="000C06D7">
        <w:rPr>
          <w:rFonts w:ascii="Times New Roman" w:hAnsi="Times New Roman"/>
        </w:rPr>
        <w:t xml:space="preserve">the ongoing reference to "access" </w:t>
      </w:r>
      <w:r w:rsidR="00D610C3" w:rsidRPr="000C06D7">
        <w:rPr>
          <w:rFonts w:ascii="Times New Roman" w:hAnsi="Times New Roman"/>
        </w:rPr>
        <w:t>in</w:t>
      </w:r>
      <w:r w:rsidR="000D7F81" w:rsidRPr="000C06D7">
        <w:rPr>
          <w:rFonts w:ascii="Times New Roman" w:hAnsi="Times New Roman"/>
        </w:rPr>
        <w:t xml:space="preserve"> the</w:t>
      </w:r>
      <w:r w:rsidR="00265862" w:rsidRPr="000C06D7">
        <w:rPr>
          <w:rFonts w:ascii="Times New Roman" w:hAnsi="Times New Roman"/>
        </w:rPr>
        <w:t xml:space="preserve"> text of Pt</w:t>
      </w:r>
      <w:r w:rsidR="00DB69C2" w:rsidRPr="000C06D7">
        <w:rPr>
          <w:rFonts w:ascii="Times New Roman" w:hAnsi="Times New Roman"/>
        </w:rPr>
        <w:t> </w:t>
      </w:r>
      <w:r w:rsidR="00265862" w:rsidRPr="000C06D7">
        <w:rPr>
          <w:rFonts w:ascii="Times New Roman" w:hAnsi="Times New Roman"/>
        </w:rPr>
        <w:t xml:space="preserve">IIIA must be construed in </w:t>
      </w:r>
      <w:r w:rsidR="002B4826" w:rsidRPr="000C06D7">
        <w:rPr>
          <w:rFonts w:ascii="Times New Roman" w:hAnsi="Times New Roman"/>
        </w:rPr>
        <w:t xml:space="preserve">the context of the Part </w:t>
      </w:r>
      <w:r w:rsidR="00DB79F6" w:rsidRPr="000C06D7">
        <w:rPr>
          <w:rFonts w:ascii="Times New Roman" w:hAnsi="Times New Roman"/>
        </w:rPr>
        <w:t xml:space="preserve">as a whole </w:t>
      </w:r>
      <w:r w:rsidR="002B4826" w:rsidRPr="000C06D7">
        <w:rPr>
          <w:rFonts w:ascii="Times New Roman" w:hAnsi="Times New Roman"/>
        </w:rPr>
        <w:t>within a broader</w:t>
      </w:r>
      <w:r w:rsidR="001024A9" w:rsidRPr="000C06D7">
        <w:rPr>
          <w:rFonts w:ascii="Times New Roman" w:hAnsi="Times New Roman"/>
        </w:rPr>
        <w:t xml:space="preserve"> </w:t>
      </w:r>
      <w:r w:rsidR="00265862" w:rsidRPr="000C06D7">
        <w:rPr>
          <w:rFonts w:ascii="Times New Roman" w:hAnsi="Times New Roman"/>
        </w:rPr>
        <w:t>context</w:t>
      </w:r>
      <w:r w:rsidR="002B035B" w:rsidRPr="000C06D7">
        <w:rPr>
          <w:rFonts w:ascii="Times New Roman" w:hAnsi="Times New Roman"/>
        </w:rPr>
        <w:t xml:space="preserve"> that</w:t>
      </w:r>
      <w:r w:rsidR="0076175D" w:rsidRPr="000C06D7">
        <w:rPr>
          <w:rFonts w:ascii="Times New Roman" w:hAnsi="Times New Roman"/>
        </w:rPr>
        <w:t xml:space="preserve"> includes</w:t>
      </w:r>
      <w:r w:rsidR="00A41C2F" w:rsidRPr="000C06D7">
        <w:rPr>
          <w:rFonts w:ascii="Times New Roman" w:hAnsi="Times New Roman"/>
        </w:rPr>
        <w:t xml:space="preserve"> </w:t>
      </w:r>
      <w:r w:rsidR="004C71A4" w:rsidRPr="000C06D7">
        <w:rPr>
          <w:rFonts w:ascii="Times New Roman" w:hAnsi="Times New Roman"/>
        </w:rPr>
        <w:t>the</w:t>
      </w:r>
      <w:r w:rsidR="0076175D" w:rsidRPr="000C06D7">
        <w:rPr>
          <w:rFonts w:ascii="Times New Roman" w:hAnsi="Times New Roman"/>
        </w:rPr>
        <w:t xml:space="preserve"> </w:t>
      </w:r>
      <w:r w:rsidR="00086E37" w:rsidRPr="000C06D7">
        <w:rPr>
          <w:rFonts w:ascii="Times New Roman" w:hAnsi="Times New Roman"/>
        </w:rPr>
        <w:t xml:space="preserve">course of the </w:t>
      </w:r>
      <w:r w:rsidR="0076175D" w:rsidRPr="000C06D7">
        <w:rPr>
          <w:rFonts w:ascii="Times New Roman" w:hAnsi="Times New Roman"/>
        </w:rPr>
        <w:t xml:space="preserve">legislative history </w:t>
      </w:r>
      <w:r w:rsidR="00073DBC" w:rsidRPr="000C06D7">
        <w:rPr>
          <w:rFonts w:ascii="Times New Roman" w:hAnsi="Times New Roman"/>
        </w:rPr>
        <w:t xml:space="preserve">of the Part </w:t>
      </w:r>
      <w:r w:rsidR="0073738A" w:rsidRPr="000C06D7">
        <w:rPr>
          <w:rFonts w:ascii="Times New Roman" w:hAnsi="Times New Roman"/>
        </w:rPr>
        <w:t xml:space="preserve">and extrinsic materials pertaining to </w:t>
      </w:r>
      <w:r w:rsidR="00A41C2F" w:rsidRPr="000C06D7">
        <w:rPr>
          <w:rFonts w:ascii="Times New Roman" w:hAnsi="Times New Roman"/>
        </w:rPr>
        <w:t>that</w:t>
      </w:r>
      <w:r w:rsidR="0073738A" w:rsidRPr="000C06D7">
        <w:rPr>
          <w:rFonts w:ascii="Times New Roman" w:hAnsi="Times New Roman"/>
        </w:rPr>
        <w:t xml:space="preserve"> legislative history.</w:t>
      </w:r>
      <w:r w:rsidR="008745A1" w:rsidRPr="000C06D7">
        <w:rPr>
          <w:rFonts w:ascii="Times New Roman" w:hAnsi="Times New Roman"/>
        </w:rPr>
        <w:t xml:space="preserve"> </w:t>
      </w:r>
      <w:r w:rsidR="00006609" w:rsidRPr="000C06D7">
        <w:rPr>
          <w:rFonts w:ascii="Times New Roman" w:hAnsi="Times New Roman"/>
        </w:rPr>
        <w:t xml:space="preserve">Understanding </w:t>
      </w:r>
      <w:r w:rsidR="004C71A4" w:rsidRPr="000C06D7">
        <w:rPr>
          <w:rFonts w:ascii="Times New Roman" w:hAnsi="Times New Roman"/>
        </w:rPr>
        <w:t xml:space="preserve">that </w:t>
      </w:r>
      <w:r w:rsidR="00571FC8" w:rsidRPr="000C06D7">
        <w:rPr>
          <w:rFonts w:ascii="Times New Roman" w:hAnsi="Times New Roman"/>
        </w:rPr>
        <w:t xml:space="preserve">broader </w:t>
      </w:r>
      <w:r w:rsidR="00006609" w:rsidRPr="000C06D7">
        <w:rPr>
          <w:rFonts w:ascii="Times New Roman" w:hAnsi="Times New Roman"/>
        </w:rPr>
        <w:t xml:space="preserve">context </w:t>
      </w:r>
      <w:r w:rsidR="004C71A4" w:rsidRPr="000C06D7">
        <w:rPr>
          <w:rFonts w:ascii="Times New Roman" w:hAnsi="Times New Roman"/>
        </w:rPr>
        <w:t>"</w:t>
      </w:r>
      <w:r w:rsidR="00006609" w:rsidRPr="000C06D7">
        <w:rPr>
          <w:rFonts w:ascii="Times New Roman" w:hAnsi="Times New Roman"/>
        </w:rPr>
        <w:t>has utility if, and in</w:t>
      </w:r>
      <w:r w:rsidR="0025378C" w:rsidRPr="000C06D7">
        <w:rPr>
          <w:rFonts w:ascii="Times New Roman" w:hAnsi="Times New Roman"/>
        </w:rPr>
        <w:t xml:space="preserve"> </w:t>
      </w:r>
      <w:r w:rsidR="00006609" w:rsidRPr="000C06D7">
        <w:rPr>
          <w:rFonts w:ascii="Times New Roman" w:hAnsi="Times New Roman"/>
        </w:rPr>
        <w:t>so</w:t>
      </w:r>
      <w:r w:rsidR="0025378C" w:rsidRPr="000C06D7">
        <w:rPr>
          <w:rFonts w:ascii="Times New Roman" w:hAnsi="Times New Roman"/>
        </w:rPr>
        <w:t xml:space="preserve"> </w:t>
      </w:r>
      <w:r w:rsidR="00006609" w:rsidRPr="000C06D7">
        <w:rPr>
          <w:rFonts w:ascii="Times New Roman" w:hAnsi="Times New Roman"/>
        </w:rPr>
        <w:t xml:space="preserve">far as, it </w:t>
      </w:r>
      <w:r w:rsidR="001E0654" w:rsidRPr="000C06D7">
        <w:rPr>
          <w:rFonts w:ascii="Times New Roman" w:hAnsi="Times New Roman"/>
        </w:rPr>
        <w:t>assists in fixing the meaning of the statutory text"</w:t>
      </w:r>
      <w:r w:rsidR="008745A1" w:rsidRPr="000C06D7">
        <w:rPr>
          <w:rStyle w:val="FootnoteReference"/>
          <w:rFonts w:ascii="Times New Roman" w:hAnsi="Times New Roman"/>
          <w:sz w:val="24"/>
        </w:rPr>
        <w:footnoteReference w:id="90"/>
      </w:r>
      <w:r w:rsidR="008745A1" w:rsidRPr="000C06D7">
        <w:rPr>
          <w:rFonts w:ascii="Times New Roman" w:hAnsi="Times New Roman"/>
        </w:rPr>
        <w:t>.</w:t>
      </w:r>
    </w:p>
    <w:p w14:paraId="039EA3DD" w14:textId="06FE0DE4" w:rsidR="00C628FC" w:rsidRPr="000C06D7" w:rsidRDefault="00A64987"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1F1EC7" w:rsidRPr="000C06D7">
        <w:rPr>
          <w:rFonts w:ascii="Times New Roman" w:hAnsi="Times New Roman"/>
        </w:rPr>
        <w:t>Third</w:t>
      </w:r>
      <w:r w:rsidR="00D0562A" w:rsidRPr="000C06D7">
        <w:rPr>
          <w:rFonts w:ascii="Times New Roman" w:hAnsi="Times New Roman"/>
        </w:rPr>
        <w:t xml:space="preserve">, </w:t>
      </w:r>
      <w:r w:rsidR="00200049" w:rsidRPr="000C06D7">
        <w:rPr>
          <w:rFonts w:ascii="Times New Roman" w:hAnsi="Times New Roman"/>
        </w:rPr>
        <w:t xml:space="preserve">as has been </w:t>
      </w:r>
      <w:r w:rsidR="00D0562A" w:rsidRPr="000C06D7">
        <w:rPr>
          <w:rFonts w:ascii="Times New Roman" w:hAnsi="Times New Roman"/>
        </w:rPr>
        <w:t xml:space="preserve">repeatedly </w:t>
      </w:r>
      <w:r w:rsidR="00572428" w:rsidRPr="000C06D7">
        <w:rPr>
          <w:rFonts w:ascii="Times New Roman" w:hAnsi="Times New Roman"/>
        </w:rPr>
        <w:t>emphasised</w:t>
      </w:r>
      <w:r w:rsidR="00985387" w:rsidRPr="000C06D7">
        <w:rPr>
          <w:rFonts w:ascii="Times New Roman" w:hAnsi="Times New Roman"/>
        </w:rPr>
        <w:t xml:space="preserve"> in the</w:t>
      </w:r>
      <w:r w:rsidR="00DB79F6" w:rsidRPr="000C06D7">
        <w:rPr>
          <w:rFonts w:ascii="Times New Roman" w:hAnsi="Times New Roman"/>
        </w:rPr>
        <w:t xml:space="preserve"> context of Pt</w:t>
      </w:r>
      <w:r w:rsidR="009E5BC2" w:rsidRPr="000C06D7">
        <w:rPr>
          <w:rFonts w:ascii="Times New Roman" w:hAnsi="Times New Roman"/>
        </w:rPr>
        <w:t> </w:t>
      </w:r>
      <w:r w:rsidR="00DB79F6" w:rsidRPr="000C06D7">
        <w:rPr>
          <w:rFonts w:ascii="Times New Roman" w:hAnsi="Times New Roman"/>
        </w:rPr>
        <w:t>IIIA</w:t>
      </w:r>
      <w:r w:rsidR="009E5BC2" w:rsidRPr="000C06D7">
        <w:rPr>
          <w:rFonts w:ascii="Times New Roman" w:hAnsi="Times New Roman"/>
        </w:rPr>
        <w:t>,</w:t>
      </w:r>
      <w:r w:rsidR="00E2309D" w:rsidRPr="000C06D7">
        <w:rPr>
          <w:rFonts w:ascii="Times New Roman" w:hAnsi="Times New Roman"/>
        </w:rPr>
        <w:t xml:space="preserve"> "access" is "an ordinary English word" to be understood "in its ordinary English sense"</w:t>
      </w:r>
      <w:r w:rsidR="00E2309D" w:rsidRPr="000C06D7">
        <w:rPr>
          <w:rStyle w:val="FootnoteReference"/>
          <w:rFonts w:ascii="Times New Roman" w:hAnsi="Times New Roman"/>
          <w:sz w:val="24"/>
        </w:rPr>
        <w:footnoteReference w:id="91"/>
      </w:r>
      <w:r w:rsidR="00E2309D" w:rsidRPr="000C06D7">
        <w:rPr>
          <w:rFonts w:ascii="Times New Roman" w:hAnsi="Times New Roman"/>
        </w:rPr>
        <w:t xml:space="preserve">. </w:t>
      </w:r>
      <w:r w:rsidR="005B1E1B" w:rsidRPr="000C06D7">
        <w:rPr>
          <w:rFonts w:ascii="Times New Roman" w:hAnsi="Times New Roman"/>
        </w:rPr>
        <w:t xml:space="preserve">That "access" retains its ordinary English </w:t>
      </w:r>
      <w:r w:rsidR="00807CF5" w:rsidRPr="000C06D7">
        <w:rPr>
          <w:rFonts w:ascii="Times New Roman" w:hAnsi="Times New Roman"/>
        </w:rPr>
        <w:t>meaning</w:t>
      </w:r>
      <w:r w:rsidR="005B1E1B" w:rsidRPr="000C06D7">
        <w:rPr>
          <w:rFonts w:ascii="Times New Roman" w:hAnsi="Times New Roman"/>
        </w:rPr>
        <w:t xml:space="preserve"> is common ground </w:t>
      </w:r>
      <w:r w:rsidR="009E5BC2" w:rsidRPr="000C06D7">
        <w:rPr>
          <w:rFonts w:ascii="Times New Roman" w:hAnsi="Times New Roman"/>
        </w:rPr>
        <w:t>on</w:t>
      </w:r>
      <w:r w:rsidR="005B1E1B" w:rsidRPr="000C06D7">
        <w:rPr>
          <w:rFonts w:ascii="Times New Roman" w:hAnsi="Times New Roman"/>
        </w:rPr>
        <w:t xml:space="preserve"> the appeal. </w:t>
      </w:r>
      <w:r w:rsidR="008C6A15" w:rsidRPr="000C06D7">
        <w:rPr>
          <w:rFonts w:ascii="Times New Roman" w:hAnsi="Times New Roman"/>
        </w:rPr>
        <w:t xml:space="preserve">The contest </w:t>
      </w:r>
      <w:r w:rsidR="001E1720" w:rsidRPr="000C06D7">
        <w:rPr>
          <w:rFonts w:ascii="Times New Roman" w:hAnsi="Times New Roman"/>
        </w:rPr>
        <w:t>between the</w:t>
      </w:r>
      <w:r w:rsidR="0099088B" w:rsidRPr="000C06D7">
        <w:rPr>
          <w:rFonts w:ascii="Times New Roman" w:hAnsi="Times New Roman"/>
        </w:rPr>
        <w:t xml:space="preserve"> parties</w:t>
      </w:r>
      <w:r w:rsidR="001E1720" w:rsidRPr="000C06D7">
        <w:rPr>
          <w:rFonts w:ascii="Times New Roman" w:hAnsi="Times New Roman"/>
        </w:rPr>
        <w:t xml:space="preserve"> </w:t>
      </w:r>
      <w:r w:rsidR="008C6A15" w:rsidRPr="000C06D7">
        <w:rPr>
          <w:rFonts w:ascii="Times New Roman" w:hAnsi="Times New Roman"/>
        </w:rPr>
        <w:t xml:space="preserve">is as to the applicable shade of ordinary meaning. </w:t>
      </w:r>
      <w:r w:rsidR="009E4E33" w:rsidRPr="000C06D7">
        <w:rPr>
          <w:rFonts w:ascii="Times New Roman" w:hAnsi="Times New Roman"/>
        </w:rPr>
        <w:t xml:space="preserve">The </w:t>
      </w:r>
      <w:r w:rsidR="00693F41" w:rsidRPr="000C06D7">
        <w:rPr>
          <w:rFonts w:ascii="Times New Roman" w:hAnsi="Times New Roman"/>
        </w:rPr>
        <w:t>construction</w:t>
      </w:r>
      <w:r w:rsidR="008C6A15" w:rsidRPr="000C06D7">
        <w:rPr>
          <w:rFonts w:ascii="Times New Roman" w:hAnsi="Times New Roman"/>
        </w:rPr>
        <w:t>al</w:t>
      </w:r>
      <w:r w:rsidR="00693F41" w:rsidRPr="000C06D7">
        <w:rPr>
          <w:rFonts w:ascii="Times New Roman" w:hAnsi="Times New Roman"/>
        </w:rPr>
        <w:t xml:space="preserve"> choice </w:t>
      </w:r>
      <w:r w:rsidR="002960D3" w:rsidRPr="000C06D7">
        <w:rPr>
          <w:rFonts w:ascii="Times New Roman" w:hAnsi="Times New Roman"/>
        </w:rPr>
        <w:t>presented</w:t>
      </w:r>
      <w:r w:rsidR="00EC708D" w:rsidRPr="000C06D7">
        <w:rPr>
          <w:rFonts w:ascii="Times New Roman" w:hAnsi="Times New Roman"/>
        </w:rPr>
        <w:t xml:space="preserve"> accordingly</w:t>
      </w:r>
      <w:r w:rsidR="002960D3" w:rsidRPr="000C06D7">
        <w:rPr>
          <w:rFonts w:ascii="Times New Roman" w:hAnsi="Times New Roman"/>
        </w:rPr>
        <w:t xml:space="preserve"> "turns less on linguistic fit than on evaluation of the relative coherence of the alternatives with identified statutory objects or policies"</w:t>
      </w:r>
      <w:r w:rsidR="00C628FC" w:rsidRPr="000C06D7">
        <w:rPr>
          <w:rStyle w:val="FootnoteReference"/>
          <w:rFonts w:ascii="Times New Roman" w:hAnsi="Times New Roman"/>
          <w:sz w:val="24"/>
        </w:rPr>
        <w:footnoteReference w:id="92"/>
      </w:r>
      <w:r w:rsidR="009335D4" w:rsidRPr="000C06D7">
        <w:rPr>
          <w:rFonts w:ascii="Times New Roman" w:hAnsi="Times New Roman"/>
        </w:rPr>
        <w:t>.</w:t>
      </w:r>
    </w:p>
    <w:p w14:paraId="48729D9D" w14:textId="0DE3A12A" w:rsidR="00394E29" w:rsidRPr="000C06D7" w:rsidRDefault="00C628FC"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B03864" w:rsidRPr="000C06D7">
        <w:rPr>
          <w:rFonts w:ascii="Times New Roman" w:hAnsi="Times New Roman"/>
        </w:rPr>
        <w:t xml:space="preserve">Fourth, </w:t>
      </w:r>
      <w:r w:rsidR="00E96F21" w:rsidRPr="000C06D7">
        <w:rPr>
          <w:rFonts w:ascii="Times New Roman" w:hAnsi="Times New Roman"/>
        </w:rPr>
        <w:t xml:space="preserve">the constructional choice </w:t>
      </w:r>
      <w:r w:rsidR="002B6092" w:rsidRPr="000C06D7">
        <w:rPr>
          <w:rFonts w:ascii="Times New Roman" w:hAnsi="Times New Roman"/>
        </w:rPr>
        <w:t>falls to be made in the application of the principle of purpos</w:t>
      </w:r>
      <w:r w:rsidR="00EC708D" w:rsidRPr="000C06D7">
        <w:rPr>
          <w:rFonts w:ascii="Times New Roman" w:hAnsi="Times New Roman"/>
        </w:rPr>
        <w:t>iv</w:t>
      </w:r>
      <w:r w:rsidR="002B6092" w:rsidRPr="000C06D7">
        <w:rPr>
          <w:rFonts w:ascii="Times New Roman" w:hAnsi="Times New Roman"/>
        </w:rPr>
        <w:t>e construction</w:t>
      </w:r>
      <w:r w:rsidR="000A312E" w:rsidRPr="000C06D7">
        <w:rPr>
          <w:rStyle w:val="FootnoteReference"/>
          <w:rFonts w:ascii="Times New Roman" w:hAnsi="Times New Roman"/>
          <w:sz w:val="24"/>
        </w:rPr>
        <w:footnoteReference w:id="93"/>
      </w:r>
      <w:r w:rsidR="00DB5AE0" w:rsidRPr="000C06D7">
        <w:rPr>
          <w:rFonts w:ascii="Times New Roman" w:hAnsi="Times New Roman"/>
        </w:rPr>
        <w:t xml:space="preserve"> </w:t>
      </w:r>
      <w:r w:rsidR="00041408" w:rsidRPr="000C06D7">
        <w:rPr>
          <w:rFonts w:ascii="Times New Roman" w:hAnsi="Times New Roman"/>
        </w:rPr>
        <w:t>reflected in the</w:t>
      </w:r>
      <w:r w:rsidR="00EA57DA" w:rsidRPr="000C06D7">
        <w:rPr>
          <w:rFonts w:ascii="Times New Roman" w:hAnsi="Times New Roman"/>
        </w:rPr>
        <w:t xml:space="preserve"> </w:t>
      </w:r>
      <w:r w:rsidR="00041408" w:rsidRPr="000C06D7">
        <w:rPr>
          <w:rFonts w:ascii="Times New Roman" w:hAnsi="Times New Roman"/>
          <w:color w:val="000000"/>
          <w:shd w:val="clear" w:color="auto" w:fill="FFFFFF"/>
        </w:rPr>
        <w:t>statutory instruction that</w:t>
      </w:r>
      <w:r w:rsidR="00DB5AE0" w:rsidRPr="000C06D7">
        <w:rPr>
          <w:rFonts w:ascii="Times New Roman" w:hAnsi="Times New Roman"/>
          <w:color w:val="000000"/>
          <w:shd w:val="clear" w:color="auto" w:fill="FFFFFF"/>
        </w:rPr>
        <w:t xml:space="preserve"> </w:t>
      </w:r>
      <w:r w:rsidR="00041408" w:rsidRPr="000C06D7">
        <w:rPr>
          <w:rFonts w:ascii="Times New Roman" w:hAnsi="Times New Roman"/>
          <w:color w:val="000000"/>
          <w:shd w:val="clear" w:color="auto" w:fill="FFFFFF"/>
        </w:rPr>
        <w:t>"the interpretation that would best achieve the purpose or object</w:t>
      </w:r>
      <w:r w:rsidR="00FF541D" w:rsidRPr="000C06D7">
        <w:rPr>
          <w:rFonts w:ascii="Times New Roman" w:hAnsi="Times New Roman"/>
          <w:color w:val="000000"/>
          <w:shd w:val="clear" w:color="auto" w:fill="FFFFFF"/>
        </w:rPr>
        <w:t>"</w:t>
      </w:r>
      <w:r w:rsidR="00041408" w:rsidRPr="000C06D7">
        <w:rPr>
          <w:rFonts w:ascii="Times New Roman" w:hAnsi="Times New Roman"/>
          <w:color w:val="000000"/>
          <w:shd w:val="clear" w:color="auto" w:fill="FFFFFF"/>
        </w:rPr>
        <w:t xml:space="preserve"> </w:t>
      </w:r>
      <w:r w:rsidR="00FF541D" w:rsidRPr="000C06D7">
        <w:rPr>
          <w:rFonts w:ascii="Times New Roman" w:hAnsi="Times New Roman"/>
          <w:color w:val="000000"/>
          <w:shd w:val="clear" w:color="auto" w:fill="FFFFFF"/>
        </w:rPr>
        <w:t>of a Commonwealth Act</w:t>
      </w:r>
      <w:r w:rsidR="00041408" w:rsidRPr="000C06D7">
        <w:rPr>
          <w:rFonts w:ascii="Times New Roman" w:hAnsi="Times New Roman"/>
          <w:color w:val="000000"/>
          <w:shd w:val="clear" w:color="auto" w:fill="FFFFFF"/>
        </w:rPr>
        <w:t xml:space="preserve"> </w:t>
      </w:r>
      <w:r w:rsidR="00FF541D" w:rsidRPr="000C06D7">
        <w:rPr>
          <w:rFonts w:ascii="Times New Roman" w:hAnsi="Times New Roman"/>
          <w:color w:val="000000"/>
          <w:shd w:val="clear" w:color="auto" w:fill="FFFFFF"/>
        </w:rPr>
        <w:t>"</w:t>
      </w:r>
      <w:r w:rsidR="00041408" w:rsidRPr="000C06D7">
        <w:rPr>
          <w:rFonts w:ascii="Times New Roman" w:hAnsi="Times New Roman"/>
          <w:color w:val="000000"/>
          <w:shd w:val="clear" w:color="auto" w:fill="FFFFFF"/>
        </w:rPr>
        <w:t>is to be preferred to each other interpretation</w:t>
      </w:r>
      <w:r w:rsidR="00F64AA8" w:rsidRPr="000C06D7">
        <w:rPr>
          <w:rFonts w:ascii="Times New Roman" w:hAnsi="Times New Roman"/>
          <w:color w:val="000000"/>
          <w:shd w:val="clear" w:color="auto" w:fill="FFFFFF"/>
        </w:rPr>
        <w:t>"</w:t>
      </w:r>
      <w:r w:rsidR="00F64AA8" w:rsidRPr="000C06D7">
        <w:rPr>
          <w:rStyle w:val="FootnoteReference"/>
          <w:rFonts w:ascii="Times New Roman" w:hAnsi="Times New Roman"/>
          <w:color w:val="000000"/>
          <w:sz w:val="24"/>
          <w:shd w:val="clear" w:color="auto" w:fill="FFFFFF"/>
        </w:rPr>
        <w:footnoteReference w:id="94"/>
      </w:r>
      <w:r w:rsidR="00F64AA8" w:rsidRPr="000C06D7">
        <w:rPr>
          <w:rFonts w:ascii="Times New Roman" w:hAnsi="Times New Roman"/>
          <w:color w:val="000000"/>
          <w:shd w:val="clear" w:color="auto" w:fill="FFFFFF"/>
        </w:rPr>
        <w:t xml:space="preserve">. </w:t>
      </w:r>
      <w:r w:rsidR="00FF541D" w:rsidRPr="000C06D7">
        <w:rPr>
          <w:rFonts w:ascii="Times New Roman" w:hAnsi="Times New Roman"/>
          <w:color w:val="000000"/>
          <w:shd w:val="clear" w:color="auto" w:fill="FFFFFF"/>
        </w:rPr>
        <w:t xml:space="preserve">Application of that </w:t>
      </w:r>
      <w:r w:rsidR="004F453F" w:rsidRPr="000C06D7">
        <w:rPr>
          <w:rFonts w:ascii="Times New Roman" w:hAnsi="Times New Roman"/>
        </w:rPr>
        <w:t xml:space="preserve">principle </w:t>
      </w:r>
      <w:r w:rsidR="00714B4A" w:rsidRPr="000C06D7">
        <w:rPr>
          <w:rFonts w:ascii="Times New Roman" w:hAnsi="Times New Roman"/>
          <w:color w:val="000000"/>
          <w:shd w:val="clear" w:color="auto" w:fill="FFFFFF"/>
        </w:rPr>
        <w:lastRenderedPageBreak/>
        <w:t xml:space="preserve">requires that </w:t>
      </w:r>
      <w:r w:rsidR="000A1871" w:rsidRPr="000C06D7">
        <w:rPr>
          <w:rFonts w:ascii="Times New Roman" w:hAnsi="Times New Roman"/>
          <w:color w:val="000000"/>
          <w:shd w:val="clear" w:color="auto" w:fill="FFFFFF"/>
        </w:rPr>
        <w:t>the ter</w:t>
      </w:r>
      <w:r w:rsidR="003334F3" w:rsidRPr="000C06D7">
        <w:rPr>
          <w:rFonts w:ascii="Times New Roman" w:hAnsi="Times New Roman"/>
          <w:color w:val="000000"/>
          <w:shd w:val="clear" w:color="auto" w:fill="FFFFFF"/>
        </w:rPr>
        <w:t>m "access"</w:t>
      </w:r>
      <w:r w:rsidR="00B337B3" w:rsidRPr="000C06D7">
        <w:rPr>
          <w:rFonts w:ascii="Times New Roman" w:hAnsi="Times New Roman"/>
          <w:color w:val="000000"/>
          <w:shd w:val="clear" w:color="auto" w:fill="FFFFFF"/>
        </w:rPr>
        <w:t>, no less than the term "service",</w:t>
      </w:r>
      <w:r w:rsidR="00204E7E" w:rsidRPr="000C06D7">
        <w:rPr>
          <w:rFonts w:ascii="Times New Roman" w:hAnsi="Times New Roman"/>
          <w:color w:val="000000"/>
          <w:shd w:val="clear" w:color="auto" w:fill="FFFFFF"/>
        </w:rPr>
        <w:t xml:space="preserve"> </w:t>
      </w:r>
      <w:r w:rsidR="00F8513C" w:rsidRPr="000C06D7">
        <w:rPr>
          <w:rFonts w:ascii="Times New Roman" w:hAnsi="Times New Roman"/>
          <w:color w:val="000000"/>
          <w:shd w:val="clear" w:color="auto" w:fill="FFFFFF"/>
        </w:rPr>
        <w:t>be construed "in a</w:t>
      </w:r>
      <w:r w:rsidR="004C3369" w:rsidRPr="000C06D7">
        <w:rPr>
          <w:rFonts w:ascii="Times New Roman" w:hAnsi="Times New Roman"/>
          <w:color w:val="000000"/>
          <w:shd w:val="clear" w:color="auto" w:fill="FFFFFF"/>
        </w:rPr>
        <w:t xml:space="preserve"> way</w:t>
      </w:r>
      <w:r w:rsidR="004B0B11" w:rsidRPr="000C06D7">
        <w:rPr>
          <w:rFonts w:ascii="Times New Roman" w:hAnsi="Times New Roman"/>
          <w:color w:val="000000"/>
          <w:shd w:val="clear" w:color="auto" w:fill="FFFFFF"/>
        </w:rPr>
        <w:t xml:space="preserve"> that would advance the attainment </w:t>
      </w:r>
      <w:r w:rsidR="00A8557E" w:rsidRPr="000C06D7">
        <w:rPr>
          <w:rFonts w:ascii="Times New Roman" w:hAnsi="Times New Roman"/>
          <w:color w:val="000000"/>
          <w:shd w:val="clear" w:color="auto" w:fill="FFFFFF"/>
        </w:rPr>
        <w:t xml:space="preserve">of the large national </w:t>
      </w:r>
      <w:r w:rsidR="00EA07FA" w:rsidRPr="000C06D7">
        <w:rPr>
          <w:rFonts w:ascii="Times New Roman" w:hAnsi="Times New Roman"/>
          <w:color w:val="000000"/>
          <w:shd w:val="clear" w:color="auto" w:fill="FFFFFF"/>
        </w:rPr>
        <w:t>and economic objective</w:t>
      </w:r>
      <w:r w:rsidR="00C45D37" w:rsidRPr="000C06D7">
        <w:rPr>
          <w:rFonts w:ascii="Times New Roman" w:hAnsi="Times New Roman"/>
          <w:color w:val="000000"/>
          <w:shd w:val="clear" w:color="auto" w:fill="FFFFFF"/>
        </w:rPr>
        <w:t>s of Pt IIIA"</w:t>
      </w:r>
      <w:r w:rsidR="00C45D37" w:rsidRPr="000C06D7">
        <w:rPr>
          <w:rStyle w:val="FootnoteReference"/>
          <w:rFonts w:ascii="Times New Roman" w:hAnsi="Times New Roman"/>
          <w:color w:val="000000"/>
          <w:sz w:val="24"/>
          <w:shd w:val="clear" w:color="auto" w:fill="FFFFFF"/>
        </w:rPr>
        <w:footnoteReference w:id="95"/>
      </w:r>
      <w:r w:rsidR="00C45D37" w:rsidRPr="000C06D7">
        <w:rPr>
          <w:rFonts w:ascii="Times New Roman" w:hAnsi="Times New Roman"/>
          <w:color w:val="000000"/>
          <w:shd w:val="clear" w:color="auto" w:fill="FFFFFF"/>
        </w:rPr>
        <w:t>.</w:t>
      </w:r>
    </w:p>
    <w:p w14:paraId="7F11A015" w14:textId="076C7DCA" w:rsidR="00964AFA" w:rsidRPr="000C06D7" w:rsidRDefault="00394E29"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8459CE" w:rsidRPr="000C06D7">
        <w:rPr>
          <w:rFonts w:ascii="Times New Roman" w:hAnsi="Times New Roman"/>
        </w:rPr>
        <w:t xml:space="preserve">The </w:t>
      </w:r>
      <w:r w:rsidR="00365042" w:rsidRPr="000C06D7">
        <w:rPr>
          <w:rFonts w:ascii="Times New Roman" w:hAnsi="Times New Roman"/>
        </w:rPr>
        <w:t xml:space="preserve">ultimate choice is therefore </w:t>
      </w:r>
      <w:r w:rsidR="008459CE" w:rsidRPr="000C06D7">
        <w:rPr>
          <w:rFonts w:ascii="Times New Roman" w:hAnsi="Times New Roman"/>
        </w:rPr>
        <w:t xml:space="preserve">as to the shade of ordinary meaning </w:t>
      </w:r>
      <w:r w:rsidR="00C40383" w:rsidRPr="000C06D7">
        <w:rPr>
          <w:rFonts w:ascii="Times New Roman" w:hAnsi="Times New Roman"/>
        </w:rPr>
        <w:t xml:space="preserve">of the term "access" </w:t>
      </w:r>
      <w:r w:rsidR="00AE5F22" w:rsidRPr="000C06D7">
        <w:rPr>
          <w:rFonts w:ascii="Times New Roman" w:hAnsi="Times New Roman"/>
        </w:rPr>
        <w:t>that</w:t>
      </w:r>
      <w:r w:rsidR="00F050A0" w:rsidRPr="000C06D7">
        <w:rPr>
          <w:rFonts w:ascii="Times New Roman" w:hAnsi="Times New Roman"/>
        </w:rPr>
        <w:t xml:space="preserve"> </w:t>
      </w:r>
      <w:r w:rsidR="00AE5F22" w:rsidRPr="000C06D7">
        <w:rPr>
          <w:rFonts w:ascii="Times New Roman" w:hAnsi="Times New Roman"/>
        </w:rPr>
        <w:t xml:space="preserve">best </w:t>
      </w:r>
      <w:r w:rsidR="00F050A0" w:rsidRPr="000C06D7">
        <w:rPr>
          <w:rFonts w:ascii="Times New Roman" w:hAnsi="Times New Roman"/>
        </w:rPr>
        <w:t>gives effect to</w:t>
      </w:r>
      <w:r w:rsidR="00364F24" w:rsidRPr="000C06D7">
        <w:rPr>
          <w:rFonts w:ascii="Times New Roman" w:hAnsi="Times New Roman"/>
        </w:rPr>
        <w:t xml:space="preserve"> Pt</w:t>
      </w:r>
      <w:r w:rsidR="00B44598" w:rsidRPr="000C06D7">
        <w:rPr>
          <w:rFonts w:ascii="Times New Roman" w:hAnsi="Times New Roman"/>
        </w:rPr>
        <w:t> </w:t>
      </w:r>
      <w:r w:rsidR="00364F24" w:rsidRPr="000C06D7">
        <w:rPr>
          <w:rFonts w:ascii="Times New Roman" w:hAnsi="Times New Roman"/>
        </w:rPr>
        <w:t xml:space="preserve">IIIA's </w:t>
      </w:r>
      <w:r w:rsidR="00013FA6" w:rsidRPr="000C06D7">
        <w:rPr>
          <w:rFonts w:ascii="Times New Roman" w:hAnsi="Times New Roman"/>
        </w:rPr>
        <w:t>object of</w:t>
      </w:r>
      <w:r w:rsidR="00364F24" w:rsidRPr="000C06D7">
        <w:rPr>
          <w:rFonts w:ascii="Times New Roman" w:hAnsi="Times New Roman"/>
        </w:rPr>
        <w:t xml:space="preserve"> </w:t>
      </w:r>
      <w:r w:rsidRPr="000C06D7">
        <w:rPr>
          <w:rFonts w:ascii="Times New Roman" w:hAnsi="Times New Roman"/>
        </w:rPr>
        <w:t>promoting the economic</w:t>
      </w:r>
      <w:r w:rsidR="002639E7" w:rsidRPr="000C06D7">
        <w:rPr>
          <w:rFonts w:ascii="Times New Roman" w:hAnsi="Times New Roman"/>
        </w:rPr>
        <w:t>ally</w:t>
      </w:r>
      <w:r w:rsidRPr="000C06D7">
        <w:rPr>
          <w:rFonts w:ascii="Times New Roman" w:hAnsi="Times New Roman"/>
        </w:rPr>
        <w:t xml:space="preserve"> efficien</w:t>
      </w:r>
      <w:r w:rsidR="002639E7" w:rsidRPr="000C06D7">
        <w:rPr>
          <w:rFonts w:ascii="Times New Roman" w:hAnsi="Times New Roman"/>
        </w:rPr>
        <w:t>t</w:t>
      </w:r>
      <w:r w:rsidR="005F349F" w:rsidRPr="000C06D7">
        <w:rPr>
          <w:rFonts w:ascii="Times New Roman" w:hAnsi="Times New Roman"/>
        </w:rPr>
        <w:t xml:space="preserve"> </w:t>
      </w:r>
      <w:r w:rsidRPr="000C06D7">
        <w:rPr>
          <w:rFonts w:ascii="Times New Roman" w:hAnsi="Times New Roman"/>
        </w:rPr>
        <w:t>operation</w:t>
      </w:r>
      <w:r w:rsidR="00583E39" w:rsidRPr="000C06D7">
        <w:rPr>
          <w:rFonts w:ascii="Times New Roman" w:hAnsi="Times New Roman"/>
        </w:rPr>
        <w:t xml:space="preserve"> of</w:t>
      </w:r>
      <w:r w:rsidRPr="000C06D7">
        <w:rPr>
          <w:rFonts w:ascii="Times New Roman" w:hAnsi="Times New Roman"/>
        </w:rPr>
        <w:t>, use o</w:t>
      </w:r>
      <w:r w:rsidR="00531E2F" w:rsidRPr="000C06D7">
        <w:rPr>
          <w:rFonts w:ascii="Times New Roman" w:hAnsi="Times New Roman"/>
        </w:rPr>
        <w:t>f</w:t>
      </w:r>
      <w:r w:rsidRPr="000C06D7">
        <w:rPr>
          <w:rFonts w:ascii="Times New Roman" w:hAnsi="Times New Roman"/>
        </w:rPr>
        <w:t xml:space="preserve"> and investment in</w:t>
      </w:r>
      <w:r w:rsidR="002639E7" w:rsidRPr="000C06D7">
        <w:rPr>
          <w:rFonts w:ascii="Times New Roman" w:hAnsi="Times New Roman"/>
        </w:rPr>
        <w:t xml:space="preserve"> the</w:t>
      </w:r>
      <w:r w:rsidRPr="000C06D7">
        <w:rPr>
          <w:rFonts w:ascii="Times New Roman" w:hAnsi="Times New Roman"/>
        </w:rPr>
        <w:t xml:space="preserve"> infrastructure by which services are provided</w:t>
      </w:r>
      <w:r w:rsidR="00305A6B" w:rsidRPr="000C06D7">
        <w:rPr>
          <w:rFonts w:ascii="Times New Roman" w:hAnsi="Times New Roman"/>
        </w:rPr>
        <w:t xml:space="preserve"> and of</w:t>
      </w:r>
      <w:r w:rsidR="00013FA6" w:rsidRPr="000C06D7">
        <w:rPr>
          <w:rFonts w:ascii="Times New Roman" w:hAnsi="Times New Roman"/>
        </w:rPr>
        <w:t xml:space="preserve"> </w:t>
      </w:r>
      <w:r w:rsidRPr="000C06D7">
        <w:rPr>
          <w:rFonts w:ascii="Times New Roman" w:hAnsi="Times New Roman"/>
        </w:rPr>
        <w:t>thereby promoting effective competition in upstream and downstream markets</w:t>
      </w:r>
      <w:r w:rsidR="00013FA6" w:rsidRPr="000C06D7">
        <w:rPr>
          <w:rFonts w:ascii="Times New Roman" w:hAnsi="Times New Roman"/>
        </w:rPr>
        <w:t>.</w:t>
      </w:r>
    </w:p>
    <w:p w14:paraId="7F336347" w14:textId="426BA13B" w:rsidR="009627FC" w:rsidRPr="000C06D7" w:rsidRDefault="009627FC"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D7382A" w:rsidRPr="000C06D7">
        <w:rPr>
          <w:rFonts w:ascii="Times New Roman" w:hAnsi="Times New Roman"/>
        </w:rPr>
        <w:t>T</w:t>
      </w:r>
      <w:r w:rsidRPr="000C06D7">
        <w:rPr>
          <w:rFonts w:ascii="Times New Roman" w:hAnsi="Times New Roman"/>
        </w:rPr>
        <w:t xml:space="preserve">he 2017 Act </w:t>
      </w:r>
      <w:r w:rsidR="00E90602" w:rsidRPr="000C06D7">
        <w:rPr>
          <w:rFonts w:ascii="Times New Roman" w:hAnsi="Times New Roman"/>
        </w:rPr>
        <w:t>takes on this</w:t>
      </w:r>
      <w:r w:rsidR="009C6666" w:rsidRPr="000C06D7">
        <w:rPr>
          <w:rFonts w:ascii="Times New Roman" w:hAnsi="Times New Roman"/>
        </w:rPr>
        <w:t xml:space="preserve"> </w:t>
      </w:r>
      <w:r w:rsidR="00C4149C" w:rsidRPr="000C06D7">
        <w:rPr>
          <w:rFonts w:ascii="Times New Roman" w:hAnsi="Times New Roman"/>
        </w:rPr>
        <w:t>significance</w:t>
      </w:r>
      <w:r w:rsidR="00D7382A" w:rsidRPr="000C06D7">
        <w:rPr>
          <w:rFonts w:ascii="Times New Roman" w:hAnsi="Times New Roman"/>
        </w:rPr>
        <w:t xml:space="preserve"> </w:t>
      </w:r>
      <w:r w:rsidR="00E90602" w:rsidRPr="000C06D7">
        <w:rPr>
          <w:rFonts w:ascii="Times New Roman" w:hAnsi="Times New Roman"/>
        </w:rPr>
        <w:t xml:space="preserve">in </w:t>
      </w:r>
      <w:r w:rsidR="009B79BB" w:rsidRPr="000C06D7">
        <w:rPr>
          <w:rFonts w:ascii="Times New Roman" w:hAnsi="Times New Roman"/>
        </w:rPr>
        <w:t>making</w:t>
      </w:r>
      <w:r w:rsidR="004F1AB6" w:rsidRPr="000C06D7">
        <w:rPr>
          <w:rFonts w:ascii="Times New Roman" w:hAnsi="Times New Roman"/>
        </w:rPr>
        <w:t xml:space="preserve"> </w:t>
      </w:r>
      <w:r w:rsidR="009B79BB" w:rsidRPr="000C06D7">
        <w:rPr>
          <w:rFonts w:ascii="Times New Roman" w:hAnsi="Times New Roman"/>
        </w:rPr>
        <w:t>that choice</w:t>
      </w:r>
      <w:r w:rsidR="00C4149C" w:rsidRPr="000C06D7">
        <w:rPr>
          <w:rFonts w:ascii="Times New Roman" w:hAnsi="Times New Roman"/>
        </w:rPr>
        <w:t xml:space="preserve">. Before the 2017 Act, </w:t>
      </w:r>
      <w:r w:rsidR="000B488F" w:rsidRPr="000C06D7">
        <w:rPr>
          <w:rFonts w:ascii="Times New Roman" w:hAnsi="Times New Roman"/>
        </w:rPr>
        <w:t>it could</w:t>
      </w:r>
      <w:r w:rsidRPr="000C06D7">
        <w:rPr>
          <w:rFonts w:ascii="Times New Roman" w:hAnsi="Times New Roman"/>
        </w:rPr>
        <w:t xml:space="preserve"> be said</w:t>
      </w:r>
      <w:r w:rsidR="00734AB1" w:rsidRPr="000C06D7">
        <w:rPr>
          <w:rFonts w:ascii="Times New Roman" w:hAnsi="Times New Roman"/>
        </w:rPr>
        <w:t xml:space="preserve"> </w:t>
      </w:r>
      <w:r w:rsidR="00D56B7A" w:rsidRPr="000C06D7">
        <w:rPr>
          <w:rFonts w:ascii="Times New Roman" w:hAnsi="Times New Roman"/>
        </w:rPr>
        <w:t xml:space="preserve">in somewhat </w:t>
      </w:r>
      <w:r w:rsidR="00C152C8" w:rsidRPr="000C06D7">
        <w:rPr>
          <w:rFonts w:ascii="Times New Roman" w:hAnsi="Times New Roman"/>
        </w:rPr>
        <w:t>generic</w:t>
      </w:r>
      <w:r w:rsidR="00D56B7A" w:rsidRPr="000C06D7">
        <w:rPr>
          <w:rFonts w:ascii="Times New Roman" w:hAnsi="Times New Roman"/>
        </w:rPr>
        <w:t xml:space="preserve"> terms</w:t>
      </w:r>
      <w:r w:rsidR="00C152C8" w:rsidRPr="000C06D7">
        <w:rPr>
          <w:rFonts w:ascii="Times New Roman" w:hAnsi="Times New Roman"/>
        </w:rPr>
        <w:t xml:space="preserve"> </w:t>
      </w:r>
      <w:r w:rsidR="00734AB1" w:rsidRPr="000C06D7">
        <w:rPr>
          <w:rFonts w:ascii="Times New Roman" w:hAnsi="Times New Roman"/>
        </w:rPr>
        <w:t>that "the access referred to in criterion (a)</w:t>
      </w:r>
      <w:r w:rsidR="00350498" w:rsidRPr="000C06D7">
        <w:rPr>
          <w:rFonts w:ascii="Times New Roman" w:hAnsi="Times New Roman"/>
        </w:rPr>
        <w:t xml:space="preserve">" </w:t>
      </w:r>
      <w:r w:rsidR="009E2C8C" w:rsidRPr="000C06D7">
        <w:rPr>
          <w:rFonts w:ascii="Times New Roman" w:hAnsi="Times New Roman"/>
        </w:rPr>
        <w:t>–</w:t>
      </w:r>
      <w:r w:rsidR="00350498" w:rsidRPr="000C06D7">
        <w:rPr>
          <w:rFonts w:ascii="Times New Roman" w:hAnsi="Times New Roman"/>
        </w:rPr>
        <w:t xml:space="preserve"> and by implication </w:t>
      </w:r>
      <w:r w:rsidR="00667134" w:rsidRPr="000C06D7">
        <w:rPr>
          <w:rFonts w:ascii="Times New Roman" w:hAnsi="Times New Roman"/>
        </w:rPr>
        <w:t xml:space="preserve">the "access" referred to </w:t>
      </w:r>
      <w:r w:rsidR="00350498" w:rsidRPr="000C06D7">
        <w:rPr>
          <w:rFonts w:ascii="Times New Roman" w:hAnsi="Times New Roman"/>
        </w:rPr>
        <w:t>elsewhere in Pt</w:t>
      </w:r>
      <w:r w:rsidR="00B66FE4" w:rsidRPr="000C06D7">
        <w:rPr>
          <w:rFonts w:ascii="Times New Roman" w:hAnsi="Times New Roman"/>
        </w:rPr>
        <w:t> </w:t>
      </w:r>
      <w:r w:rsidR="00985E5A" w:rsidRPr="000C06D7">
        <w:rPr>
          <w:rFonts w:ascii="Times New Roman" w:hAnsi="Times New Roman"/>
        </w:rPr>
        <w:t>IIIA</w:t>
      </w:r>
      <w:r w:rsidR="00985E5A">
        <w:rPr>
          <w:rFonts w:ascii="Times New Roman" w:hAnsi="Times New Roman"/>
        </w:rPr>
        <w:t> </w:t>
      </w:r>
      <w:r w:rsidR="009E2C8C" w:rsidRPr="000C06D7">
        <w:rPr>
          <w:rFonts w:ascii="Times New Roman" w:hAnsi="Times New Roman"/>
        </w:rPr>
        <w:t>–</w:t>
      </w:r>
      <w:r w:rsidR="00350498" w:rsidRPr="000C06D7">
        <w:rPr>
          <w:rFonts w:ascii="Times New Roman" w:hAnsi="Times New Roman"/>
        </w:rPr>
        <w:t xml:space="preserve"> "</w:t>
      </w:r>
      <w:r w:rsidR="00734AB1" w:rsidRPr="000C06D7">
        <w:rPr>
          <w:rFonts w:ascii="Times New Roman" w:hAnsi="Times New Roman"/>
        </w:rPr>
        <w:t>is access by any third party"</w:t>
      </w:r>
      <w:r w:rsidR="009A3EBF" w:rsidRPr="000C06D7">
        <w:rPr>
          <w:rStyle w:val="FootnoteReference"/>
          <w:rFonts w:ascii="Times New Roman" w:hAnsi="Times New Roman"/>
          <w:sz w:val="24"/>
        </w:rPr>
        <w:footnoteReference w:id="96"/>
      </w:r>
      <w:r w:rsidR="000A61E2" w:rsidRPr="000C06D7">
        <w:rPr>
          <w:rFonts w:ascii="Times New Roman" w:hAnsi="Times New Roman"/>
        </w:rPr>
        <w:t>.</w:t>
      </w:r>
      <w:r w:rsidR="007C2A36" w:rsidRPr="000C06D7">
        <w:rPr>
          <w:rFonts w:ascii="Times New Roman" w:hAnsi="Times New Roman"/>
        </w:rPr>
        <w:t xml:space="preserve"> Now, as a result</w:t>
      </w:r>
      <w:r w:rsidR="001D4E94" w:rsidRPr="000C06D7">
        <w:rPr>
          <w:rFonts w:ascii="Times New Roman" w:hAnsi="Times New Roman"/>
        </w:rPr>
        <w:t xml:space="preserve"> of</w:t>
      </w:r>
      <w:r w:rsidR="007C2A36" w:rsidRPr="000C06D7">
        <w:rPr>
          <w:rFonts w:ascii="Times New Roman" w:hAnsi="Times New Roman"/>
        </w:rPr>
        <w:t xml:space="preserve"> the 2017 Act</w:t>
      </w:r>
      <w:r w:rsidR="001D4E94" w:rsidRPr="000C06D7">
        <w:rPr>
          <w:rFonts w:ascii="Times New Roman" w:hAnsi="Times New Roman"/>
        </w:rPr>
        <w:t>,</w:t>
      </w:r>
      <w:r w:rsidR="00DA5ADE" w:rsidRPr="000C06D7">
        <w:rPr>
          <w:rFonts w:ascii="Times New Roman" w:hAnsi="Times New Roman"/>
        </w:rPr>
        <w:t xml:space="preserve"> </w:t>
      </w:r>
      <w:r w:rsidR="000A61E2" w:rsidRPr="000C06D7">
        <w:rPr>
          <w:rFonts w:ascii="Times New Roman" w:hAnsi="Times New Roman"/>
        </w:rPr>
        <w:t>it is apparent</w:t>
      </w:r>
      <w:r w:rsidR="00DA5ADE" w:rsidRPr="000C06D7">
        <w:rPr>
          <w:rFonts w:ascii="Times New Roman" w:hAnsi="Times New Roman"/>
        </w:rPr>
        <w:t xml:space="preserve"> that the </w:t>
      </w:r>
      <w:r w:rsidR="001D4E94" w:rsidRPr="000C06D7">
        <w:rPr>
          <w:rFonts w:ascii="Times New Roman" w:hAnsi="Times New Roman"/>
        </w:rPr>
        <w:t>mechanism through which the</w:t>
      </w:r>
      <w:r w:rsidR="00E90602" w:rsidRPr="000C06D7">
        <w:rPr>
          <w:rFonts w:ascii="Times New Roman" w:hAnsi="Times New Roman"/>
        </w:rPr>
        <w:t xml:space="preserve"> relevant</w:t>
      </w:r>
      <w:r w:rsidR="001D4E94" w:rsidRPr="000C06D7">
        <w:rPr>
          <w:rFonts w:ascii="Times New Roman" w:hAnsi="Times New Roman"/>
        </w:rPr>
        <w:t xml:space="preserve"> </w:t>
      </w:r>
      <w:r w:rsidR="003F7412" w:rsidRPr="000C06D7">
        <w:rPr>
          <w:rFonts w:ascii="Times New Roman" w:hAnsi="Times New Roman"/>
        </w:rPr>
        <w:t xml:space="preserve">object of the Part is sought to be achieved </w:t>
      </w:r>
      <w:r w:rsidR="009C6666" w:rsidRPr="000C06D7">
        <w:rPr>
          <w:rFonts w:ascii="Times New Roman" w:hAnsi="Times New Roman"/>
        </w:rPr>
        <w:t>must be considered</w:t>
      </w:r>
      <w:r w:rsidR="00274781" w:rsidRPr="000C06D7">
        <w:rPr>
          <w:rFonts w:ascii="Times New Roman" w:hAnsi="Times New Roman"/>
        </w:rPr>
        <w:t xml:space="preserve"> </w:t>
      </w:r>
      <w:r w:rsidR="00EC27D5" w:rsidRPr="000C06D7">
        <w:rPr>
          <w:rFonts w:ascii="Times New Roman" w:hAnsi="Times New Roman"/>
        </w:rPr>
        <w:t xml:space="preserve">to be </w:t>
      </w:r>
      <w:r w:rsidR="007C4910" w:rsidRPr="000C06D7">
        <w:rPr>
          <w:rFonts w:ascii="Times New Roman" w:hAnsi="Times New Roman"/>
        </w:rPr>
        <w:t xml:space="preserve">the </w:t>
      </w:r>
      <w:r w:rsidR="006E22F6" w:rsidRPr="000C06D7">
        <w:rPr>
          <w:rFonts w:ascii="Times New Roman" w:hAnsi="Times New Roman"/>
        </w:rPr>
        <w:t xml:space="preserve">"access" </w:t>
      </w:r>
      <w:r w:rsidR="000413F9" w:rsidRPr="000C06D7">
        <w:rPr>
          <w:rFonts w:ascii="Times New Roman" w:hAnsi="Times New Roman"/>
        </w:rPr>
        <w:t>that</w:t>
      </w:r>
      <w:r w:rsidR="00191DF6" w:rsidRPr="000C06D7">
        <w:rPr>
          <w:rFonts w:ascii="Times New Roman" w:hAnsi="Times New Roman"/>
        </w:rPr>
        <w:t xml:space="preserve"> a "third party"</w:t>
      </w:r>
      <w:r w:rsidR="00702E04" w:rsidRPr="000C06D7">
        <w:rPr>
          <w:rFonts w:ascii="Times New Roman" w:hAnsi="Times New Roman"/>
        </w:rPr>
        <w:t xml:space="preserve"> </w:t>
      </w:r>
      <w:r w:rsidR="00A65BAD" w:rsidRPr="000C06D7">
        <w:rPr>
          <w:rFonts w:ascii="Times New Roman" w:hAnsi="Times New Roman"/>
        </w:rPr>
        <w:t>is given to a declared</w:t>
      </w:r>
      <w:r w:rsidR="000413F9" w:rsidRPr="000C06D7">
        <w:rPr>
          <w:rFonts w:ascii="Times New Roman" w:hAnsi="Times New Roman"/>
        </w:rPr>
        <w:t xml:space="preserve"> "service"</w:t>
      </w:r>
      <w:r w:rsidR="000A2D67" w:rsidRPr="000C06D7">
        <w:rPr>
          <w:rFonts w:ascii="Times New Roman" w:hAnsi="Times New Roman"/>
        </w:rPr>
        <w:t xml:space="preserve"> </w:t>
      </w:r>
      <w:r w:rsidR="00D53A67" w:rsidRPr="000C06D7">
        <w:rPr>
          <w:rFonts w:ascii="Times New Roman" w:hAnsi="Times New Roman"/>
        </w:rPr>
        <w:t>by operation of</w:t>
      </w:r>
      <w:r w:rsidR="00191DF6" w:rsidRPr="000C06D7">
        <w:rPr>
          <w:rFonts w:ascii="Times New Roman" w:hAnsi="Times New Roman"/>
        </w:rPr>
        <w:t xml:space="preserve"> </w:t>
      </w:r>
      <w:r w:rsidR="008D3849" w:rsidRPr="000C06D7">
        <w:rPr>
          <w:rFonts w:ascii="Times New Roman" w:hAnsi="Times New Roman"/>
        </w:rPr>
        <w:t xml:space="preserve">the right to negotiate </w:t>
      </w:r>
      <w:r w:rsidR="00A41934" w:rsidRPr="000C06D7">
        <w:rPr>
          <w:rFonts w:ascii="Times New Roman" w:hAnsi="Times New Roman"/>
        </w:rPr>
        <w:t>that</w:t>
      </w:r>
      <w:r w:rsidR="008D3849" w:rsidRPr="000C06D7">
        <w:rPr>
          <w:rFonts w:ascii="Times New Roman" w:hAnsi="Times New Roman"/>
        </w:rPr>
        <w:t xml:space="preserve"> s</w:t>
      </w:r>
      <w:r w:rsidR="00370B63" w:rsidRPr="000C06D7">
        <w:rPr>
          <w:rFonts w:ascii="Times New Roman" w:hAnsi="Times New Roman"/>
        </w:rPr>
        <w:t> </w:t>
      </w:r>
      <w:r w:rsidR="008D3849" w:rsidRPr="000C06D7">
        <w:rPr>
          <w:rFonts w:ascii="Times New Roman" w:hAnsi="Times New Roman"/>
        </w:rPr>
        <w:t>44S(1)</w:t>
      </w:r>
      <w:r w:rsidR="00A41934" w:rsidRPr="000C06D7">
        <w:rPr>
          <w:rFonts w:ascii="Times New Roman" w:hAnsi="Times New Roman"/>
        </w:rPr>
        <w:t xml:space="preserve"> confer</w:t>
      </w:r>
      <w:r w:rsidR="00A65BAD" w:rsidRPr="000C06D7">
        <w:rPr>
          <w:rFonts w:ascii="Times New Roman" w:hAnsi="Times New Roman"/>
        </w:rPr>
        <w:t>s</w:t>
      </w:r>
      <w:r w:rsidR="00607972" w:rsidRPr="000C06D7">
        <w:rPr>
          <w:rFonts w:ascii="Times New Roman" w:hAnsi="Times New Roman"/>
        </w:rPr>
        <w:t xml:space="preserve"> </w:t>
      </w:r>
      <w:r w:rsidR="00A41934" w:rsidRPr="000C06D7">
        <w:rPr>
          <w:rFonts w:ascii="Times New Roman" w:hAnsi="Times New Roman"/>
        </w:rPr>
        <w:t>as a consequence of declaration</w:t>
      </w:r>
      <w:r w:rsidR="008D3849" w:rsidRPr="000C06D7">
        <w:rPr>
          <w:rFonts w:ascii="Times New Roman" w:hAnsi="Times New Roman"/>
        </w:rPr>
        <w:t>.</w:t>
      </w:r>
    </w:p>
    <w:p w14:paraId="4F5A1E6F" w14:textId="489A4713" w:rsidR="00B51756" w:rsidRPr="000C06D7" w:rsidRDefault="00B51756"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F8709D" w:rsidRPr="000C06D7">
        <w:rPr>
          <w:rFonts w:ascii="Times New Roman" w:hAnsi="Times New Roman"/>
        </w:rPr>
        <w:t>Starting t</w:t>
      </w:r>
      <w:r w:rsidR="00E73054" w:rsidRPr="000C06D7">
        <w:rPr>
          <w:rFonts w:ascii="Times New Roman" w:hAnsi="Times New Roman"/>
        </w:rPr>
        <w:t>herefore</w:t>
      </w:r>
      <w:r w:rsidR="00514F04" w:rsidRPr="000C06D7">
        <w:rPr>
          <w:rFonts w:ascii="Times New Roman" w:hAnsi="Times New Roman"/>
        </w:rPr>
        <w:t xml:space="preserve"> with</w:t>
      </w:r>
      <w:r w:rsidR="006A09EA" w:rsidRPr="000C06D7">
        <w:rPr>
          <w:rFonts w:ascii="Times New Roman" w:hAnsi="Times New Roman"/>
        </w:rPr>
        <w:t xml:space="preserve"> the </w:t>
      </w:r>
      <w:r w:rsidR="009561D6" w:rsidRPr="000C06D7">
        <w:rPr>
          <w:rFonts w:ascii="Times New Roman" w:hAnsi="Times New Roman"/>
        </w:rPr>
        <w:t>definition</w:t>
      </w:r>
      <w:r w:rsidR="00280C3F" w:rsidRPr="000C06D7">
        <w:rPr>
          <w:rFonts w:ascii="Times New Roman" w:hAnsi="Times New Roman"/>
        </w:rPr>
        <w:t>s</w:t>
      </w:r>
      <w:r w:rsidR="009561D6" w:rsidRPr="000C06D7">
        <w:rPr>
          <w:rFonts w:ascii="Times New Roman" w:hAnsi="Times New Roman"/>
        </w:rPr>
        <w:t xml:space="preserve"> of </w:t>
      </w:r>
      <w:r w:rsidR="0005766D" w:rsidRPr="000C06D7">
        <w:rPr>
          <w:rFonts w:ascii="Times New Roman" w:hAnsi="Times New Roman"/>
        </w:rPr>
        <w:t xml:space="preserve">"third party" </w:t>
      </w:r>
      <w:r w:rsidR="00415088" w:rsidRPr="000C06D7">
        <w:rPr>
          <w:rFonts w:ascii="Times New Roman" w:hAnsi="Times New Roman"/>
        </w:rPr>
        <w:t xml:space="preserve">and "service" </w:t>
      </w:r>
      <w:r w:rsidR="0005766D" w:rsidRPr="000C06D7">
        <w:rPr>
          <w:rFonts w:ascii="Times New Roman" w:hAnsi="Times New Roman"/>
        </w:rPr>
        <w:t>in s</w:t>
      </w:r>
      <w:r w:rsidR="00EC27D5" w:rsidRPr="000C06D7">
        <w:rPr>
          <w:rFonts w:ascii="Times New Roman" w:hAnsi="Times New Roman"/>
        </w:rPr>
        <w:t> </w:t>
      </w:r>
      <w:r w:rsidR="0005766D" w:rsidRPr="000C06D7">
        <w:rPr>
          <w:rFonts w:ascii="Times New Roman" w:hAnsi="Times New Roman"/>
        </w:rPr>
        <w:t xml:space="preserve">44B, </w:t>
      </w:r>
      <w:r w:rsidR="003947A9" w:rsidRPr="000C06D7">
        <w:rPr>
          <w:rFonts w:ascii="Times New Roman" w:hAnsi="Times New Roman"/>
        </w:rPr>
        <w:t>two things are</w:t>
      </w:r>
      <w:r w:rsidR="0005766D" w:rsidRPr="000C06D7">
        <w:rPr>
          <w:rFonts w:ascii="Times New Roman" w:hAnsi="Times New Roman"/>
        </w:rPr>
        <w:t xml:space="preserve"> </w:t>
      </w:r>
      <w:r w:rsidR="00E73054" w:rsidRPr="000C06D7">
        <w:rPr>
          <w:rFonts w:ascii="Times New Roman" w:hAnsi="Times New Roman"/>
        </w:rPr>
        <w:t xml:space="preserve">immediately </w:t>
      </w:r>
      <w:r w:rsidR="0005766D" w:rsidRPr="000C06D7">
        <w:rPr>
          <w:rFonts w:ascii="Times New Roman" w:hAnsi="Times New Roman"/>
        </w:rPr>
        <w:t>apparent</w:t>
      </w:r>
      <w:r w:rsidR="00415088" w:rsidRPr="000C06D7">
        <w:rPr>
          <w:rFonts w:ascii="Times New Roman" w:hAnsi="Times New Roman"/>
        </w:rPr>
        <w:t>.</w:t>
      </w:r>
      <w:r w:rsidR="00194257" w:rsidRPr="000C06D7">
        <w:rPr>
          <w:rFonts w:ascii="Times New Roman" w:hAnsi="Times New Roman"/>
        </w:rPr>
        <w:t xml:space="preserve"> One is that </w:t>
      </w:r>
      <w:r w:rsidR="004B163B" w:rsidRPr="000C06D7">
        <w:rPr>
          <w:rFonts w:ascii="Times New Roman" w:hAnsi="Times New Roman"/>
        </w:rPr>
        <w:t xml:space="preserve">"access to </w:t>
      </w:r>
      <w:r w:rsidR="002639E7" w:rsidRPr="000C06D7">
        <w:rPr>
          <w:rFonts w:ascii="Times New Roman" w:hAnsi="Times New Roman"/>
        </w:rPr>
        <w:t>[</w:t>
      </w:r>
      <w:r w:rsidR="004B163B" w:rsidRPr="000C06D7">
        <w:rPr>
          <w:rFonts w:ascii="Times New Roman" w:hAnsi="Times New Roman"/>
        </w:rPr>
        <w:t>a</w:t>
      </w:r>
      <w:r w:rsidR="002639E7" w:rsidRPr="000C06D7">
        <w:rPr>
          <w:rFonts w:ascii="Times New Roman" w:hAnsi="Times New Roman"/>
        </w:rPr>
        <w:t>]</w:t>
      </w:r>
      <w:r w:rsidR="004B163B" w:rsidRPr="000C06D7">
        <w:rPr>
          <w:rFonts w:ascii="Times New Roman" w:hAnsi="Times New Roman"/>
        </w:rPr>
        <w:t xml:space="preserve"> service" </w:t>
      </w:r>
      <w:r w:rsidR="00FE4369" w:rsidRPr="000C06D7">
        <w:rPr>
          <w:rFonts w:ascii="Times New Roman" w:hAnsi="Times New Roman"/>
        </w:rPr>
        <w:t xml:space="preserve">is not the same as </w:t>
      </w:r>
      <w:r w:rsidR="00CA06C0" w:rsidRPr="000C06D7">
        <w:rPr>
          <w:rFonts w:ascii="Times New Roman" w:hAnsi="Times New Roman"/>
        </w:rPr>
        <w:t xml:space="preserve">"the use of an </w:t>
      </w:r>
      <w:r w:rsidR="004E6519" w:rsidRPr="000C06D7">
        <w:rPr>
          <w:rFonts w:ascii="Times New Roman" w:hAnsi="Times New Roman"/>
        </w:rPr>
        <w:t>infrastructure facility"</w:t>
      </w:r>
      <w:r w:rsidR="0007751E" w:rsidRPr="000C06D7">
        <w:rPr>
          <w:rFonts w:ascii="Times New Roman" w:hAnsi="Times New Roman"/>
        </w:rPr>
        <w:t xml:space="preserve">. </w:t>
      </w:r>
      <w:r w:rsidR="00F2382F" w:rsidRPr="000C06D7">
        <w:rPr>
          <w:rFonts w:ascii="Times New Roman" w:hAnsi="Times New Roman"/>
        </w:rPr>
        <w:t xml:space="preserve">The </w:t>
      </w:r>
      <w:r w:rsidR="00BF2824" w:rsidRPr="000C06D7">
        <w:rPr>
          <w:rFonts w:ascii="Times New Roman" w:hAnsi="Times New Roman"/>
        </w:rPr>
        <w:t>u</w:t>
      </w:r>
      <w:r w:rsidR="0073250E" w:rsidRPr="000C06D7">
        <w:rPr>
          <w:rFonts w:ascii="Times New Roman" w:hAnsi="Times New Roman"/>
        </w:rPr>
        <w:t>se of an infrastructure facility is a "service"</w:t>
      </w:r>
      <w:r w:rsidR="00AE4B3E" w:rsidRPr="000C06D7">
        <w:rPr>
          <w:rFonts w:ascii="Times New Roman" w:hAnsi="Times New Roman"/>
        </w:rPr>
        <w:t xml:space="preserve">. </w:t>
      </w:r>
      <w:r w:rsidR="00BF2824" w:rsidRPr="000C06D7">
        <w:rPr>
          <w:rFonts w:ascii="Times New Roman" w:hAnsi="Times New Roman"/>
        </w:rPr>
        <w:t>"</w:t>
      </w:r>
      <w:r w:rsidR="00AE4B3E" w:rsidRPr="000C06D7">
        <w:rPr>
          <w:rFonts w:ascii="Times New Roman" w:hAnsi="Times New Roman"/>
        </w:rPr>
        <w:t>Access</w:t>
      </w:r>
      <w:r w:rsidR="00BF2824" w:rsidRPr="000C06D7">
        <w:rPr>
          <w:rFonts w:ascii="Times New Roman" w:hAnsi="Times New Roman"/>
        </w:rPr>
        <w:t>"</w:t>
      </w:r>
      <w:r w:rsidR="00AE4B3E" w:rsidRPr="000C06D7">
        <w:rPr>
          <w:rFonts w:ascii="Times New Roman" w:hAnsi="Times New Roman"/>
        </w:rPr>
        <w:t xml:space="preserve"> to th</w:t>
      </w:r>
      <w:r w:rsidR="00120FE7" w:rsidRPr="000C06D7">
        <w:rPr>
          <w:rFonts w:ascii="Times New Roman" w:hAnsi="Times New Roman"/>
        </w:rPr>
        <w:t>at</w:t>
      </w:r>
      <w:r w:rsidR="00AE4B3E" w:rsidRPr="000C06D7">
        <w:rPr>
          <w:rFonts w:ascii="Times New Roman" w:hAnsi="Times New Roman"/>
        </w:rPr>
        <w:t xml:space="preserve"> service is </w:t>
      </w:r>
      <w:r w:rsidR="00BF2824" w:rsidRPr="000C06D7">
        <w:rPr>
          <w:rFonts w:ascii="Times New Roman" w:hAnsi="Times New Roman"/>
        </w:rPr>
        <w:t>not the same as</w:t>
      </w:r>
      <w:r w:rsidR="00120FE7" w:rsidRPr="000C06D7">
        <w:rPr>
          <w:rFonts w:ascii="Times New Roman" w:hAnsi="Times New Roman"/>
        </w:rPr>
        <w:t xml:space="preserve"> the service itself</w:t>
      </w:r>
      <w:r w:rsidR="00435182" w:rsidRPr="000C06D7">
        <w:rPr>
          <w:rFonts w:ascii="Times New Roman" w:hAnsi="Times New Roman"/>
        </w:rPr>
        <w:t xml:space="preserve">: it is a </w:t>
      </w:r>
      <w:r w:rsidR="00B07A21" w:rsidRPr="000C06D7">
        <w:rPr>
          <w:rFonts w:ascii="Times New Roman" w:hAnsi="Times New Roman"/>
        </w:rPr>
        <w:t xml:space="preserve">different and </w:t>
      </w:r>
      <w:r w:rsidR="00435182" w:rsidRPr="000C06D7">
        <w:rPr>
          <w:rFonts w:ascii="Times New Roman" w:hAnsi="Times New Roman"/>
        </w:rPr>
        <w:t>wider concept</w:t>
      </w:r>
      <w:r w:rsidR="00880CA8" w:rsidRPr="000C06D7">
        <w:rPr>
          <w:rFonts w:ascii="Times New Roman" w:hAnsi="Times New Roman"/>
        </w:rPr>
        <w:t xml:space="preserve">; "access" can include </w:t>
      </w:r>
      <w:r w:rsidR="00700D50" w:rsidRPr="000C06D7">
        <w:rPr>
          <w:rFonts w:ascii="Times New Roman" w:hAnsi="Times New Roman"/>
        </w:rPr>
        <w:t>"use" but "access" is not limited to "use".</w:t>
      </w:r>
      <w:r w:rsidR="00120FE7" w:rsidRPr="000C06D7">
        <w:rPr>
          <w:rFonts w:ascii="Times New Roman" w:hAnsi="Times New Roman"/>
        </w:rPr>
        <w:t xml:space="preserve"> </w:t>
      </w:r>
      <w:r w:rsidR="00966486" w:rsidRPr="000C06D7">
        <w:rPr>
          <w:rFonts w:ascii="Times New Roman" w:hAnsi="Times New Roman"/>
        </w:rPr>
        <w:t xml:space="preserve">The other is </w:t>
      </w:r>
      <w:r w:rsidR="00C955D8" w:rsidRPr="000C06D7">
        <w:rPr>
          <w:rFonts w:ascii="Times New Roman" w:hAnsi="Times New Roman"/>
        </w:rPr>
        <w:t>that, to be a "third party" in relation to the service</w:t>
      </w:r>
      <w:r w:rsidR="00906922" w:rsidRPr="000C06D7">
        <w:rPr>
          <w:rFonts w:ascii="Times New Roman" w:hAnsi="Times New Roman"/>
        </w:rPr>
        <w:t xml:space="preserve">, a person </w:t>
      </w:r>
      <w:r w:rsidR="00E82B9A" w:rsidRPr="000C06D7">
        <w:rPr>
          <w:rFonts w:ascii="Times New Roman" w:hAnsi="Times New Roman"/>
        </w:rPr>
        <w:t>need</w:t>
      </w:r>
      <w:r w:rsidR="00B15F56" w:rsidRPr="000C06D7">
        <w:rPr>
          <w:rFonts w:ascii="Times New Roman" w:hAnsi="Times New Roman"/>
        </w:rPr>
        <w:t xml:space="preserve"> be </w:t>
      </w:r>
      <w:r w:rsidR="007F72FD" w:rsidRPr="000C06D7">
        <w:rPr>
          <w:rFonts w:ascii="Times New Roman" w:hAnsi="Times New Roman"/>
        </w:rPr>
        <w:t>no more than</w:t>
      </w:r>
      <w:r w:rsidR="00E82B9A" w:rsidRPr="000C06D7">
        <w:rPr>
          <w:rFonts w:ascii="Times New Roman" w:hAnsi="Times New Roman"/>
        </w:rPr>
        <w:t xml:space="preserve"> </w:t>
      </w:r>
      <w:r w:rsidR="00B15F56" w:rsidRPr="000C06D7">
        <w:rPr>
          <w:rFonts w:ascii="Times New Roman" w:hAnsi="Times New Roman"/>
        </w:rPr>
        <w:t>a person who</w:t>
      </w:r>
      <w:r w:rsidR="00E82B9A" w:rsidRPr="000C06D7">
        <w:rPr>
          <w:rFonts w:ascii="Times New Roman" w:hAnsi="Times New Roman"/>
        </w:rPr>
        <w:t xml:space="preserve"> "want</w:t>
      </w:r>
      <w:r w:rsidR="00B15F56" w:rsidRPr="000C06D7">
        <w:rPr>
          <w:rFonts w:ascii="Times New Roman" w:hAnsi="Times New Roman"/>
        </w:rPr>
        <w:t>s</w:t>
      </w:r>
      <w:r w:rsidR="00E82B9A" w:rsidRPr="000C06D7">
        <w:rPr>
          <w:rFonts w:ascii="Times New Roman" w:hAnsi="Times New Roman"/>
        </w:rPr>
        <w:t xml:space="preserve"> access to the service".</w:t>
      </w:r>
    </w:p>
    <w:p w14:paraId="54DC9E77" w14:textId="0F12237D" w:rsidR="008B3E95" w:rsidRPr="000C06D7" w:rsidRDefault="00F71A12"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F8709D" w:rsidRPr="000C06D7">
        <w:rPr>
          <w:rFonts w:ascii="Times New Roman" w:hAnsi="Times New Roman"/>
        </w:rPr>
        <w:t>M</w:t>
      </w:r>
      <w:r w:rsidR="00A83AE2" w:rsidRPr="000C06D7">
        <w:rPr>
          <w:rFonts w:ascii="Times New Roman" w:hAnsi="Times New Roman"/>
        </w:rPr>
        <w:t xml:space="preserve">oving </w:t>
      </w:r>
      <w:r w:rsidR="00F8709D" w:rsidRPr="000C06D7">
        <w:rPr>
          <w:rFonts w:ascii="Times New Roman" w:hAnsi="Times New Roman"/>
        </w:rPr>
        <w:t xml:space="preserve">next </w:t>
      </w:r>
      <w:r w:rsidRPr="000C06D7">
        <w:rPr>
          <w:rFonts w:ascii="Times New Roman" w:hAnsi="Times New Roman"/>
        </w:rPr>
        <w:t xml:space="preserve">to the </w:t>
      </w:r>
      <w:r w:rsidR="00D446E3" w:rsidRPr="000C06D7">
        <w:rPr>
          <w:rFonts w:ascii="Times New Roman" w:hAnsi="Times New Roman"/>
        </w:rPr>
        <w:t xml:space="preserve">incidents of the </w:t>
      </w:r>
      <w:r w:rsidRPr="000C06D7">
        <w:rPr>
          <w:rFonts w:ascii="Times New Roman" w:hAnsi="Times New Roman"/>
        </w:rPr>
        <w:t>right to negotiate that s</w:t>
      </w:r>
      <w:r w:rsidR="00960C37" w:rsidRPr="000C06D7">
        <w:rPr>
          <w:rFonts w:ascii="Times New Roman" w:hAnsi="Times New Roman"/>
        </w:rPr>
        <w:t> </w:t>
      </w:r>
      <w:r w:rsidRPr="000C06D7">
        <w:rPr>
          <w:rFonts w:ascii="Times New Roman" w:hAnsi="Times New Roman"/>
        </w:rPr>
        <w:t xml:space="preserve">44S(1) confers on a </w:t>
      </w:r>
      <w:r w:rsidR="00590ACC" w:rsidRPr="000C06D7">
        <w:rPr>
          <w:rFonts w:ascii="Times New Roman" w:hAnsi="Times New Roman"/>
        </w:rPr>
        <w:t>person who</w:t>
      </w:r>
      <w:r w:rsidR="00426CBB" w:rsidRPr="000C06D7">
        <w:rPr>
          <w:rFonts w:ascii="Times New Roman" w:hAnsi="Times New Roman"/>
        </w:rPr>
        <w:t xml:space="preserve"> want</w:t>
      </w:r>
      <w:r w:rsidR="00590ACC" w:rsidRPr="000C06D7">
        <w:rPr>
          <w:rFonts w:ascii="Times New Roman" w:hAnsi="Times New Roman"/>
        </w:rPr>
        <w:t>s</w:t>
      </w:r>
      <w:r w:rsidR="00426CBB" w:rsidRPr="000C06D7">
        <w:rPr>
          <w:rFonts w:ascii="Times New Roman" w:hAnsi="Times New Roman"/>
        </w:rPr>
        <w:t xml:space="preserve"> </w:t>
      </w:r>
      <w:r w:rsidR="00A92624" w:rsidRPr="000C06D7">
        <w:rPr>
          <w:rFonts w:ascii="Times New Roman" w:hAnsi="Times New Roman"/>
        </w:rPr>
        <w:t>"</w:t>
      </w:r>
      <w:r w:rsidR="00426CBB" w:rsidRPr="000C06D7">
        <w:rPr>
          <w:rFonts w:ascii="Times New Roman" w:hAnsi="Times New Roman"/>
        </w:rPr>
        <w:t>access</w:t>
      </w:r>
      <w:r w:rsidR="00F578A2" w:rsidRPr="000C06D7">
        <w:rPr>
          <w:rFonts w:ascii="Times New Roman" w:hAnsi="Times New Roman"/>
        </w:rPr>
        <w:t>"</w:t>
      </w:r>
      <w:r w:rsidR="00426CBB" w:rsidRPr="000C06D7">
        <w:rPr>
          <w:rFonts w:ascii="Times New Roman" w:hAnsi="Times New Roman"/>
        </w:rPr>
        <w:t xml:space="preserve"> to </w:t>
      </w:r>
      <w:r w:rsidR="008D7451" w:rsidRPr="000C06D7">
        <w:rPr>
          <w:rFonts w:ascii="Times New Roman" w:hAnsi="Times New Roman"/>
        </w:rPr>
        <w:t>a</w:t>
      </w:r>
      <w:r w:rsidR="00426CBB" w:rsidRPr="000C06D7">
        <w:rPr>
          <w:rFonts w:ascii="Times New Roman" w:hAnsi="Times New Roman"/>
        </w:rPr>
        <w:t xml:space="preserve"> </w:t>
      </w:r>
      <w:r w:rsidR="00A92624" w:rsidRPr="000C06D7">
        <w:rPr>
          <w:rFonts w:ascii="Times New Roman" w:hAnsi="Times New Roman"/>
        </w:rPr>
        <w:t xml:space="preserve">declared </w:t>
      </w:r>
      <w:r w:rsidR="00426CBB" w:rsidRPr="000C06D7">
        <w:rPr>
          <w:rFonts w:ascii="Times New Roman" w:hAnsi="Times New Roman"/>
        </w:rPr>
        <w:t>service</w:t>
      </w:r>
      <w:r w:rsidR="008D7451" w:rsidRPr="000C06D7">
        <w:rPr>
          <w:rFonts w:ascii="Times New Roman" w:hAnsi="Times New Roman"/>
        </w:rPr>
        <w:t xml:space="preserve">, </w:t>
      </w:r>
      <w:r w:rsidR="00D54C18" w:rsidRPr="000C06D7">
        <w:rPr>
          <w:rFonts w:ascii="Times New Roman" w:hAnsi="Times New Roman"/>
        </w:rPr>
        <w:t xml:space="preserve">it </w:t>
      </w:r>
      <w:r w:rsidR="00F578A2" w:rsidRPr="000C06D7">
        <w:rPr>
          <w:rFonts w:ascii="Times New Roman" w:hAnsi="Times New Roman"/>
        </w:rPr>
        <w:t xml:space="preserve">is apparent that the </w:t>
      </w:r>
      <w:r w:rsidR="00942506" w:rsidRPr="000C06D7">
        <w:rPr>
          <w:rFonts w:ascii="Times New Roman" w:hAnsi="Times New Roman"/>
        </w:rPr>
        <w:t>content</w:t>
      </w:r>
      <w:r w:rsidR="00F578A2" w:rsidRPr="000C06D7">
        <w:rPr>
          <w:rFonts w:ascii="Times New Roman" w:hAnsi="Times New Roman"/>
        </w:rPr>
        <w:t xml:space="preserve"> of </w:t>
      </w:r>
      <w:r w:rsidR="00042C06" w:rsidRPr="000C06D7">
        <w:rPr>
          <w:rFonts w:ascii="Times New Roman" w:hAnsi="Times New Roman"/>
        </w:rPr>
        <w:t xml:space="preserve">whatever </w:t>
      </w:r>
      <w:r w:rsidR="00F578A2" w:rsidRPr="000C06D7">
        <w:rPr>
          <w:rFonts w:ascii="Times New Roman" w:hAnsi="Times New Roman"/>
        </w:rPr>
        <w:t xml:space="preserve">"access" </w:t>
      </w:r>
      <w:r w:rsidR="00AA33C0" w:rsidRPr="000C06D7">
        <w:rPr>
          <w:rFonts w:ascii="Times New Roman" w:hAnsi="Times New Roman"/>
        </w:rPr>
        <w:t xml:space="preserve">to a service comprising the use of an infrastructure facility </w:t>
      </w:r>
      <w:r w:rsidR="00C41AE5" w:rsidRPr="000C06D7">
        <w:rPr>
          <w:rFonts w:ascii="Times New Roman" w:hAnsi="Times New Roman"/>
        </w:rPr>
        <w:t xml:space="preserve">that might be obtained </w:t>
      </w:r>
      <w:r w:rsidR="008422DB" w:rsidRPr="000C06D7">
        <w:rPr>
          <w:rFonts w:ascii="Times New Roman" w:hAnsi="Times New Roman"/>
        </w:rPr>
        <w:t xml:space="preserve">through the exercise of the right to negotiate </w:t>
      </w:r>
      <w:r w:rsidR="00C41AE5" w:rsidRPr="000C06D7">
        <w:rPr>
          <w:rFonts w:ascii="Times New Roman" w:hAnsi="Times New Roman"/>
        </w:rPr>
        <w:t xml:space="preserve">is </w:t>
      </w:r>
      <w:r w:rsidR="00435AF0" w:rsidRPr="000C06D7">
        <w:rPr>
          <w:rFonts w:ascii="Times New Roman" w:hAnsi="Times New Roman"/>
        </w:rPr>
        <w:t>circumscribed</w:t>
      </w:r>
      <w:r w:rsidR="00AA7004" w:rsidRPr="000C06D7">
        <w:rPr>
          <w:rFonts w:ascii="Times New Roman" w:hAnsi="Times New Roman"/>
        </w:rPr>
        <w:t xml:space="preserve"> by the nature of the right</w:t>
      </w:r>
      <w:r w:rsidR="008422DB" w:rsidRPr="000C06D7">
        <w:rPr>
          <w:rFonts w:ascii="Times New Roman" w:hAnsi="Times New Roman"/>
        </w:rPr>
        <w:t xml:space="preserve">. </w:t>
      </w:r>
      <w:r w:rsidR="00E747F3" w:rsidRPr="000C06D7">
        <w:rPr>
          <w:rFonts w:ascii="Times New Roman" w:hAnsi="Times New Roman"/>
        </w:rPr>
        <w:t xml:space="preserve">The </w:t>
      </w:r>
      <w:r w:rsidR="004F52EC" w:rsidRPr="000C06D7">
        <w:rPr>
          <w:rFonts w:ascii="Times New Roman" w:hAnsi="Times New Roman"/>
        </w:rPr>
        <w:t xml:space="preserve">outcome of the exercise of the </w:t>
      </w:r>
      <w:r w:rsidR="00E747F3" w:rsidRPr="000C06D7">
        <w:rPr>
          <w:rFonts w:ascii="Times New Roman" w:hAnsi="Times New Roman"/>
        </w:rPr>
        <w:t xml:space="preserve">right to negotiate is </w:t>
      </w:r>
      <w:r w:rsidR="004F52EC" w:rsidRPr="000C06D7">
        <w:rPr>
          <w:rFonts w:ascii="Times New Roman" w:hAnsi="Times New Roman"/>
        </w:rPr>
        <w:t xml:space="preserve">limited </w:t>
      </w:r>
      <w:r w:rsidR="008422DB" w:rsidRPr="000C06D7">
        <w:rPr>
          <w:rFonts w:ascii="Times New Roman" w:hAnsi="Times New Roman"/>
        </w:rPr>
        <w:t>in the first</w:t>
      </w:r>
      <w:r w:rsidR="00F901D1" w:rsidRPr="000C06D7">
        <w:rPr>
          <w:rFonts w:ascii="Times New Roman" w:hAnsi="Times New Roman"/>
        </w:rPr>
        <w:t xml:space="preserve"> instance </w:t>
      </w:r>
      <w:r w:rsidR="004F52EC" w:rsidRPr="000C06D7">
        <w:rPr>
          <w:rFonts w:ascii="Times New Roman" w:hAnsi="Times New Roman"/>
        </w:rPr>
        <w:t>to</w:t>
      </w:r>
      <w:r w:rsidR="00F901D1" w:rsidRPr="000C06D7">
        <w:rPr>
          <w:rFonts w:ascii="Times New Roman" w:hAnsi="Times New Roman"/>
        </w:rPr>
        <w:t xml:space="preserve"> </w:t>
      </w:r>
      <w:r w:rsidR="002371B2" w:rsidRPr="000C06D7">
        <w:rPr>
          <w:rFonts w:ascii="Times New Roman" w:hAnsi="Times New Roman"/>
        </w:rPr>
        <w:t xml:space="preserve">what might be </w:t>
      </w:r>
      <w:r w:rsidR="009B1518" w:rsidRPr="000C06D7">
        <w:rPr>
          <w:rFonts w:ascii="Times New Roman" w:hAnsi="Times New Roman"/>
        </w:rPr>
        <w:t xml:space="preserve">determined </w:t>
      </w:r>
      <w:r w:rsidR="002371B2" w:rsidRPr="000C06D7">
        <w:rPr>
          <w:rFonts w:ascii="Times New Roman" w:hAnsi="Times New Roman"/>
        </w:rPr>
        <w:t xml:space="preserve">by agreement </w:t>
      </w:r>
      <w:r w:rsidR="00D5746A" w:rsidRPr="000C06D7">
        <w:rPr>
          <w:rFonts w:ascii="Times New Roman" w:hAnsi="Times New Roman"/>
        </w:rPr>
        <w:t xml:space="preserve">between </w:t>
      </w:r>
      <w:r w:rsidR="00A84C2E" w:rsidRPr="000C06D7">
        <w:rPr>
          <w:rFonts w:ascii="Times New Roman" w:hAnsi="Times New Roman"/>
        </w:rPr>
        <w:t xml:space="preserve">the </w:t>
      </w:r>
      <w:r w:rsidR="006103D2" w:rsidRPr="000C06D7">
        <w:rPr>
          <w:rFonts w:ascii="Times New Roman" w:hAnsi="Times New Roman"/>
        </w:rPr>
        <w:t>person</w:t>
      </w:r>
      <w:r w:rsidR="00A84C2E" w:rsidRPr="000C06D7">
        <w:rPr>
          <w:rFonts w:ascii="Times New Roman" w:hAnsi="Times New Roman"/>
        </w:rPr>
        <w:t xml:space="preserve"> and</w:t>
      </w:r>
      <w:r w:rsidR="0023472F" w:rsidRPr="000C06D7">
        <w:rPr>
          <w:rFonts w:ascii="Times New Roman" w:hAnsi="Times New Roman"/>
        </w:rPr>
        <w:t xml:space="preserve"> the </w:t>
      </w:r>
      <w:r w:rsidR="00D5746A" w:rsidRPr="000C06D7">
        <w:rPr>
          <w:rFonts w:ascii="Times New Roman" w:hAnsi="Times New Roman"/>
        </w:rPr>
        <w:t>owner or operator of the facility</w:t>
      </w:r>
      <w:r w:rsidR="00F901D1" w:rsidRPr="000C06D7">
        <w:rPr>
          <w:rFonts w:ascii="Times New Roman" w:hAnsi="Times New Roman"/>
        </w:rPr>
        <w:t>. I</w:t>
      </w:r>
      <w:r w:rsidR="00D5746A" w:rsidRPr="000C06D7">
        <w:rPr>
          <w:rFonts w:ascii="Times New Roman" w:hAnsi="Times New Roman"/>
        </w:rPr>
        <w:t xml:space="preserve">n default </w:t>
      </w:r>
      <w:r w:rsidR="00D5746A" w:rsidRPr="000C06D7">
        <w:rPr>
          <w:rFonts w:ascii="Times New Roman" w:hAnsi="Times New Roman"/>
        </w:rPr>
        <w:lastRenderedPageBreak/>
        <w:t xml:space="preserve">of agreement, </w:t>
      </w:r>
      <w:r w:rsidR="003B62CA" w:rsidRPr="000C06D7">
        <w:rPr>
          <w:rFonts w:ascii="Times New Roman" w:hAnsi="Times New Roman"/>
        </w:rPr>
        <w:t xml:space="preserve">the outcome of the exercise of the </w:t>
      </w:r>
      <w:r w:rsidR="00FA5C29" w:rsidRPr="000C06D7">
        <w:rPr>
          <w:rFonts w:ascii="Times New Roman" w:hAnsi="Times New Roman"/>
        </w:rPr>
        <w:t>right is limited to</w:t>
      </w:r>
      <w:r w:rsidR="00A84C2E" w:rsidRPr="000C06D7">
        <w:rPr>
          <w:rFonts w:ascii="Times New Roman" w:hAnsi="Times New Roman"/>
        </w:rPr>
        <w:t xml:space="preserve"> what might be determined in an arbitration </w:t>
      </w:r>
      <w:r w:rsidR="00971224" w:rsidRPr="000C06D7">
        <w:rPr>
          <w:rFonts w:ascii="Times New Roman" w:hAnsi="Times New Roman"/>
        </w:rPr>
        <w:t xml:space="preserve">to which the </w:t>
      </w:r>
      <w:r w:rsidR="00EE7942" w:rsidRPr="000C06D7">
        <w:rPr>
          <w:rFonts w:ascii="Times New Roman" w:hAnsi="Times New Roman"/>
        </w:rPr>
        <w:t>person</w:t>
      </w:r>
      <w:r w:rsidR="00971224" w:rsidRPr="000C06D7">
        <w:rPr>
          <w:rFonts w:ascii="Times New Roman" w:hAnsi="Times New Roman"/>
        </w:rPr>
        <w:t xml:space="preserve"> and the </w:t>
      </w:r>
      <w:r w:rsidR="00DA687A" w:rsidRPr="000C06D7">
        <w:rPr>
          <w:rFonts w:ascii="Times New Roman" w:hAnsi="Times New Roman"/>
        </w:rPr>
        <w:t xml:space="preserve">owner or operator </w:t>
      </w:r>
      <w:r w:rsidR="00971224" w:rsidRPr="000C06D7">
        <w:rPr>
          <w:rFonts w:ascii="Times New Roman" w:hAnsi="Times New Roman"/>
        </w:rPr>
        <w:t xml:space="preserve">are parties. </w:t>
      </w:r>
    </w:p>
    <w:p w14:paraId="2CAF7053" w14:textId="1E8A08A6" w:rsidR="00647A25" w:rsidRPr="000C06D7" w:rsidRDefault="008B3E95"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03424B" w:rsidRPr="000C06D7">
        <w:rPr>
          <w:rFonts w:ascii="Times New Roman" w:hAnsi="Times New Roman"/>
        </w:rPr>
        <w:t xml:space="preserve">Of course, some other interested </w:t>
      </w:r>
      <w:r w:rsidR="00BE2AD6" w:rsidRPr="000C06D7">
        <w:rPr>
          <w:rFonts w:ascii="Times New Roman" w:hAnsi="Times New Roman"/>
        </w:rPr>
        <w:t>p</w:t>
      </w:r>
      <w:r w:rsidR="004C65BC" w:rsidRPr="000C06D7">
        <w:rPr>
          <w:rFonts w:ascii="Times New Roman" w:hAnsi="Times New Roman"/>
        </w:rPr>
        <w:t>erson</w:t>
      </w:r>
      <w:r w:rsidR="00BE2AD6" w:rsidRPr="000C06D7">
        <w:rPr>
          <w:rFonts w:ascii="Times New Roman" w:hAnsi="Times New Roman"/>
        </w:rPr>
        <w:t xml:space="preserve"> </w:t>
      </w:r>
      <w:r w:rsidR="003743F5" w:rsidRPr="000C06D7">
        <w:rPr>
          <w:rFonts w:ascii="Times New Roman" w:hAnsi="Times New Roman"/>
        </w:rPr>
        <w:t xml:space="preserve">might </w:t>
      </w:r>
      <w:r w:rsidR="0003424B" w:rsidRPr="000C06D7">
        <w:rPr>
          <w:rFonts w:ascii="Times New Roman" w:hAnsi="Times New Roman"/>
        </w:rPr>
        <w:t xml:space="preserve">volunteer </w:t>
      </w:r>
      <w:r w:rsidR="00761283" w:rsidRPr="000C06D7">
        <w:rPr>
          <w:rFonts w:ascii="Times New Roman" w:hAnsi="Times New Roman"/>
        </w:rPr>
        <w:t xml:space="preserve">to </w:t>
      </w:r>
      <w:r w:rsidR="00BE2AD6" w:rsidRPr="000C06D7">
        <w:rPr>
          <w:rFonts w:ascii="Times New Roman" w:hAnsi="Times New Roman"/>
        </w:rPr>
        <w:t xml:space="preserve">join </w:t>
      </w:r>
      <w:r w:rsidR="0003424B" w:rsidRPr="000C06D7">
        <w:rPr>
          <w:rFonts w:ascii="Times New Roman" w:hAnsi="Times New Roman"/>
        </w:rPr>
        <w:t xml:space="preserve">a </w:t>
      </w:r>
      <w:r w:rsidR="00B93FF1" w:rsidRPr="000C06D7">
        <w:rPr>
          <w:rFonts w:ascii="Times New Roman" w:hAnsi="Times New Roman"/>
        </w:rPr>
        <w:t>negotiation</w:t>
      </w:r>
      <w:r w:rsidR="00761283" w:rsidRPr="000C06D7">
        <w:rPr>
          <w:rFonts w:ascii="Times New Roman" w:hAnsi="Times New Roman"/>
        </w:rPr>
        <w:t xml:space="preserve">, </w:t>
      </w:r>
      <w:r w:rsidR="00831FBC" w:rsidRPr="000C06D7">
        <w:rPr>
          <w:rFonts w:ascii="Times New Roman" w:hAnsi="Times New Roman"/>
        </w:rPr>
        <w:t xml:space="preserve">so as to become </w:t>
      </w:r>
      <w:r w:rsidR="001E6D69" w:rsidRPr="000C06D7">
        <w:rPr>
          <w:rFonts w:ascii="Times New Roman" w:hAnsi="Times New Roman"/>
        </w:rPr>
        <w:t xml:space="preserve">a </w:t>
      </w:r>
      <w:r w:rsidR="00831FBC" w:rsidRPr="000C06D7">
        <w:rPr>
          <w:rFonts w:ascii="Times New Roman" w:hAnsi="Times New Roman"/>
        </w:rPr>
        <w:t>party to an agreement</w:t>
      </w:r>
      <w:r w:rsidR="0003424B" w:rsidRPr="000C06D7">
        <w:rPr>
          <w:rFonts w:ascii="Times New Roman" w:hAnsi="Times New Roman"/>
        </w:rPr>
        <w:t>.</w:t>
      </w:r>
      <w:r w:rsidR="00761283" w:rsidRPr="000C06D7">
        <w:rPr>
          <w:rFonts w:ascii="Times New Roman" w:hAnsi="Times New Roman"/>
        </w:rPr>
        <w:t xml:space="preserve"> </w:t>
      </w:r>
      <w:r w:rsidR="0003424B" w:rsidRPr="000C06D7">
        <w:rPr>
          <w:rFonts w:ascii="Times New Roman" w:hAnsi="Times New Roman"/>
        </w:rPr>
        <w:t xml:space="preserve">Or some other interested person </w:t>
      </w:r>
      <w:r w:rsidR="00E97311" w:rsidRPr="000C06D7">
        <w:rPr>
          <w:rFonts w:ascii="Times New Roman" w:hAnsi="Times New Roman"/>
        </w:rPr>
        <w:t xml:space="preserve">might choose </w:t>
      </w:r>
      <w:r w:rsidR="001E6D69" w:rsidRPr="000C06D7">
        <w:rPr>
          <w:rFonts w:ascii="Times New Roman" w:hAnsi="Times New Roman"/>
        </w:rPr>
        <w:t xml:space="preserve">to </w:t>
      </w:r>
      <w:r w:rsidR="0003424B" w:rsidRPr="000C06D7">
        <w:rPr>
          <w:rFonts w:ascii="Times New Roman" w:hAnsi="Times New Roman"/>
        </w:rPr>
        <w:t xml:space="preserve">apply to </w:t>
      </w:r>
      <w:r w:rsidR="001E6D69" w:rsidRPr="000C06D7">
        <w:rPr>
          <w:rFonts w:ascii="Times New Roman" w:hAnsi="Times New Roman"/>
        </w:rPr>
        <w:t xml:space="preserve">become a party to an </w:t>
      </w:r>
      <w:r w:rsidR="004C65BC" w:rsidRPr="000C06D7">
        <w:rPr>
          <w:rFonts w:ascii="Times New Roman" w:hAnsi="Times New Roman"/>
        </w:rPr>
        <w:t>arbitration</w:t>
      </w:r>
      <w:r w:rsidR="00E97311" w:rsidRPr="000C06D7">
        <w:rPr>
          <w:rFonts w:ascii="Times New Roman" w:hAnsi="Times New Roman"/>
        </w:rPr>
        <w:t xml:space="preserve">, so </w:t>
      </w:r>
      <w:r w:rsidR="00761283" w:rsidRPr="000C06D7">
        <w:rPr>
          <w:rFonts w:ascii="Times New Roman" w:hAnsi="Times New Roman"/>
        </w:rPr>
        <w:t>as to</w:t>
      </w:r>
      <w:r w:rsidR="00107A92" w:rsidRPr="000C06D7">
        <w:rPr>
          <w:rFonts w:ascii="Times New Roman" w:hAnsi="Times New Roman"/>
        </w:rPr>
        <w:t xml:space="preserve"> </w:t>
      </w:r>
      <w:r w:rsidR="0003424B" w:rsidRPr="000C06D7">
        <w:rPr>
          <w:rFonts w:ascii="Times New Roman" w:hAnsi="Times New Roman"/>
        </w:rPr>
        <w:t xml:space="preserve">become </w:t>
      </w:r>
      <w:r w:rsidR="00E97311" w:rsidRPr="000C06D7">
        <w:rPr>
          <w:rFonts w:ascii="Times New Roman" w:hAnsi="Times New Roman"/>
        </w:rPr>
        <w:t xml:space="preserve">bound by </w:t>
      </w:r>
      <w:r w:rsidR="0003424B" w:rsidRPr="000C06D7">
        <w:rPr>
          <w:rFonts w:ascii="Times New Roman" w:hAnsi="Times New Roman"/>
        </w:rPr>
        <w:t xml:space="preserve">its final </w:t>
      </w:r>
      <w:r w:rsidR="00722486" w:rsidRPr="000C06D7">
        <w:rPr>
          <w:rFonts w:ascii="Times New Roman" w:hAnsi="Times New Roman"/>
        </w:rPr>
        <w:t>determination</w:t>
      </w:r>
      <w:r w:rsidR="00433277" w:rsidRPr="000C06D7">
        <w:rPr>
          <w:rFonts w:ascii="Times New Roman" w:hAnsi="Times New Roman"/>
        </w:rPr>
        <w:t>.</w:t>
      </w:r>
      <w:r w:rsidR="00B93FF1" w:rsidRPr="000C06D7">
        <w:rPr>
          <w:rFonts w:ascii="Times New Roman" w:hAnsi="Times New Roman"/>
        </w:rPr>
        <w:t xml:space="preserve"> </w:t>
      </w:r>
      <w:r w:rsidR="001C7E6E" w:rsidRPr="000C06D7">
        <w:rPr>
          <w:rFonts w:ascii="Times New Roman" w:hAnsi="Times New Roman"/>
        </w:rPr>
        <w:t>Otherwise</w:t>
      </w:r>
      <w:r w:rsidR="009C3936" w:rsidRPr="000C06D7">
        <w:rPr>
          <w:rFonts w:ascii="Times New Roman" w:hAnsi="Times New Roman"/>
        </w:rPr>
        <w:t xml:space="preserve">, </w:t>
      </w:r>
      <w:r w:rsidR="007F0676" w:rsidRPr="000C06D7">
        <w:rPr>
          <w:rFonts w:ascii="Times New Roman" w:hAnsi="Times New Roman"/>
        </w:rPr>
        <w:t>the most that c</w:t>
      </w:r>
      <w:r w:rsidR="0067140D" w:rsidRPr="000C06D7">
        <w:rPr>
          <w:rFonts w:ascii="Times New Roman" w:hAnsi="Times New Roman"/>
        </w:rPr>
        <w:t>an</w:t>
      </w:r>
      <w:r w:rsidR="00BE5F3F" w:rsidRPr="000C06D7">
        <w:rPr>
          <w:rFonts w:ascii="Times New Roman" w:hAnsi="Times New Roman"/>
        </w:rPr>
        <w:t xml:space="preserve"> </w:t>
      </w:r>
      <w:r w:rsidR="0067140D" w:rsidRPr="000C06D7">
        <w:rPr>
          <w:rFonts w:ascii="Times New Roman" w:hAnsi="Times New Roman"/>
        </w:rPr>
        <w:t xml:space="preserve">come out of the exercise </w:t>
      </w:r>
      <w:r w:rsidR="0062029F" w:rsidRPr="000C06D7">
        <w:rPr>
          <w:rFonts w:ascii="Times New Roman" w:hAnsi="Times New Roman"/>
        </w:rPr>
        <w:t xml:space="preserve">of the right to negotiate </w:t>
      </w:r>
      <w:r w:rsidR="00735289" w:rsidRPr="000C06D7">
        <w:rPr>
          <w:rFonts w:ascii="Times New Roman" w:hAnsi="Times New Roman"/>
        </w:rPr>
        <w:t>in relation to a declared service</w:t>
      </w:r>
      <w:r w:rsidR="00BE5F3F" w:rsidRPr="000C06D7">
        <w:rPr>
          <w:rFonts w:ascii="Times New Roman" w:hAnsi="Times New Roman"/>
        </w:rPr>
        <w:t xml:space="preserve"> </w:t>
      </w:r>
      <w:r w:rsidR="001C7E6E" w:rsidRPr="000C06D7">
        <w:rPr>
          <w:rFonts w:ascii="Times New Roman" w:hAnsi="Times New Roman"/>
        </w:rPr>
        <w:t xml:space="preserve">is a set of </w:t>
      </w:r>
      <w:r w:rsidR="00F96151" w:rsidRPr="000C06D7">
        <w:rPr>
          <w:rFonts w:ascii="Times New Roman" w:hAnsi="Times New Roman"/>
        </w:rPr>
        <w:t>bilateral obligations</w:t>
      </w:r>
      <w:r w:rsidR="001D363F" w:rsidRPr="000C06D7">
        <w:rPr>
          <w:rFonts w:ascii="Times New Roman" w:hAnsi="Times New Roman"/>
        </w:rPr>
        <w:t>,</w:t>
      </w:r>
      <w:r w:rsidR="00EA7D9D" w:rsidRPr="000C06D7">
        <w:rPr>
          <w:rFonts w:ascii="Times New Roman" w:hAnsi="Times New Roman"/>
        </w:rPr>
        <w:t xml:space="preserve"> </w:t>
      </w:r>
      <w:r w:rsidR="001C7E6E" w:rsidRPr="000C06D7">
        <w:rPr>
          <w:rFonts w:ascii="Times New Roman" w:hAnsi="Times New Roman"/>
        </w:rPr>
        <w:t xml:space="preserve">arrived at </w:t>
      </w:r>
      <w:r w:rsidR="00EF51D2" w:rsidRPr="000C06D7">
        <w:rPr>
          <w:rFonts w:ascii="Times New Roman" w:hAnsi="Times New Roman"/>
        </w:rPr>
        <w:t xml:space="preserve">by </w:t>
      </w:r>
      <w:r w:rsidR="00437034" w:rsidRPr="000C06D7">
        <w:rPr>
          <w:rFonts w:ascii="Times New Roman" w:hAnsi="Times New Roman"/>
        </w:rPr>
        <w:t>agreement or determination</w:t>
      </w:r>
      <w:r w:rsidR="001C7E6E" w:rsidRPr="000C06D7">
        <w:rPr>
          <w:rFonts w:ascii="Times New Roman" w:hAnsi="Times New Roman"/>
        </w:rPr>
        <w:t xml:space="preserve"> by arbitration of disagreement</w:t>
      </w:r>
      <w:r w:rsidR="00EA7D9D" w:rsidRPr="000C06D7">
        <w:rPr>
          <w:rFonts w:ascii="Times New Roman" w:hAnsi="Times New Roman"/>
        </w:rPr>
        <w:t xml:space="preserve">, between </w:t>
      </w:r>
      <w:r w:rsidR="0034163B" w:rsidRPr="000C06D7">
        <w:rPr>
          <w:rFonts w:ascii="Times New Roman" w:hAnsi="Times New Roman"/>
        </w:rPr>
        <w:t>a person who wants "access"</w:t>
      </w:r>
      <w:r w:rsidR="00957997" w:rsidRPr="000C06D7">
        <w:rPr>
          <w:rFonts w:ascii="Times New Roman" w:hAnsi="Times New Roman"/>
        </w:rPr>
        <w:t xml:space="preserve"> to the use of </w:t>
      </w:r>
      <w:r w:rsidR="001C7E6E" w:rsidRPr="000C06D7">
        <w:rPr>
          <w:rFonts w:ascii="Times New Roman" w:hAnsi="Times New Roman"/>
        </w:rPr>
        <w:t xml:space="preserve">the </w:t>
      </w:r>
      <w:r w:rsidR="00957997" w:rsidRPr="000C06D7">
        <w:rPr>
          <w:rFonts w:ascii="Times New Roman" w:hAnsi="Times New Roman"/>
        </w:rPr>
        <w:t>facility</w:t>
      </w:r>
      <w:r w:rsidR="00EA7D9D" w:rsidRPr="000C06D7">
        <w:rPr>
          <w:rFonts w:ascii="Times New Roman" w:hAnsi="Times New Roman"/>
        </w:rPr>
        <w:t xml:space="preserve"> </w:t>
      </w:r>
      <w:r w:rsidR="00957997" w:rsidRPr="000C06D7">
        <w:rPr>
          <w:rFonts w:ascii="Times New Roman" w:hAnsi="Times New Roman"/>
        </w:rPr>
        <w:t>and the owner or operator of th</w:t>
      </w:r>
      <w:r w:rsidR="001C7E6E" w:rsidRPr="000C06D7">
        <w:rPr>
          <w:rFonts w:ascii="Times New Roman" w:hAnsi="Times New Roman"/>
        </w:rPr>
        <w:t>at</w:t>
      </w:r>
      <w:r w:rsidR="00957997" w:rsidRPr="000C06D7">
        <w:rPr>
          <w:rFonts w:ascii="Times New Roman" w:hAnsi="Times New Roman"/>
        </w:rPr>
        <w:t xml:space="preserve"> facility</w:t>
      </w:r>
      <w:r w:rsidR="001C7E6E" w:rsidRPr="000C06D7">
        <w:rPr>
          <w:rFonts w:ascii="Times New Roman" w:hAnsi="Times New Roman"/>
        </w:rPr>
        <w:t>.</w:t>
      </w:r>
    </w:p>
    <w:p w14:paraId="28B7D3EE" w14:textId="3B637086" w:rsidR="00F71A12" w:rsidRPr="000C06D7" w:rsidRDefault="00647A25"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841CBC" w:rsidRPr="000C06D7">
        <w:rPr>
          <w:rFonts w:ascii="Times New Roman" w:hAnsi="Times New Roman"/>
        </w:rPr>
        <w:t xml:space="preserve">Nothing </w:t>
      </w:r>
      <w:r w:rsidR="00EE5F1A" w:rsidRPr="000C06D7">
        <w:rPr>
          <w:rFonts w:ascii="Times New Roman" w:hAnsi="Times New Roman"/>
        </w:rPr>
        <w:t xml:space="preserve">in </w:t>
      </w:r>
      <w:proofErr w:type="spellStart"/>
      <w:r w:rsidR="00EE5F1A" w:rsidRPr="000C06D7">
        <w:rPr>
          <w:rFonts w:ascii="Times New Roman" w:hAnsi="Times New Roman"/>
        </w:rPr>
        <w:t>Div</w:t>
      </w:r>
      <w:proofErr w:type="spellEnd"/>
      <w:r w:rsidR="00EE5F1A" w:rsidRPr="000C06D7">
        <w:rPr>
          <w:rFonts w:ascii="Times New Roman" w:hAnsi="Times New Roman"/>
        </w:rPr>
        <w:t xml:space="preserve"> 3 </w:t>
      </w:r>
      <w:r w:rsidR="0016764E" w:rsidRPr="000C06D7">
        <w:rPr>
          <w:rFonts w:ascii="Times New Roman" w:hAnsi="Times New Roman"/>
        </w:rPr>
        <w:t>confines t</w:t>
      </w:r>
      <w:r w:rsidR="0094756F" w:rsidRPr="000C06D7">
        <w:rPr>
          <w:rFonts w:ascii="Times New Roman" w:hAnsi="Times New Roman"/>
        </w:rPr>
        <w:t xml:space="preserve">he bilateral obligations that might be </w:t>
      </w:r>
      <w:r w:rsidR="002766D7" w:rsidRPr="000C06D7">
        <w:rPr>
          <w:rFonts w:ascii="Times New Roman" w:hAnsi="Times New Roman"/>
        </w:rPr>
        <w:t xml:space="preserve">agreed or </w:t>
      </w:r>
      <w:r w:rsidR="0094756F" w:rsidRPr="000C06D7">
        <w:rPr>
          <w:rFonts w:ascii="Times New Roman" w:hAnsi="Times New Roman"/>
        </w:rPr>
        <w:t>imposed by a</w:t>
      </w:r>
      <w:r w:rsidR="002766D7" w:rsidRPr="000C06D7">
        <w:rPr>
          <w:rFonts w:ascii="Times New Roman" w:hAnsi="Times New Roman"/>
        </w:rPr>
        <w:t xml:space="preserve"> final </w:t>
      </w:r>
      <w:r w:rsidR="0094756F" w:rsidRPr="000C06D7">
        <w:rPr>
          <w:rFonts w:ascii="Times New Roman" w:hAnsi="Times New Roman"/>
        </w:rPr>
        <w:t>determination</w:t>
      </w:r>
      <w:r w:rsidR="00A6757D" w:rsidRPr="000C06D7">
        <w:rPr>
          <w:rFonts w:ascii="Times New Roman" w:hAnsi="Times New Roman"/>
        </w:rPr>
        <w:t xml:space="preserve"> </w:t>
      </w:r>
      <w:r w:rsidR="002766D7" w:rsidRPr="000C06D7">
        <w:rPr>
          <w:rFonts w:ascii="Times New Roman" w:hAnsi="Times New Roman"/>
        </w:rPr>
        <w:t xml:space="preserve">of an access dispute </w:t>
      </w:r>
      <w:r w:rsidR="00A6757D" w:rsidRPr="000C06D7">
        <w:rPr>
          <w:rFonts w:ascii="Times New Roman" w:hAnsi="Times New Roman"/>
        </w:rPr>
        <w:t xml:space="preserve">to obligations concerning the use of the </w:t>
      </w:r>
      <w:r w:rsidR="000E5376" w:rsidRPr="000C06D7">
        <w:rPr>
          <w:rFonts w:ascii="Times New Roman" w:hAnsi="Times New Roman"/>
        </w:rPr>
        <w:t xml:space="preserve">facility </w:t>
      </w:r>
      <w:r w:rsidR="00AA063B" w:rsidRPr="000C06D7">
        <w:rPr>
          <w:rFonts w:ascii="Times New Roman" w:hAnsi="Times New Roman"/>
        </w:rPr>
        <w:t xml:space="preserve">by </w:t>
      </w:r>
      <w:r w:rsidR="0016764E" w:rsidRPr="000C06D7">
        <w:rPr>
          <w:rFonts w:ascii="Times New Roman" w:hAnsi="Times New Roman"/>
        </w:rPr>
        <w:t xml:space="preserve">the </w:t>
      </w:r>
      <w:r w:rsidR="002766D7" w:rsidRPr="000C06D7">
        <w:rPr>
          <w:rFonts w:ascii="Times New Roman" w:hAnsi="Times New Roman"/>
        </w:rPr>
        <w:t xml:space="preserve">person </w:t>
      </w:r>
      <w:r w:rsidR="0016764E" w:rsidRPr="000C06D7">
        <w:rPr>
          <w:rFonts w:ascii="Times New Roman" w:hAnsi="Times New Roman"/>
        </w:rPr>
        <w:t xml:space="preserve">who wants "access" to the use of </w:t>
      </w:r>
      <w:r w:rsidR="00A77EE6" w:rsidRPr="000C06D7">
        <w:rPr>
          <w:rFonts w:ascii="Times New Roman" w:hAnsi="Times New Roman"/>
        </w:rPr>
        <w:t>the</w:t>
      </w:r>
      <w:r w:rsidR="0016764E" w:rsidRPr="000C06D7">
        <w:rPr>
          <w:rFonts w:ascii="Times New Roman" w:hAnsi="Times New Roman"/>
        </w:rPr>
        <w:t xml:space="preserve"> facility</w:t>
      </w:r>
      <w:r w:rsidR="00AA063B" w:rsidRPr="000C06D7">
        <w:rPr>
          <w:rFonts w:ascii="Times New Roman" w:hAnsi="Times New Roman"/>
        </w:rPr>
        <w:t xml:space="preserve"> or </w:t>
      </w:r>
      <w:r w:rsidR="002766D7" w:rsidRPr="000C06D7">
        <w:rPr>
          <w:rFonts w:ascii="Times New Roman" w:hAnsi="Times New Roman"/>
        </w:rPr>
        <w:t xml:space="preserve">to obligations concerning the use of the facility </w:t>
      </w:r>
      <w:r w:rsidR="00AA063B" w:rsidRPr="000C06D7">
        <w:rPr>
          <w:rFonts w:ascii="Times New Roman" w:hAnsi="Times New Roman"/>
        </w:rPr>
        <w:t xml:space="preserve">by someone </w:t>
      </w:r>
      <w:r w:rsidR="00A77EE6" w:rsidRPr="000C06D7">
        <w:rPr>
          <w:rFonts w:ascii="Times New Roman" w:hAnsi="Times New Roman"/>
        </w:rPr>
        <w:t xml:space="preserve">who is </w:t>
      </w:r>
      <w:r w:rsidR="00AA063B" w:rsidRPr="000C06D7">
        <w:rPr>
          <w:rFonts w:ascii="Times New Roman" w:hAnsi="Times New Roman"/>
        </w:rPr>
        <w:t>in a</w:t>
      </w:r>
      <w:r w:rsidR="0016764E" w:rsidRPr="000C06D7">
        <w:rPr>
          <w:rFonts w:ascii="Times New Roman" w:hAnsi="Times New Roman"/>
        </w:rPr>
        <w:t>n ongoing</w:t>
      </w:r>
      <w:r w:rsidR="00AA063B" w:rsidRPr="000C06D7">
        <w:rPr>
          <w:rFonts w:ascii="Times New Roman" w:hAnsi="Times New Roman"/>
        </w:rPr>
        <w:t xml:space="preserve"> contractual relationship with th</w:t>
      </w:r>
      <w:r w:rsidR="00D95C04" w:rsidRPr="000C06D7">
        <w:rPr>
          <w:rFonts w:ascii="Times New Roman" w:hAnsi="Times New Roman"/>
        </w:rPr>
        <w:t>at</w:t>
      </w:r>
      <w:r w:rsidR="00AA063B" w:rsidRPr="000C06D7">
        <w:rPr>
          <w:rFonts w:ascii="Times New Roman" w:hAnsi="Times New Roman"/>
        </w:rPr>
        <w:t xml:space="preserve"> </w:t>
      </w:r>
      <w:r w:rsidR="002766D7" w:rsidRPr="000C06D7">
        <w:rPr>
          <w:rFonts w:ascii="Times New Roman" w:hAnsi="Times New Roman"/>
        </w:rPr>
        <w:t>person</w:t>
      </w:r>
      <w:r w:rsidR="00171208" w:rsidRPr="000C06D7">
        <w:rPr>
          <w:rFonts w:ascii="Times New Roman" w:hAnsi="Times New Roman"/>
        </w:rPr>
        <w:t xml:space="preserve">. </w:t>
      </w:r>
      <w:r w:rsidR="00F372FC" w:rsidRPr="000C06D7">
        <w:rPr>
          <w:rFonts w:ascii="Times New Roman" w:hAnsi="Times New Roman"/>
        </w:rPr>
        <w:t>To the contrary, as s</w:t>
      </w:r>
      <w:r w:rsidR="005D79C3" w:rsidRPr="000C06D7">
        <w:rPr>
          <w:rFonts w:ascii="Times New Roman" w:hAnsi="Times New Roman"/>
        </w:rPr>
        <w:t> </w:t>
      </w:r>
      <w:r w:rsidR="00F372FC" w:rsidRPr="000C06D7">
        <w:rPr>
          <w:rFonts w:ascii="Times New Roman" w:hAnsi="Times New Roman"/>
        </w:rPr>
        <w:t xml:space="preserve">44V(2) </w:t>
      </w:r>
      <w:r w:rsidR="00396CAD" w:rsidRPr="000C06D7">
        <w:rPr>
          <w:rFonts w:ascii="Times New Roman" w:hAnsi="Times New Roman"/>
        </w:rPr>
        <w:t xml:space="preserve">is at pains to </w:t>
      </w:r>
      <w:r w:rsidR="00F372FC" w:rsidRPr="000C06D7">
        <w:rPr>
          <w:rFonts w:ascii="Times New Roman" w:hAnsi="Times New Roman"/>
        </w:rPr>
        <w:t xml:space="preserve">spell out, </w:t>
      </w:r>
      <w:r w:rsidR="00AA76E9" w:rsidRPr="000C06D7">
        <w:rPr>
          <w:rFonts w:ascii="Times New Roman" w:hAnsi="Times New Roman"/>
        </w:rPr>
        <w:t>a determination</w:t>
      </w:r>
      <w:r w:rsidR="00396CAD" w:rsidRPr="000C06D7">
        <w:rPr>
          <w:rFonts w:ascii="Times New Roman" w:hAnsi="Times New Roman"/>
        </w:rPr>
        <w:t xml:space="preserve"> </w:t>
      </w:r>
      <w:r w:rsidR="009E2FD2" w:rsidRPr="000C06D7">
        <w:rPr>
          <w:rFonts w:ascii="Times New Roman" w:hAnsi="Times New Roman"/>
        </w:rPr>
        <w:t>can "</w:t>
      </w:r>
      <w:r w:rsidR="00396CAD" w:rsidRPr="000C06D7">
        <w:rPr>
          <w:rFonts w:ascii="Times New Roman" w:hAnsi="Times New Roman"/>
        </w:rPr>
        <w:t>deal with any matter relating to access by the third party to the service".</w:t>
      </w:r>
      <w:r w:rsidR="00AA76E9" w:rsidRPr="000C06D7">
        <w:rPr>
          <w:rFonts w:ascii="Times New Roman" w:hAnsi="Times New Roman"/>
        </w:rPr>
        <w:t xml:space="preserve"> </w:t>
      </w:r>
    </w:p>
    <w:p w14:paraId="7C8DE46D" w14:textId="1056A23C" w:rsidR="00B553CA" w:rsidRPr="000C06D7" w:rsidRDefault="00BE5F3F"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0105A4" w:rsidRPr="000C06D7">
        <w:rPr>
          <w:rFonts w:ascii="Times New Roman" w:hAnsi="Times New Roman"/>
        </w:rPr>
        <w:t xml:space="preserve">The right of a third party to negotiate </w:t>
      </w:r>
      <w:r w:rsidR="00823DE5" w:rsidRPr="000C06D7">
        <w:rPr>
          <w:rFonts w:ascii="Times New Roman" w:hAnsi="Times New Roman"/>
        </w:rPr>
        <w:t xml:space="preserve">in relation to a declared service in that way replicates what might be expected to occur </w:t>
      </w:r>
      <w:r w:rsidR="00936A06" w:rsidRPr="000C06D7">
        <w:rPr>
          <w:rFonts w:ascii="Times New Roman" w:hAnsi="Times New Roman"/>
        </w:rPr>
        <w:t xml:space="preserve">if </w:t>
      </w:r>
      <w:r w:rsidR="00E06366" w:rsidRPr="000C06D7">
        <w:rPr>
          <w:rFonts w:ascii="Times New Roman" w:hAnsi="Times New Roman"/>
        </w:rPr>
        <w:t>the owner or operator of</w:t>
      </w:r>
      <w:r w:rsidR="00807982" w:rsidRPr="000C06D7">
        <w:rPr>
          <w:rFonts w:ascii="Times New Roman" w:hAnsi="Times New Roman"/>
        </w:rPr>
        <w:t xml:space="preserve"> th</w:t>
      </w:r>
      <w:r w:rsidR="00E06366" w:rsidRPr="000C06D7">
        <w:rPr>
          <w:rFonts w:ascii="Times New Roman" w:hAnsi="Times New Roman"/>
        </w:rPr>
        <w:t>e</w:t>
      </w:r>
      <w:r w:rsidR="003947FF" w:rsidRPr="000C06D7">
        <w:rPr>
          <w:rFonts w:ascii="Times New Roman" w:hAnsi="Times New Roman"/>
        </w:rPr>
        <w:t xml:space="preserve"> </w:t>
      </w:r>
      <w:r w:rsidR="00E06366" w:rsidRPr="000C06D7">
        <w:rPr>
          <w:rFonts w:ascii="Times New Roman" w:hAnsi="Times New Roman"/>
        </w:rPr>
        <w:t xml:space="preserve">facility </w:t>
      </w:r>
      <w:r w:rsidR="0045133A" w:rsidRPr="000C06D7">
        <w:rPr>
          <w:rFonts w:ascii="Times New Roman" w:hAnsi="Times New Roman"/>
        </w:rPr>
        <w:t>by which</w:t>
      </w:r>
      <w:r w:rsidR="00E06366" w:rsidRPr="000C06D7">
        <w:rPr>
          <w:rFonts w:ascii="Times New Roman" w:hAnsi="Times New Roman"/>
        </w:rPr>
        <w:t xml:space="preserve"> th</w:t>
      </w:r>
      <w:r w:rsidR="009F6BBF" w:rsidRPr="000C06D7">
        <w:rPr>
          <w:rFonts w:ascii="Times New Roman" w:hAnsi="Times New Roman"/>
        </w:rPr>
        <w:t>e</w:t>
      </w:r>
      <w:r w:rsidR="00807982" w:rsidRPr="000C06D7">
        <w:rPr>
          <w:rFonts w:ascii="Times New Roman" w:hAnsi="Times New Roman"/>
        </w:rPr>
        <w:t xml:space="preserve"> service </w:t>
      </w:r>
      <w:r w:rsidR="009F6BBF" w:rsidRPr="000C06D7">
        <w:rPr>
          <w:rFonts w:ascii="Times New Roman" w:hAnsi="Times New Roman"/>
        </w:rPr>
        <w:t xml:space="preserve">in question </w:t>
      </w:r>
      <w:r w:rsidR="0045133A" w:rsidRPr="000C06D7">
        <w:rPr>
          <w:rFonts w:ascii="Times New Roman" w:hAnsi="Times New Roman"/>
        </w:rPr>
        <w:t xml:space="preserve">is provided </w:t>
      </w:r>
      <w:r w:rsidR="00936A06" w:rsidRPr="000C06D7">
        <w:rPr>
          <w:rFonts w:ascii="Times New Roman" w:hAnsi="Times New Roman"/>
        </w:rPr>
        <w:t xml:space="preserve">were </w:t>
      </w:r>
      <w:r w:rsidR="00380F2A" w:rsidRPr="000C06D7">
        <w:rPr>
          <w:rFonts w:ascii="Times New Roman" w:hAnsi="Times New Roman"/>
        </w:rPr>
        <w:t>operating</w:t>
      </w:r>
      <w:r w:rsidR="00807982" w:rsidRPr="000C06D7">
        <w:rPr>
          <w:rFonts w:ascii="Times New Roman" w:hAnsi="Times New Roman"/>
        </w:rPr>
        <w:t xml:space="preserve"> in a competitive market</w:t>
      </w:r>
      <w:r w:rsidR="002766D7" w:rsidRPr="000C06D7">
        <w:rPr>
          <w:rFonts w:ascii="Times New Roman" w:hAnsi="Times New Roman"/>
        </w:rPr>
        <w:t>, rather than being in a position to exercise monopoly power</w:t>
      </w:r>
      <w:r w:rsidR="00473495" w:rsidRPr="000C06D7">
        <w:rPr>
          <w:rFonts w:ascii="Times New Roman" w:hAnsi="Times New Roman"/>
        </w:rPr>
        <w:t>. In a competitive market,</w:t>
      </w:r>
      <w:r w:rsidR="00807982" w:rsidRPr="000C06D7">
        <w:rPr>
          <w:rFonts w:ascii="Times New Roman" w:hAnsi="Times New Roman"/>
        </w:rPr>
        <w:t xml:space="preserve"> </w:t>
      </w:r>
      <w:r w:rsidR="007C5907" w:rsidRPr="000C06D7">
        <w:rPr>
          <w:rFonts w:ascii="Times New Roman" w:hAnsi="Times New Roman"/>
        </w:rPr>
        <w:t xml:space="preserve">the threat of </w:t>
      </w:r>
      <w:r w:rsidR="00740586" w:rsidRPr="000C06D7">
        <w:rPr>
          <w:rFonts w:ascii="Times New Roman" w:hAnsi="Times New Roman"/>
        </w:rPr>
        <w:t>new entry</w:t>
      </w:r>
      <w:r w:rsidR="007C5907" w:rsidRPr="000C06D7">
        <w:rPr>
          <w:rFonts w:ascii="Times New Roman" w:hAnsi="Times New Roman"/>
        </w:rPr>
        <w:t xml:space="preserve"> </w:t>
      </w:r>
      <w:r w:rsidR="00D65DA4" w:rsidRPr="000C06D7">
        <w:rPr>
          <w:rFonts w:ascii="Times New Roman" w:hAnsi="Times New Roman"/>
        </w:rPr>
        <w:t xml:space="preserve">would incentivise </w:t>
      </w:r>
      <w:r w:rsidR="00740586" w:rsidRPr="000C06D7">
        <w:rPr>
          <w:rFonts w:ascii="Times New Roman" w:hAnsi="Times New Roman"/>
        </w:rPr>
        <w:t xml:space="preserve">the owner or operator </w:t>
      </w:r>
      <w:r w:rsidR="000E1F52" w:rsidRPr="000C06D7">
        <w:rPr>
          <w:rFonts w:ascii="Times New Roman" w:hAnsi="Times New Roman"/>
        </w:rPr>
        <w:t xml:space="preserve">of the facility </w:t>
      </w:r>
      <w:r w:rsidR="006D7717" w:rsidRPr="000C06D7">
        <w:rPr>
          <w:rFonts w:ascii="Times New Roman" w:hAnsi="Times New Roman"/>
        </w:rPr>
        <w:t xml:space="preserve">to negotiate </w:t>
      </w:r>
      <w:r w:rsidR="007E215F" w:rsidRPr="000C06D7">
        <w:rPr>
          <w:rFonts w:ascii="Times New Roman" w:hAnsi="Times New Roman"/>
        </w:rPr>
        <w:t>towards agreement with an</w:t>
      </w:r>
      <w:r w:rsidR="001B63BF" w:rsidRPr="000C06D7">
        <w:rPr>
          <w:rFonts w:ascii="Times New Roman" w:hAnsi="Times New Roman"/>
        </w:rPr>
        <w:t>y person</w:t>
      </w:r>
      <w:r w:rsidR="007F4F86" w:rsidRPr="000C06D7">
        <w:rPr>
          <w:rFonts w:ascii="Times New Roman" w:hAnsi="Times New Roman"/>
        </w:rPr>
        <w:t xml:space="preserve"> </w:t>
      </w:r>
      <w:r w:rsidR="006F56CF" w:rsidRPr="000C06D7">
        <w:rPr>
          <w:rFonts w:ascii="Times New Roman" w:hAnsi="Times New Roman"/>
        </w:rPr>
        <w:t xml:space="preserve">in a given chain of supply </w:t>
      </w:r>
      <w:r w:rsidR="003B6413" w:rsidRPr="000C06D7">
        <w:rPr>
          <w:rFonts w:ascii="Times New Roman" w:hAnsi="Times New Roman"/>
        </w:rPr>
        <w:t xml:space="preserve">who </w:t>
      </w:r>
      <w:r w:rsidR="007F4F86" w:rsidRPr="000C06D7">
        <w:rPr>
          <w:rFonts w:ascii="Times New Roman" w:hAnsi="Times New Roman"/>
        </w:rPr>
        <w:t>sincerely</w:t>
      </w:r>
      <w:r w:rsidR="00D65DA4" w:rsidRPr="000C06D7">
        <w:rPr>
          <w:rFonts w:ascii="Times New Roman" w:hAnsi="Times New Roman"/>
        </w:rPr>
        <w:t xml:space="preserve"> </w:t>
      </w:r>
      <w:r w:rsidR="003B6413" w:rsidRPr="000C06D7">
        <w:rPr>
          <w:rFonts w:ascii="Times New Roman" w:hAnsi="Times New Roman"/>
        </w:rPr>
        <w:t xml:space="preserve">wanted </w:t>
      </w:r>
      <w:r w:rsidR="00056617" w:rsidRPr="000C06D7">
        <w:rPr>
          <w:rFonts w:ascii="Times New Roman" w:hAnsi="Times New Roman"/>
        </w:rPr>
        <w:t xml:space="preserve">to ensure the ability </w:t>
      </w:r>
      <w:r w:rsidR="001B63BF" w:rsidRPr="000C06D7">
        <w:rPr>
          <w:rFonts w:ascii="Times New Roman" w:hAnsi="Times New Roman"/>
        </w:rPr>
        <w:t>of that person</w:t>
      </w:r>
      <w:r w:rsidR="008B5478" w:rsidRPr="000C06D7">
        <w:rPr>
          <w:rFonts w:ascii="Times New Roman" w:hAnsi="Times New Roman"/>
        </w:rPr>
        <w:t xml:space="preserve">, or of </w:t>
      </w:r>
      <w:r w:rsidR="003B6413" w:rsidRPr="000C06D7">
        <w:rPr>
          <w:rFonts w:ascii="Times New Roman" w:hAnsi="Times New Roman"/>
        </w:rPr>
        <w:t xml:space="preserve">any other person </w:t>
      </w:r>
      <w:r w:rsidR="008B5478" w:rsidRPr="000C06D7">
        <w:rPr>
          <w:rFonts w:ascii="Times New Roman" w:hAnsi="Times New Roman"/>
        </w:rPr>
        <w:t xml:space="preserve">in </w:t>
      </w:r>
      <w:r w:rsidR="00F56B06" w:rsidRPr="000C06D7">
        <w:rPr>
          <w:rFonts w:ascii="Times New Roman" w:hAnsi="Times New Roman"/>
        </w:rPr>
        <w:t>the</w:t>
      </w:r>
      <w:r w:rsidR="00227B25" w:rsidRPr="000C06D7">
        <w:rPr>
          <w:rFonts w:ascii="Times New Roman" w:hAnsi="Times New Roman"/>
        </w:rPr>
        <w:t xml:space="preserve"> </w:t>
      </w:r>
      <w:r w:rsidR="008B5478" w:rsidRPr="000C06D7">
        <w:rPr>
          <w:rFonts w:ascii="Times New Roman" w:hAnsi="Times New Roman"/>
        </w:rPr>
        <w:t xml:space="preserve">chain of </w:t>
      </w:r>
      <w:r w:rsidR="00942771" w:rsidRPr="000C06D7">
        <w:rPr>
          <w:rFonts w:ascii="Times New Roman" w:hAnsi="Times New Roman"/>
        </w:rPr>
        <w:t>supply</w:t>
      </w:r>
      <w:r w:rsidR="00B70F18" w:rsidRPr="000C06D7">
        <w:rPr>
          <w:rFonts w:ascii="Times New Roman" w:hAnsi="Times New Roman"/>
        </w:rPr>
        <w:t xml:space="preserve">, </w:t>
      </w:r>
      <w:r w:rsidR="00056617" w:rsidRPr="000C06D7">
        <w:rPr>
          <w:rFonts w:ascii="Times New Roman" w:hAnsi="Times New Roman"/>
        </w:rPr>
        <w:t>to use</w:t>
      </w:r>
      <w:r w:rsidR="00FD5247" w:rsidRPr="000C06D7">
        <w:rPr>
          <w:rFonts w:ascii="Times New Roman" w:hAnsi="Times New Roman"/>
        </w:rPr>
        <w:t xml:space="preserve"> th</w:t>
      </w:r>
      <w:r w:rsidR="008B5478" w:rsidRPr="000C06D7">
        <w:rPr>
          <w:rFonts w:ascii="Times New Roman" w:hAnsi="Times New Roman"/>
        </w:rPr>
        <w:t>e</w:t>
      </w:r>
      <w:r w:rsidR="00FD5247" w:rsidRPr="000C06D7">
        <w:rPr>
          <w:rFonts w:ascii="Times New Roman" w:hAnsi="Times New Roman"/>
        </w:rPr>
        <w:t xml:space="preserve"> </w:t>
      </w:r>
      <w:r w:rsidR="003B6413" w:rsidRPr="000C06D7">
        <w:rPr>
          <w:rFonts w:ascii="Times New Roman" w:hAnsi="Times New Roman"/>
        </w:rPr>
        <w:t xml:space="preserve">facility </w:t>
      </w:r>
      <w:r w:rsidR="00F76EE4" w:rsidRPr="000C06D7">
        <w:rPr>
          <w:rFonts w:ascii="Times New Roman" w:hAnsi="Times New Roman"/>
        </w:rPr>
        <w:t>on reasonable terms and conditions</w:t>
      </w:r>
      <w:r w:rsidR="003B6413" w:rsidRPr="000C06D7">
        <w:rPr>
          <w:rFonts w:ascii="Times New Roman" w:hAnsi="Times New Roman"/>
        </w:rPr>
        <w:t>.</w:t>
      </w:r>
      <w:r w:rsidR="00E51314" w:rsidRPr="000C06D7">
        <w:rPr>
          <w:rFonts w:ascii="Times New Roman" w:hAnsi="Times New Roman"/>
        </w:rPr>
        <w:t xml:space="preserve"> </w:t>
      </w:r>
      <w:r w:rsidR="000D0E97" w:rsidRPr="000C06D7">
        <w:rPr>
          <w:rFonts w:ascii="Times New Roman" w:hAnsi="Times New Roman"/>
        </w:rPr>
        <w:t xml:space="preserve">Were the owner or operator </w:t>
      </w:r>
      <w:r w:rsidR="004B1F78" w:rsidRPr="000C06D7">
        <w:rPr>
          <w:rFonts w:ascii="Times New Roman" w:hAnsi="Times New Roman"/>
        </w:rPr>
        <w:t xml:space="preserve">to refuse to negotiate on the basis that the person was not to be </w:t>
      </w:r>
      <w:r w:rsidR="00300AA7" w:rsidRPr="000C06D7">
        <w:rPr>
          <w:rFonts w:ascii="Times New Roman" w:hAnsi="Times New Roman"/>
        </w:rPr>
        <w:t xml:space="preserve">the actual user of the facility, the person would have the incentive and ability to look to making </w:t>
      </w:r>
      <w:r w:rsidR="00E51314" w:rsidRPr="000C06D7">
        <w:rPr>
          <w:rFonts w:ascii="Times New Roman" w:hAnsi="Times New Roman"/>
        </w:rPr>
        <w:t xml:space="preserve">an agreement with the owner of a competing facility in order to secure the chain of supply. </w:t>
      </w:r>
    </w:p>
    <w:p w14:paraId="14E46898" w14:textId="3D9CA4D4" w:rsidR="00FA30B1" w:rsidRPr="000C06D7" w:rsidRDefault="00FA30B1" w:rsidP="000C06D7">
      <w:pPr>
        <w:pStyle w:val="FixListStyle"/>
        <w:spacing w:after="260" w:line="280" w:lineRule="exact"/>
        <w:ind w:right="0"/>
        <w:jc w:val="both"/>
        <w:rPr>
          <w:rFonts w:ascii="Times New Roman" w:hAnsi="Times New Roman"/>
        </w:rPr>
      </w:pPr>
      <w:r w:rsidRPr="000C06D7">
        <w:rPr>
          <w:rFonts w:ascii="Times New Roman" w:hAnsi="Times New Roman"/>
        </w:rPr>
        <w:lastRenderedPageBreak/>
        <w:tab/>
      </w:r>
      <w:r w:rsidR="00684C84" w:rsidRPr="000C06D7">
        <w:rPr>
          <w:rFonts w:ascii="Times New Roman" w:hAnsi="Times New Roman"/>
        </w:rPr>
        <w:t xml:space="preserve">Of the range of potential meanings </w:t>
      </w:r>
      <w:r w:rsidR="00D040C1" w:rsidRPr="000C06D7">
        <w:rPr>
          <w:rFonts w:ascii="Times New Roman" w:hAnsi="Times New Roman"/>
        </w:rPr>
        <w:t>that the term "access" is capable of bearing as a matter of ordinary English</w:t>
      </w:r>
      <w:r w:rsidR="00EB6DFB" w:rsidRPr="000C06D7">
        <w:rPr>
          <w:rStyle w:val="FootnoteReference"/>
          <w:rFonts w:ascii="Times New Roman" w:hAnsi="Times New Roman"/>
          <w:sz w:val="24"/>
        </w:rPr>
        <w:footnoteReference w:id="97"/>
      </w:r>
      <w:r w:rsidR="00D040C1" w:rsidRPr="000C06D7">
        <w:rPr>
          <w:rFonts w:ascii="Times New Roman" w:hAnsi="Times New Roman"/>
        </w:rPr>
        <w:t xml:space="preserve">, </w:t>
      </w:r>
      <w:r w:rsidR="000E7137" w:rsidRPr="000C06D7">
        <w:rPr>
          <w:rFonts w:ascii="Times New Roman" w:hAnsi="Times New Roman"/>
        </w:rPr>
        <w:t>th</w:t>
      </w:r>
      <w:r w:rsidR="00A85BE1" w:rsidRPr="000C06D7">
        <w:rPr>
          <w:rFonts w:ascii="Times New Roman" w:hAnsi="Times New Roman"/>
        </w:rPr>
        <w:t>e</w:t>
      </w:r>
      <w:r w:rsidR="000E7137" w:rsidRPr="000C06D7">
        <w:rPr>
          <w:rFonts w:ascii="Times New Roman" w:hAnsi="Times New Roman"/>
        </w:rPr>
        <w:t xml:space="preserve"> </w:t>
      </w:r>
      <w:r w:rsidR="00A85BE1" w:rsidRPr="000C06D7">
        <w:rPr>
          <w:rFonts w:ascii="Times New Roman" w:hAnsi="Times New Roman"/>
        </w:rPr>
        <w:t>meaning</w:t>
      </w:r>
      <w:r w:rsidR="004672A0" w:rsidRPr="000C06D7">
        <w:rPr>
          <w:rFonts w:ascii="Times New Roman" w:hAnsi="Times New Roman"/>
        </w:rPr>
        <w:t xml:space="preserve"> that</w:t>
      </w:r>
      <w:r w:rsidR="000E7137" w:rsidRPr="000C06D7">
        <w:rPr>
          <w:rFonts w:ascii="Times New Roman" w:hAnsi="Times New Roman"/>
        </w:rPr>
        <w:t xml:space="preserve"> appears best </w:t>
      </w:r>
      <w:r w:rsidR="004672A0" w:rsidRPr="000C06D7">
        <w:rPr>
          <w:rFonts w:ascii="Times New Roman" w:hAnsi="Times New Roman"/>
        </w:rPr>
        <w:t>to result in</w:t>
      </w:r>
      <w:r w:rsidR="009F0D1E" w:rsidRPr="000C06D7">
        <w:rPr>
          <w:rFonts w:ascii="Times New Roman" w:hAnsi="Times New Roman"/>
        </w:rPr>
        <w:t xml:space="preserve"> the right to negotiate </w:t>
      </w:r>
      <w:r w:rsidR="00E82420" w:rsidRPr="000C06D7">
        <w:rPr>
          <w:rFonts w:ascii="Times New Roman" w:hAnsi="Times New Roman"/>
        </w:rPr>
        <w:t xml:space="preserve">operating </w:t>
      </w:r>
      <w:r w:rsidR="00E269A5" w:rsidRPr="000C06D7">
        <w:rPr>
          <w:rFonts w:ascii="Times New Roman" w:hAnsi="Times New Roman"/>
        </w:rPr>
        <w:t xml:space="preserve">to achieve </w:t>
      </w:r>
      <w:r w:rsidR="00426B70" w:rsidRPr="000C06D7">
        <w:rPr>
          <w:rFonts w:ascii="Times New Roman" w:hAnsi="Times New Roman"/>
        </w:rPr>
        <w:t xml:space="preserve">the </w:t>
      </w:r>
      <w:r w:rsidR="003B6413" w:rsidRPr="000C06D7">
        <w:rPr>
          <w:rFonts w:ascii="Times New Roman" w:hAnsi="Times New Roman"/>
        </w:rPr>
        <w:t xml:space="preserve">relevant </w:t>
      </w:r>
      <w:r w:rsidR="00426B70" w:rsidRPr="000C06D7">
        <w:rPr>
          <w:rFonts w:ascii="Times New Roman" w:hAnsi="Times New Roman"/>
        </w:rPr>
        <w:t xml:space="preserve">object of promoting the economically efficient operation </w:t>
      </w:r>
      <w:r w:rsidR="006364DF" w:rsidRPr="000C06D7">
        <w:rPr>
          <w:rFonts w:ascii="Times New Roman" w:hAnsi="Times New Roman"/>
        </w:rPr>
        <w:t>and</w:t>
      </w:r>
      <w:r w:rsidR="00426B70" w:rsidRPr="000C06D7">
        <w:rPr>
          <w:rFonts w:ascii="Times New Roman" w:hAnsi="Times New Roman"/>
        </w:rPr>
        <w:t xml:space="preserve"> use of</w:t>
      </w:r>
      <w:r w:rsidR="006364DF" w:rsidRPr="000C06D7">
        <w:rPr>
          <w:rFonts w:ascii="Times New Roman" w:hAnsi="Times New Roman"/>
        </w:rPr>
        <w:t xml:space="preserve">, </w:t>
      </w:r>
      <w:r w:rsidR="00426B70" w:rsidRPr="000C06D7">
        <w:rPr>
          <w:rFonts w:ascii="Times New Roman" w:hAnsi="Times New Roman"/>
        </w:rPr>
        <w:t>and investment in</w:t>
      </w:r>
      <w:r w:rsidR="006364DF" w:rsidRPr="000C06D7">
        <w:rPr>
          <w:rFonts w:ascii="Times New Roman" w:hAnsi="Times New Roman"/>
        </w:rPr>
        <w:t>,</w:t>
      </w:r>
      <w:r w:rsidR="003A3FBF" w:rsidRPr="000C06D7">
        <w:rPr>
          <w:rFonts w:ascii="Times New Roman" w:hAnsi="Times New Roman"/>
        </w:rPr>
        <w:t xml:space="preserve"> the</w:t>
      </w:r>
      <w:r w:rsidR="00426B70" w:rsidRPr="000C06D7">
        <w:rPr>
          <w:rFonts w:ascii="Times New Roman" w:hAnsi="Times New Roman"/>
        </w:rPr>
        <w:t xml:space="preserve"> infrastructure</w:t>
      </w:r>
      <w:r w:rsidR="00E55CAA" w:rsidRPr="000C06D7">
        <w:rPr>
          <w:rFonts w:ascii="Times New Roman" w:hAnsi="Times New Roman"/>
        </w:rPr>
        <w:t xml:space="preserve"> </w:t>
      </w:r>
      <w:r w:rsidR="00426B70" w:rsidRPr="000C06D7">
        <w:rPr>
          <w:rFonts w:ascii="Times New Roman" w:hAnsi="Times New Roman"/>
        </w:rPr>
        <w:t xml:space="preserve">by which services are provided is </w:t>
      </w:r>
      <w:r w:rsidR="00A95C22" w:rsidRPr="000C06D7">
        <w:rPr>
          <w:rFonts w:ascii="Times New Roman" w:hAnsi="Times New Roman"/>
        </w:rPr>
        <w:t xml:space="preserve">"[t]he right or opportunity to benefit from or use a system </w:t>
      </w:r>
      <w:r w:rsidR="00CA01D4" w:rsidRPr="000C06D7">
        <w:rPr>
          <w:rFonts w:ascii="Times New Roman" w:hAnsi="Times New Roman"/>
        </w:rPr>
        <w:t>or service"</w:t>
      </w:r>
      <w:r w:rsidR="000C3AB3" w:rsidRPr="000C06D7">
        <w:rPr>
          <w:rStyle w:val="FootnoteReference"/>
          <w:rFonts w:ascii="Times New Roman" w:hAnsi="Times New Roman"/>
          <w:sz w:val="24"/>
        </w:rPr>
        <w:footnoteReference w:id="98"/>
      </w:r>
      <w:r w:rsidR="00CA01D4" w:rsidRPr="000C06D7">
        <w:rPr>
          <w:rFonts w:ascii="Times New Roman" w:hAnsi="Times New Roman"/>
        </w:rPr>
        <w:t>.</w:t>
      </w:r>
      <w:r w:rsidR="00185B47" w:rsidRPr="000C06D7">
        <w:rPr>
          <w:rFonts w:ascii="Times New Roman" w:hAnsi="Times New Roman"/>
        </w:rPr>
        <w:t xml:space="preserve"> </w:t>
      </w:r>
      <w:r w:rsidR="00A22DF0" w:rsidRPr="000C06D7">
        <w:rPr>
          <w:rFonts w:ascii="Times New Roman" w:hAnsi="Times New Roman"/>
        </w:rPr>
        <w:t xml:space="preserve">In respect of a person </w:t>
      </w:r>
      <w:r w:rsidR="00EB72F5" w:rsidRPr="000C06D7">
        <w:rPr>
          <w:rFonts w:ascii="Times New Roman" w:hAnsi="Times New Roman"/>
        </w:rPr>
        <w:t>who is a competitor in a</w:t>
      </w:r>
      <w:r w:rsidR="002343B9" w:rsidRPr="000C06D7">
        <w:rPr>
          <w:rFonts w:ascii="Times New Roman" w:hAnsi="Times New Roman"/>
        </w:rPr>
        <w:t xml:space="preserve"> sufficiently connected</w:t>
      </w:r>
      <w:r w:rsidR="00EB72F5" w:rsidRPr="000C06D7">
        <w:rPr>
          <w:rFonts w:ascii="Times New Roman" w:hAnsi="Times New Roman"/>
        </w:rPr>
        <w:t xml:space="preserve"> upstream or downstream market</w:t>
      </w:r>
      <w:r w:rsidR="008A306F" w:rsidRPr="000C06D7">
        <w:rPr>
          <w:rFonts w:ascii="Times New Roman" w:hAnsi="Times New Roman"/>
        </w:rPr>
        <w:t xml:space="preserve"> </w:t>
      </w:r>
      <w:r w:rsidR="00737A39" w:rsidRPr="000C06D7">
        <w:rPr>
          <w:rFonts w:ascii="Times New Roman" w:hAnsi="Times New Roman"/>
        </w:rPr>
        <w:t xml:space="preserve">there is </w:t>
      </w:r>
      <w:r w:rsidR="00D47D6B" w:rsidRPr="000C06D7">
        <w:rPr>
          <w:rFonts w:ascii="Times New Roman" w:hAnsi="Times New Roman"/>
        </w:rPr>
        <w:t>n</w:t>
      </w:r>
      <w:r w:rsidR="00185B47" w:rsidRPr="000C06D7">
        <w:rPr>
          <w:rFonts w:ascii="Times New Roman" w:hAnsi="Times New Roman"/>
        </w:rPr>
        <w:t xml:space="preserve">o reason </w:t>
      </w:r>
      <w:r w:rsidR="00514F77" w:rsidRPr="000C06D7">
        <w:rPr>
          <w:rFonts w:ascii="Times New Roman" w:hAnsi="Times New Roman"/>
        </w:rPr>
        <w:t xml:space="preserve">to </w:t>
      </w:r>
      <w:r w:rsidR="00185B47" w:rsidRPr="000C06D7">
        <w:rPr>
          <w:rFonts w:ascii="Times New Roman" w:hAnsi="Times New Roman"/>
        </w:rPr>
        <w:t xml:space="preserve">confine </w:t>
      </w:r>
      <w:r w:rsidR="000B5F53" w:rsidRPr="000C06D7">
        <w:rPr>
          <w:rFonts w:ascii="Times New Roman" w:hAnsi="Times New Roman"/>
        </w:rPr>
        <w:t xml:space="preserve">or further refine </w:t>
      </w:r>
      <w:r w:rsidR="003B496A" w:rsidRPr="000C06D7">
        <w:rPr>
          <w:rFonts w:ascii="Times New Roman" w:hAnsi="Times New Roman"/>
        </w:rPr>
        <w:t>th</w:t>
      </w:r>
      <w:r w:rsidR="00514F77" w:rsidRPr="000C06D7">
        <w:rPr>
          <w:rFonts w:ascii="Times New Roman" w:hAnsi="Times New Roman"/>
        </w:rPr>
        <w:t>at</w:t>
      </w:r>
      <w:r w:rsidR="003B496A" w:rsidRPr="000C06D7">
        <w:rPr>
          <w:rFonts w:ascii="Times New Roman" w:hAnsi="Times New Roman"/>
        </w:rPr>
        <w:t xml:space="preserve"> meaning</w:t>
      </w:r>
      <w:r w:rsidR="00EB6DFB" w:rsidRPr="000C06D7">
        <w:rPr>
          <w:rFonts w:ascii="Times New Roman" w:hAnsi="Times New Roman"/>
        </w:rPr>
        <w:t>.</w:t>
      </w:r>
    </w:p>
    <w:p w14:paraId="4A50359A" w14:textId="65552855" w:rsidR="00C9376E" w:rsidRPr="000C06D7" w:rsidRDefault="00C9376E"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AB3D9A" w:rsidRPr="000C06D7">
        <w:rPr>
          <w:rFonts w:ascii="Times New Roman" w:hAnsi="Times New Roman"/>
        </w:rPr>
        <w:t xml:space="preserve">The meaning accords with the straightforward explanation </w:t>
      </w:r>
      <w:r w:rsidR="004C7C63" w:rsidRPr="000C06D7">
        <w:rPr>
          <w:rFonts w:ascii="Times New Roman" w:hAnsi="Times New Roman"/>
        </w:rPr>
        <w:t xml:space="preserve">given </w:t>
      </w:r>
      <w:r w:rsidR="00AB3D9A" w:rsidRPr="000C06D7">
        <w:rPr>
          <w:rFonts w:ascii="Times New Roman" w:hAnsi="Times New Roman"/>
        </w:rPr>
        <w:t xml:space="preserve">by COAG </w:t>
      </w:r>
      <w:r w:rsidR="003B6413" w:rsidRPr="000C06D7">
        <w:rPr>
          <w:rFonts w:ascii="Times New Roman" w:hAnsi="Times New Roman"/>
        </w:rPr>
        <w:t>in 199</w:t>
      </w:r>
      <w:r w:rsidR="005240F7" w:rsidRPr="000C06D7">
        <w:rPr>
          <w:rFonts w:ascii="Times New Roman" w:hAnsi="Times New Roman"/>
        </w:rPr>
        <w:t>4</w:t>
      </w:r>
      <w:r w:rsidR="00B05227" w:rsidRPr="000C06D7">
        <w:rPr>
          <w:rFonts w:ascii="Times New Roman" w:hAnsi="Times New Roman"/>
        </w:rPr>
        <w:t xml:space="preserve"> </w:t>
      </w:r>
      <w:r w:rsidR="004C7C63" w:rsidRPr="000C06D7">
        <w:rPr>
          <w:rFonts w:ascii="Times New Roman" w:hAnsi="Times New Roman"/>
        </w:rPr>
        <w:t xml:space="preserve">in the </w:t>
      </w:r>
      <w:r w:rsidR="00572956" w:rsidRPr="000C06D7">
        <w:rPr>
          <w:rFonts w:ascii="Times New Roman" w:hAnsi="Times New Roman"/>
        </w:rPr>
        <w:t>Information Package</w:t>
      </w:r>
      <w:r w:rsidR="004C7C63" w:rsidRPr="000C06D7">
        <w:rPr>
          <w:rFonts w:ascii="Times New Roman" w:hAnsi="Times New Roman"/>
        </w:rPr>
        <w:t xml:space="preserve"> </w:t>
      </w:r>
      <w:r w:rsidR="00EC0C3A" w:rsidRPr="000C06D7">
        <w:rPr>
          <w:rFonts w:ascii="Times New Roman" w:hAnsi="Times New Roman"/>
        </w:rPr>
        <w:t xml:space="preserve">already quoted </w:t>
      </w:r>
      <w:r w:rsidR="00B05227" w:rsidRPr="000C06D7">
        <w:rPr>
          <w:rFonts w:ascii="Times New Roman" w:hAnsi="Times New Roman"/>
        </w:rPr>
        <w:t>that "[t]</w:t>
      </w:r>
      <w:r w:rsidRPr="000C06D7">
        <w:rPr>
          <w:rFonts w:ascii="Times New Roman" w:hAnsi="Times New Roman"/>
        </w:rPr>
        <w:t>he term 'access' means the ability of suppliers or buyers to purchase the use of essential facilities on fair and reasonable terms</w:t>
      </w:r>
      <w:r w:rsidR="00EC0C3A" w:rsidRPr="000C06D7">
        <w:rPr>
          <w:rFonts w:ascii="Times New Roman" w:hAnsi="Times New Roman"/>
        </w:rPr>
        <w:t>"</w:t>
      </w:r>
      <w:r w:rsidR="00E06A23" w:rsidRPr="000C06D7">
        <w:rPr>
          <w:rStyle w:val="FootnoteReference"/>
          <w:rFonts w:ascii="Times New Roman" w:hAnsi="Times New Roman"/>
          <w:sz w:val="24"/>
        </w:rPr>
        <w:footnoteReference w:id="99"/>
      </w:r>
      <w:r w:rsidR="008F67F2" w:rsidRPr="000C06D7">
        <w:rPr>
          <w:rFonts w:ascii="Times New Roman" w:hAnsi="Times New Roman"/>
        </w:rPr>
        <w:t>.</w:t>
      </w:r>
      <w:r w:rsidR="0050476A" w:rsidRPr="000C06D7">
        <w:rPr>
          <w:rFonts w:ascii="Times New Roman" w:hAnsi="Times New Roman"/>
        </w:rPr>
        <w:t xml:space="preserve"> </w:t>
      </w:r>
      <w:r w:rsidR="009D4533" w:rsidRPr="000C06D7">
        <w:rPr>
          <w:rFonts w:ascii="Times New Roman" w:hAnsi="Times New Roman"/>
        </w:rPr>
        <w:t xml:space="preserve">The nature of </w:t>
      </w:r>
      <w:r w:rsidR="0050476A" w:rsidRPr="000C06D7">
        <w:rPr>
          <w:rFonts w:ascii="Times New Roman" w:hAnsi="Times New Roman"/>
        </w:rPr>
        <w:t>an essential facility</w:t>
      </w:r>
      <w:r w:rsidR="00236268" w:rsidRPr="000C06D7">
        <w:rPr>
          <w:rFonts w:ascii="Times New Roman" w:hAnsi="Times New Roman"/>
        </w:rPr>
        <w:t xml:space="preserve"> </w:t>
      </w:r>
      <w:r w:rsidR="006149C8" w:rsidRPr="000C06D7">
        <w:rPr>
          <w:rFonts w:ascii="Times New Roman" w:hAnsi="Times New Roman"/>
        </w:rPr>
        <w:t>–</w:t>
      </w:r>
      <w:r w:rsidR="00236268" w:rsidRPr="000C06D7">
        <w:rPr>
          <w:rFonts w:ascii="Times New Roman" w:hAnsi="Times New Roman"/>
        </w:rPr>
        <w:t xml:space="preserve"> a "bottleneck facility</w:t>
      </w:r>
      <w:r w:rsidR="00C36510" w:rsidRPr="000C06D7">
        <w:rPr>
          <w:rFonts w:ascii="Times New Roman" w:hAnsi="Times New Roman"/>
        </w:rPr>
        <w:t>"</w:t>
      </w:r>
      <w:r w:rsidR="00C36510">
        <w:rPr>
          <w:rFonts w:ascii="Times New Roman" w:hAnsi="Times New Roman"/>
        </w:rPr>
        <w:t> </w:t>
      </w:r>
      <w:r w:rsidR="006149C8" w:rsidRPr="000C06D7">
        <w:rPr>
          <w:rFonts w:ascii="Times New Roman" w:hAnsi="Times New Roman"/>
        </w:rPr>
        <w:t>–</w:t>
      </w:r>
      <w:r w:rsidR="00D524E6" w:rsidRPr="000C06D7">
        <w:rPr>
          <w:rFonts w:ascii="Times New Roman" w:hAnsi="Times New Roman"/>
        </w:rPr>
        <w:t xml:space="preserve"> </w:t>
      </w:r>
      <w:r w:rsidR="009D4533" w:rsidRPr="000C06D7">
        <w:rPr>
          <w:rFonts w:ascii="Times New Roman" w:hAnsi="Times New Roman"/>
        </w:rPr>
        <w:t xml:space="preserve">is that its </w:t>
      </w:r>
      <w:r w:rsidR="00C01560" w:rsidRPr="000C06D7">
        <w:rPr>
          <w:rFonts w:ascii="Times New Roman" w:hAnsi="Times New Roman"/>
        </w:rPr>
        <w:t>use by someone</w:t>
      </w:r>
      <w:r w:rsidR="0050476A" w:rsidRPr="000C06D7">
        <w:rPr>
          <w:rFonts w:ascii="Times New Roman" w:hAnsi="Times New Roman"/>
        </w:rPr>
        <w:t xml:space="preserve"> </w:t>
      </w:r>
      <w:r w:rsidR="00D524E6" w:rsidRPr="000C06D7">
        <w:rPr>
          <w:rFonts w:ascii="Times New Roman" w:hAnsi="Times New Roman"/>
        </w:rPr>
        <w:t xml:space="preserve">in a supply chain </w:t>
      </w:r>
      <w:r w:rsidR="0050476A" w:rsidRPr="000C06D7">
        <w:rPr>
          <w:rFonts w:ascii="Times New Roman" w:hAnsi="Times New Roman"/>
        </w:rPr>
        <w:t xml:space="preserve">is </w:t>
      </w:r>
      <w:r w:rsidR="009240BD" w:rsidRPr="000C06D7">
        <w:rPr>
          <w:rFonts w:ascii="Times New Roman" w:hAnsi="Times New Roman"/>
        </w:rPr>
        <w:t>needed</w:t>
      </w:r>
      <w:r w:rsidR="0050476A" w:rsidRPr="000C06D7">
        <w:rPr>
          <w:rFonts w:ascii="Times New Roman" w:hAnsi="Times New Roman"/>
        </w:rPr>
        <w:t xml:space="preserve"> to compete effectively in a market </w:t>
      </w:r>
      <w:r w:rsidR="009240BD" w:rsidRPr="000C06D7">
        <w:rPr>
          <w:rFonts w:ascii="Times New Roman" w:hAnsi="Times New Roman"/>
        </w:rPr>
        <w:t xml:space="preserve">that is </w:t>
      </w:r>
      <w:r w:rsidR="0050476A" w:rsidRPr="000C06D7">
        <w:rPr>
          <w:rFonts w:ascii="Times New Roman" w:hAnsi="Times New Roman"/>
        </w:rPr>
        <w:t>upstream or downstream from the facility</w:t>
      </w:r>
      <w:r w:rsidR="00B53EF4" w:rsidRPr="000C06D7">
        <w:rPr>
          <w:rFonts w:ascii="Times New Roman" w:hAnsi="Times New Roman"/>
        </w:rPr>
        <w:t xml:space="preserve">. To a </w:t>
      </w:r>
      <w:r w:rsidR="007B6AB5" w:rsidRPr="000C06D7">
        <w:rPr>
          <w:rFonts w:ascii="Times New Roman" w:hAnsi="Times New Roman"/>
        </w:rPr>
        <w:t>supplier or buyer who is</w:t>
      </w:r>
      <w:r w:rsidR="00B53EF4" w:rsidRPr="000C06D7">
        <w:rPr>
          <w:rFonts w:ascii="Times New Roman" w:hAnsi="Times New Roman"/>
        </w:rPr>
        <w:t xml:space="preserve"> a competitor in that upstream or downstream market who wants to ensure that the use </w:t>
      </w:r>
      <w:r w:rsidR="009240BD" w:rsidRPr="000C06D7">
        <w:rPr>
          <w:rFonts w:ascii="Times New Roman" w:hAnsi="Times New Roman"/>
        </w:rPr>
        <w:t xml:space="preserve">of the bottleneck facility </w:t>
      </w:r>
      <w:r w:rsidR="00B53EF4" w:rsidRPr="000C06D7">
        <w:rPr>
          <w:rFonts w:ascii="Times New Roman" w:hAnsi="Times New Roman"/>
        </w:rPr>
        <w:t>is on fair and reasonable terms,</w:t>
      </w:r>
      <w:r w:rsidR="007B2806" w:rsidRPr="000C06D7">
        <w:rPr>
          <w:rFonts w:ascii="Times New Roman" w:hAnsi="Times New Roman"/>
        </w:rPr>
        <w:t xml:space="preserve"> </w:t>
      </w:r>
      <w:r w:rsidR="00C62CE1" w:rsidRPr="000C06D7">
        <w:rPr>
          <w:rFonts w:ascii="Times New Roman" w:hAnsi="Times New Roman"/>
        </w:rPr>
        <w:t xml:space="preserve">it cannot matter </w:t>
      </w:r>
      <w:r w:rsidR="00905BF0" w:rsidRPr="000C06D7">
        <w:rPr>
          <w:rFonts w:ascii="Times New Roman" w:hAnsi="Times New Roman"/>
        </w:rPr>
        <w:t xml:space="preserve">which person </w:t>
      </w:r>
      <w:r w:rsidR="00E42DFA" w:rsidRPr="000C06D7">
        <w:rPr>
          <w:rFonts w:ascii="Times New Roman" w:hAnsi="Times New Roman"/>
        </w:rPr>
        <w:t>in</w:t>
      </w:r>
      <w:r w:rsidR="00905BF0" w:rsidRPr="000C06D7">
        <w:rPr>
          <w:rFonts w:ascii="Times New Roman" w:hAnsi="Times New Roman"/>
        </w:rPr>
        <w:t xml:space="preserve"> the </w:t>
      </w:r>
      <w:r w:rsidR="00E42DFA" w:rsidRPr="000C06D7">
        <w:rPr>
          <w:rFonts w:ascii="Times New Roman" w:hAnsi="Times New Roman"/>
        </w:rPr>
        <w:t xml:space="preserve">supply chain </w:t>
      </w:r>
      <w:r w:rsidR="004329B8" w:rsidRPr="000C06D7">
        <w:rPr>
          <w:rFonts w:ascii="Times New Roman" w:hAnsi="Times New Roman"/>
        </w:rPr>
        <w:t>actually uses</w:t>
      </w:r>
      <w:r w:rsidR="00905BF0" w:rsidRPr="000C06D7">
        <w:rPr>
          <w:rFonts w:ascii="Times New Roman" w:hAnsi="Times New Roman"/>
        </w:rPr>
        <w:t xml:space="preserve"> that facility</w:t>
      </w:r>
      <w:r w:rsidR="00C62CE1" w:rsidRPr="000C06D7">
        <w:rPr>
          <w:rFonts w:ascii="Times New Roman" w:hAnsi="Times New Roman"/>
        </w:rPr>
        <w:t>.</w:t>
      </w:r>
    </w:p>
    <w:p w14:paraId="6088483F" w14:textId="118EB294" w:rsidR="00F0549B" w:rsidRPr="000C06D7" w:rsidRDefault="00CA01D4"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6F1EAA" w:rsidRPr="000C06D7">
        <w:rPr>
          <w:rFonts w:ascii="Times New Roman" w:hAnsi="Times New Roman"/>
        </w:rPr>
        <w:t xml:space="preserve">To deny the right to negotiate to a </w:t>
      </w:r>
      <w:r w:rsidR="00804819" w:rsidRPr="000C06D7">
        <w:rPr>
          <w:rFonts w:ascii="Times New Roman" w:hAnsi="Times New Roman"/>
        </w:rPr>
        <w:t>competitor in a</w:t>
      </w:r>
      <w:r w:rsidR="002343B9" w:rsidRPr="000C06D7">
        <w:rPr>
          <w:rFonts w:ascii="Times New Roman" w:hAnsi="Times New Roman"/>
        </w:rPr>
        <w:t xml:space="preserve"> sufficiently connected</w:t>
      </w:r>
      <w:r w:rsidR="00804819" w:rsidRPr="000C06D7">
        <w:rPr>
          <w:rFonts w:ascii="Times New Roman" w:hAnsi="Times New Roman"/>
        </w:rPr>
        <w:t xml:space="preserve"> upstream or downstream market who </w:t>
      </w:r>
      <w:r w:rsidR="00895A93" w:rsidRPr="000C06D7">
        <w:rPr>
          <w:rFonts w:ascii="Times New Roman" w:hAnsi="Times New Roman"/>
        </w:rPr>
        <w:t xml:space="preserve">sincerely </w:t>
      </w:r>
      <w:r w:rsidR="00C3217D" w:rsidRPr="000C06D7">
        <w:rPr>
          <w:rFonts w:ascii="Times New Roman" w:hAnsi="Times New Roman"/>
        </w:rPr>
        <w:t>want</w:t>
      </w:r>
      <w:r w:rsidR="00895A93" w:rsidRPr="000C06D7">
        <w:rPr>
          <w:rFonts w:ascii="Times New Roman" w:hAnsi="Times New Roman"/>
        </w:rPr>
        <w:t>s</w:t>
      </w:r>
      <w:r w:rsidR="00C3217D" w:rsidRPr="000C06D7">
        <w:rPr>
          <w:rFonts w:ascii="Times New Roman" w:hAnsi="Times New Roman"/>
        </w:rPr>
        <w:t xml:space="preserve"> an opportunity to benefit from </w:t>
      </w:r>
      <w:r w:rsidR="00BC30DF" w:rsidRPr="000C06D7">
        <w:rPr>
          <w:rFonts w:ascii="Times New Roman" w:hAnsi="Times New Roman"/>
        </w:rPr>
        <w:t xml:space="preserve">the </w:t>
      </w:r>
      <w:r w:rsidR="00C3217D" w:rsidRPr="000C06D7">
        <w:rPr>
          <w:rFonts w:ascii="Times New Roman" w:hAnsi="Times New Roman"/>
        </w:rPr>
        <w:t xml:space="preserve">use </w:t>
      </w:r>
      <w:r w:rsidR="00F40095" w:rsidRPr="000C06D7">
        <w:rPr>
          <w:rFonts w:ascii="Times New Roman" w:hAnsi="Times New Roman"/>
        </w:rPr>
        <w:t xml:space="preserve">of an infrastructure facility </w:t>
      </w:r>
      <w:r w:rsidR="000C3AB3" w:rsidRPr="000C06D7">
        <w:rPr>
          <w:rFonts w:ascii="Times New Roman" w:hAnsi="Times New Roman"/>
        </w:rPr>
        <w:t>by someone else</w:t>
      </w:r>
      <w:r w:rsidR="005A4603" w:rsidRPr="000C06D7">
        <w:rPr>
          <w:rFonts w:ascii="Times New Roman" w:hAnsi="Times New Roman"/>
        </w:rPr>
        <w:t xml:space="preserve">, </w:t>
      </w:r>
      <w:r w:rsidR="001D45E5" w:rsidRPr="000C06D7">
        <w:rPr>
          <w:rFonts w:ascii="Times New Roman" w:hAnsi="Times New Roman"/>
        </w:rPr>
        <w:t xml:space="preserve">would </w:t>
      </w:r>
      <w:r w:rsidR="00B53EF4" w:rsidRPr="000C06D7">
        <w:rPr>
          <w:rFonts w:ascii="Times New Roman" w:hAnsi="Times New Roman"/>
        </w:rPr>
        <w:t xml:space="preserve">have the potential </w:t>
      </w:r>
      <w:r w:rsidR="001D45E5" w:rsidRPr="000C06D7">
        <w:rPr>
          <w:rFonts w:ascii="Times New Roman" w:hAnsi="Times New Roman"/>
        </w:rPr>
        <w:t xml:space="preserve">to constrain </w:t>
      </w:r>
      <w:r w:rsidR="00F0549B" w:rsidRPr="000C06D7">
        <w:rPr>
          <w:rFonts w:ascii="Times New Roman" w:hAnsi="Times New Roman"/>
        </w:rPr>
        <w:t>the</w:t>
      </w:r>
      <w:r w:rsidR="001D45E5" w:rsidRPr="000C06D7">
        <w:rPr>
          <w:rFonts w:ascii="Times New Roman" w:hAnsi="Times New Roman"/>
        </w:rPr>
        <w:t xml:space="preserve"> </w:t>
      </w:r>
      <w:r w:rsidR="00B65196" w:rsidRPr="000C06D7">
        <w:rPr>
          <w:rFonts w:ascii="Times New Roman" w:hAnsi="Times New Roman"/>
        </w:rPr>
        <w:t>economically efficient operation and use of that infrastructure facility</w:t>
      </w:r>
      <w:r w:rsidR="00792873" w:rsidRPr="000C06D7">
        <w:rPr>
          <w:rFonts w:ascii="Times New Roman" w:hAnsi="Times New Roman"/>
        </w:rPr>
        <w:t xml:space="preserve">. </w:t>
      </w:r>
      <w:r w:rsidR="006271B1" w:rsidRPr="000C06D7">
        <w:rPr>
          <w:rFonts w:ascii="Times New Roman" w:hAnsi="Times New Roman"/>
        </w:rPr>
        <w:t>I</w:t>
      </w:r>
      <w:r w:rsidR="00CB09BC" w:rsidRPr="000C06D7">
        <w:rPr>
          <w:rFonts w:ascii="Times New Roman" w:hAnsi="Times New Roman"/>
        </w:rPr>
        <w:t xml:space="preserve">n circumstances where </w:t>
      </w:r>
      <w:r w:rsidR="008410DC" w:rsidRPr="000C06D7">
        <w:rPr>
          <w:rFonts w:ascii="Times New Roman" w:hAnsi="Times New Roman"/>
        </w:rPr>
        <w:t>the person is reliant on the</w:t>
      </w:r>
      <w:r w:rsidR="00CB09BC" w:rsidRPr="000C06D7">
        <w:rPr>
          <w:rFonts w:ascii="Times New Roman" w:hAnsi="Times New Roman"/>
        </w:rPr>
        <w:t xml:space="preserve"> use of the </w:t>
      </w:r>
      <w:r w:rsidR="008410DC" w:rsidRPr="000C06D7">
        <w:rPr>
          <w:rFonts w:ascii="Times New Roman" w:hAnsi="Times New Roman"/>
        </w:rPr>
        <w:t xml:space="preserve">infrastructure facility by someone </w:t>
      </w:r>
      <w:r w:rsidR="00BA03C2" w:rsidRPr="000C06D7">
        <w:rPr>
          <w:rFonts w:ascii="Times New Roman" w:hAnsi="Times New Roman"/>
        </w:rPr>
        <w:t>who is</w:t>
      </w:r>
      <w:r w:rsidR="002C0E01" w:rsidRPr="000C06D7">
        <w:rPr>
          <w:rFonts w:ascii="Times New Roman" w:hAnsi="Times New Roman"/>
        </w:rPr>
        <w:t xml:space="preserve"> part of </w:t>
      </w:r>
      <w:r w:rsidR="00B8604A" w:rsidRPr="000C06D7">
        <w:rPr>
          <w:rFonts w:ascii="Times New Roman" w:hAnsi="Times New Roman"/>
        </w:rPr>
        <w:t>the person's</w:t>
      </w:r>
      <w:r w:rsidR="002C0E01" w:rsidRPr="000C06D7">
        <w:rPr>
          <w:rFonts w:ascii="Times New Roman" w:hAnsi="Times New Roman"/>
        </w:rPr>
        <w:t xml:space="preserve"> chain</w:t>
      </w:r>
      <w:r w:rsidR="00B8604A" w:rsidRPr="000C06D7">
        <w:rPr>
          <w:rFonts w:ascii="Times New Roman" w:hAnsi="Times New Roman"/>
        </w:rPr>
        <w:t xml:space="preserve"> of supply</w:t>
      </w:r>
      <w:r w:rsidR="00B94BD1" w:rsidRPr="000C06D7">
        <w:rPr>
          <w:rFonts w:ascii="Times New Roman" w:hAnsi="Times New Roman"/>
        </w:rPr>
        <w:t xml:space="preserve"> </w:t>
      </w:r>
      <w:r w:rsidR="00C440C4" w:rsidRPr="000C06D7">
        <w:rPr>
          <w:rFonts w:ascii="Times New Roman" w:hAnsi="Times New Roman"/>
        </w:rPr>
        <w:t>to</w:t>
      </w:r>
      <w:r w:rsidR="00B94BD1" w:rsidRPr="000C06D7">
        <w:rPr>
          <w:rFonts w:ascii="Times New Roman" w:hAnsi="Times New Roman"/>
        </w:rPr>
        <w:t xml:space="preserve"> an upstream or downstream market</w:t>
      </w:r>
      <w:r w:rsidR="00BA03C2" w:rsidRPr="000C06D7">
        <w:rPr>
          <w:rFonts w:ascii="Times New Roman" w:hAnsi="Times New Roman"/>
        </w:rPr>
        <w:t xml:space="preserve"> but is not someone with whom the person has a direct ongoing contractual relationship</w:t>
      </w:r>
      <w:r w:rsidR="002C0E01" w:rsidRPr="000C06D7">
        <w:rPr>
          <w:rFonts w:ascii="Times New Roman" w:hAnsi="Times New Roman"/>
        </w:rPr>
        <w:t>,</w:t>
      </w:r>
      <w:r w:rsidR="00CB09BC" w:rsidRPr="000C06D7">
        <w:rPr>
          <w:rFonts w:ascii="Times New Roman" w:hAnsi="Times New Roman"/>
        </w:rPr>
        <w:t xml:space="preserve"> </w:t>
      </w:r>
      <w:r w:rsidR="00645B8B" w:rsidRPr="000C06D7">
        <w:rPr>
          <w:rFonts w:ascii="Times New Roman" w:hAnsi="Times New Roman"/>
        </w:rPr>
        <w:t>the</w:t>
      </w:r>
      <w:r w:rsidR="00EC3FAA" w:rsidRPr="000C06D7">
        <w:rPr>
          <w:rFonts w:ascii="Times New Roman" w:hAnsi="Times New Roman"/>
        </w:rPr>
        <w:t xml:space="preserve"> denial of the right to negotiate </w:t>
      </w:r>
      <w:r w:rsidR="00BC4E74" w:rsidRPr="000C06D7">
        <w:rPr>
          <w:rFonts w:ascii="Times New Roman" w:hAnsi="Times New Roman"/>
        </w:rPr>
        <w:t xml:space="preserve">would have the potential to constrain the ability </w:t>
      </w:r>
      <w:r w:rsidR="0096086E" w:rsidRPr="000C06D7">
        <w:rPr>
          <w:rFonts w:ascii="Times New Roman" w:hAnsi="Times New Roman"/>
        </w:rPr>
        <w:t xml:space="preserve">of that person to engage in </w:t>
      </w:r>
      <w:r w:rsidR="00792873" w:rsidRPr="000C06D7">
        <w:rPr>
          <w:rFonts w:ascii="Times New Roman" w:hAnsi="Times New Roman"/>
        </w:rPr>
        <w:t xml:space="preserve">effective competition in </w:t>
      </w:r>
      <w:r w:rsidR="00C440C4" w:rsidRPr="000C06D7">
        <w:rPr>
          <w:rFonts w:ascii="Times New Roman" w:hAnsi="Times New Roman"/>
        </w:rPr>
        <w:t>that</w:t>
      </w:r>
      <w:r w:rsidR="0019263B" w:rsidRPr="000C06D7">
        <w:rPr>
          <w:rFonts w:ascii="Times New Roman" w:hAnsi="Times New Roman"/>
        </w:rPr>
        <w:t xml:space="preserve"> </w:t>
      </w:r>
      <w:r w:rsidR="00792873" w:rsidRPr="000C06D7">
        <w:rPr>
          <w:rFonts w:ascii="Times New Roman" w:hAnsi="Times New Roman"/>
        </w:rPr>
        <w:t xml:space="preserve">upstream </w:t>
      </w:r>
      <w:r w:rsidR="0019263B" w:rsidRPr="000C06D7">
        <w:rPr>
          <w:rFonts w:ascii="Times New Roman" w:hAnsi="Times New Roman"/>
        </w:rPr>
        <w:t>or</w:t>
      </w:r>
      <w:r w:rsidR="00792873" w:rsidRPr="000C06D7">
        <w:rPr>
          <w:rFonts w:ascii="Times New Roman" w:hAnsi="Times New Roman"/>
        </w:rPr>
        <w:t xml:space="preserve"> downstream market</w:t>
      </w:r>
      <w:r w:rsidR="00DC5647" w:rsidRPr="000C06D7">
        <w:rPr>
          <w:rFonts w:ascii="Times New Roman" w:hAnsi="Times New Roman"/>
        </w:rPr>
        <w:t xml:space="preserve">. In both of those respects, the denial </w:t>
      </w:r>
      <w:r w:rsidR="005A4603" w:rsidRPr="000C06D7">
        <w:rPr>
          <w:rFonts w:ascii="Times New Roman" w:hAnsi="Times New Roman"/>
        </w:rPr>
        <w:t xml:space="preserve">of the right to negotiate </w:t>
      </w:r>
      <w:r w:rsidR="00DC5647" w:rsidRPr="000C06D7">
        <w:rPr>
          <w:rFonts w:ascii="Times New Roman" w:hAnsi="Times New Roman"/>
        </w:rPr>
        <w:t>is</w:t>
      </w:r>
      <w:r w:rsidR="00F0549B" w:rsidRPr="000C06D7">
        <w:rPr>
          <w:rFonts w:ascii="Times New Roman" w:hAnsi="Times New Roman"/>
        </w:rPr>
        <w:t xml:space="preserve"> </w:t>
      </w:r>
      <w:r w:rsidR="001E61F4" w:rsidRPr="000C06D7">
        <w:rPr>
          <w:rFonts w:ascii="Times New Roman" w:hAnsi="Times New Roman"/>
        </w:rPr>
        <w:t xml:space="preserve">antithetical to </w:t>
      </w:r>
      <w:r w:rsidR="00F0549B" w:rsidRPr="000C06D7">
        <w:rPr>
          <w:rFonts w:ascii="Times New Roman" w:hAnsi="Times New Roman"/>
        </w:rPr>
        <w:t xml:space="preserve">the achievement of the </w:t>
      </w:r>
      <w:r w:rsidR="00221E73" w:rsidRPr="000C06D7">
        <w:rPr>
          <w:rFonts w:ascii="Times New Roman" w:hAnsi="Times New Roman"/>
        </w:rPr>
        <w:t xml:space="preserve">express </w:t>
      </w:r>
      <w:r w:rsidR="0017461A" w:rsidRPr="000C06D7">
        <w:rPr>
          <w:rFonts w:ascii="Times New Roman" w:hAnsi="Times New Roman"/>
        </w:rPr>
        <w:t>object o</w:t>
      </w:r>
      <w:r w:rsidR="00F0549B" w:rsidRPr="000C06D7">
        <w:rPr>
          <w:rFonts w:ascii="Times New Roman" w:hAnsi="Times New Roman"/>
        </w:rPr>
        <w:t>f the Part.</w:t>
      </w:r>
    </w:p>
    <w:p w14:paraId="48D28A54" w14:textId="07908E7C" w:rsidR="00EA3731" w:rsidRPr="000C06D7" w:rsidRDefault="00F0549B"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3F2D34" w:rsidRPr="000C06D7">
        <w:rPr>
          <w:rFonts w:ascii="Times New Roman" w:hAnsi="Times New Roman"/>
        </w:rPr>
        <w:t xml:space="preserve">The latter point is well enough illustrated by the circumstances of the </w:t>
      </w:r>
      <w:r w:rsidR="000B5705" w:rsidRPr="000C06D7">
        <w:rPr>
          <w:rFonts w:ascii="Times New Roman" w:hAnsi="Times New Roman"/>
        </w:rPr>
        <w:t xml:space="preserve">present case. As is obvious, and as was </w:t>
      </w:r>
      <w:r w:rsidR="001921B1" w:rsidRPr="000C06D7">
        <w:rPr>
          <w:rFonts w:ascii="Times New Roman" w:hAnsi="Times New Roman"/>
        </w:rPr>
        <w:t>for good measure</w:t>
      </w:r>
      <w:r w:rsidR="00DE5233" w:rsidRPr="000C06D7">
        <w:rPr>
          <w:rFonts w:ascii="Times New Roman" w:hAnsi="Times New Roman"/>
        </w:rPr>
        <w:t xml:space="preserve"> spelt out in evidence </w:t>
      </w:r>
      <w:r w:rsidR="00DC6AA4" w:rsidRPr="000C06D7">
        <w:rPr>
          <w:rFonts w:ascii="Times New Roman" w:hAnsi="Times New Roman"/>
        </w:rPr>
        <w:lastRenderedPageBreak/>
        <w:t xml:space="preserve">placed </w:t>
      </w:r>
      <w:r w:rsidR="00DE5233" w:rsidRPr="000C06D7">
        <w:rPr>
          <w:rFonts w:ascii="Times New Roman" w:hAnsi="Times New Roman"/>
        </w:rPr>
        <w:t xml:space="preserve">before the Tribunal, </w:t>
      </w:r>
      <w:r w:rsidR="003964AB" w:rsidRPr="000C06D7">
        <w:rPr>
          <w:rFonts w:ascii="Times New Roman" w:hAnsi="Times New Roman"/>
        </w:rPr>
        <w:t xml:space="preserve">wharfage charge pertaining to the use of the loading berths at the Port </w:t>
      </w:r>
      <w:r w:rsidR="005C5393" w:rsidRPr="000C06D7">
        <w:rPr>
          <w:rFonts w:ascii="Times New Roman" w:hAnsi="Times New Roman"/>
        </w:rPr>
        <w:t xml:space="preserve">and </w:t>
      </w:r>
      <w:r w:rsidR="0014316E" w:rsidRPr="000C06D7">
        <w:rPr>
          <w:rFonts w:ascii="Times New Roman" w:hAnsi="Times New Roman"/>
        </w:rPr>
        <w:t>n</w:t>
      </w:r>
      <w:r w:rsidR="00722B2C" w:rsidRPr="000C06D7">
        <w:rPr>
          <w:rFonts w:ascii="Times New Roman" w:hAnsi="Times New Roman"/>
        </w:rPr>
        <w:t xml:space="preserve">avigation </w:t>
      </w:r>
      <w:r w:rsidR="0014316E" w:rsidRPr="000C06D7">
        <w:rPr>
          <w:rFonts w:ascii="Times New Roman" w:hAnsi="Times New Roman"/>
        </w:rPr>
        <w:t>s</w:t>
      </w:r>
      <w:r w:rsidR="00722B2C" w:rsidRPr="000C06D7">
        <w:rPr>
          <w:rFonts w:ascii="Times New Roman" w:hAnsi="Times New Roman"/>
        </w:rPr>
        <w:t xml:space="preserve">ervice </w:t>
      </w:r>
      <w:r w:rsidR="00356217" w:rsidRPr="000C06D7">
        <w:rPr>
          <w:rFonts w:ascii="Times New Roman" w:hAnsi="Times New Roman"/>
        </w:rPr>
        <w:t>c</w:t>
      </w:r>
      <w:r w:rsidR="00722B2C" w:rsidRPr="000C06D7">
        <w:rPr>
          <w:rFonts w:ascii="Times New Roman" w:hAnsi="Times New Roman"/>
        </w:rPr>
        <w:t>harge per</w:t>
      </w:r>
      <w:r w:rsidR="00A61170" w:rsidRPr="000C06D7">
        <w:rPr>
          <w:rFonts w:ascii="Times New Roman" w:hAnsi="Times New Roman"/>
        </w:rPr>
        <w:t xml:space="preserve">taining to the use of the shipping channels at the Port </w:t>
      </w:r>
      <w:r w:rsidR="005C5393" w:rsidRPr="000C06D7">
        <w:rPr>
          <w:rFonts w:ascii="Times New Roman" w:hAnsi="Times New Roman"/>
        </w:rPr>
        <w:t xml:space="preserve">both </w:t>
      </w:r>
      <w:r w:rsidR="00C13990" w:rsidRPr="000C06D7">
        <w:rPr>
          <w:rFonts w:ascii="Times New Roman" w:hAnsi="Times New Roman"/>
        </w:rPr>
        <w:t xml:space="preserve">contribute to the landed cost of coal </w:t>
      </w:r>
      <w:r w:rsidR="00DC3BA0" w:rsidRPr="000C06D7">
        <w:rPr>
          <w:rFonts w:ascii="Times New Roman" w:hAnsi="Times New Roman"/>
        </w:rPr>
        <w:t xml:space="preserve">sold by Glencore </w:t>
      </w:r>
      <w:r w:rsidR="00D53B8F" w:rsidRPr="000C06D7">
        <w:rPr>
          <w:rFonts w:ascii="Times New Roman" w:hAnsi="Times New Roman"/>
        </w:rPr>
        <w:t xml:space="preserve">to a buyer. That is so </w:t>
      </w:r>
      <w:r w:rsidR="00155382" w:rsidRPr="000C06D7">
        <w:rPr>
          <w:rFonts w:ascii="Times New Roman" w:hAnsi="Times New Roman"/>
        </w:rPr>
        <w:t xml:space="preserve">whether the coal is sold </w:t>
      </w:r>
      <w:r w:rsidR="001A0389" w:rsidRPr="000C06D7">
        <w:rPr>
          <w:rFonts w:ascii="Times New Roman" w:hAnsi="Times New Roman"/>
        </w:rPr>
        <w:t xml:space="preserve">CIF (in which case </w:t>
      </w:r>
      <w:r w:rsidR="006A548E" w:rsidRPr="000C06D7">
        <w:rPr>
          <w:rFonts w:ascii="Times New Roman" w:hAnsi="Times New Roman"/>
        </w:rPr>
        <w:t xml:space="preserve">the charterer of the ship </w:t>
      </w:r>
      <w:r w:rsidR="00064B5A" w:rsidRPr="000C06D7">
        <w:rPr>
          <w:rFonts w:ascii="Times New Roman" w:hAnsi="Times New Roman"/>
        </w:rPr>
        <w:t>physically</w:t>
      </w:r>
      <w:r w:rsidR="00A81C55" w:rsidRPr="000C06D7">
        <w:rPr>
          <w:rFonts w:ascii="Times New Roman" w:hAnsi="Times New Roman"/>
        </w:rPr>
        <w:t xml:space="preserve"> us</w:t>
      </w:r>
      <w:r w:rsidR="00064B5A" w:rsidRPr="000C06D7">
        <w:rPr>
          <w:rFonts w:ascii="Times New Roman" w:hAnsi="Times New Roman"/>
        </w:rPr>
        <w:t>ing</w:t>
      </w:r>
      <w:r w:rsidR="00A81C55" w:rsidRPr="000C06D7">
        <w:rPr>
          <w:rFonts w:ascii="Times New Roman" w:hAnsi="Times New Roman"/>
        </w:rPr>
        <w:t xml:space="preserve"> the shipping channels is </w:t>
      </w:r>
      <w:r w:rsidR="00AC132E" w:rsidRPr="000C06D7">
        <w:rPr>
          <w:rFonts w:ascii="Times New Roman" w:hAnsi="Times New Roman"/>
        </w:rPr>
        <w:t xml:space="preserve">typically </w:t>
      </w:r>
      <w:r w:rsidR="00A81C55" w:rsidRPr="000C06D7">
        <w:rPr>
          <w:rFonts w:ascii="Times New Roman" w:hAnsi="Times New Roman"/>
        </w:rPr>
        <w:t>Glencore)</w:t>
      </w:r>
      <w:r w:rsidR="00AC132E" w:rsidRPr="000C06D7">
        <w:rPr>
          <w:rFonts w:ascii="Times New Roman" w:hAnsi="Times New Roman"/>
        </w:rPr>
        <w:t xml:space="preserve"> or FOB (in which case the charterer of the ship </w:t>
      </w:r>
      <w:r w:rsidR="007034D2" w:rsidRPr="000C06D7">
        <w:rPr>
          <w:rFonts w:ascii="Times New Roman" w:hAnsi="Times New Roman"/>
        </w:rPr>
        <w:t xml:space="preserve">physically using </w:t>
      </w:r>
      <w:r w:rsidR="00AC132E" w:rsidRPr="000C06D7">
        <w:rPr>
          <w:rFonts w:ascii="Times New Roman" w:hAnsi="Times New Roman"/>
        </w:rPr>
        <w:t xml:space="preserve">the shipping channels is typically the buyer). </w:t>
      </w:r>
      <w:r w:rsidR="000B6E3D" w:rsidRPr="000C06D7">
        <w:rPr>
          <w:rFonts w:ascii="Times New Roman" w:hAnsi="Times New Roman"/>
        </w:rPr>
        <w:t xml:space="preserve">To </w:t>
      </w:r>
      <w:r w:rsidR="006C5CFE" w:rsidRPr="000C06D7">
        <w:rPr>
          <w:rFonts w:ascii="Times New Roman" w:hAnsi="Times New Roman"/>
        </w:rPr>
        <w:t xml:space="preserve">extend </w:t>
      </w:r>
      <w:r w:rsidR="00356217" w:rsidRPr="000C06D7">
        <w:rPr>
          <w:rFonts w:ascii="Times New Roman" w:hAnsi="Times New Roman"/>
        </w:rPr>
        <w:t xml:space="preserve">to Glencore </w:t>
      </w:r>
      <w:r w:rsidR="006C5CFE" w:rsidRPr="000C06D7">
        <w:rPr>
          <w:rFonts w:ascii="Times New Roman" w:hAnsi="Times New Roman"/>
        </w:rPr>
        <w:t xml:space="preserve">the right to negotiate </w:t>
      </w:r>
      <w:r w:rsidR="0014316E" w:rsidRPr="000C06D7">
        <w:rPr>
          <w:rFonts w:ascii="Times New Roman" w:hAnsi="Times New Roman"/>
        </w:rPr>
        <w:t xml:space="preserve">about the amount of the </w:t>
      </w:r>
      <w:r w:rsidR="00356217" w:rsidRPr="000C06D7">
        <w:rPr>
          <w:rFonts w:ascii="Times New Roman" w:hAnsi="Times New Roman"/>
        </w:rPr>
        <w:t xml:space="preserve">navigation service charge </w:t>
      </w:r>
      <w:r w:rsidR="00C11B5C" w:rsidRPr="000C06D7">
        <w:rPr>
          <w:rFonts w:ascii="Times New Roman" w:hAnsi="Times New Roman"/>
        </w:rPr>
        <w:t xml:space="preserve">that might be fixed by PNO </w:t>
      </w:r>
      <w:r w:rsidR="006E4D6E" w:rsidRPr="000C06D7">
        <w:rPr>
          <w:rFonts w:ascii="Times New Roman" w:hAnsi="Times New Roman"/>
        </w:rPr>
        <w:t xml:space="preserve">when </w:t>
      </w:r>
      <w:r w:rsidR="00C11B5C" w:rsidRPr="000C06D7">
        <w:rPr>
          <w:rFonts w:ascii="Times New Roman" w:hAnsi="Times New Roman"/>
        </w:rPr>
        <w:t>Glencore</w:t>
      </w:r>
      <w:r w:rsidR="006E4D6E" w:rsidRPr="000C06D7">
        <w:rPr>
          <w:rFonts w:ascii="Times New Roman" w:hAnsi="Times New Roman"/>
        </w:rPr>
        <w:t xml:space="preserve"> sells CIF</w:t>
      </w:r>
      <w:r w:rsidR="009F5943" w:rsidRPr="000C06D7">
        <w:rPr>
          <w:rFonts w:ascii="Times New Roman" w:hAnsi="Times New Roman"/>
        </w:rPr>
        <w:t xml:space="preserve">, </w:t>
      </w:r>
      <w:r w:rsidR="006E4D6E" w:rsidRPr="000C06D7">
        <w:rPr>
          <w:rFonts w:ascii="Times New Roman" w:hAnsi="Times New Roman"/>
        </w:rPr>
        <w:t xml:space="preserve">but to </w:t>
      </w:r>
      <w:r w:rsidR="000B6E3D" w:rsidRPr="000C06D7">
        <w:rPr>
          <w:rFonts w:ascii="Times New Roman" w:hAnsi="Times New Roman"/>
        </w:rPr>
        <w:t xml:space="preserve">deny </w:t>
      </w:r>
      <w:r w:rsidR="006E4D6E" w:rsidRPr="000C06D7">
        <w:rPr>
          <w:rFonts w:ascii="Times New Roman" w:hAnsi="Times New Roman"/>
        </w:rPr>
        <w:t xml:space="preserve">to Glencore the right to negotiate about the amount of the navigation service charge </w:t>
      </w:r>
      <w:r w:rsidR="00C11B5C" w:rsidRPr="000C06D7">
        <w:rPr>
          <w:rFonts w:ascii="Times New Roman" w:hAnsi="Times New Roman"/>
        </w:rPr>
        <w:t xml:space="preserve">that might be fixed by PNO </w:t>
      </w:r>
      <w:r w:rsidR="006E4D6E" w:rsidRPr="000C06D7">
        <w:rPr>
          <w:rFonts w:ascii="Times New Roman" w:hAnsi="Times New Roman"/>
        </w:rPr>
        <w:t xml:space="preserve">when </w:t>
      </w:r>
      <w:r w:rsidR="00C11B5C" w:rsidRPr="000C06D7">
        <w:rPr>
          <w:rFonts w:ascii="Times New Roman" w:hAnsi="Times New Roman"/>
        </w:rPr>
        <w:t>Glencore</w:t>
      </w:r>
      <w:r w:rsidR="006E4D6E" w:rsidRPr="000C06D7">
        <w:rPr>
          <w:rFonts w:ascii="Times New Roman" w:hAnsi="Times New Roman"/>
        </w:rPr>
        <w:t xml:space="preserve"> sells</w:t>
      </w:r>
      <w:r w:rsidR="00A43786" w:rsidRPr="000C06D7">
        <w:rPr>
          <w:rFonts w:ascii="Times New Roman" w:hAnsi="Times New Roman"/>
        </w:rPr>
        <w:t xml:space="preserve"> FOB</w:t>
      </w:r>
      <w:r w:rsidR="009F5943" w:rsidRPr="000C06D7">
        <w:rPr>
          <w:rFonts w:ascii="Times New Roman" w:hAnsi="Times New Roman"/>
        </w:rPr>
        <w:t xml:space="preserve">, </w:t>
      </w:r>
      <w:r w:rsidR="00FC6306" w:rsidRPr="000C06D7">
        <w:rPr>
          <w:rFonts w:ascii="Times New Roman" w:hAnsi="Times New Roman"/>
        </w:rPr>
        <w:t>would be</w:t>
      </w:r>
      <w:r w:rsidR="00A43786" w:rsidRPr="000C06D7">
        <w:rPr>
          <w:rFonts w:ascii="Times New Roman" w:hAnsi="Times New Roman"/>
        </w:rPr>
        <w:t xml:space="preserve"> to constrain </w:t>
      </w:r>
      <w:r w:rsidR="003F4DA9" w:rsidRPr="000C06D7">
        <w:rPr>
          <w:rFonts w:ascii="Times New Roman" w:hAnsi="Times New Roman"/>
        </w:rPr>
        <w:t>a</w:t>
      </w:r>
      <w:r w:rsidR="008D10BB" w:rsidRPr="000C06D7">
        <w:rPr>
          <w:rFonts w:ascii="Times New Roman" w:hAnsi="Times New Roman"/>
        </w:rPr>
        <w:t>nd distort</w:t>
      </w:r>
      <w:r w:rsidR="003F4DA9" w:rsidRPr="000C06D7">
        <w:rPr>
          <w:rFonts w:ascii="Times New Roman" w:hAnsi="Times New Roman"/>
        </w:rPr>
        <w:t xml:space="preserve"> </w:t>
      </w:r>
      <w:r w:rsidR="00A43786" w:rsidRPr="000C06D7">
        <w:rPr>
          <w:rFonts w:ascii="Times New Roman" w:hAnsi="Times New Roman"/>
        </w:rPr>
        <w:t>the co</w:t>
      </w:r>
      <w:r w:rsidR="00DB2121" w:rsidRPr="000C06D7">
        <w:rPr>
          <w:rFonts w:ascii="Times New Roman" w:hAnsi="Times New Roman"/>
        </w:rPr>
        <w:t>ntractual</w:t>
      </w:r>
      <w:r w:rsidR="00A43786" w:rsidRPr="000C06D7">
        <w:rPr>
          <w:rFonts w:ascii="Times New Roman" w:hAnsi="Times New Roman"/>
        </w:rPr>
        <w:t xml:space="preserve"> choices </w:t>
      </w:r>
      <w:r w:rsidR="00DB2121" w:rsidRPr="000C06D7">
        <w:rPr>
          <w:rFonts w:ascii="Times New Roman" w:hAnsi="Times New Roman"/>
        </w:rPr>
        <w:t xml:space="preserve">available to </w:t>
      </w:r>
      <w:r w:rsidR="00C30C24" w:rsidRPr="000C06D7">
        <w:rPr>
          <w:rFonts w:ascii="Times New Roman" w:hAnsi="Times New Roman"/>
        </w:rPr>
        <w:t>Glencore</w:t>
      </w:r>
      <w:r w:rsidR="00DB2121" w:rsidRPr="000C06D7">
        <w:rPr>
          <w:rFonts w:ascii="Times New Roman" w:hAnsi="Times New Roman"/>
        </w:rPr>
        <w:t xml:space="preserve"> </w:t>
      </w:r>
      <w:r w:rsidR="008E78BC" w:rsidRPr="000C06D7">
        <w:rPr>
          <w:rFonts w:ascii="Times New Roman" w:hAnsi="Times New Roman"/>
        </w:rPr>
        <w:t xml:space="preserve">as a competitor </w:t>
      </w:r>
      <w:r w:rsidR="00C30C24" w:rsidRPr="000C06D7">
        <w:rPr>
          <w:rFonts w:ascii="Times New Roman" w:hAnsi="Times New Roman"/>
        </w:rPr>
        <w:t xml:space="preserve">in the downstream market in which it sells </w:t>
      </w:r>
      <w:r w:rsidR="00105CEA" w:rsidRPr="000C06D7">
        <w:rPr>
          <w:rFonts w:ascii="Times New Roman" w:hAnsi="Times New Roman"/>
        </w:rPr>
        <w:t>its</w:t>
      </w:r>
      <w:r w:rsidR="00C30C24" w:rsidRPr="000C06D7">
        <w:rPr>
          <w:rFonts w:ascii="Times New Roman" w:hAnsi="Times New Roman"/>
        </w:rPr>
        <w:t xml:space="preserve"> coal</w:t>
      </w:r>
      <w:r w:rsidR="00EA3731" w:rsidRPr="000C06D7">
        <w:rPr>
          <w:rFonts w:ascii="Times New Roman" w:hAnsi="Times New Roman"/>
        </w:rPr>
        <w:t>.</w:t>
      </w:r>
    </w:p>
    <w:p w14:paraId="7FF164C8" w14:textId="50E5DD50" w:rsidR="00A90E0E" w:rsidRPr="000C06D7" w:rsidRDefault="00ED712C"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B53EF4" w:rsidRPr="000C06D7">
        <w:rPr>
          <w:rFonts w:ascii="Times New Roman" w:hAnsi="Times New Roman"/>
        </w:rPr>
        <w:t xml:space="preserve">The </w:t>
      </w:r>
      <w:r w:rsidR="000875BB" w:rsidRPr="000C06D7">
        <w:rPr>
          <w:rFonts w:ascii="Times New Roman" w:hAnsi="Times New Roman"/>
        </w:rPr>
        <w:t xml:space="preserve">right to negotiate </w:t>
      </w:r>
      <w:r w:rsidR="002A6469" w:rsidRPr="000C06D7">
        <w:rPr>
          <w:rFonts w:ascii="Times New Roman" w:hAnsi="Times New Roman"/>
        </w:rPr>
        <w:t xml:space="preserve">that arises from </w:t>
      </w:r>
      <w:r w:rsidR="00304D10" w:rsidRPr="000C06D7">
        <w:rPr>
          <w:rFonts w:ascii="Times New Roman" w:hAnsi="Times New Roman"/>
        </w:rPr>
        <w:t xml:space="preserve">an expansive understanding of the meaning of "access" </w:t>
      </w:r>
      <w:r w:rsidR="00B53EF4" w:rsidRPr="000C06D7">
        <w:rPr>
          <w:rFonts w:ascii="Times New Roman" w:hAnsi="Times New Roman"/>
        </w:rPr>
        <w:t xml:space="preserve">no doubt </w:t>
      </w:r>
      <w:r w:rsidR="00CF1B07" w:rsidRPr="000C06D7">
        <w:rPr>
          <w:rFonts w:ascii="Times New Roman" w:hAnsi="Times New Roman"/>
        </w:rPr>
        <w:t xml:space="preserve">allows for the </w:t>
      </w:r>
      <w:r w:rsidR="00F24B80" w:rsidRPr="000C06D7">
        <w:rPr>
          <w:rFonts w:ascii="Times New Roman" w:hAnsi="Times New Roman"/>
        </w:rPr>
        <w:t>imagination to conjure</w:t>
      </w:r>
      <w:r w:rsidR="00304D10" w:rsidRPr="000C06D7">
        <w:rPr>
          <w:rFonts w:ascii="Times New Roman" w:hAnsi="Times New Roman"/>
        </w:rPr>
        <w:t xml:space="preserve"> </w:t>
      </w:r>
      <w:r w:rsidR="000875BB" w:rsidRPr="000C06D7">
        <w:rPr>
          <w:rFonts w:ascii="Times New Roman" w:hAnsi="Times New Roman"/>
        </w:rPr>
        <w:t>t</w:t>
      </w:r>
      <w:r w:rsidR="00E3091E" w:rsidRPr="000C06D7">
        <w:rPr>
          <w:rFonts w:ascii="Times New Roman" w:hAnsi="Times New Roman"/>
        </w:rPr>
        <w:t>he occurrence of</w:t>
      </w:r>
      <w:r w:rsidR="000875BB" w:rsidRPr="000C06D7">
        <w:rPr>
          <w:rFonts w:ascii="Times New Roman" w:hAnsi="Times New Roman"/>
        </w:rPr>
        <w:t xml:space="preserve"> multiple access dispute</w:t>
      </w:r>
      <w:r w:rsidR="00691F51" w:rsidRPr="000C06D7">
        <w:rPr>
          <w:rFonts w:ascii="Times New Roman" w:hAnsi="Times New Roman"/>
        </w:rPr>
        <w:t>s</w:t>
      </w:r>
      <w:r w:rsidR="000875BB" w:rsidRPr="000C06D7">
        <w:rPr>
          <w:rFonts w:ascii="Times New Roman" w:hAnsi="Times New Roman"/>
        </w:rPr>
        <w:t xml:space="preserve"> </w:t>
      </w:r>
      <w:r w:rsidR="009E4FC3" w:rsidRPr="000C06D7">
        <w:rPr>
          <w:rFonts w:ascii="Times New Roman" w:hAnsi="Times New Roman"/>
        </w:rPr>
        <w:t xml:space="preserve">over access to the same service </w:t>
      </w:r>
      <w:r w:rsidR="00E3091E" w:rsidRPr="000C06D7">
        <w:rPr>
          <w:rFonts w:ascii="Times New Roman" w:hAnsi="Times New Roman"/>
        </w:rPr>
        <w:t xml:space="preserve">initiated by third parties at </w:t>
      </w:r>
      <w:r w:rsidR="00984E6B" w:rsidRPr="000C06D7">
        <w:rPr>
          <w:rFonts w:ascii="Times New Roman" w:hAnsi="Times New Roman"/>
        </w:rPr>
        <w:t>multiple points in a supply chain. Extrapolating from</w:t>
      </w:r>
      <w:r w:rsidR="009E4FC3" w:rsidRPr="000C06D7">
        <w:rPr>
          <w:rFonts w:ascii="Times New Roman" w:hAnsi="Times New Roman"/>
        </w:rPr>
        <w:t xml:space="preserve"> the </w:t>
      </w:r>
      <w:r w:rsidR="00250271" w:rsidRPr="000C06D7">
        <w:rPr>
          <w:rFonts w:ascii="Times New Roman" w:hAnsi="Times New Roman"/>
        </w:rPr>
        <w:t xml:space="preserve">circumstances of the present case, </w:t>
      </w:r>
      <w:r w:rsidR="00984E6B" w:rsidRPr="000C06D7">
        <w:rPr>
          <w:rFonts w:ascii="Times New Roman" w:hAnsi="Times New Roman"/>
        </w:rPr>
        <w:t xml:space="preserve">it is </w:t>
      </w:r>
      <w:r w:rsidR="00564C92" w:rsidRPr="000C06D7">
        <w:rPr>
          <w:rFonts w:ascii="Times New Roman" w:hAnsi="Times New Roman"/>
        </w:rPr>
        <w:t xml:space="preserve">possible to imagine </w:t>
      </w:r>
      <w:r w:rsidR="00B53EF4" w:rsidRPr="000C06D7">
        <w:rPr>
          <w:rFonts w:ascii="Times New Roman" w:hAnsi="Times New Roman"/>
        </w:rPr>
        <w:t xml:space="preserve">persons other than Glencore also </w:t>
      </w:r>
      <w:r w:rsidR="00017C96" w:rsidRPr="000C06D7">
        <w:rPr>
          <w:rFonts w:ascii="Times New Roman" w:hAnsi="Times New Roman"/>
        </w:rPr>
        <w:t xml:space="preserve">invoking the right to negotiate with PNO about the </w:t>
      </w:r>
      <w:r w:rsidR="00A230C3" w:rsidRPr="000C06D7">
        <w:rPr>
          <w:rFonts w:ascii="Times New Roman" w:hAnsi="Times New Roman"/>
        </w:rPr>
        <w:t xml:space="preserve">amount of the navigation service charge </w:t>
      </w:r>
      <w:r w:rsidR="000B63C9" w:rsidRPr="000C06D7">
        <w:rPr>
          <w:rFonts w:ascii="Times New Roman" w:hAnsi="Times New Roman"/>
        </w:rPr>
        <w:t>applicable</w:t>
      </w:r>
      <w:r w:rsidR="00A230C3" w:rsidRPr="000C06D7">
        <w:rPr>
          <w:rFonts w:ascii="Times New Roman" w:hAnsi="Times New Roman"/>
        </w:rPr>
        <w:t xml:space="preserve"> to the use of the shipping channels </w:t>
      </w:r>
      <w:r w:rsidR="000B63C9" w:rsidRPr="000C06D7">
        <w:rPr>
          <w:rFonts w:ascii="Times New Roman" w:hAnsi="Times New Roman"/>
        </w:rPr>
        <w:t xml:space="preserve">by a </w:t>
      </w:r>
      <w:r w:rsidR="00904BF3" w:rsidRPr="000C06D7">
        <w:rPr>
          <w:rFonts w:ascii="Times New Roman" w:hAnsi="Times New Roman"/>
        </w:rPr>
        <w:t xml:space="preserve">particular </w:t>
      </w:r>
      <w:r w:rsidR="000B63C9" w:rsidRPr="000C06D7">
        <w:rPr>
          <w:rFonts w:ascii="Times New Roman" w:hAnsi="Times New Roman"/>
        </w:rPr>
        <w:t>ship carrying</w:t>
      </w:r>
      <w:r w:rsidR="00017C96" w:rsidRPr="000C06D7">
        <w:rPr>
          <w:rFonts w:ascii="Times New Roman" w:hAnsi="Times New Roman"/>
        </w:rPr>
        <w:t xml:space="preserve"> coal </w:t>
      </w:r>
      <w:r w:rsidR="007D1F5E" w:rsidRPr="000C06D7">
        <w:rPr>
          <w:rFonts w:ascii="Times New Roman" w:hAnsi="Times New Roman"/>
        </w:rPr>
        <w:t>sold by Glencore</w:t>
      </w:r>
      <w:r w:rsidR="004A782F" w:rsidRPr="000C06D7">
        <w:rPr>
          <w:rFonts w:ascii="Times New Roman" w:hAnsi="Times New Roman"/>
        </w:rPr>
        <w:t xml:space="preserve"> – for example,</w:t>
      </w:r>
      <w:r w:rsidR="00CC0185" w:rsidRPr="000C06D7">
        <w:rPr>
          <w:rFonts w:ascii="Times New Roman" w:hAnsi="Times New Roman"/>
        </w:rPr>
        <w:t xml:space="preserve"> </w:t>
      </w:r>
      <w:r w:rsidR="00C117CC" w:rsidRPr="000C06D7">
        <w:rPr>
          <w:rFonts w:ascii="Times New Roman" w:hAnsi="Times New Roman"/>
        </w:rPr>
        <w:t xml:space="preserve">the </w:t>
      </w:r>
      <w:r w:rsidR="004E45F6" w:rsidRPr="000C06D7">
        <w:rPr>
          <w:rFonts w:ascii="Times New Roman" w:hAnsi="Times New Roman"/>
        </w:rPr>
        <w:t xml:space="preserve">shipowner </w:t>
      </w:r>
      <w:r w:rsidR="000B63C9" w:rsidRPr="000C06D7">
        <w:rPr>
          <w:rFonts w:ascii="Times New Roman" w:hAnsi="Times New Roman"/>
        </w:rPr>
        <w:t>and the</w:t>
      </w:r>
      <w:r w:rsidR="004E45F6" w:rsidRPr="000C06D7">
        <w:rPr>
          <w:rFonts w:ascii="Times New Roman" w:hAnsi="Times New Roman"/>
        </w:rPr>
        <w:t xml:space="preserve"> overseas buyer</w:t>
      </w:r>
      <w:r w:rsidR="00904BF3" w:rsidRPr="000C06D7">
        <w:rPr>
          <w:rFonts w:ascii="Times New Roman" w:hAnsi="Times New Roman"/>
        </w:rPr>
        <w:t>,</w:t>
      </w:r>
      <w:r w:rsidR="004E45F6" w:rsidRPr="000C06D7">
        <w:rPr>
          <w:rFonts w:ascii="Times New Roman" w:hAnsi="Times New Roman"/>
        </w:rPr>
        <w:t xml:space="preserve"> </w:t>
      </w:r>
      <w:r w:rsidR="00CC0185" w:rsidRPr="000C06D7">
        <w:rPr>
          <w:rFonts w:ascii="Times New Roman" w:hAnsi="Times New Roman"/>
        </w:rPr>
        <w:t>and</w:t>
      </w:r>
      <w:r w:rsidR="005801FE" w:rsidRPr="000C06D7">
        <w:rPr>
          <w:rFonts w:ascii="Times New Roman" w:hAnsi="Times New Roman"/>
        </w:rPr>
        <w:t xml:space="preserve"> even a customer of the overseas buyer. </w:t>
      </w:r>
    </w:p>
    <w:p w14:paraId="5C6931F8" w14:textId="2E736F27" w:rsidR="00230EA9" w:rsidRPr="000C06D7" w:rsidRDefault="00883EE0"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A90E0E" w:rsidRPr="000C06D7">
        <w:rPr>
          <w:rFonts w:ascii="Times New Roman" w:hAnsi="Times New Roman"/>
        </w:rPr>
        <w:t xml:space="preserve">To imagine the </w:t>
      </w:r>
      <w:r w:rsidR="005801FE" w:rsidRPr="000C06D7">
        <w:rPr>
          <w:rFonts w:ascii="Times New Roman" w:hAnsi="Times New Roman"/>
        </w:rPr>
        <w:t xml:space="preserve">prospect </w:t>
      </w:r>
      <w:r w:rsidR="00A90E0E" w:rsidRPr="000C06D7">
        <w:rPr>
          <w:rFonts w:ascii="Times New Roman" w:hAnsi="Times New Roman"/>
        </w:rPr>
        <w:t xml:space="preserve">of </w:t>
      </w:r>
      <w:r w:rsidR="0021458D" w:rsidRPr="000C06D7">
        <w:rPr>
          <w:rFonts w:ascii="Times New Roman" w:hAnsi="Times New Roman"/>
        </w:rPr>
        <w:t xml:space="preserve">practical mischief </w:t>
      </w:r>
      <w:r w:rsidR="002B607F" w:rsidRPr="000C06D7">
        <w:rPr>
          <w:rFonts w:ascii="Times New Roman" w:hAnsi="Times New Roman"/>
        </w:rPr>
        <w:t xml:space="preserve">resulting from </w:t>
      </w:r>
      <w:r w:rsidR="00A90E0E" w:rsidRPr="000C06D7">
        <w:rPr>
          <w:rFonts w:ascii="Times New Roman" w:hAnsi="Times New Roman"/>
        </w:rPr>
        <w:t>multiple access disputes</w:t>
      </w:r>
      <w:r w:rsidR="00BB260F" w:rsidRPr="000C06D7">
        <w:rPr>
          <w:rFonts w:ascii="Times New Roman" w:hAnsi="Times New Roman"/>
        </w:rPr>
        <w:t xml:space="preserve"> </w:t>
      </w:r>
      <w:r w:rsidR="005801FE" w:rsidRPr="000C06D7">
        <w:rPr>
          <w:rFonts w:ascii="Times New Roman" w:hAnsi="Times New Roman"/>
        </w:rPr>
        <w:t xml:space="preserve">is </w:t>
      </w:r>
      <w:r w:rsidR="00BB260F" w:rsidRPr="000C06D7">
        <w:rPr>
          <w:rFonts w:ascii="Times New Roman" w:hAnsi="Times New Roman"/>
        </w:rPr>
        <w:t>quite un</w:t>
      </w:r>
      <w:r w:rsidR="00224E35" w:rsidRPr="000C06D7">
        <w:rPr>
          <w:rFonts w:ascii="Times New Roman" w:hAnsi="Times New Roman"/>
        </w:rPr>
        <w:t xml:space="preserve">real. </w:t>
      </w:r>
      <w:r w:rsidR="00CC0185" w:rsidRPr="000C06D7">
        <w:rPr>
          <w:rFonts w:ascii="Times New Roman" w:hAnsi="Times New Roman"/>
        </w:rPr>
        <w:t xml:space="preserve">Once access is determined on reasonable terms and conditions, </w:t>
      </w:r>
      <w:r w:rsidR="00B17E4D" w:rsidRPr="000C06D7">
        <w:rPr>
          <w:rFonts w:ascii="Times New Roman" w:hAnsi="Times New Roman"/>
        </w:rPr>
        <w:t>the bottleneck is unblocked. A</w:t>
      </w:r>
      <w:r w:rsidR="00CC0185" w:rsidRPr="000C06D7">
        <w:rPr>
          <w:rFonts w:ascii="Times New Roman" w:hAnsi="Times New Roman"/>
        </w:rPr>
        <w:t>ll in the supply chain benefit.</w:t>
      </w:r>
      <w:r w:rsidR="00D750F2" w:rsidRPr="000C06D7">
        <w:rPr>
          <w:rFonts w:ascii="Times New Roman" w:hAnsi="Times New Roman"/>
        </w:rPr>
        <w:t xml:space="preserve"> </w:t>
      </w:r>
      <w:r w:rsidR="00154122" w:rsidRPr="000C06D7">
        <w:rPr>
          <w:rFonts w:ascii="Times New Roman" w:hAnsi="Times New Roman"/>
        </w:rPr>
        <w:t xml:space="preserve">The incentive for someone else in the supply chain to go to the trouble and incur the expense of invoking the right to negotiate in the hope of achieving a better arbitrated outcome must be slight. </w:t>
      </w:r>
      <w:r w:rsidR="00230EA9" w:rsidRPr="000C06D7">
        <w:rPr>
          <w:rFonts w:ascii="Times New Roman" w:hAnsi="Times New Roman"/>
        </w:rPr>
        <w:t>Trivial or vexatious attempts to invoke the right to negotiate can be put to one side on the basis that they are readily capable of being weeded out in the exercise by the ACCC of its power to terminate an a</w:t>
      </w:r>
      <w:r w:rsidR="00006F09" w:rsidRPr="000C06D7">
        <w:rPr>
          <w:rFonts w:ascii="Times New Roman" w:hAnsi="Times New Roman"/>
        </w:rPr>
        <w:t>rbitration</w:t>
      </w:r>
      <w:r w:rsidR="00230EA9" w:rsidRPr="000C06D7">
        <w:rPr>
          <w:rFonts w:ascii="Times New Roman" w:hAnsi="Times New Roman"/>
        </w:rPr>
        <w:t>.</w:t>
      </w:r>
      <w:r w:rsidR="00184BA7" w:rsidRPr="000C06D7">
        <w:rPr>
          <w:rFonts w:ascii="Times New Roman" w:hAnsi="Times New Roman"/>
        </w:rPr>
        <w:t xml:space="preserve"> </w:t>
      </w:r>
      <w:r w:rsidR="00AE5DA1" w:rsidRPr="000C06D7">
        <w:rPr>
          <w:rFonts w:ascii="Times New Roman" w:hAnsi="Times New Roman"/>
        </w:rPr>
        <w:t>If</w:t>
      </w:r>
      <w:r w:rsidR="00CC0185" w:rsidRPr="000C06D7">
        <w:rPr>
          <w:rFonts w:ascii="Times New Roman" w:hAnsi="Times New Roman"/>
        </w:rPr>
        <w:t xml:space="preserve"> </w:t>
      </w:r>
      <w:r w:rsidR="009B5692" w:rsidRPr="000C06D7">
        <w:rPr>
          <w:rFonts w:ascii="Times New Roman" w:hAnsi="Times New Roman"/>
        </w:rPr>
        <w:t>overlapping</w:t>
      </w:r>
      <w:r w:rsidR="00006F09" w:rsidRPr="000C06D7">
        <w:rPr>
          <w:rFonts w:ascii="Times New Roman" w:hAnsi="Times New Roman"/>
        </w:rPr>
        <w:t xml:space="preserve"> </w:t>
      </w:r>
      <w:r w:rsidR="00E076F8" w:rsidRPr="000C06D7">
        <w:rPr>
          <w:rFonts w:ascii="Times New Roman" w:hAnsi="Times New Roman"/>
        </w:rPr>
        <w:t xml:space="preserve">substantive </w:t>
      </w:r>
      <w:r w:rsidR="00006F09" w:rsidRPr="000C06D7">
        <w:rPr>
          <w:rFonts w:ascii="Times New Roman" w:hAnsi="Times New Roman"/>
        </w:rPr>
        <w:t xml:space="preserve">arbitrations </w:t>
      </w:r>
      <w:r w:rsidR="000D5D92" w:rsidRPr="000C06D7">
        <w:rPr>
          <w:rFonts w:ascii="Times New Roman" w:hAnsi="Times New Roman"/>
        </w:rPr>
        <w:t>of disputes over access to the same service</w:t>
      </w:r>
      <w:r w:rsidR="00AE5DA1" w:rsidRPr="000C06D7">
        <w:rPr>
          <w:rFonts w:ascii="Times New Roman" w:hAnsi="Times New Roman"/>
        </w:rPr>
        <w:t xml:space="preserve"> were</w:t>
      </w:r>
      <w:r w:rsidR="000D5D92" w:rsidRPr="000C06D7">
        <w:rPr>
          <w:rFonts w:ascii="Times New Roman" w:hAnsi="Times New Roman"/>
        </w:rPr>
        <w:t xml:space="preserve"> </w:t>
      </w:r>
      <w:r w:rsidR="00B83F36" w:rsidRPr="000C06D7">
        <w:rPr>
          <w:rFonts w:ascii="Times New Roman" w:hAnsi="Times New Roman"/>
        </w:rPr>
        <w:t xml:space="preserve">ever to occur, </w:t>
      </w:r>
      <w:r w:rsidR="000D5D92" w:rsidRPr="000C06D7">
        <w:rPr>
          <w:rFonts w:ascii="Times New Roman" w:hAnsi="Times New Roman"/>
        </w:rPr>
        <w:t xml:space="preserve">those </w:t>
      </w:r>
      <w:r w:rsidR="00E076F8" w:rsidRPr="000C06D7">
        <w:rPr>
          <w:rFonts w:ascii="Times New Roman" w:hAnsi="Times New Roman"/>
        </w:rPr>
        <w:t xml:space="preserve">disputes </w:t>
      </w:r>
      <w:r w:rsidR="00B83F36" w:rsidRPr="000C06D7">
        <w:rPr>
          <w:rFonts w:ascii="Times New Roman" w:hAnsi="Times New Roman"/>
        </w:rPr>
        <w:t xml:space="preserve">would be required to be determined by the same arbitrator </w:t>
      </w:r>
      <w:r w:rsidR="00C21679" w:rsidRPr="000C06D7">
        <w:rPr>
          <w:rFonts w:ascii="Times New Roman" w:hAnsi="Times New Roman"/>
        </w:rPr>
        <w:t xml:space="preserve">– the ACCC – </w:t>
      </w:r>
      <w:r w:rsidR="00B83F36" w:rsidRPr="000C06D7">
        <w:rPr>
          <w:rFonts w:ascii="Times New Roman" w:hAnsi="Times New Roman"/>
        </w:rPr>
        <w:t xml:space="preserve">applying the same </w:t>
      </w:r>
      <w:r w:rsidR="002D0B36" w:rsidRPr="000C06D7">
        <w:rPr>
          <w:rFonts w:ascii="Times New Roman" w:hAnsi="Times New Roman"/>
        </w:rPr>
        <w:t>statutory criteria</w:t>
      </w:r>
      <w:r w:rsidR="009B4483" w:rsidRPr="000C06D7">
        <w:rPr>
          <w:rFonts w:ascii="Times New Roman" w:hAnsi="Times New Roman"/>
        </w:rPr>
        <w:t>. This</w:t>
      </w:r>
      <w:r w:rsidR="002D0B36" w:rsidRPr="000C06D7">
        <w:rPr>
          <w:rFonts w:ascii="Times New Roman" w:hAnsi="Times New Roman"/>
        </w:rPr>
        <w:t xml:space="preserve"> </w:t>
      </w:r>
      <w:r w:rsidR="0071085F" w:rsidRPr="000C06D7">
        <w:rPr>
          <w:rFonts w:ascii="Times New Roman" w:hAnsi="Times New Roman"/>
        </w:rPr>
        <w:t xml:space="preserve">would mean that the </w:t>
      </w:r>
      <w:r w:rsidR="00841B56" w:rsidRPr="000C06D7">
        <w:rPr>
          <w:rFonts w:ascii="Times New Roman" w:hAnsi="Times New Roman"/>
        </w:rPr>
        <w:t>chance</w:t>
      </w:r>
      <w:r w:rsidR="0071085F" w:rsidRPr="000C06D7">
        <w:rPr>
          <w:rFonts w:ascii="Times New Roman" w:hAnsi="Times New Roman"/>
        </w:rPr>
        <w:t xml:space="preserve"> of inconsistent </w:t>
      </w:r>
      <w:r w:rsidR="00C21679" w:rsidRPr="000C06D7">
        <w:rPr>
          <w:rFonts w:ascii="Times New Roman" w:hAnsi="Times New Roman"/>
        </w:rPr>
        <w:t xml:space="preserve">final </w:t>
      </w:r>
      <w:r w:rsidR="00A90CC4" w:rsidRPr="000C06D7">
        <w:rPr>
          <w:rFonts w:ascii="Times New Roman" w:hAnsi="Times New Roman"/>
        </w:rPr>
        <w:t xml:space="preserve">determinations </w:t>
      </w:r>
      <w:r w:rsidR="00841B56" w:rsidRPr="000C06D7">
        <w:rPr>
          <w:rFonts w:ascii="Times New Roman" w:hAnsi="Times New Roman"/>
        </w:rPr>
        <w:t>w</w:t>
      </w:r>
      <w:r w:rsidR="00A90CC4" w:rsidRPr="000C06D7">
        <w:rPr>
          <w:rFonts w:ascii="Times New Roman" w:hAnsi="Times New Roman"/>
        </w:rPr>
        <w:t xml:space="preserve">ould for practical purposes </w:t>
      </w:r>
      <w:r w:rsidR="00841B56" w:rsidRPr="000C06D7">
        <w:rPr>
          <w:rFonts w:ascii="Times New Roman" w:hAnsi="Times New Roman"/>
        </w:rPr>
        <w:t>be non-existent.</w:t>
      </w:r>
    </w:p>
    <w:p w14:paraId="0E3C9E01" w14:textId="19522387" w:rsidR="00A40C31" w:rsidRPr="000C06D7" w:rsidRDefault="00A40C31"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2E470E" w:rsidRPr="000C06D7">
        <w:rPr>
          <w:rFonts w:ascii="Times New Roman" w:hAnsi="Times New Roman"/>
        </w:rPr>
        <w:t>None of that is to suggest</w:t>
      </w:r>
      <w:r w:rsidR="00664D9A" w:rsidRPr="000C06D7">
        <w:rPr>
          <w:rFonts w:ascii="Times New Roman" w:hAnsi="Times New Roman"/>
        </w:rPr>
        <w:t xml:space="preserve"> that any person </w:t>
      </w:r>
      <w:r w:rsidR="00F8137E" w:rsidRPr="000C06D7">
        <w:rPr>
          <w:rFonts w:ascii="Times New Roman" w:hAnsi="Times New Roman"/>
        </w:rPr>
        <w:t xml:space="preserve">who might in any way benefit economically from the </w:t>
      </w:r>
      <w:r w:rsidR="005B4CB4" w:rsidRPr="000C06D7">
        <w:rPr>
          <w:rFonts w:ascii="Times New Roman" w:hAnsi="Times New Roman"/>
        </w:rPr>
        <w:t xml:space="preserve">use of </w:t>
      </w:r>
      <w:r w:rsidR="002E470E" w:rsidRPr="000C06D7">
        <w:rPr>
          <w:rFonts w:ascii="Times New Roman" w:hAnsi="Times New Roman"/>
        </w:rPr>
        <w:t>a service provided by means of an essential facility</w:t>
      </w:r>
      <w:r w:rsidR="005B4CB4" w:rsidRPr="000C06D7">
        <w:rPr>
          <w:rFonts w:ascii="Times New Roman" w:hAnsi="Times New Roman"/>
        </w:rPr>
        <w:t xml:space="preserve"> will </w:t>
      </w:r>
      <w:r w:rsidR="00C81C59" w:rsidRPr="000C06D7">
        <w:rPr>
          <w:rFonts w:ascii="Times New Roman" w:hAnsi="Times New Roman"/>
        </w:rPr>
        <w:t>be</w:t>
      </w:r>
      <w:r w:rsidR="005B4CB4" w:rsidRPr="000C06D7">
        <w:rPr>
          <w:rFonts w:ascii="Times New Roman" w:hAnsi="Times New Roman"/>
        </w:rPr>
        <w:t xml:space="preserve"> a </w:t>
      </w:r>
      <w:r w:rsidR="00CB0C37" w:rsidRPr="000C06D7">
        <w:rPr>
          <w:rFonts w:ascii="Times New Roman" w:hAnsi="Times New Roman"/>
        </w:rPr>
        <w:t>"</w:t>
      </w:r>
      <w:r w:rsidR="005B4CB4" w:rsidRPr="000C06D7">
        <w:rPr>
          <w:rFonts w:ascii="Times New Roman" w:hAnsi="Times New Roman"/>
        </w:rPr>
        <w:t>third party</w:t>
      </w:r>
      <w:r w:rsidR="00CB0C37" w:rsidRPr="000C06D7">
        <w:rPr>
          <w:rFonts w:ascii="Times New Roman" w:hAnsi="Times New Roman"/>
        </w:rPr>
        <w:t>"</w:t>
      </w:r>
      <w:r w:rsidR="005B4CB4" w:rsidRPr="000C06D7">
        <w:rPr>
          <w:rFonts w:ascii="Times New Roman" w:hAnsi="Times New Roman"/>
        </w:rPr>
        <w:t xml:space="preserve"> </w:t>
      </w:r>
      <w:r w:rsidR="00E2749D" w:rsidRPr="000C06D7">
        <w:rPr>
          <w:rFonts w:ascii="Times New Roman" w:hAnsi="Times New Roman"/>
        </w:rPr>
        <w:t xml:space="preserve">having a right to negotiate with the provider of the service. </w:t>
      </w:r>
      <w:r w:rsidR="00F92C3C" w:rsidRPr="000C06D7">
        <w:rPr>
          <w:rFonts w:ascii="Times New Roman" w:hAnsi="Times New Roman"/>
        </w:rPr>
        <w:t xml:space="preserve">The ripples of economic affection </w:t>
      </w:r>
      <w:r w:rsidR="00BC67EA" w:rsidRPr="000C06D7">
        <w:rPr>
          <w:rFonts w:ascii="Times New Roman" w:hAnsi="Times New Roman"/>
        </w:rPr>
        <w:t>can be</w:t>
      </w:r>
      <w:r w:rsidR="00F92C3C" w:rsidRPr="000C06D7">
        <w:rPr>
          <w:rFonts w:ascii="Times New Roman" w:hAnsi="Times New Roman"/>
        </w:rPr>
        <w:t xml:space="preserve"> far reaching. </w:t>
      </w:r>
      <w:r w:rsidR="00C73698" w:rsidRPr="000C06D7">
        <w:rPr>
          <w:rFonts w:ascii="Times New Roman" w:hAnsi="Times New Roman"/>
        </w:rPr>
        <w:t>Having regard to the principal object of Pt</w:t>
      </w:r>
      <w:r w:rsidR="00AF5F10" w:rsidRPr="000C06D7">
        <w:rPr>
          <w:rFonts w:ascii="Times New Roman" w:hAnsi="Times New Roman"/>
        </w:rPr>
        <w:t> </w:t>
      </w:r>
      <w:r w:rsidR="00C73698" w:rsidRPr="000C06D7">
        <w:rPr>
          <w:rFonts w:ascii="Times New Roman" w:hAnsi="Times New Roman"/>
        </w:rPr>
        <w:t>IIIA, economic effects</w:t>
      </w:r>
      <w:r w:rsidR="00460E01" w:rsidRPr="000C06D7">
        <w:rPr>
          <w:rFonts w:ascii="Times New Roman" w:hAnsi="Times New Roman"/>
        </w:rPr>
        <w:t xml:space="preserve"> felt</w:t>
      </w:r>
      <w:r w:rsidR="00F92C3C" w:rsidRPr="000C06D7">
        <w:rPr>
          <w:rFonts w:ascii="Times New Roman" w:hAnsi="Times New Roman"/>
        </w:rPr>
        <w:t xml:space="preserve"> </w:t>
      </w:r>
      <w:r w:rsidR="001E0C7F" w:rsidRPr="000C06D7">
        <w:rPr>
          <w:rFonts w:ascii="Times New Roman" w:hAnsi="Times New Roman"/>
        </w:rPr>
        <w:t>outside</w:t>
      </w:r>
      <w:r w:rsidR="00F92C3C" w:rsidRPr="000C06D7">
        <w:rPr>
          <w:rFonts w:ascii="Times New Roman" w:hAnsi="Times New Roman"/>
        </w:rPr>
        <w:t xml:space="preserve"> the </w:t>
      </w:r>
      <w:r w:rsidR="005A3E87" w:rsidRPr="000C06D7">
        <w:rPr>
          <w:rFonts w:ascii="Times New Roman" w:hAnsi="Times New Roman"/>
        </w:rPr>
        <w:t xml:space="preserve">chain of supply </w:t>
      </w:r>
      <w:r w:rsidR="00752587" w:rsidRPr="000C06D7">
        <w:rPr>
          <w:rFonts w:ascii="Times New Roman" w:hAnsi="Times New Roman"/>
        </w:rPr>
        <w:lastRenderedPageBreak/>
        <w:t>leading to</w:t>
      </w:r>
      <w:r w:rsidR="00F92C3C" w:rsidRPr="000C06D7">
        <w:rPr>
          <w:rFonts w:ascii="Times New Roman" w:hAnsi="Times New Roman"/>
        </w:rPr>
        <w:t xml:space="preserve"> competition in an upstream or downstream market lie beyond </w:t>
      </w:r>
      <w:r w:rsidR="00C73698" w:rsidRPr="000C06D7">
        <w:rPr>
          <w:rFonts w:ascii="Times New Roman" w:hAnsi="Times New Roman"/>
        </w:rPr>
        <w:t>the scope of the Part.</w:t>
      </w:r>
    </w:p>
    <w:p w14:paraId="501198A6" w14:textId="636687E1" w:rsidR="00EA3731" w:rsidRPr="000C06D7" w:rsidRDefault="00EA3731" w:rsidP="000C06D7">
      <w:pPr>
        <w:pStyle w:val="HeadingL2"/>
        <w:spacing w:after="260" w:line="280" w:lineRule="exact"/>
        <w:ind w:right="0"/>
        <w:jc w:val="both"/>
        <w:rPr>
          <w:rFonts w:ascii="Times New Roman" w:hAnsi="Times New Roman"/>
        </w:rPr>
      </w:pPr>
      <w:r w:rsidRPr="000C06D7">
        <w:rPr>
          <w:rFonts w:ascii="Times New Roman" w:hAnsi="Times New Roman"/>
        </w:rPr>
        <w:t>The Ser</w:t>
      </w:r>
      <w:r w:rsidR="00517D46" w:rsidRPr="000C06D7">
        <w:rPr>
          <w:rFonts w:ascii="Times New Roman" w:hAnsi="Times New Roman"/>
        </w:rPr>
        <w:t>vice</w:t>
      </w:r>
      <w:r w:rsidRPr="000C06D7">
        <w:rPr>
          <w:rFonts w:ascii="Times New Roman" w:hAnsi="Times New Roman"/>
        </w:rPr>
        <w:t xml:space="preserve"> </w:t>
      </w:r>
      <w:r w:rsidR="00463331" w:rsidRPr="000C06D7">
        <w:rPr>
          <w:rFonts w:ascii="Times New Roman" w:hAnsi="Times New Roman"/>
        </w:rPr>
        <w:t>as described in the</w:t>
      </w:r>
      <w:r w:rsidRPr="000C06D7">
        <w:rPr>
          <w:rFonts w:ascii="Times New Roman" w:hAnsi="Times New Roman"/>
        </w:rPr>
        <w:t xml:space="preserve"> </w:t>
      </w:r>
      <w:r w:rsidR="00463331" w:rsidRPr="000C06D7">
        <w:rPr>
          <w:rFonts w:ascii="Times New Roman" w:hAnsi="Times New Roman"/>
        </w:rPr>
        <w:t>Declaration</w:t>
      </w:r>
    </w:p>
    <w:p w14:paraId="6C6BDA10" w14:textId="09FBFDE7" w:rsidR="00AC132E" w:rsidRPr="000C06D7" w:rsidRDefault="00EA3731"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130B1A" w:rsidRPr="000C06D7">
        <w:rPr>
          <w:rFonts w:ascii="Times New Roman" w:hAnsi="Times New Roman"/>
        </w:rPr>
        <w:t>T</w:t>
      </w:r>
      <w:r w:rsidRPr="000C06D7">
        <w:rPr>
          <w:rFonts w:ascii="Times New Roman" w:hAnsi="Times New Roman"/>
        </w:rPr>
        <w:t>he</w:t>
      </w:r>
      <w:r w:rsidR="00463331" w:rsidRPr="000C06D7">
        <w:rPr>
          <w:rFonts w:ascii="Times New Roman" w:hAnsi="Times New Roman"/>
        </w:rPr>
        <w:t xml:space="preserve"> Declaration</w:t>
      </w:r>
      <w:r w:rsidR="00130B1A" w:rsidRPr="000C06D7">
        <w:rPr>
          <w:rFonts w:ascii="Times New Roman" w:hAnsi="Times New Roman"/>
        </w:rPr>
        <w:t xml:space="preserve">, it will be recalled, </w:t>
      </w:r>
      <w:r w:rsidR="000D077A" w:rsidRPr="000C06D7">
        <w:rPr>
          <w:rFonts w:ascii="Times New Roman" w:hAnsi="Times New Roman"/>
        </w:rPr>
        <w:t xml:space="preserve">relevantly </w:t>
      </w:r>
      <w:r w:rsidR="00463331" w:rsidRPr="000C06D7">
        <w:rPr>
          <w:rFonts w:ascii="Times New Roman" w:hAnsi="Times New Roman"/>
        </w:rPr>
        <w:t xml:space="preserve">described the Service </w:t>
      </w:r>
      <w:r w:rsidR="00194926" w:rsidRPr="000C06D7">
        <w:rPr>
          <w:rFonts w:ascii="Times New Roman" w:hAnsi="Times New Roman"/>
        </w:rPr>
        <w:t>as</w:t>
      </w:r>
      <w:r w:rsidR="000D077A" w:rsidRPr="000C06D7">
        <w:rPr>
          <w:rFonts w:ascii="Times New Roman" w:hAnsi="Times New Roman"/>
        </w:rPr>
        <w:t xml:space="preserve"> "the provision of the right to access and use the shipping channels (including berths next to wharves as part of the channels) at the Port</w:t>
      </w:r>
      <w:r w:rsidR="00A95653" w:rsidRPr="000C06D7">
        <w:rPr>
          <w:rFonts w:ascii="Times New Roman" w:hAnsi="Times New Roman"/>
        </w:rPr>
        <w:t xml:space="preserve">". </w:t>
      </w:r>
      <w:r w:rsidR="00D50E55" w:rsidRPr="000C06D7">
        <w:rPr>
          <w:rFonts w:ascii="Times New Roman" w:hAnsi="Times New Roman"/>
        </w:rPr>
        <w:t xml:space="preserve">Plainly, the </w:t>
      </w:r>
      <w:r w:rsidR="0083472C" w:rsidRPr="000C06D7">
        <w:rPr>
          <w:rFonts w:ascii="Times New Roman" w:hAnsi="Times New Roman"/>
        </w:rPr>
        <w:t xml:space="preserve">introductory reference to "the provision of the right to access" is surplusage. </w:t>
      </w:r>
      <w:r w:rsidR="001A1947" w:rsidRPr="000C06D7">
        <w:rPr>
          <w:rFonts w:ascii="Times New Roman" w:hAnsi="Times New Roman"/>
        </w:rPr>
        <w:t>Having regard to</w:t>
      </w:r>
      <w:r w:rsidR="002051D4" w:rsidRPr="000C06D7">
        <w:rPr>
          <w:rFonts w:ascii="Times New Roman" w:hAnsi="Times New Roman"/>
        </w:rPr>
        <w:t xml:space="preserve"> the </w:t>
      </w:r>
      <w:r w:rsidR="009F5371" w:rsidRPr="000C06D7">
        <w:rPr>
          <w:rFonts w:ascii="Times New Roman" w:hAnsi="Times New Roman"/>
        </w:rPr>
        <w:t xml:space="preserve">structure of the </w:t>
      </w:r>
      <w:r w:rsidR="002051D4" w:rsidRPr="000C06D7">
        <w:rPr>
          <w:rFonts w:ascii="Times New Roman" w:hAnsi="Times New Roman"/>
        </w:rPr>
        <w:t>definition</w:t>
      </w:r>
      <w:r w:rsidR="009F5371" w:rsidRPr="000C06D7">
        <w:rPr>
          <w:rFonts w:ascii="Times New Roman" w:hAnsi="Times New Roman"/>
        </w:rPr>
        <w:t xml:space="preserve"> of "service"</w:t>
      </w:r>
      <w:r w:rsidR="002051D4" w:rsidRPr="000C06D7">
        <w:rPr>
          <w:rFonts w:ascii="Times New Roman" w:hAnsi="Times New Roman"/>
        </w:rPr>
        <w:t xml:space="preserve"> </w:t>
      </w:r>
      <w:r w:rsidR="00BA52B9" w:rsidRPr="000C06D7">
        <w:rPr>
          <w:rFonts w:ascii="Times New Roman" w:hAnsi="Times New Roman"/>
        </w:rPr>
        <w:t xml:space="preserve">set out </w:t>
      </w:r>
      <w:r w:rsidR="002051D4" w:rsidRPr="000C06D7">
        <w:rPr>
          <w:rFonts w:ascii="Times New Roman" w:hAnsi="Times New Roman"/>
        </w:rPr>
        <w:t>in s</w:t>
      </w:r>
      <w:r w:rsidR="007F0D53" w:rsidRPr="000C06D7">
        <w:rPr>
          <w:rFonts w:ascii="Times New Roman" w:hAnsi="Times New Roman"/>
        </w:rPr>
        <w:t> </w:t>
      </w:r>
      <w:r w:rsidR="009A513E" w:rsidRPr="000C06D7">
        <w:rPr>
          <w:rFonts w:ascii="Times New Roman" w:hAnsi="Times New Roman"/>
        </w:rPr>
        <w:t>44B of the Act, t</w:t>
      </w:r>
      <w:r w:rsidR="00BC406F" w:rsidRPr="000C06D7">
        <w:rPr>
          <w:rFonts w:ascii="Times New Roman" w:hAnsi="Times New Roman"/>
        </w:rPr>
        <w:t>he service</w:t>
      </w:r>
      <w:r w:rsidR="009A513E" w:rsidRPr="000C06D7">
        <w:rPr>
          <w:rFonts w:ascii="Times New Roman" w:hAnsi="Times New Roman"/>
        </w:rPr>
        <w:t xml:space="preserve"> declar</w:t>
      </w:r>
      <w:r w:rsidR="006E12B0" w:rsidRPr="000C06D7">
        <w:rPr>
          <w:rFonts w:ascii="Times New Roman" w:hAnsi="Times New Roman"/>
        </w:rPr>
        <w:t xml:space="preserve">ed </w:t>
      </w:r>
      <w:r w:rsidR="00BA52B9" w:rsidRPr="000C06D7">
        <w:rPr>
          <w:rFonts w:ascii="Times New Roman" w:hAnsi="Times New Roman"/>
        </w:rPr>
        <w:t xml:space="preserve">by the Declaration </w:t>
      </w:r>
      <w:r w:rsidR="006E12B0" w:rsidRPr="000C06D7">
        <w:rPr>
          <w:rFonts w:ascii="Times New Roman" w:hAnsi="Times New Roman"/>
        </w:rPr>
        <w:t xml:space="preserve">is </w:t>
      </w:r>
      <w:r w:rsidR="007E648E" w:rsidRPr="000C06D7">
        <w:rPr>
          <w:rFonts w:ascii="Times New Roman" w:hAnsi="Times New Roman"/>
        </w:rPr>
        <w:t>"the use</w:t>
      </w:r>
      <w:r w:rsidR="00C64ACF" w:rsidRPr="000C06D7">
        <w:rPr>
          <w:rFonts w:ascii="Times New Roman" w:hAnsi="Times New Roman"/>
        </w:rPr>
        <w:t>"</w:t>
      </w:r>
      <w:r w:rsidR="007E648E" w:rsidRPr="000C06D7">
        <w:rPr>
          <w:rFonts w:ascii="Times New Roman" w:hAnsi="Times New Roman"/>
        </w:rPr>
        <w:t xml:space="preserve"> of an infrastructure facility</w:t>
      </w:r>
      <w:r w:rsidR="00884CCB" w:rsidRPr="000C06D7">
        <w:rPr>
          <w:rFonts w:ascii="Times New Roman" w:hAnsi="Times New Roman"/>
        </w:rPr>
        <w:t xml:space="preserve"> constituted by the shipping channels</w:t>
      </w:r>
      <w:r w:rsidR="00EE4364" w:rsidRPr="000C06D7">
        <w:rPr>
          <w:rFonts w:ascii="Times New Roman" w:hAnsi="Times New Roman"/>
        </w:rPr>
        <w:t>,</w:t>
      </w:r>
      <w:r w:rsidR="00884CCB" w:rsidRPr="000C06D7">
        <w:rPr>
          <w:rFonts w:ascii="Times New Roman" w:hAnsi="Times New Roman"/>
        </w:rPr>
        <w:t xml:space="preserve"> </w:t>
      </w:r>
      <w:r w:rsidR="00E973B1" w:rsidRPr="000C06D7">
        <w:rPr>
          <w:rFonts w:ascii="Times New Roman" w:hAnsi="Times New Roman"/>
        </w:rPr>
        <w:t xml:space="preserve">which are treated for the purposes of the Declaration </w:t>
      </w:r>
      <w:r w:rsidR="00074B1A" w:rsidRPr="000C06D7">
        <w:rPr>
          <w:rFonts w:ascii="Times New Roman" w:hAnsi="Times New Roman"/>
        </w:rPr>
        <w:t>as including</w:t>
      </w:r>
      <w:r w:rsidR="00884CCB" w:rsidRPr="000C06D7">
        <w:rPr>
          <w:rFonts w:ascii="Times New Roman" w:hAnsi="Times New Roman"/>
        </w:rPr>
        <w:t xml:space="preserve"> the berths.</w:t>
      </w:r>
    </w:p>
    <w:p w14:paraId="0B3857E6" w14:textId="234837A0" w:rsidR="00160600" w:rsidRPr="000C06D7" w:rsidRDefault="00884CCB"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762407" w:rsidRPr="000C06D7">
        <w:rPr>
          <w:rFonts w:ascii="Times New Roman" w:hAnsi="Times New Roman"/>
        </w:rPr>
        <w:t xml:space="preserve">In </w:t>
      </w:r>
      <w:r w:rsidR="00C0377E" w:rsidRPr="000C06D7">
        <w:rPr>
          <w:rFonts w:ascii="Times New Roman" w:hAnsi="Times New Roman"/>
        </w:rPr>
        <w:t xml:space="preserve">circumstances where </w:t>
      </w:r>
      <w:r w:rsidR="007B1306" w:rsidRPr="000C06D7">
        <w:rPr>
          <w:rFonts w:ascii="Times New Roman" w:hAnsi="Times New Roman"/>
        </w:rPr>
        <w:t>Glencore</w:t>
      </w:r>
      <w:r w:rsidR="00C0377E" w:rsidRPr="000C06D7">
        <w:rPr>
          <w:rFonts w:ascii="Times New Roman" w:hAnsi="Times New Roman"/>
        </w:rPr>
        <w:t xml:space="preserve"> </w:t>
      </w:r>
      <w:r w:rsidR="00DF71C0" w:rsidRPr="000C06D7">
        <w:rPr>
          <w:rFonts w:ascii="Times New Roman" w:hAnsi="Times New Roman"/>
        </w:rPr>
        <w:t>want</w:t>
      </w:r>
      <w:r w:rsidR="00B2580F" w:rsidRPr="000C06D7">
        <w:rPr>
          <w:rFonts w:ascii="Times New Roman" w:hAnsi="Times New Roman"/>
        </w:rPr>
        <w:t>s</w:t>
      </w:r>
      <w:r w:rsidR="00DF71C0" w:rsidRPr="000C06D7">
        <w:rPr>
          <w:rFonts w:ascii="Times New Roman" w:hAnsi="Times New Roman"/>
        </w:rPr>
        <w:t xml:space="preserve"> to </w:t>
      </w:r>
      <w:r w:rsidR="00486FAB" w:rsidRPr="000C06D7">
        <w:rPr>
          <w:rFonts w:ascii="Times New Roman" w:hAnsi="Times New Roman"/>
        </w:rPr>
        <w:t xml:space="preserve">ensure </w:t>
      </w:r>
      <w:r w:rsidR="00100B5A" w:rsidRPr="000C06D7">
        <w:rPr>
          <w:rFonts w:ascii="Times New Roman" w:hAnsi="Times New Roman"/>
        </w:rPr>
        <w:t>t</w:t>
      </w:r>
      <w:r w:rsidR="007E21AC" w:rsidRPr="000C06D7">
        <w:rPr>
          <w:rFonts w:ascii="Times New Roman" w:hAnsi="Times New Roman"/>
        </w:rPr>
        <w:t xml:space="preserve">hat it can continue to </w:t>
      </w:r>
      <w:r w:rsidR="00953D06" w:rsidRPr="000C06D7">
        <w:rPr>
          <w:rFonts w:ascii="Times New Roman" w:hAnsi="Times New Roman"/>
        </w:rPr>
        <w:t>enjoy</w:t>
      </w:r>
      <w:r w:rsidR="007E21AC" w:rsidRPr="000C06D7">
        <w:rPr>
          <w:rFonts w:ascii="Times New Roman" w:hAnsi="Times New Roman"/>
        </w:rPr>
        <w:t xml:space="preserve"> the</w:t>
      </w:r>
      <w:r w:rsidR="00100B5A" w:rsidRPr="000C06D7">
        <w:rPr>
          <w:rFonts w:ascii="Times New Roman" w:hAnsi="Times New Roman"/>
        </w:rPr>
        <w:t xml:space="preserve"> </w:t>
      </w:r>
      <w:r w:rsidR="00842815" w:rsidRPr="000C06D7">
        <w:rPr>
          <w:rFonts w:ascii="Times New Roman" w:hAnsi="Times New Roman"/>
        </w:rPr>
        <w:t xml:space="preserve">economic </w:t>
      </w:r>
      <w:r w:rsidR="00953D06" w:rsidRPr="000C06D7">
        <w:rPr>
          <w:rFonts w:ascii="Times New Roman" w:hAnsi="Times New Roman"/>
        </w:rPr>
        <w:t>benefit</w:t>
      </w:r>
      <w:r w:rsidR="00DF71C0" w:rsidRPr="000C06D7">
        <w:rPr>
          <w:rFonts w:ascii="Times New Roman" w:hAnsi="Times New Roman"/>
        </w:rPr>
        <w:t xml:space="preserve"> </w:t>
      </w:r>
      <w:r w:rsidR="00953D06" w:rsidRPr="000C06D7">
        <w:rPr>
          <w:rFonts w:ascii="Times New Roman" w:hAnsi="Times New Roman"/>
        </w:rPr>
        <w:t xml:space="preserve">that it </w:t>
      </w:r>
      <w:r w:rsidR="003C7378" w:rsidRPr="000C06D7">
        <w:rPr>
          <w:rFonts w:ascii="Times New Roman" w:hAnsi="Times New Roman"/>
        </w:rPr>
        <w:t xml:space="preserve">unquestionably </w:t>
      </w:r>
      <w:r w:rsidR="006B5024" w:rsidRPr="000C06D7">
        <w:rPr>
          <w:rFonts w:ascii="Times New Roman" w:hAnsi="Times New Roman"/>
        </w:rPr>
        <w:t>gets</w:t>
      </w:r>
      <w:r w:rsidR="003C7378" w:rsidRPr="000C06D7">
        <w:rPr>
          <w:rFonts w:ascii="Times New Roman" w:hAnsi="Times New Roman"/>
        </w:rPr>
        <w:t xml:space="preserve"> from </w:t>
      </w:r>
      <w:r w:rsidR="002B607F" w:rsidRPr="000C06D7">
        <w:rPr>
          <w:rFonts w:ascii="Times New Roman" w:hAnsi="Times New Roman"/>
        </w:rPr>
        <w:t xml:space="preserve">the ability of </w:t>
      </w:r>
      <w:r w:rsidR="000940B3" w:rsidRPr="000C06D7">
        <w:rPr>
          <w:rFonts w:ascii="Times New Roman" w:hAnsi="Times New Roman"/>
        </w:rPr>
        <w:t>ships</w:t>
      </w:r>
      <w:r w:rsidR="00DB5F50" w:rsidRPr="000C06D7">
        <w:rPr>
          <w:rFonts w:ascii="Times New Roman" w:hAnsi="Times New Roman"/>
        </w:rPr>
        <w:t>,</w:t>
      </w:r>
      <w:r w:rsidR="000940B3" w:rsidRPr="000C06D7">
        <w:rPr>
          <w:rFonts w:ascii="Times New Roman" w:hAnsi="Times New Roman"/>
        </w:rPr>
        <w:t xml:space="preserve"> loading and carrying the coal </w:t>
      </w:r>
      <w:r w:rsidR="00ED1167" w:rsidRPr="000C06D7">
        <w:rPr>
          <w:rFonts w:ascii="Times New Roman" w:hAnsi="Times New Roman"/>
        </w:rPr>
        <w:t xml:space="preserve">that </w:t>
      </w:r>
      <w:r w:rsidR="000940B3" w:rsidRPr="000C06D7">
        <w:rPr>
          <w:rFonts w:ascii="Times New Roman" w:hAnsi="Times New Roman"/>
        </w:rPr>
        <w:t>it sells to overseas buyers</w:t>
      </w:r>
      <w:r w:rsidR="00ED1167" w:rsidRPr="000C06D7">
        <w:rPr>
          <w:rFonts w:ascii="Times New Roman" w:hAnsi="Times New Roman"/>
        </w:rPr>
        <w:t>,</w:t>
      </w:r>
      <w:r w:rsidR="00DF71C0" w:rsidRPr="000C06D7">
        <w:rPr>
          <w:rFonts w:ascii="Times New Roman" w:hAnsi="Times New Roman"/>
        </w:rPr>
        <w:t xml:space="preserve"> </w:t>
      </w:r>
      <w:r w:rsidR="000940B3" w:rsidRPr="000C06D7">
        <w:rPr>
          <w:rFonts w:ascii="Times New Roman" w:hAnsi="Times New Roman"/>
        </w:rPr>
        <w:t xml:space="preserve">to </w:t>
      </w:r>
      <w:r w:rsidR="00DF71C0" w:rsidRPr="000C06D7">
        <w:rPr>
          <w:rFonts w:ascii="Times New Roman" w:hAnsi="Times New Roman"/>
        </w:rPr>
        <w:t xml:space="preserve">use </w:t>
      </w:r>
      <w:r w:rsidR="00F45044" w:rsidRPr="000C06D7">
        <w:rPr>
          <w:rFonts w:ascii="Times New Roman" w:hAnsi="Times New Roman"/>
        </w:rPr>
        <w:t xml:space="preserve">the </w:t>
      </w:r>
      <w:r w:rsidR="00DF71C0" w:rsidRPr="000C06D7">
        <w:rPr>
          <w:rFonts w:ascii="Times New Roman" w:hAnsi="Times New Roman"/>
        </w:rPr>
        <w:t>shipping channels and berths</w:t>
      </w:r>
      <w:r w:rsidR="000A51C6" w:rsidRPr="000C06D7">
        <w:rPr>
          <w:rFonts w:ascii="Times New Roman" w:hAnsi="Times New Roman"/>
        </w:rPr>
        <w:t xml:space="preserve"> </w:t>
      </w:r>
      <w:r w:rsidR="003B0B3F" w:rsidRPr="000C06D7">
        <w:rPr>
          <w:rFonts w:ascii="Times New Roman" w:hAnsi="Times New Roman"/>
        </w:rPr>
        <w:t>at the Port</w:t>
      </w:r>
      <w:r w:rsidR="000A51C6" w:rsidRPr="000C06D7">
        <w:rPr>
          <w:rFonts w:ascii="Times New Roman" w:hAnsi="Times New Roman"/>
        </w:rPr>
        <w:t xml:space="preserve">, </w:t>
      </w:r>
      <w:r w:rsidR="00E25CB5" w:rsidRPr="000C06D7">
        <w:rPr>
          <w:rFonts w:ascii="Times New Roman" w:hAnsi="Times New Roman"/>
        </w:rPr>
        <w:t xml:space="preserve">Glencore </w:t>
      </w:r>
      <w:r w:rsidR="00CE5B8A" w:rsidRPr="000C06D7">
        <w:rPr>
          <w:rFonts w:ascii="Times New Roman" w:hAnsi="Times New Roman"/>
        </w:rPr>
        <w:t>i</w:t>
      </w:r>
      <w:r w:rsidR="00E25CB5" w:rsidRPr="000C06D7">
        <w:rPr>
          <w:rFonts w:ascii="Times New Roman" w:hAnsi="Times New Roman"/>
        </w:rPr>
        <w:t>s a person who want</w:t>
      </w:r>
      <w:r w:rsidR="00CE5B8A" w:rsidRPr="000C06D7">
        <w:rPr>
          <w:rFonts w:ascii="Times New Roman" w:hAnsi="Times New Roman"/>
        </w:rPr>
        <w:t xml:space="preserve">s "access" to the </w:t>
      </w:r>
      <w:r w:rsidR="00807F3B" w:rsidRPr="000C06D7">
        <w:rPr>
          <w:rFonts w:ascii="Times New Roman" w:hAnsi="Times New Roman"/>
        </w:rPr>
        <w:t>Service</w:t>
      </w:r>
      <w:r w:rsidR="00F15AEB" w:rsidRPr="000C06D7">
        <w:rPr>
          <w:rFonts w:ascii="Times New Roman" w:hAnsi="Times New Roman"/>
        </w:rPr>
        <w:t>. Glencore</w:t>
      </w:r>
      <w:r w:rsidR="00807F3B" w:rsidRPr="000C06D7">
        <w:rPr>
          <w:rFonts w:ascii="Times New Roman" w:hAnsi="Times New Roman"/>
        </w:rPr>
        <w:t xml:space="preserve"> is th</w:t>
      </w:r>
      <w:r w:rsidR="00210F8F" w:rsidRPr="000C06D7">
        <w:rPr>
          <w:rFonts w:ascii="Times New Roman" w:hAnsi="Times New Roman"/>
        </w:rPr>
        <w:t>ereby a "third party"</w:t>
      </w:r>
      <w:r w:rsidR="00F45044" w:rsidRPr="000C06D7">
        <w:rPr>
          <w:rFonts w:ascii="Times New Roman" w:hAnsi="Times New Roman"/>
        </w:rPr>
        <w:t>. B</w:t>
      </w:r>
      <w:r w:rsidR="00186491" w:rsidRPr="000C06D7">
        <w:rPr>
          <w:rFonts w:ascii="Times New Roman" w:hAnsi="Times New Roman"/>
        </w:rPr>
        <w:t>y operation of the Declaration</w:t>
      </w:r>
      <w:r w:rsidR="00F15AEB" w:rsidRPr="000C06D7">
        <w:rPr>
          <w:rFonts w:ascii="Times New Roman" w:hAnsi="Times New Roman"/>
        </w:rPr>
        <w:t xml:space="preserve">, </w:t>
      </w:r>
      <w:r w:rsidR="00F45044" w:rsidRPr="000C06D7">
        <w:rPr>
          <w:rFonts w:ascii="Times New Roman" w:hAnsi="Times New Roman"/>
        </w:rPr>
        <w:t xml:space="preserve">Glencore as a "third party" has </w:t>
      </w:r>
      <w:r w:rsidR="00210F8F" w:rsidRPr="000C06D7">
        <w:rPr>
          <w:rFonts w:ascii="Times New Roman" w:hAnsi="Times New Roman"/>
        </w:rPr>
        <w:t xml:space="preserve">a right to negotiate with </w:t>
      </w:r>
      <w:r w:rsidR="003B55D8" w:rsidRPr="000C06D7">
        <w:rPr>
          <w:rFonts w:ascii="Times New Roman" w:hAnsi="Times New Roman"/>
        </w:rPr>
        <w:t xml:space="preserve">PNO about </w:t>
      </w:r>
      <w:r w:rsidR="0057158C" w:rsidRPr="000C06D7">
        <w:rPr>
          <w:rFonts w:ascii="Times New Roman" w:hAnsi="Times New Roman"/>
        </w:rPr>
        <w:t xml:space="preserve">the amount of the navigation service charge </w:t>
      </w:r>
      <w:r w:rsidR="006A46FD" w:rsidRPr="000C06D7">
        <w:rPr>
          <w:rFonts w:ascii="Times New Roman" w:hAnsi="Times New Roman"/>
        </w:rPr>
        <w:t xml:space="preserve">that PNO </w:t>
      </w:r>
      <w:r w:rsidR="008627FB" w:rsidRPr="000C06D7">
        <w:rPr>
          <w:rFonts w:ascii="Times New Roman" w:hAnsi="Times New Roman"/>
        </w:rPr>
        <w:t xml:space="preserve">might </w:t>
      </w:r>
      <w:r w:rsidR="006A46FD" w:rsidRPr="000C06D7">
        <w:rPr>
          <w:rFonts w:ascii="Times New Roman" w:hAnsi="Times New Roman"/>
        </w:rPr>
        <w:t>fix</w:t>
      </w:r>
      <w:r w:rsidR="00ED1167" w:rsidRPr="000C06D7">
        <w:rPr>
          <w:rFonts w:ascii="Times New Roman" w:hAnsi="Times New Roman"/>
        </w:rPr>
        <w:t xml:space="preserve"> </w:t>
      </w:r>
      <w:r w:rsidR="006A46FD" w:rsidRPr="000C06D7">
        <w:rPr>
          <w:rFonts w:ascii="Times New Roman" w:hAnsi="Times New Roman"/>
        </w:rPr>
        <w:t xml:space="preserve">for the </w:t>
      </w:r>
      <w:r w:rsidR="00E43474" w:rsidRPr="000C06D7">
        <w:rPr>
          <w:rFonts w:ascii="Times New Roman" w:hAnsi="Times New Roman"/>
        </w:rPr>
        <w:t>S</w:t>
      </w:r>
      <w:r w:rsidR="006A46FD" w:rsidRPr="000C06D7">
        <w:rPr>
          <w:rFonts w:ascii="Times New Roman" w:hAnsi="Times New Roman"/>
        </w:rPr>
        <w:t xml:space="preserve">ervice. That is so whether </w:t>
      </w:r>
      <w:r w:rsidR="009A0A99" w:rsidRPr="000C06D7">
        <w:rPr>
          <w:rFonts w:ascii="Times New Roman" w:hAnsi="Times New Roman"/>
        </w:rPr>
        <w:t>Glencore sells</w:t>
      </w:r>
      <w:r w:rsidR="007F5AEB" w:rsidRPr="000C06D7">
        <w:rPr>
          <w:rFonts w:ascii="Times New Roman" w:hAnsi="Times New Roman"/>
        </w:rPr>
        <w:t xml:space="preserve"> FOB or CIF</w:t>
      </w:r>
      <w:r w:rsidR="00D63133" w:rsidRPr="000C06D7">
        <w:rPr>
          <w:rFonts w:ascii="Times New Roman" w:hAnsi="Times New Roman"/>
        </w:rPr>
        <w:t>.</w:t>
      </w:r>
    </w:p>
    <w:p w14:paraId="376EA83A" w14:textId="4244FE15" w:rsidR="00E46BA9" w:rsidRPr="000C06D7" w:rsidRDefault="00D77AE6"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BA7524" w:rsidRPr="000C06D7">
        <w:rPr>
          <w:rFonts w:ascii="Times New Roman" w:hAnsi="Times New Roman"/>
        </w:rPr>
        <w:t>By</w:t>
      </w:r>
      <w:r w:rsidR="00E46BA9" w:rsidRPr="000C06D7">
        <w:rPr>
          <w:rFonts w:ascii="Times New Roman" w:hAnsi="Times New Roman"/>
        </w:rPr>
        <w:t xml:space="preserve"> exercising the right to negotiate </w:t>
      </w:r>
      <w:r w:rsidR="000A16C8" w:rsidRPr="000C06D7">
        <w:rPr>
          <w:rFonts w:ascii="Times New Roman" w:hAnsi="Times New Roman"/>
        </w:rPr>
        <w:t xml:space="preserve">through </w:t>
      </w:r>
      <w:r w:rsidR="00E46BA9" w:rsidRPr="000C06D7">
        <w:rPr>
          <w:rFonts w:ascii="Times New Roman" w:hAnsi="Times New Roman"/>
        </w:rPr>
        <w:t xml:space="preserve">notifying an access dispute about the amount of the navigation service charge payable in respect of ships carrying the coal that it sells to overseas buyers either FOB or CIF, Glencore </w:t>
      </w:r>
      <w:r w:rsidR="00976F57" w:rsidRPr="000C06D7">
        <w:rPr>
          <w:rFonts w:ascii="Times New Roman" w:hAnsi="Times New Roman"/>
        </w:rPr>
        <w:t>became entitled to</w:t>
      </w:r>
      <w:r w:rsidR="00E46BA9" w:rsidRPr="000C06D7">
        <w:rPr>
          <w:rFonts w:ascii="Times New Roman" w:hAnsi="Times New Roman"/>
        </w:rPr>
        <w:t xml:space="preserve"> an arbitrated bilateral outcome. The outcome </w:t>
      </w:r>
      <w:r w:rsidR="00976F57" w:rsidRPr="000C06D7">
        <w:rPr>
          <w:rFonts w:ascii="Times New Roman" w:hAnsi="Times New Roman"/>
        </w:rPr>
        <w:t xml:space="preserve">to which </w:t>
      </w:r>
      <w:r w:rsidR="005E0C52" w:rsidRPr="000C06D7">
        <w:rPr>
          <w:rFonts w:ascii="Times New Roman" w:hAnsi="Times New Roman"/>
        </w:rPr>
        <w:t>Glencore</w:t>
      </w:r>
      <w:r w:rsidR="00976F57" w:rsidRPr="000C06D7">
        <w:rPr>
          <w:rFonts w:ascii="Times New Roman" w:hAnsi="Times New Roman"/>
        </w:rPr>
        <w:t xml:space="preserve"> became entitled was </w:t>
      </w:r>
      <w:r w:rsidR="004638D7" w:rsidRPr="000C06D7">
        <w:rPr>
          <w:rFonts w:ascii="Times New Roman" w:hAnsi="Times New Roman"/>
        </w:rPr>
        <w:t>no less than</w:t>
      </w:r>
      <w:r w:rsidR="00E46BA9" w:rsidRPr="000C06D7" w:rsidDel="002B607F">
        <w:rPr>
          <w:rFonts w:ascii="Times New Roman" w:hAnsi="Times New Roman"/>
        </w:rPr>
        <w:t xml:space="preserve"> </w:t>
      </w:r>
      <w:r w:rsidR="00E46BA9" w:rsidRPr="000C06D7">
        <w:rPr>
          <w:rFonts w:ascii="Times New Roman" w:hAnsi="Times New Roman"/>
        </w:rPr>
        <w:t>could have been achieved without arbitration had PNO been willing to reach an agreement with Glencore about the amount of th</w:t>
      </w:r>
      <w:r w:rsidR="005651D7" w:rsidRPr="000C06D7">
        <w:rPr>
          <w:rFonts w:ascii="Times New Roman" w:hAnsi="Times New Roman"/>
        </w:rPr>
        <w:t>e</w:t>
      </w:r>
      <w:r w:rsidR="00E46BA9" w:rsidRPr="000C06D7">
        <w:rPr>
          <w:rFonts w:ascii="Times New Roman" w:hAnsi="Times New Roman"/>
        </w:rPr>
        <w:t xml:space="preserve"> navigation service charge </w:t>
      </w:r>
      <w:r w:rsidR="005E0C52" w:rsidRPr="000C06D7">
        <w:rPr>
          <w:rFonts w:ascii="Times New Roman" w:hAnsi="Times New Roman"/>
        </w:rPr>
        <w:t xml:space="preserve">payable by Glencore </w:t>
      </w:r>
      <w:r w:rsidR="00E46BA9" w:rsidRPr="000C06D7">
        <w:rPr>
          <w:rFonts w:ascii="Times New Roman" w:hAnsi="Times New Roman"/>
        </w:rPr>
        <w:t>as permitted under the provisions of the PMA</w:t>
      </w:r>
      <w:r w:rsidR="00195C83" w:rsidRPr="000C06D7">
        <w:rPr>
          <w:rFonts w:ascii="Times New Roman" w:hAnsi="Times New Roman"/>
        </w:rPr>
        <w:t xml:space="preserve"> Act</w:t>
      </w:r>
      <w:r w:rsidR="00E46BA9" w:rsidRPr="000C06D7">
        <w:rPr>
          <w:rFonts w:ascii="Times New Roman" w:hAnsi="Times New Roman"/>
        </w:rPr>
        <w:t>.</w:t>
      </w:r>
    </w:p>
    <w:p w14:paraId="1B1F7B84" w14:textId="0B2D360D" w:rsidR="0047367C" w:rsidRPr="000C06D7" w:rsidRDefault="00D63133"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9A5967" w:rsidRPr="000C06D7">
        <w:rPr>
          <w:rFonts w:ascii="Times New Roman" w:hAnsi="Times New Roman"/>
        </w:rPr>
        <w:t>The Full Court was</w:t>
      </w:r>
      <w:r w:rsidR="00F92C3C" w:rsidRPr="000C06D7">
        <w:rPr>
          <w:rFonts w:ascii="Times New Roman" w:hAnsi="Times New Roman"/>
        </w:rPr>
        <w:t xml:space="preserve">, </w:t>
      </w:r>
      <w:r w:rsidR="00F01432" w:rsidRPr="000C06D7">
        <w:rPr>
          <w:rFonts w:ascii="Times New Roman" w:hAnsi="Times New Roman"/>
        </w:rPr>
        <w:t>on that basis and to that extent</w:t>
      </w:r>
      <w:r w:rsidR="00F92C3C" w:rsidRPr="000C06D7">
        <w:rPr>
          <w:rFonts w:ascii="Times New Roman" w:hAnsi="Times New Roman"/>
        </w:rPr>
        <w:t xml:space="preserve">, </w:t>
      </w:r>
      <w:r w:rsidR="008078CF" w:rsidRPr="000C06D7">
        <w:rPr>
          <w:rFonts w:ascii="Times New Roman" w:hAnsi="Times New Roman"/>
        </w:rPr>
        <w:t>correct</w:t>
      </w:r>
      <w:r w:rsidR="009A5967" w:rsidRPr="000C06D7">
        <w:rPr>
          <w:rFonts w:ascii="Times New Roman" w:hAnsi="Times New Roman"/>
        </w:rPr>
        <w:t xml:space="preserve"> to conclude that the Tribunal had erred in law </w:t>
      </w:r>
      <w:r w:rsidR="00E36208" w:rsidRPr="000C06D7">
        <w:rPr>
          <w:rFonts w:ascii="Times New Roman" w:hAnsi="Times New Roman"/>
        </w:rPr>
        <w:t xml:space="preserve">in </w:t>
      </w:r>
      <w:r w:rsidR="005828CE" w:rsidRPr="000C06D7">
        <w:rPr>
          <w:rFonts w:ascii="Times New Roman" w:hAnsi="Times New Roman"/>
        </w:rPr>
        <w:t>treating</w:t>
      </w:r>
      <w:r w:rsidR="00E36208" w:rsidRPr="000C06D7">
        <w:rPr>
          <w:rFonts w:ascii="Times New Roman" w:hAnsi="Times New Roman"/>
        </w:rPr>
        <w:t xml:space="preserve"> the </w:t>
      </w:r>
      <w:r w:rsidR="005828CE" w:rsidRPr="000C06D7">
        <w:rPr>
          <w:rFonts w:ascii="Times New Roman" w:hAnsi="Times New Roman"/>
        </w:rPr>
        <w:t>permissible</w:t>
      </w:r>
      <w:r w:rsidR="00D656CB" w:rsidRPr="000C06D7">
        <w:rPr>
          <w:rFonts w:ascii="Times New Roman" w:hAnsi="Times New Roman"/>
        </w:rPr>
        <w:t xml:space="preserve"> scope of the </w:t>
      </w:r>
      <w:r w:rsidR="00E36208" w:rsidRPr="000C06D7">
        <w:rPr>
          <w:rFonts w:ascii="Times New Roman" w:hAnsi="Times New Roman"/>
        </w:rPr>
        <w:t>Final Determination</w:t>
      </w:r>
      <w:r w:rsidR="005828CE" w:rsidRPr="000C06D7">
        <w:rPr>
          <w:rFonts w:ascii="Times New Roman" w:hAnsi="Times New Roman"/>
        </w:rPr>
        <w:t xml:space="preserve"> as confined </w:t>
      </w:r>
      <w:r w:rsidR="00A43722" w:rsidRPr="000C06D7">
        <w:rPr>
          <w:rFonts w:ascii="Times New Roman" w:hAnsi="Times New Roman"/>
        </w:rPr>
        <w:t>to circumstances where Glencore exercised some measure of control over the physical activity</w:t>
      </w:r>
      <w:r w:rsidR="009A5967" w:rsidRPr="000C06D7">
        <w:rPr>
          <w:rFonts w:ascii="Times New Roman" w:hAnsi="Times New Roman"/>
        </w:rPr>
        <w:t xml:space="preserve"> </w:t>
      </w:r>
      <w:r w:rsidR="0035437A" w:rsidRPr="000C06D7">
        <w:rPr>
          <w:rFonts w:ascii="Times New Roman" w:hAnsi="Times New Roman"/>
        </w:rPr>
        <w:t xml:space="preserve">of moving </w:t>
      </w:r>
      <w:r w:rsidR="001157D8" w:rsidRPr="000C06D7">
        <w:rPr>
          <w:rFonts w:ascii="Times New Roman" w:hAnsi="Times New Roman"/>
        </w:rPr>
        <w:t xml:space="preserve">a vessel </w:t>
      </w:r>
      <w:r w:rsidR="0035437A" w:rsidRPr="000C06D7">
        <w:rPr>
          <w:rFonts w:ascii="Times New Roman" w:hAnsi="Times New Roman"/>
        </w:rPr>
        <w:t xml:space="preserve">through </w:t>
      </w:r>
      <w:r w:rsidR="001157D8" w:rsidRPr="000C06D7">
        <w:rPr>
          <w:rFonts w:ascii="Times New Roman" w:hAnsi="Times New Roman"/>
        </w:rPr>
        <w:t>a</w:t>
      </w:r>
      <w:r w:rsidR="0035437A" w:rsidRPr="000C06D7">
        <w:rPr>
          <w:rFonts w:ascii="Times New Roman" w:hAnsi="Times New Roman"/>
        </w:rPr>
        <w:t xml:space="preserve"> shipping channel</w:t>
      </w:r>
      <w:r w:rsidR="009A5967" w:rsidRPr="000C06D7">
        <w:rPr>
          <w:rFonts w:ascii="Times New Roman" w:hAnsi="Times New Roman"/>
        </w:rPr>
        <w:t>.</w:t>
      </w:r>
      <w:r w:rsidR="00160600" w:rsidRPr="000C06D7">
        <w:rPr>
          <w:rFonts w:ascii="Times New Roman" w:hAnsi="Times New Roman"/>
        </w:rPr>
        <w:t xml:space="preserve"> The Full Court was </w:t>
      </w:r>
      <w:r w:rsidR="00141D72" w:rsidRPr="000C06D7">
        <w:rPr>
          <w:rFonts w:ascii="Times New Roman" w:hAnsi="Times New Roman"/>
        </w:rPr>
        <w:t>therefore</w:t>
      </w:r>
      <w:r w:rsidR="00160600" w:rsidRPr="000C06D7">
        <w:rPr>
          <w:rFonts w:ascii="Times New Roman" w:hAnsi="Times New Roman"/>
        </w:rPr>
        <w:t xml:space="preserve"> </w:t>
      </w:r>
      <w:r w:rsidR="0047367C" w:rsidRPr="000C06D7">
        <w:rPr>
          <w:rFonts w:ascii="Times New Roman" w:hAnsi="Times New Roman"/>
        </w:rPr>
        <w:t>correct</w:t>
      </w:r>
      <w:r w:rsidR="00160600" w:rsidRPr="000C06D7">
        <w:rPr>
          <w:rFonts w:ascii="Times New Roman" w:hAnsi="Times New Roman"/>
        </w:rPr>
        <w:t xml:space="preserve"> to set aside the Tribunal Decision and </w:t>
      </w:r>
      <w:r w:rsidR="006444DD" w:rsidRPr="000C06D7">
        <w:rPr>
          <w:rFonts w:ascii="Times New Roman" w:hAnsi="Times New Roman"/>
        </w:rPr>
        <w:t xml:space="preserve">to </w:t>
      </w:r>
      <w:r w:rsidR="00160600" w:rsidRPr="000C06D7">
        <w:rPr>
          <w:rFonts w:ascii="Times New Roman" w:hAnsi="Times New Roman"/>
        </w:rPr>
        <w:t xml:space="preserve">remit the matter to the Tribunal for </w:t>
      </w:r>
      <w:r w:rsidR="00A45E7F" w:rsidRPr="000C06D7">
        <w:rPr>
          <w:rFonts w:ascii="Times New Roman" w:hAnsi="Times New Roman"/>
        </w:rPr>
        <w:t>re</w:t>
      </w:r>
      <w:r w:rsidR="00160600" w:rsidRPr="000C06D7">
        <w:rPr>
          <w:rFonts w:ascii="Times New Roman" w:hAnsi="Times New Roman"/>
        </w:rPr>
        <w:t xml:space="preserve">determination </w:t>
      </w:r>
      <w:r w:rsidR="00A45E7F" w:rsidRPr="000C06D7">
        <w:rPr>
          <w:rFonts w:ascii="Times New Roman" w:hAnsi="Times New Roman"/>
        </w:rPr>
        <w:t>of the Final Determination</w:t>
      </w:r>
      <w:r w:rsidR="00160600" w:rsidRPr="000C06D7">
        <w:rPr>
          <w:rFonts w:ascii="Times New Roman" w:hAnsi="Times New Roman"/>
        </w:rPr>
        <w:t xml:space="preserve">. </w:t>
      </w:r>
    </w:p>
    <w:p w14:paraId="23E45F59" w14:textId="79697E6D" w:rsidR="00C8135A" w:rsidRPr="000C06D7" w:rsidRDefault="00526D7B"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08588E" w:rsidRPr="000C06D7">
        <w:rPr>
          <w:rFonts w:ascii="Times New Roman" w:hAnsi="Times New Roman"/>
        </w:rPr>
        <w:t>Equally, however, t</w:t>
      </w:r>
      <w:r w:rsidR="00464254" w:rsidRPr="000C06D7">
        <w:rPr>
          <w:rFonts w:ascii="Times New Roman" w:hAnsi="Times New Roman"/>
        </w:rPr>
        <w:t xml:space="preserve">he </w:t>
      </w:r>
      <w:r w:rsidR="009352FB" w:rsidRPr="000C06D7">
        <w:rPr>
          <w:rFonts w:ascii="Times New Roman" w:hAnsi="Times New Roman"/>
        </w:rPr>
        <w:t>arbitrated</w:t>
      </w:r>
      <w:r w:rsidR="00464254" w:rsidRPr="000C06D7">
        <w:rPr>
          <w:rFonts w:ascii="Times New Roman" w:hAnsi="Times New Roman"/>
        </w:rPr>
        <w:t xml:space="preserve"> outcome to which Glencore became entitled </w:t>
      </w:r>
      <w:r w:rsidR="0008588E" w:rsidRPr="000C06D7">
        <w:rPr>
          <w:rFonts w:ascii="Times New Roman" w:hAnsi="Times New Roman"/>
        </w:rPr>
        <w:t xml:space="preserve">by exercising the right to negotiate </w:t>
      </w:r>
      <w:r w:rsidR="00464254" w:rsidRPr="000C06D7">
        <w:rPr>
          <w:rFonts w:ascii="Times New Roman" w:hAnsi="Times New Roman"/>
        </w:rPr>
        <w:t>was no more than</w:t>
      </w:r>
      <w:r w:rsidR="00464254" w:rsidRPr="000C06D7" w:rsidDel="002B607F">
        <w:rPr>
          <w:rFonts w:ascii="Times New Roman" w:hAnsi="Times New Roman"/>
        </w:rPr>
        <w:t xml:space="preserve"> </w:t>
      </w:r>
      <w:r w:rsidR="00464254" w:rsidRPr="000C06D7">
        <w:rPr>
          <w:rFonts w:ascii="Times New Roman" w:hAnsi="Times New Roman"/>
        </w:rPr>
        <w:t xml:space="preserve">could have been </w:t>
      </w:r>
      <w:r w:rsidR="00464254" w:rsidRPr="000C06D7">
        <w:rPr>
          <w:rFonts w:ascii="Times New Roman" w:hAnsi="Times New Roman"/>
        </w:rPr>
        <w:lastRenderedPageBreak/>
        <w:t>achieved without arbitration had PNO been willing to reach an agreement with Glencore about the amount of the navigation service charge payable by Glencore as permitted under the provisions of the PMA</w:t>
      </w:r>
      <w:r w:rsidR="00411F69" w:rsidRPr="000C06D7">
        <w:rPr>
          <w:rFonts w:ascii="Times New Roman" w:hAnsi="Times New Roman"/>
        </w:rPr>
        <w:t xml:space="preserve"> Act</w:t>
      </w:r>
      <w:r w:rsidR="00464254" w:rsidRPr="000C06D7">
        <w:rPr>
          <w:rFonts w:ascii="Times New Roman" w:hAnsi="Times New Roman"/>
        </w:rPr>
        <w:t>.</w:t>
      </w:r>
      <w:r w:rsidR="0008588E" w:rsidRPr="000C06D7">
        <w:rPr>
          <w:rFonts w:ascii="Times New Roman" w:hAnsi="Times New Roman"/>
        </w:rPr>
        <w:t xml:space="preserve"> </w:t>
      </w:r>
      <w:r w:rsidR="00977DAF" w:rsidRPr="000C06D7">
        <w:rPr>
          <w:rFonts w:ascii="Times New Roman" w:hAnsi="Times New Roman"/>
        </w:rPr>
        <w:t>T</w:t>
      </w:r>
      <w:r w:rsidRPr="000C06D7">
        <w:rPr>
          <w:rFonts w:ascii="Times New Roman" w:hAnsi="Times New Roman"/>
        </w:rPr>
        <w:t xml:space="preserve">he Full Court </w:t>
      </w:r>
      <w:r w:rsidR="00F3527D" w:rsidRPr="000C06D7">
        <w:rPr>
          <w:rFonts w:ascii="Times New Roman" w:hAnsi="Times New Roman"/>
        </w:rPr>
        <w:t xml:space="preserve">would have been </w:t>
      </w:r>
      <w:r w:rsidR="00641F44" w:rsidRPr="000C06D7">
        <w:rPr>
          <w:rFonts w:ascii="Times New Roman" w:hAnsi="Times New Roman"/>
        </w:rPr>
        <w:t xml:space="preserve">incorrect </w:t>
      </w:r>
      <w:r w:rsidR="00BD6E5F" w:rsidRPr="000C06D7">
        <w:rPr>
          <w:rFonts w:ascii="Times New Roman" w:hAnsi="Times New Roman"/>
        </w:rPr>
        <w:t>to the extent that its additional observations, already quoted</w:t>
      </w:r>
      <w:r w:rsidR="00BD6E5F" w:rsidRPr="000C06D7">
        <w:rPr>
          <w:rStyle w:val="FootnoteReference"/>
          <w:rFonts w:ascii="Times New Roman" w:hAnsi="Times New Roman"/>
          <w:sz w:val="24"/>
        </w:rPr>
        <w:footnoteReference w:id="100"/>
      </w:r>
      <w:r w:rsidR="00BD6E5F" w:rsidRPr="000C06D7">
        <w:rPr>
          <w:rFonts w:ascii="Times New Roman" w:hAnsi="Times New Roman"/>
        </w:rPr>
        <w:t xml:space="preserve">, </w:t>
      </w:r>
      <w:r w:rsidR="00EC6D06" w:rsidRPr="000C06D7">
        <w:rPr>
          <w:rFonts w:ascii="Times New Roman" w:hAnsi="Times New Roman"/>
        </w:rPr>
        <w:t xml:space="preserve">might indicate </w:t>
      </w:r>
      <w:r w:rsidR="00AB5A63" w:rsidRPr="000C06D7">
        <w:rPr>
          <w:rFonts w:ascii="Times New Roman" w:hAnsi="Times New Roman"/>
        </w:rPr>
        <w:t>that the</w:t>
      </w:r>
      <w:r w:rsidR="00C92A15" w:rsidRPr="000C06D7">
        <w:rPr>
          <w:rFonts w:ascii="Times New Roman" w:hAnsi="Times New Roman"/>
        </w:rPr>
        <w:t xml:space="preserve"> Tribunal's</w:t>
      </w:r>
      <w:r w:rsidR="00AB5A63" w:rsidRPr="000C06D7">
        <w:rPr>
          <w:rFonts w:ascii="Times New Roman" w:hAnsi="Times New Roman"/>
        </w:rPr>
        <w:t xml:space="preserve"> </w:t>
      </w:r>
      <w:r w:rsidR="0000051F" w:rsidRPr="000C06D7">
        <w:rPr>
          <w:rFonts w:ascii="Times New Roman" w:hAnsi="Times New Roman"/>
        </w:rPr>
        <w:t>re</w:t>
      </w:r>
      <w:r w:rsidR="00240D95" w:rsidRPr="000C06D7">
        <w:rPr>
          <w:rFonts w:ascii="Times New Roman" w:hAnsi="Times New Roman"/>
        </w:rPr>
        <w:t>-</w:t>
      </w:r>
      <w:r w:rsidR="0000051F" w:rsidRPr="000C06D7">
        <w:rPr>
          <w:rFonts w:ascii="Times New Roman" w:hAnsi="Times New Roman"/>
        </w:rPr>
        <w:t>arbitration</w:t>
      </w:r>
      <w:r w:rsidR="00AB5A63" w:rsidRPr="000C06D7">
        <w:rPr>
          <w:rFonts w:ascii="Times New Roman" w:hAnsi="Times New Roman"/>
        </w:rPr>
        <w:t xml:space="preserve"> of the access dispute</w:t>
      </w:r>
      <w:r w:rsidR="00D24217" w:rsidRPr="000C06D7">
        <w:rPr>
          <w:rFonts w:ascii="Times New Roman" w:hAnsi="Times New Roman"/>
        </w:rPr>
        <w:t xml:space="preserve"> </w:t>
      </w:r>
      <w:r w:rsidR="00C7605D" w:rsidRPr="000C06D7">
        <w:rPr>
          <w:rFonts w:ascii="Times New Roman" w:hAnsi="Times New Roman"/>
        </w:rPr>
        <w:t>could</w:t>
      </w:r>
      <w:r w:rsidR="00137FD9" w:rsidRPr="000C06D7">
        <w:rPr>
          <w:rFonts w:ascii="Times New Roman" w:hAnsi="Times New Roman"/>
        </w:rPr>
        <w:t xml:space="preserve"> </w:t>
      </w:r>
      <w:r w:rsidR="00144BF5" w:rsidRPr="000C06D7">
        <w:rPr>
          <w:rFonts w:ascii="Times New Roman" w:hAnsi="Times New Roman"/>
        </w:rPr>
        <w:t>result in</w:t>
      </w:r>
      <w:r w:rsidR="00D24217" w:rsidRPr="000C06D7">
        <w:rPr>
          <w:rFonts w:ascii="Times New Roman" w:hAnsi="Times New Roman"/>
        </w:rPr>
        <w:t xml:space="preserve"> </w:t>
      </w:r>
      <w:r w:rsidR="0000051F" w:rsidRPr="000C06D7">
        <w:rPr>
          <w:rFonts w:ascii="Times New Roman" w:hAnsi="Times New Roman"/>
        </w:rPr>
        <w:t>a determination</w:t>
      </w:r>
      <w:r w:rsidR="00D24217" w:rsidRPr="000C06D7">
        <w:rPr>
          <w:rFonts w:ascii="Times New Roman" w:hAnsi="Times New Roman"/>
        </w:rPr>
        <w:t xml:space="preserve"> </w:t>
      </w:r>
      <w:r w:rsidR="0065340F" w:rsidRPr="000C06D7">
        <w:rPr>
          <w:rFonts w:ascii="Times New Roman" w:hAnsi="Times New Roman"/>
        </w:rPr>
        <w:t xml:space="preserve">governing </w:t>
      </w:r>
      <w:r w:rsidR="00240D95" w:rsidRPr="000C06D7">
        <w:rPr>
          <w:rFonts w:ascii="Times New Roman" w:hAnsi="Times New Roman"/>
        </w:rPr>
        <w:t xml:space="preserve">the </w:t>
      </w:r>
      <w:r w:rsidR="00060061" w:rsidRPr="000C06D7">
        <w:rPr>
          <w:rFonts w:ascii="Times New Roman" w:hAnsi="Times New Roman"/>
        </w:rPr>
        <w:t>circumstances in</w:t>
      </w:r>
      <w:r w:rsidR="0065340F" w:rsidRPr="000C06D7">
        <w:rPr>
          <w:rFonts w:ascii="Times New Roman" w:hAnsi="Times New Roman"/>
        </w:rPr>
        <w:t xml:space="preserve"> which PNO </w:t>
      </w:r>
      <w:r w:rsidR="009356E9" w:rsidRPr="000C06D7">
        <w:rPr>
          <w:rFonts w:ascii="Times New Roman" w:hAnsi="Times New Roman"/>
        </w:rPr>
        <w:t xml:space="preserve">would </w:t>
      </w:r>
      <w:r w:rsidR="00003AA4" w:rsidRPr="000C06D7">
        <w:rPr>
          <w:rFonts w:ascii="Times New Roman" w:hAnsi="Times New Roman"/>
        </w:rPr>
        <w:t>seek and accept</w:t>
      </w:r>
      <w:r w:rsidR="009356E9" w:rsidRPr="000C06D7">
        <w:rPr>
          <w:rFonts w:ascii="Times New Roman" w:hAnsi="Times New Roman"/>
        </w:rPr>
        <w:t xml:space="preserve"> </w:t>
      </w:r>
      <w:r w:rsidR="00060061" w:rsidRPr="000C06D7">
        <w:rPr>
          <w:rFonts w:ascii="Times New Roman" w:hAnsi="Times New Roman"/>
        </w:rPr>
        <w:t xml:space="preserve">payment of </w:t>
      </w:r>
      <w:r w:rsidR="009356E9" w:rsidRPr="000C06D7">
        <w:rPr>
          <w:rFonts w:ascii="Times New Roman" w:hAnsi="Times New Roman"/>
        </w:rPr>
        <w:t xml:space="preserve">the Navigation Service Charge </w:t>
      </w:r>
      <w:r w:rsidR="00060061" w:rsidRPr="000C06D7">
        <w:rPr>
          <w:rFonts w:ascii="Times New Roman" w:hAnsi="Times New Roman"/>
        </w:rPr>
        <w:t>from</w:t>
      </w:r>
      <w:r w:rsidR="009356E9" w:rsidRPr="000C06D7">
        <w:rPr>
          <w:rFonts w:ascii="Times New Roman" w:hAnsi="Times New Roman"/>
        </w:rPr>
        <w:t xml:space="preserve"> </w:t>
      </w:r>
      <w:r w:rsidR="00C414BC" w:rsidRPr="000C06D7">
        <w:rPr>
          <w:rFonts w:ascii="Times New Roman" w:hAnsi="Times New Roman"/>
        </w:rPr>
        <w:t xml:space="preserve">a </w:t>
      </w:r>
      <w:r w:rsidR="008C3CC2" w:rsidRPr="000C06D7">
        <w:rPr>
          <w:rFonts w:ascii="Times New Roman" w:hAnsi="Times New Roman"/>
        </w:rPr>
        <w:t>person other than Glencore</w:t>
      </w:r>
      <w:r w:rsidR="00DE0455" w:rsidRPr="000C06D7">
        <w:rPr>
          <w:rFonts w:ascii="Times New Roman" w:hAnsi="Times New Roman"/>
        </w:rPr>
        <w:t xml:space="preserve"> in respect of the particular use of the shipping channels by a particular ship carrying coal sold by Glencore</w:t>
      </w:r>
      <w:r w:rsidR="008C3CC2" w:rsidRPr="000C06D7">
        <w:rPr>
          <w:rFonts w:ascii="Times New Roman" w:hAnsi="Times New Roman"/>
        </w:rPr>
        <w:t xml:space="preserve">. </w:t>
      </w:r>
    </w:p>
    <w:p w14:paraId="2799826D" w14:textId="6ECC5848" w:rsidR="00977DAF" w:rsidRPr="000C06D7" w:rsidRDefault="00C8135A"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8C3CC2" w:rsidRPr="000C06D7">
        <w:rPr>
          <w:rFonts w:ascii="Times New Roman" w:hAnsi="Times New Roman"/>
        </w:rPr>
        <w:t>Subject to the constraints of tort and competition law</w:t>
      </w:r>
      <w:r w:rsidR="002D5E21" w:rsidRPr="000C06D7">
        <w:rPr>
          <w:rFonts w:ascii="Times New Roman" w:hAnsi="Times New Roman"/>
        </w:rPr>
        <w:t>,</w:t>
      </w:r>
      <w:r w:rsidR="008C3CC2" w:rsidRPr="000C06D7">
        <w:rPr>
          <w:rFonts w:ascii="Times New Roman" w:hAnsi="Times New Roman"/>
        </w:rPr>
        <w:t xml:space="preserve"> and</w:t>
      </w:r>
      <w:r w:rsidR="002D5E21" w:rsidRPr="000C06D7">
        <w:rPr>
          <w:rFonts w:ascii="Times New Roman" w:hAnsi="Times New Roman"/>
        </w:rPr>
        <w:t xml:space="preserve"> to</w:t>
      </w:r>
      <w:r w:rsidR="008C3CC2" w:rsidRPr="000C06D7">
        <w:rPr>
          <w:rFonts w:ascii="Times New Roman" w:hAnsi="Times New Roman"/>
        </w:rPr>
        <w:t xml:space="preserve"> </w:t>
      </w:r>
      <w:r w:rsidR="00C414BC" w:rsidRPr="000C06D7">
        <w:rPr>
          <w:rFonts w:ascii="Times New Roman" w:hAnsi="Times New Roman"/>
        </w:rPr>
        <w:t xml:space="preserve">the provision of contractual consideration, one person </w:t>
      </w:r>
      <w:r w:rsidR="00B54100" w:rsidRPr="000C06D7">
        <w:rPr>
          <w:rFonts w:ascii="Times New Roman" w:hAnsi="Times New Roman"/>
        </w:rPr>
        <w:t xml:space="preserve">can </w:t>
      </w:r>
      <w:r w:rsidR="00A813D5" w:rsidRPr="000C06D7">
        <w:rPr>
          <w:rFonts w:ascii="Times New Roman" w:hAnsi="Times New Roman"/>
        </w:rPr>
        <w:t xml:space="preserve">ordinarily </w:t>
      </w:r>
      <w:r w:rsidR="00B54100" w:rsidRPr="000C06D7">
        <w:rPr>
          <w:rFonts w:ascii="Times New Roman" w:hAnsi="Times New Roman"/>
        </w:rPr>
        <w:t xml:space="preserve">enter into a binding </w:t>
      </w:r>
      <w:r w:rsidR="00D06328" w:rsidRPr="000C06D7">
        <w:rPr>
          <w:rFonts w:ascii="Times New Roman" w:hAnsi="Times New Roman"/>
        </w:rPr>
        <w:t>contract</w:t>
      </w:r>
      <w:r w:rsidR="00B54100" w:rsidRPr="000C06D7">
        <w:rPr>
          <w:rFonts w:ascii="Times New Roman" w:hAnsi="Times New Roman"/>
        </w:rPr>
        <w:t xml:space="preserve"> with another person about the price </w:t>
      </w:r>
      <w:r w:rsidR="00A51DB8" w:rsidRPr="000C06D7">
        <w:rPr>
          <w:rFonts w:ascii="Times New Roman" w:hAnsi="Times New Roman"/>
        </w:rPr>
        <w:t xml:space="preserve">at which that </w:t>
      </w:r>
      <w:r w:rsidR="00CA35CC" w:rsidRPr="000C06D7">
        <w:rPr>
          <w:rFonts w:ascii="Times New Roman" w:hAnsi="Times New Roman"/>
        </w:rPr>
        <w:t>second</w:t>
      </w:r>
      <w:r w:rsidR="00A51DB8" w:rsidRPr="000C06D7">
        <w:rPr>
          <w:rFonts w:ascii="Times New Roman" w:hAnsi="Times New Roman"/>
        </w:rPr>
        <w:t xml:space="preserve"> person will offer a service to a third person. The third person </w:t>
      </w:r>
      <w:r w:rsidR="00CA35CC" w:rsidRPr="000C06D7">
        <w:rPr>
          <w:rFonts w:ascii="Times New Roman" w:hAnsi="Times New Roman"/>
        </w:rPr>
        <w:t xml:space="preserve">will then become liable to pay the price </w:t>
      </w:r>
      <w:r w:rsidR="00E52D32" w:rsidRPr="000C06D7">
        <w:rPr>
          <w:rFonts w:ascii="Times New Roman" w:hAnsi="Times New Roman"/>
        </w:rPr>
        <w:t xml:space="preserve">to the second person </w:t>
      </w:r>
      <w:r w:rsidR="00D06328" w:rsidRPr="000C06D7">
        <w:rPr>
          <w:rFonts w:ascii="Times New Roman" w:hAnsi="Times New Roman"/>
        </w:rPr>
        <w:t xml:space="preserve">under a </w:t>
      </w:r>
      <w:r w:rsidR="00F173F5" w:rsidRPr="000C06D7">
        <w:rPr>
          <w:rFonts w:ascii="Times New Roman" w:hAnsi="Times New Roman"/>
        </w:rPr>
        <w:t>separate</w:t>
      </w:r>
      <w:r w:rsidR="00D06328" w:rsidRPr="000C06D7">
        <w:rPr>
          <w:rFonts w:ascii="Times New Roman" w:hAnsi="Times New Roman"/>
        </w:rPr>
        <w:t xml:space="preserve"> contract</w:t>
      </w:r>
      <w:r w:rsidR="00BD7DD1" w:rsidRPr="000C06D7">
        <w:rPr>
          <w:rFonts w:ascii="Times New Roman" w:hAnsi="Times New Roman"/>
        </w:rPr>
        <w:t xml:space="preserve"> that will be formed</w:t>
      </w:r>
      <w:r w:rsidR="00D06328" w:rsidRPr="000C06D7">
        <w:rPr>
          <w:rFonts w:ascii="Times New Roman" w:hAnsi="Times New Roman"/>
        </w:rPr>
        <w:t xml:space="preserve"> </w:t>
      </w:r>
      <w:r w:rsidR="00491C1E" w:rsidRPr="000C06D7">
        <w:rPr>
          <w:rFonts w:ascii="Times New Roman" w:hAnsi="Times New Roman"/>
        </w:rPr>
        <w:t>between</w:t>
      </w:r>
      <w:r w:rsidR="00D06328" w:rsidRPr="000C06D7">
        <w:rPr>
          <w:rFonts w:ascii="Times New Roman" w:hAnsi="Times New Roman"/>
        </w:rPr>
        <w:t xml:space="preserve"> the second person</w:t>
      </w:r>
      <w:r w:rsidR="00491C1E" w:rsidRPr="000C06D7">
        <w:rPr>
          <w:rFonts w:ascii="Times New Roman" w:hAnsi="Times New Roman"/>
        </w:rPr>
        <w:t xml:space="preserve"> and the third person</w:t>
      </w:r>
      <w:r w:rsidR="00D06328" w:rsidRPr="000C06D7">
        <w:rPr>
          <w:rFonts w:ascii="Times New Roman" w:hAnsi="Times New Roman"/>
        </w:rPr>
        <w:t xml:space="preserve"> </w:t>
      </w:r>
      <w:r w:rsidR="00E52D32" w:rsidRPr="000C06D7">
        <w:rPr>
          <w:rFonts w:ascii="Times New Roman" w:hAnsi="Times New Roman"/>
        </w:rPr>
        <w:t xml:space="preserve">if and when the offer is made and accepted. </w:t>
      </w:r>
    </w:p>
    <w:p w14:paraId="3D5FC099" w14:textId="14F66113" w:rsidR="00526D7B" w:rsidRPr="000C06D7" w:rsidRDefault="00977DAF"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DE2F5C" w:rsidRPr="000C06D7">
        <w:rPr>
          <w:rFonts w:ascii="Times New Roman" w:hAnsi="Times New Roman"/>
        </w:rPr>
        <w:t xml:space="preserve">Here, however, the terms of the PMA </w:t>
      </w:r>
      <w:r w:rsidRPr="000C06D7">
        <w:rPr>
          <w:rFonts w:ascii="Times New Roman" w:hAnsi="Times New Roman"/>
        </w:rPr>
        <w:t xml:space="preserve">Act </w:t>
      </w:r>
      <w:r w:rsidR="00FD77A4" w:rsidRPr="000C06D7">
        <w:rPr>
          <w:rFonts w:ascii="Times New Roman" w:hAnsi="Times New Roman"/>
        </w:rPr>
        <w:t xml:space="preserve">do not permit PNO to </w:t>
      </w:r>
      <w:r w:rsidR="009939DA" w:rsidRPr="000C06D7">
        <w:rPr>
          <w:rFonts w:ascii="Times New Roman" w:hAnsi="Times New Roman"/>
        </w:rPr>
        <w:t xml:space="preserve">enter into that kind of </w:t>
      </w:r>
      <w:r w:rsidR="00500ECB" w:rsidRPr="000C06D7">
        <w:rPr>
          <w:rFonts w:ascii="Times New Roman" w:hAnsi="Times New Roman"/>
        </w:rPr>
        <w:t>bilateral</w:t>
      </w:r>
      <w:r w:rsidR="009939DA" w:rsidRPr="000C06D7">
        <w:rPr>
          <w:rFonts w:ascii="Times New Roman" w:hAnsi="Times New Roman"/>
        </w:rPr>
        <w:t xml:space="preserve"> arrangement</w:t>
      </w:r>
      <w:r w:rsidR="00500ECB" w:rsidRPr="000C06D7">
        <w:rPr>
          <w:rFonts w:ascii="Times New Roman" w:hAnsi="Times New Roman"/>
        </w:rPr>
        <w:t xml:space="preserve"> </w:t>
      </w:r>
      <w:r w:rsidR="00AB5A63" w:rsidRPr="000C06D7">
        <w:rPr>
          <w:rFonts w:ascii="Times New Roman" w:hAnsi="Times New Roman"/>
        </w:rPr>
        <w:t>having potential</w:t>
      </w:r>
      <w:r w:rsidR="00500ECB" w:rsidRPr="000C06D7">
        <w:rPr>
          <w:rFonts w:ascii="Times New Roman" w:hAnsi="Times New Roman"/>
        </w:rPr>
        <w:t xml:space="preserve"> consequences for a third person</w:t>
      </w:r>
      <w:r w:rsidR="009A7B50" w:rsidRPr="000C06D7">
        <w:rPr>
          <w:rFonts w:ascii="Times New Roman" w:hAnsi="Times New Roman"/>
        </w:rPr>
        <w:t xml:space="preserve">. </w:t>
      </w:r>
      <w:r w:rsidR="008A6362" w:rsidRPr="000C06D7">
        <w:rPr>
          <w:rFonts w:ascii="Times New Roman" w:hAnsi="Times New Roman"/>
        </w:rPr>
        <w:t>I</w:t>
      </w:r>
      <w:r w:rsidR="00CC5446" w:rsidRPr="000C06D7">
        <w:rPr>
          <w:rFonts w:ascii="Times New Roman" w:hAnsi="Times New Roman"/>
        </w:rPr>
        <w:t>t will be recalled</w:t>
      </w:r>
      <w:r w:rsidR="00110611" w:rsidRPr="000C06D7">
        <w:rPr>
          <w:rFonts w:ascii="Times New Roman" w:hAnsi="Times New Roman"/>
        </w:rPr>
        <w:t xml:space="preserve"> that</w:t>
      </w:r>
      <w:r w:rsidR="00CC5446" w:rsidRPr="000C06D7">
        <w:rPr>
          <w:rFonts w:ascii="Times New Roman" w:hAnsi="Times New Roman"/>
        </w:rPr>
        <w:t xml:space="preserve"> s</w:t>
      </w:r>
      <w:r w:rsidR="009A7B50" w:rsidRPr="000C06D7">
        <w:rPr>
          <w:rFonts w:ascii="Times New Roman" w:hAnsi="Times New Roman"/>
        </w:rPr>
        <w:t xml:space="preserve"> 67 of the PMA Act </w:t>
      </w:r>
      <w:r w:rsidR="00D4546E" w:rsidRPr="000C06D7">
        <w:rPr>
          <w:rFonts w:ascii="Times New Roman" w:hAnsi="Times New Roman"/>
        </w:rPr>
        <w:t xml:space="preserve">relevantly goes no further than to </w:t>
      </w:r>
      <w:r w:rsidR="009A7B50" w:rsidRPr="000C06D7">
        <w:rPr>
          <w:rFonts w:ascii="Times New Roman" w:hAnsi="Times New Roman"/>
        </w:rPr>
        <w:t>permit PNO to enter into an agreement</w:t>
      </w:r>
      <w:r w:rsidR="00D4546E" w:rsidRPr="000C06D7">
        <w:rPr>
          <w:rFonts w:ascii="Times New Roman" w:hAnsi="Times New Roman"/>
        </w:rPr>
        <w:t xml:space="preserve"> about the amount</w:t>
      </w:r>
      <w:r w:rsidR="009A7B50" w:rsidRPr="000C06D7">
        <w:rPr>
          <w:rFonts w:ascii="Times New Roman" w:hAnsi="Times New Roman"/>
        </w:rPr>
        <w:t xml:space="preserve"> </w:t>
      </w:r>
      <w:r w:rsidR="00E010EF" w:rsidRPr="000C06D7">
        <w:rPr>
          <w:rFonts w:ascii="Times New Roman" w:hAnsi="Times New Roman"/>
        </w:rPr>
        <w:t xml:space="preserve">of the </w:t>
      </w:r>
      <w:r w:rsidR="00D4647B" w:rsidRPr="000C06D7">
        <w:rPr>
          <w:rFonts w:ascii="Times New Roman" w:hAnsi="Times New Roman"/>
        </w:rPr>
        <w:t>n</w:t>
      </w:r>
      <w:r w:rsidR="00E010EF" w:rsidRPr="000C06D7">
        <w:rPr>
          <w:rFonts w:ascii="Times New Roman" w:hAnsi="Times New Roman"/>
        </w:rPr>
        <w:t xml:space="preserve">avigation </w:t>
      </w:r>
      <w:r w:rsidR="00D4647B" w:rsidRPr="000C06D7">
        <w:rPr>
          <w:rFonts w:ascii="Times New Roman" w:hAnsi="Times New Roman"/>
        </w:rPr>
        <w:t>s</w:t>
      </w:r>
      <w:r w:rsidR="00E010EF" w:rsidRPr="000C06D7">
        <w:rPr>
          <w:rFonts w:ascii="Times New Roman" w:hAnsi="Times New Roman"/>
        </w:rPr>
        <w:t xml:space="preserve">ervice </w:t>
      </w:r>
      <w:r w:rsidR="00D4647B" w:rsidRPr="000C06D7">
        <w:rPr>
          <w:rFonts w:ascii="Times New Roman" w:hAnsi="Times New Roman"/>
        </w:rPr>
        <w:t>c</w:t>
      </w:r>
      <w:r w:rsidR="00E010EF" w:rsidRPr="000C06D7">
        <w:rPr>
          <w:rFonts w:ascii="Times New Roman" w:hAnsi="Times New Roman"/>
        </w:rPr>
        <w:t xml:space="preserve">harge </w:t>
      </w:r>
      <w:r w:rsidR="009A7B50" w:rsidRPr="000C06D7">
        <w:rPr>
          <w:rFonts w:ascii="Times New Roman" w:hAnsi="Times New Roman"/>
        </w:rPr>
        <w:t>with a person who is liable to pay</w:t>
      </w:r>
      <w:r w:rsidR="00E010EF" w:rsidRPr="000C06D7">
        <w:rPr>
          <w:rFonts w:ascii="Times New Roman" w:hAnsi="Times New Roman"/>
        </w:rPr>
        <w:t xml:space="preserve"> the </w:t>
      </w:r>
      <w:r w:rsidR="00D4647B" w:rsidRPr="000C06D7">
        <w:rPr>
          <w:rFonts w:ascii="Times New Roman" w:hAnsi="Times New Roman"/>
        </w:rPr>
        <w:t>n</w:t>
      </w:r>
      <w:r w:rsidR="00E010EF" w:rsidRPr="000C06D7">
        <w:rPr>
          <w:rFonts w:ascii="Times New Roman" w:hAnsi="Times New Roman"/>
        </w:rPr>
        <w:t xml:space="preserve">avigation </w:t>
      </w:r>
      <w:r w:rsidR="00D4647B" w:rsidRPr="000C06D7">
        <w:rPr>
          <w:rFonts w:ascii="Times New Roman" w:hAnsi="Times New Roman"/>
        </w:rPr>
        <w:t>s</w:t>
      </w:r>
      <w:r w:rsidR="00E010EF" w:rsidRPr="000C06D7">
        <w:rPr>
          <w:rFonts w:ascii="Times New Roman" w:hAnsi="Times New Roman"/>
        </w:rPr>
        <w:t xml:space="preserve">ervice </w:t>
      </w:r>
      <w:r w:rsidR="00D4647B" w:rsidRPr="000C06D7">
        <w:rPr>
          <w:rFonts w:ascii="Times New Roman" w:hAnsi="Times New Roman"/>
        </w:rPr>
        <w:t>c</w:t>
      </w:r>
      <w:r w:rsidR="00E010EF" w:rsidRPr="000C06D7">
        <w:rPr>
          <w:rFonts w:ascii="Times New Roman" w:hAnsi="Times New Roman"/>
        </w:rPr>
        <w:t xml:space="preserve">harge. </w:t>
      </w:r>
      <w:r w:rsidR="00F335A4" w:rsidRPr="000C06D7">
        <w:rPr>
          <w:rFonts w:ascii="Times New Roman" w:hAnsi="Times New Roman"/>
        </w:rPr>
        <w:t xml:space="preserve">Absent any other person </w:t>
      </w:r>
      <w:r w:rsidR="00A4362B" w:rsidRPr="000C06D7">
        <w:rPr>
          <w:rFonts w:ascii="Times New Roman" w:hAnsi="Times New Roman"/>
        </w:rPr>
        <w:t xml:space="preserve">with a sufficient interest </w:t>
      </w:r>
      <w:r w:rsidR="00F335A4" w:rsidRPr="000C06D7">
        <w:rPr>
          <w:rFonts w:ascii="Times New Roman" w:hAnsi="Times New Roman"/>
        </w:rPr>
        <w:t xml:space="preserve">having </w:t>
      </w:r>
      <w:r w:rsidR="00A4362B" w:rsidRPr="000C06D7">
        <w:rPr>
          <w:rFonts w:ascii="Times New Roman" w:hAnsi="Times New Roman"/>
        </w:rPr>
        <w:t xml:space="preserve">chosen to </w:t>
      </w:r>
      <w:r w:rsidR="009312C2" w:rsidRPr="000C06D7">
        <w:rPr>
          <w:rFonts w:ascii="Times New Roman" w:hAnsi="Times New Roman"/>
        </w:rPr>
        <w:t xml:space="preserve">become a </w:t>
      </w:r>
      <w:r w:rsidR="00A4362B" w:rsidRPr="000C06D7">
        <w:rPr>
          <w:rFonts w:ascii="Times New Roman" w:hAnsi="Times New Roman"/>
        </w:rPr>
        <w:t>party</w:t>
      </w:r>
      <w:r w:rsidR="009312C2" w:rsidRPr="000C06D7">
        <w:rPr>
          <w:rFonts w:ascii="Times New Roman" w:hAnsi="Times New Roman"/>
        </w:rPr>
        <w:t xml:space="preserve"> to the arbitration of the access dispute between PNO</w:t>
      </w:r>
      <w:r w:rsidR="00A4362B" w:rsidRPr="000C06D7">
        <w:rPr>
          <w:rFonts w:ascii="Times New Roman" w:hAnsi="Times New Roman"/>
        </w:rPr>
        <w:t xml:space="preserve"> and Glencore, </w:t>
      </w:r>
      <w:r w:rsidR="00BA465E" w:rsidRPr="000C06D7">
        <w:rPr>
          <w:rFonts w:ascii="Times New Roman" w:hAnsi="Times New Roman"/>
        </w:rPr>
        <w:t>the only person</w:t>
      </w:r>
      <w:r w:rsidR="00433460" w:rsidRPr="000C06D7">
        <w:rPr>
          <w:rFonts w:ascii="Times New Roman" w:hAnsi="Times New Roman"/>
        </w:rPr>
        <w:t xml:space="preserve"> who has the potential to become liable to pay the Navigation Service Charge as a result of the Final Determination is Glencore. </w:t>
      </w:r>
      <w:r w:rsidR="009164A6" w:rsidRPr="000C06D7">
        <w:rPr>
          <w:rFonts w:ascii="Times New Roman" w:hAnsi="Times New Roman"/>
        </w:rPr>
        <w:t xml:space="preserve">When Glencore sells </w:t>
      </w:r>
      <w:r w:rsidR="00CA3095" w:rsidRPr="000C06D7">
        <w:rPr>
          <w:rFonts w:ascii="Times New Roman" w:hAnsi="Times New Roman"/>
        </w:rPr>
        <w:t xml:space="preserve">FOB, </w:t>
      </w:r>
      <w:r w:rsidR="007E592E" w:rsidRPr="000C06D7">
        <w:rPr>
          <w:rFonts w:ascii="Times New Roman" w:hAnsi="Times New Roman"/>
        </w:rPr>
        <w:t xml:space="preserve">Glencore </w:t>
      </w:r>
      <w:r w:rsidR="00F64359" w:rsidRPr="000C06D7">
        <w:rPr>
          <w:rFonts w:ascii="Times New Roman" w:hAnsi="Times New Roman"/>
        </w:rPr>
        <w:t xml:space="preserve">can answer the description of </w:t>
      </w:r>
      <w:r w:rsidR="007E592E" w:rsidRPr="000C06D7">
        <w:rPr>
          <w:rFonts w:ascii="Times New Roman" w:hAnsi="Times New Roman"/>
        </w:rPr>
        <w:t>a person who is liable to pay the Navigation Service Charge</w:t>
      </w:r>
      <w:r w:rsidR="00F64359" w:rsidRPr="000C06D7">
        <w:rPr>
          <w:rFonts w:ascii="Times New Roman" w:hAnsi="Times New Roman"/>
        </w:rPr>
        <w:t xml:space="preserve"> </w:t>
      </w:r>
      <w:r w:rsidR="00B93545" w:rsidRPr="000C06D7">
        <w:rPr>
          <w:rFonts w:ascii="Times New Roman" w:hAnsi="Times New Roman"/>
        </w:rPr>
        <w:t xml:space="preserve">only by acting to </w:t>
      </w:r>
      <w:r w:rsidR="004D5929" w:rsidRPr="000C06D7">
        <w:rPr>
          <w:rFonts w:ascii="Times New Roman" w:hAnsi="Times New Roman"/>
        </w:rPr>
        <w:t xml:space="preserve">bring itself within the extended meaning </w:t>
      </w:r>
      <w:r w:rsidR="00CA3095" w:rsidRPr="000C06D7">
        <w:rPr>
          <w:rFonts w:ascii="Times New Roman" w:hAnsi="Times New Roman"/>
        </w:rPr>
        <w:t>of "ow</w:t>
      </w:r>
      <w:r w:rsidR="008134BA" w:rsidRPr="000C06D7">
        <w:rPr>
          <w:rFonts w:ascii="Times New Roman" w:hAnsi="Times New Roman"/>
        </w:rPr>
        <w:t xml:space="preserve">ner" of a vessel </w:t>
      </w:r>
      <w:r w:rsidR="004D5929" w:rsidRPr="000C06D7">
        <w:rPr>
          <w:rFonts w:ascii="Times New Roman" w:hAnsi="Times New Roman"/>
        </w:rPr>
        <w:t>in s 48(4)(b) of the PMA Act so as to accept the obligation to pay the Navigation Service Charge.</w:t>
      </w:r>
    </w:p>
    <w:p w14:paraId="1BBB4249" w14:textId="4E7AC95D" w:rsidR="00160600" w:rsidRPr="000C06D7" w:rsidRDefault="00160600"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C515ED" w:rsidRPr="000C06D7">
        <w:rPr>
          <w:rFonts w:ascii="Times New Roman" w:hAnsi="Times New Roman"/>
        </w:rPr>
        <w:t>T</w:t>
      </w:r>
      <w:r w:rsidR="00A45E7F" w:rsidRPr="000C06D7">
        <w:rPr>
          <w:rFonts w:ascii="Times New Roman" w:hAnsi="Times New Roman"/>
        </w:rPr>
        <w:t xml:space="preserve">he Tribunal on </w:t>
      </w:r>
      <w:r w:rsidR="0060076E" w:rsidRPr="000C06D7">
        <w:rPr>
          <w:rFonts w:ascii="Times New Roman" w:hAnsi="Times New Roman"/>
        </w:rPr>
        <w:t>remitter m</w:t>
      </w:r>
      <w:r w:rsidR="00A375F1" w:rsidRPr="000C06D7">
        <w:rPr>
          <w:rFonts w:ascii="Times New Roman" w:hAnsi="Times New Roman"/>
        </w:rPr>
        <w:t>ust therefore be</w:t>
      </w:r>
      <w:r w:rsidR="00931020" w:rsidRPr="000C06D7">
        <w:rPr>
          <w:rFonts w:ascii="Times New Roman" w:hAnsi="Times New Roman"/>
        </w:rPr>
        <w:t xml:space="preserve"> confined to</w:t>
      </w:r>
      <w:r w:rsidR="005305AD" w:rsidRPr="000C06D7">
        <w:rPr>
          <w:rFonts w:ascii="Times New Roman" w:hAnsi="Times New Roman"/>
        </w:rPr>
        <w:t xml:space="preserve"> determining</w:t>
      </w:r>
      <w:r w:rsidR="003F481E" w:rsidRPr="000C06D7">
        <w:rPr>
          <w:rFonts w:ascii="Times New Roman" w:hAnsi="Times New Roman"/>
        </w:rPr>
        <w:t xml:space="preserve"> the circumstances in which </w:t>
      </w:r>
      <w:r w:rsidR="009445D5" w:rsidRPr="000C06D7">
        <w:rPr>
          <w:rFonts w:ascii="Times New Roman" w:hAnsi="Times New Roman"/>
        </w:rPr>
        <w:t>the Navigation Service Charge</w:t>
      </w:r>
      <w:r w:rsidR="007D1F5E" w:rsidRPr="000C06D7">
        <w:rPr>
          <w:rFonts w:ascii="Times New Roman" w:hAnsi="Times New Roman"/>
        </w:rPr>
        <w:t xml:space="preserve"> </w:t>
      </w:r>
      <w:r w:rsidR="00931020" w:rsidRPr="000C06D7">
        <w:rPr>
          <w:rFonts w:ascii="Times New Roman" w:hAnsi="Times New Roman"/>
        </w:rPr>
        <w:t>will be</w:t>
      </w:r>
      <w:r w:rsidR="007D1F5E" w:rsidRPr="000C06D7">
        <w:rPr>
          <w:rFonts w:ascii="Times New Roman" w:hAnsi="Times New Roman"/>
        </w:rPr>
        <w:t xml:space="preserve"> payable by Glencore </w:t>
      </w:r>
      <w:r w:rsidR="00CD31EC" w:rsidRPr="000C06D7">
        <w:rPr>
          <w:rFonts w:ascii="Times New Roman" w:hAnsi="Times New Roman"/>
        </w:rPr>
        <w:t>to PNO</w:t>
      </w:r>
      <w:r w:rsidR="005561A5" w:rsidRPr="000C06D7">
        <w:rPr>
          <w:rFonts w:ascii="Times New Roman" w:hAnsi="Times New Roman"/>
        </w:rPr>
        <w:t>. I</w:t>
      </w:r>
      <w:r w:rsidR="002B42BA" w:rsidRPr="000C06D7">
        <w:rPr>
          <w:rFonts w:ascii="Times New Roman" w:hAnsi="Times New Roman"/>
        </w:rPr>
        <w:t>n</w:t>
      </w:r>
      <w:r w:rsidR="002B607F" w:rsidRPr="000C06D7">
        <w:rPr>
          <w:rFonts w:ascii="Times New Roman" w:hAnsi="Times New Roman"/>
        </w:rPr>
        <w:t xml:space="preserve"> respect of</w:t>
      </w:r>
      <w:r w:rsidR="007D1F5E" w:rsidRPr="000C06D7">
        <w:rPr>
          <w:rFonts w:ascii="Times New Roman" w:hAnsi="Times New Roman"/>
        </w:rPr>
        <w:t xml:space="preserve"> the </w:t>
      </w:r>
      <w:r w:rsidR="00C21679" w:rsidRPr="000C06D7">
        <w:rPr>
          <w:rFonts w:ascii="Times New Roman" w:hAnsi="Times New Roman"/>
        </w:rPr>
        <w:t xml:space="preserve">particular </w:t>
      </w:r>
      <w:r w:rsidR="007D1F5E" w:rsidRPr="000C06D7">
        <w:rPr>
          <w:rFonts w:ascii="Times New Roman" w:hAnsi="Times New Roman"/>
        </w:rPr>
        <w:t xml:space="preserve">use of the shipping channels by a </w:t>
      </w:r>
      <w:r w:rsidR="00C21679" w:rsidRPr="000C06D7">
        <w:rPr>
          <w:rFonts w:ascii="Times New Roman" w:hAnsi="Times New Roman"/>
        </w:rPr>
        <w:t xml:space="preserve">particular </w:t>
      </w:r>
      <w:r w:rsidR="007D1F5E" w:rsidRPr="000C06D7">
        <w:rPr>
          <w:rFonts w:ascii="Times New Roman" w:hAnsi="Times New Roman"/>
        </w:rPr>
        <w:t>ship carrying coal sold by Glencore</w:t>
      </w:r>
      <w:r w:rsidR="005561A5" w:rsidRPr="000C06D7">
        <w:rPr>
          <w:rFonts w:ascii="Times New Roman" w:hAnsi="Times New Roman"/>
        </w:rPr>
        <w:t xml:space="preserve">, </w:t>
      </w:r>
      <w:r w:rsidR="00A743F4" w:rsidRPr="000C06D7">
        <w:rPr>
          <w:rFonts w:ascii="Times New Roman" w:hAnsi="Times New Roman"/>
        </w:rPr>
        <w:t xml:space="preserve">the concern of the Tribunal </w:t>
      </w:r>
      <w:r w:rsidR="002B607F" w:rsidRPr="000C06D7">
        <w:rPr>
          <w:rFonts w:ascii="Times New Roman" w:hAnsi="Times New Roman"/>
        </w:rPr>
        <w:t xml:space="preserve">will </w:t>
      </w:r>
      <w:r w:rsidR="00E81327" w:rsidRPr="000C06D7">
        <w:rPr>
          <w:rFonts w:ascii="Times New Roman" w:hAnsi="Times New Roman"/>
        </w:rPr>
        <w:t>be</w:t>
      </w:r>
      <w:r w:rsidR="00402DCF" w:rsidRPr="000C06D7">
        <w:rPr>
          <w:rFonts w:ascii="Times New Roman" w:hAnsi="Times New Roman"/>
        </w:rPr>
        <w:t xml:space="preserve"> </w:t>
      </w:r>
      <w:r w:rsidR="00C21679" w:rsidRPr="000C06D7">
        <w:rPr>
          <w:rFonts w:ascii="Times New Roman" w:hAnsi="Times New Roman"/>
        </w:rPr>
        <w:t xml:space="preserve">to work </w:t>
      </w:r>
      <w:r w:rsidR="0072195D" w:rsidRPr="000C06D7">
        <w:rPr>
          <w:rFonts w:ascii="Times New Roman" w:hAnsi="Times New Roman"/>
        </w:rPr>
        <w:t xml:space="preserve">out </w:t>
      </w:r>
      <w:r w:rsidR="00DF3D24" w:rsidRPr="000C06D7">
        <w:rPr>
          <w:rFonts w:ascii="Times New Roman" w:hAnsi="Times New Roman"/>
        </w:rPr>
        <w:t xml:space="preserve">a practical mechanism to govern </w:t>
      </w:r>
      <w:r w:rsidR="00402DCF" w:rsidRPr="000C06D7">
        <w:rPr>
          <w:rFonts w:ascii="Times New Roman" w:hAnsi="Times New Roman"/>
        </w:rPr>
        <w:t xml:space="preserve">when and how </w:t>
      </w:r>
      <w:r w:rsidR="00E81327" w:rsidRPr="000C06D7">
        <w:rPr>
          <w:rFonts w:ascii="Times New Roman" w:hAnsi="Times New Roman"/>
        </w:rPr>
        <w:t>Glencore</w:t>
      </w:r>
      <w:r w:rsidR="003B43DB" w:rsidRPr="000C06D7">
        <w:rPr>
          <w:rFonts w:ascii="Times New Roman" w:hAnsi="Times New Roman"/>
        </w:rPr>
        <w:t xml:space="preserve"> </w:t>
      </w:r>
      <w:r w:rsidR="00CD31EC" w:rsidRPr="000C06D7">
        <w:rPr>
          <w:rFonts w:ascii="Times New Roman" w:hAnsi="Times New Roman"/>
        </w:rPr>
        <w:t>will</w:t>
      </w:r>
      <w:r w:rsidR="00662BBD" w:rsidRPr="000C06D7">
        <w:rPr>
          <w:rFonts w:ascii="Times New Roman" w:hAnsi="Times New Roman"/>
        </w:rPr>
        <w:t xml:space="preserve"> </w:t>
      </w:r>
      <w:r w:rsidR="00156720" w:rsidRPr="000C06D7">
        <w:rPr>
          <w:rFonts w:ascii="Times New Roman" w:hAnsi="Times New Roman"/>
        </w:rPr>
        <w:t>invoke</w:t>
      </w:r>
      <w:r w:rsidR="003B43DB" w:rsidRPr="000C06D7">
        <w:rPr>
          <w:rFonts w:ascii="Times New Roman" w:hAnsi="Times New Roman"/>
        </w:rPr>
        <w:t xml:space="preserve"> </w:t>
      </w:r>
      <w:r w:rsidR="003B43DB" w:rsidRPr="000C06D7">
        <w:rPr>
          <w:rFonts w:ascii="Times New Roman" w:hAnsi="Times New Roman"/>
        </w:rPr>
        <w:lastRenderedPageBreak/>
        <w:t>s 48(4)(b) of the PMA Act</w:t>
      </w:r>
      <w:r w:rsidR="00F13394" w:rsidRPr="000C06D7">
        <w:rPr>
          <w:rFonts w:ascii="Times New Roman" w:hAnsi="Times New Roman"/>
        </w:rPr>
        <w:t xml:space="preserve"> </w:t>
      </w:r>
      <w:r w:rsidR="00A11472" w:rsidRPr="000C06D7">
        <w:rPr>
          <w:rFonts w:ascii="Times New Roman" w:hAnsi="Times New Roman"/>
        </w:rPr>
        <w:t>to represent to PNO that it</w:t>
      </w:r>
      <w:r w:rsidR="00F13394" w:rsidRPr="000C06D7">
        <w:rPr>
          <w:rFonts w:ascii="Times New Roman" w:hAnsi="Times New Roman"/>
        </w:rPr>
        <w:t xml:space="preserve"> accept</w:t>
      </w:r>
      <w:r w:rsidR="00A11472" w:rsidRPr="000C06D7">
        <w:rPr>
          <w:rFonts w:ascii="Times New Roman" w:hAnsi="Times New Roman"/>
        </w:rPr>
        <w:t>s</w:t>
      </w:r>
      <w:r w:rsidR="00F13394" w:rsidRPr="000C06D7">
        <w:rPr>
          <w:rFonts w:ascii="Times New Roman" w:hAnsi="Times New Roman"/>
        </w:rPr>
        <w:t xml:space="preserve"> the obligation to pay the Navigation Service Charge</w:t>
      </w:r>
      <w:r w:rsidR="003B43DB" w:rsidRPr="000C06D7">
        <w:rPr>
          <w:rFonts w:ascii="Times New Roman" w:hAnsi="Times New Roman"/>
        </w:rPr>
        <w:t>.</w:t>
      </w:r>
    </w:p>
    <w:p w14:paraId="62318640" w14:textId="5C1D4CF6" w:rsidR="0035437A" w:rsidRPr="000C06D7" w:rsidRDefault="00CF73C4"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032EFC" w:rsidRPr="000C06D7">
        <w:rPr>
          <w:rFonts w:ascii="Times New Roman" w:hAnsi="Times New Roman"/>
        </w:rPr>
        <w:t xml:space="preserve">There is no </w:t>
      </w:r>
      <w:r w:rsidR="00FD1726" w:rsidRPr="000C06D7">
        <w:rPr>
          <w:rFonts w:ascii="Times New Roman" w:hAnsi="Times New Roman"/>
        </w:rPr>
        <w:t>occasion</w:t>
      </w:r>
      <w:r w:rsidR="0069219D" w:rsidRPr="000C06D7">
        <w:rPr>
          <w:rFonts w:ascii="Times New Roman" w:hAnsi="Times New Roman"/>
        </w:rPr>
        <w:t xml:space="preserve"> </w:t>
      </w:r>
      <w:r w:rsidR="00381793" w:rsidRPr="000C06D7">
        <w:rPr>
          <w:rFonts w:ascii="Times New Roman" w:hAnsi="Times New Roman"/>
        </w:rPr>
        <w:t>to consider</w:t>
      </w:r>
      <w:r w:rsidRPr="000C06D7">
        <w:rPr>
          <w:rFonts w:ascii="Times New Roman" w:hAnsi="Times New Roman"/>
        </w:rPr>
        <w:t xml:space="preserve"> the </w:t>
      </w:r>
      <w:r w:rsidR="005D0B86" w:rsidRPr="000C06D7">
        <w:rPr>
          <w:rFonts w:ascii="Times New Roman" w:hAnsi="Times New Roman"/>
        </w:rPr>
        <w:t xml:space="preserve">additional basis </w:t>
      </w:r>
      <w:r w:rsidR="001157D8" w:rsidRPr="000C06D7">
        <w:rPr>
          <w:rFonts w:ascii="Times New Roman" w:hAnsi="Times New Roman"/>
        </w:rPr>
        <w:t xml:space="preserve">on which the Full Court </w:t>
      </w:r>
      <w:r w:rsidR="00D37D3B" w:rsidRPr="000C06D7">
        <w:rPr>
          <w:rFonts w:ascii="Times New Roman" w:hAnsi="Times New Roman"/>
        </w:rPr>
        <w:t xml:space="preserve">concluded that the Tribunal had erred in law, </w:t>
      </w:r>
      <w:r w:rsidR="007101A3" w:rsidRPr="000C06D7">
        <w:rPr>
          <w:rFonts w:ascii="Times New Roman" w:hAnsi="Times New Roman"/>
        </w:rPr>
        <w:t xml:space="preserve">which </w:t>
      </w:r>
      <w:r w:rsidR="00995AA4" w:rsidRPr="000C06D7">
        <w:rPr>
          <w:rFonts w:ascii="Times New Roman" w:hAnsi="Times New Roman"/>
        </w:rPr>
        <w:t xml:space="preserve">involved </w:t>
      </w:r>
      <w:r w:rsidR="00C578F8" w:rsidRPr="000C06D7">
        <w:rPr>
          <w:rFonts w:ascii="Times New Roman" w:hAnsi="Times New Roman"/>
        </w:rPr>
        <w:t>construing</w:t>
      </w:r>
      <w:r w:rsidR="00995AA4" w:rsidRPr="000C06D7">
        <w:rPr>
          <w:rFonts w:ascii="Times New Roman" w:hAnsi="Times New Roman"/>
        </w:rPr>
        <w:t xml:space="preserve"> the </w:t>
      </w:r>
      <w:r w:rsidR="00DB3EB8" w:rsidRPr="000C06D7">
        <w:rPr>
          <w:rFonts w:ascii="Times New Roman" w:hAnsi="Times New Roman"/>
        </w:rPr>
        <w:t>Declaration</w:t>
      </w:r>
      <w:r w:rsidR="00C578F8" w:rsidRPr="000C06D7">
        <w:rPr>
          <w:rFonts w:ascii="Times New Roman" w:hAnsi="Times New Roman"/>
        </w:rPr>
        <w:t>'</w:t>
      </w:r>
      <w:r w:rsidR="00DB3EB8" w:rsidRPr="000C06D7">
        <w:rPr>
          <w:rFonts w:ascii="Times New Roman" w:hAnsi="Times New Roman"/>
        </w:rPr>
        <w:t xml:space="preserve">s </w:t>
      </w:r>
      <w:r w:rsidR="00995AA4" w:rsidRPr="000C06D7">
        <w:rPr>
          <w:rFonts w:ascii="Times New Roman" w:hAnsi="Times New Roman"/>
        </w:rPr>
        <w:t xml:space="preserve">description of </w:t>
      </w:r>
      <w:r w:rsidR="007101A3" w:rsidRPr="000C06D7">
        <w:rPr>
          <w:rFonts w:ascii="Times New Roman" w:hAnsi="Times New Roman"/>
        </w:rPr>
        <w:t xml:space="preserve">the Service </w:t>
      </w:r>
      <w:r w:rsidR="00DB3EB8" w:rsidRPr="000C06D7">
        <w:rPr>
          <w:rFonts w:ascii="Times New Roman" w:hAnsi="Times New Roman"/>
        </w:rPr>
        <w:t xml:space="preserve">as </w:t>
      </w:r>
      <w:r w:rsidR="00AF675D" w:rsidRPr="000C06D7">
        <w:rPr>
          <w:rFonts w:ascii="Times New Roman" w:hAnsi="Times New Roman"/>
        </w:rPr>
        <w:t>describing</w:t>
      </w:r>
      <w:r w:rsidR="00C578F8" w:rsidRPr="000C06D7">
        <w:rPr>
          <w:rFonts w:ascii="Times New Roman" w:hAnsi="Times New Roman"/>
        </w:rPr>
        <w:t xml:space="preserve"> </w:t>
      </w:r>
      <w:r w:rsidR="006F7F14" w:rsidRPr="000C06D7">
        <w:rPr>
          <w:rFonts w:ascii="Times New Roman" w:hAnsi="Times New Roman"/>
        </w:rPr>
        <w:t>one</w:t>
      </w:r>
      <w:r w:rsidR="001E0BD1" w:rsidRPr="000C06D7">
        <w:rPr>
          <w:rFonts w:ascii="Times New Roman" w:hAnsi="Times New Roman"/>
        </w:rPr>
        <w:t xml:space="preserve"> </w:t>
      </w:r>
      <w:r w:rsidR="00381793" w:rsidRPr="000C06D7">
        <w:rPr>
          <w:rFonts w:ascii="Times New Roman" w:hAnsi="Times New Roman"/>
        </w:rPr>
        <w:t>indivisible</w:t>
      </w:r>
      <w:r w:rsidR="001E0BD1" w:rsidRPr="000C06D7">
        <w:rPr>
          <w:rFonts w:ascii="Times New Roman" w:hAnsi="Times New Roman"/>
        </w:rPr>
        <w:t xml:space="preserve"> </w:t>
      </w:r>
      <w:r w:rsidR="00E32883" w:rsidRPr="000C06D7">
        <w:rPr>
          <w:rFonts w:ascii="Times New Roman" w:hAnsi="Times New Roman"/>
        </w:rPr>
        <w:t>use of shipping channels and loading berths</w:t>
      </w:r>
      <w:r w:rsidR="00DB3EB8" w:rsidRPr="000C06D7">
        <w:rPr>
          <w:rFonts w:ascii="Times New Roman" w:hAnsi="Times New Roman"/>
        </w:rPr>
        <w:t>.</w:t>
      </w:r>
      <w:r w:rsidR="002B2795" w:rsidRPr="000C06D7">
        <w:rPr>
          <w:rFonts w:ascii="Times New Roman" w:hAnsi="Times New Roman"/>
        </w:rPr>
        <w:t xml:space="preserve"> Turning as it d</w:t>
      </w:r>
      <w:r w:rsidR="00401835" w:rsidRPr="000C06D7">
        <w:rPr>
          <w:rFonts w:ascii="Times New Roman" w:hAnsi="Times New Roman"/>
        </w:rPr>
        <w:t>id</w:t>
      </w:r>
      <w:r w:rsidR="002B2795" w:rsidRPr="000C06D7">
        <w:rPr>
          <w:rFonts w:ascii="Times New Roman" w:hAnsi="Times New Roman"/>
        </w:rPr>
        <w:t xml:space="preserve"> on the </w:t>
      </w:r>
      <w:r w:rsidR="001B0624" w:rsidRPr="000C06D7">
        <w:rPr>
          <w:rFonts w:ascii="Times New Roman" w:hAnsi="Times New Roman"/>
        </w:rPr>
        <w:t xml:space="preserve">peculiar </w:t>
      </w:r>
      <w:r w:rsidR="002B2795" w:rsidRPr="000C06D7">
        <w:rPr>
          <w:rFonts w:ascii="Times New Roman" w:hAnsi="Times New Roman"/>
        </w:rPr>
        <w:t xml:space="preserve">wording of a now revoked </w:t>
      </w:r>
      <w:r w:rsidR="00241C73" w:rsidRPr="000C06D7">
        <w:rPr>
          <w:rFonts w:ascii="Times New Roman" w:hAnsi="Times New Roman"/>
        </w:rPr>
        <w:t>statutory</w:t>
      </w:r>
      <w:r w:rsidR="002B2795" w:rsidRPr="000C06D7">
        <w:rPr>
          <w:rFonts w:ascii="Times New Roman" w:hAnsi="Times New Roman"/>
        </w:rPr>
        <w:t xml:space="preserve"> instrument</w:t>
      </w:r>
      <w:r w:rsidR="00401835" w:rsidRPr="000C06D7">
        <w:rPr>
          <w:rFonts w:ascii="Times New Roman" w:hAnsi="Times New Roman"/>
        </w:rPr>
        <w:t xml:space="preserve">, that additional basis for the Full Court's conclusion </w:t>
      </w:r>
      <w:r w:rsidR="001B0624" w:rsidRPr="000C06D7">
        <w:rPr>
          <w:rFonts w:ascii="Times New Roman" w:hAnsi="Times New Roman"/>
        </w:rPr>
        <w:t>raises no issue of principle</w:t>
      </w:r>
      <w:r w:rsidR="00BB500D" w:rsidRPr="000C06D7">
        <w:rPr>
          <w:rFonts w:ascii="Times New Roman" w:hAnsi="Times New Roman"/>
        </w:rPr>
        <w:t>.</w:t>
      </w:r>
      <w:r w:rsidR="001B0624" w:rsidRPr="000C06D7">
        <w:rPr>
          <w:rFonts w:ascii="Times New Roman" w:hAnsi="Times New Roman"/>
        </w:rPr>
        <w:t xml:space="preserve"> </w:t>
      </w:r>
    </w:p>
    <w:p w14:paraId="1A8F7578" w14:textId="563DBA32" w:rsidR="00DC2117" w:rsidRPr="000C06D7" w:rsidRDefault="00CA4C80" w:rsidP="000C06D7">
      <w:pPr>
        <w:pStyle w:val="HeadingL1"/>
        <w:spacing w:after="260" w:line="280" w:lineRule="exact"/>
        <w:ind w:right="0"/>
        <w:jc w:val="both"/>
        <w:rPr>
          <w:rFonts w:ascii="Times New Roman" w:hAnsi="Times New Roman"/>
        </w:rPr>
      </w:pPr>
      <w:r w:rsidRPr="000C06D7">
        <w:rPr>
          <w:rFonts w:ascii="Times New Roman" w:hAnsi="Times New Roman"/>
        </w:rPr>
        <w:t xml:space="preserve">Amount of the </w:t>
      </w:r>
      <w:r w:rsidR="00A45FFE" w:rsidRPr="000C06D7">
        <w:rPr>
          <w:rFonts w:ascii="Times New Roman" w:hAnsi="Times New Roman"/>
        </w:rPr>
        <w:t>Navigation Service Charge</w:t>
      </w:r>
    </w:p>
    <w:p w14:paraId="07D277EC" w14:textId="02BCE1DB" w:rsidR="00BF1D6B" w:rsidRPr="000C06D7" w:rsidRDefault="006534C8" w:rsidP="000C06D7">
      <w:pPr>
        <w:pStyle w:val="HeadingL2"/>
        <w:spacing w:after="260" w:line="280" w:lineRule="exact"/>
        <w:ind w:right="0"/>
        <w:jc w:val="both"/>
        <w:rPr>
          <w:rFonts w:ascii="Times New Roman" w:hAnsi="Times New Roman"/>
        </w:rPr>
      </w:pPr>
      <w:r w:rsidRPr="000C06D7">
        <w:rPr>
          <w:rFonts w:ascii="Times New Roman" w:hAnsi="Times New Roman"/>
        </w:rPr>
        <w:t>Section 44X</w:t>
      </w:r>
      <w:r w:rsidR="00A17AA4" w:rsidRPr="000C06D7">
        <w:rPr>
          <w:rFonts w:ascii="Times New Roman" w:hAnsi="Times New Roman"/>
        </w:rPr>
        <w:t>(1)(e) of the Act</w:t>
      </w:r>
    </w:p>
    <w:p w14:paraId="62C00F99" w14:textId="14BF4DE7" w:rsidR="009906A8" w:rsidRPr="000C06D7" w:rsidRDefault="008A0024"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7058F5" w:rsidRPr="000C06D7">
        <w:rPr>
          <w:rFonts w:ascii="Times New Roman" w:hAnsi="Times New Roman"/>
        </w:rPr>
        <w:t xml:space="preserve">The obligation imposed </w:t>
      </w:r>
      <w:r w:rsidR="0070234F" w:rsidRPr="000C06D7">
        <w:rPr>
          <w:rFonts w:ascii="Times New Roman" w:hAnsi="Times New Roman"/>
        </w:rPr>
        <w:t>on the Tr</w:t>
      </w:r>
      <w:r w:rsidR="00F92F59" w:rsidRPr="000C06D7">
        <w:rPr>
          <w:rFonts w:ascii="Times New Roman" w:hAnsi="Times New Roman"/>
        </w:rPr>
        <w:t xml:space="preserve">ibunal </w:t>
      </w:r>
      <w:r w:rsidR="00DC4C66" w:rsidRPr="000C06D7">
        <w:rPr>
          <w:rFonts w:ascii="Times New Roman" w:hAnsi="Times New Roman"/>
        </w:rPr>
        <w:t>by s</w:t>
      </w:r>
      <w:r w:rsidR="00F13394" w:rsidRPr="000C06D7">
        <w:rPr>
          <w:rFonts w:ascii="Times New Roman" w:hAnsi="Times New Roman"/>
        </w:rPr>
        <w:t> </w:t>
      </w:r>
      <w:r w:rsidR="00DC4C66" w:rsidRPr="000C06D7">
        <w:rPr>
          <w:rFonts w:ascii="Times New Roman" w:hAnsi="Times New Roman"/>
        </w:rPr>
        <w:t>44X(1)</w:t>
      </w:r>
      <w:r w:rsidR="008C6E04" w:rsidRPr="000C06D7">
        <w:rPr>
          <w:rFonts w:ascii="Times New Roman" w:hAnsi="Times New Roman"/>
        </w:rPr>
        <w:t>,</w:t>
      </w:r>
      <w:r w:rsidR="00DC4C66" w:rsidRPr="000C06D7">
        <w:rPr>
          <w:rFonts w:ascii="Times New Roman" w:hAnsi="Times New Roman"/>
        </w:rPr>
        <w:t xml:space="preserve"> to take specified matters into account </w:t>
      </w:r>
      <w:r w:rsidR="00F92F59" w:rsidRPr="000C06D7">
        <w:rPr>
          <w:rFonts w:ascii="Times New Roman" w:hAnsi="Times New Roman"/>
        </w:rPr>
        <w:t>in making the Final Determination</w:t>
      </w:r>
      <w:r w:rsidR="008520B8" w:rsidRPr="000C06D7">
        <w:rPr>
          <w:rFonts w:ascii="Times New Roman" w:hAnsi="Times New Roman"/>
        </w:rPr>
        <w:t>,</w:t>
      </w:r>
      <w:r w:rsidR="00F92F59" w:rsidRPr="000C06D7">
        <w:rPr>
          <w:rFonts w:ascii="Times New Roman" w:hAnsi="Times New Roman"/>
        </w:rPr>
        <w:t xml:space="preserve"> </w:t>
      </w:r>
      <w:r w:rsidR="00557C90" w:rsidRPr="000C06D7">
        <w:rPr>
          <w:rFonts w:ascii="Times New Roman" w:hAnsi="Times New Roman"/>
        </w:rPr>
        <w:t>was an obligation to</w:t>
      </w:r>
      <w:r w:rsidR="00C320A9" w:rsidRPr="000C06D7">
        <w:rPr>
          <w:rFonts w:ascii="Times New Roman" w:hAnsi="Times New Roman"/>
        </w:rPr>
        <w:t xml:space="preserve"> </w:t>
      </w:r>
      <w:r w:rsidR="00C53D10" w:rsidRPr="000C06D7">
        <w:rPr>
          <w:rFonts w:ascii="Times New Roman" w:hAnsi="Times New Roman"/>
        </w:rPr>
        <w:t>"</w:t>
      </w:r>
      <w:r w:rsidR="00C320A9" w:rsidRPr="000C06D7">
        <w:rPr>
          <w:rFonts w:ascii="Times New Roman" w:hAnsi="Times New Roman"/>
        </w:rPr>
        <w:t>give weight</w:t>
      </w:r>
      <w:r w:rsidR="00C53D10" w:rsidRPr="000C06D7">
        <w:rPr>
          <w:rFonts w:ascii="Times New Roman" w:hAnsi="Times New Roman"/>
        </w:rPr>
        <w:t>"</w:t>
      </w:r>
      <w:r w:rsidR="00C320A9" w:rsidRPr="000C06D7">
        <w:rPr>
          <w:rFonts w:ascii="Times New Roman" w:hAnsi="Times New Roman"/>
        </w:rPr>
        <w:t xml:space="preserve"> to each of those matters as a </w:t>
      </w:r>
      <w:r w:rsidR="00C53D10" w:rsidRPr="000C06D7">
        <w:rPr>
          <w:rFonts w:ascii="Times New Roman" w:hAnsi="Times New Roman"/>
        </w:rPr>
        <w:t>"</w:t>
      </w:r>
      <w:r w:rsidR="005B7AFE" w:rsidRPr="000C06D7">
        <w:rPr>
          <w:rFonts w:ascii="Times New Roman" w:hAnsi="Times New Roman"/>
        </w:rPr>
        <w:t>fundamental element</w:t>
      </w:r>
      <w:r w:rsidR="00C53D10" w:rsidRPr="000C06D7">
        <w:rPr>
          <w:rFonts w:ascii="Times New Roman" w:hAnsi="Times New Roman"/>
        </w:rPr>
        <w:t>"</w:t>
      </w:r>
      <w:r w:rsidR="009F7815" w:rsidRPr="000C06D7">
        <w:rPr>
          <w:rStyle w:val="FootnoteReference"/>
          <w:rFonts w:ascii="Times New Roman" w:hAnsi="Times New Roman"/>
          <w:sz w:val="24"/>
        </w:rPr>
        <w:footnoteReference w:id="101"/>
      </w:r>
      <w:r w:rsidR="005B7AFE" w:rsidRPr="000C06D7">
        <w:rPr>
          <w:rFonts w:ascii="Times New Roman" w:hAnsi="Times New Roman"/>
        </w:rPr>
        <w:t xml:space="preserve"> </w:t>
      </w:r>
      <w:r w:rsidR="00515604" w:rsidRPr="000C06D7">
        <w:rPr>
          <w:rFonts w:ascii="Times New Roman" w:hAnsi="Times New Roman"/>
        </w:rPr>
        <w:t xml:space="preserve">of the decision-making process in which </w:t>
      </w:r>
      <w:r w:rsidR="00C53D10" w:rsidRPr="000C06D7">
        <w:rPr>
          <w:rFonts w:ascii="Times New Roman" w:hAnsi="Times New Roman"/>
        </w:rPr>
        <w:t xml:space="preserve">the Tribunal </w:t>
      </w:r>
      <w:r w:rsidR="00515604" w:rsidRPr="000C06D7">
        <w:rPr>
          <w:rFonts w:ascii="Times New Roman" w:hAnsi="Times New Roman"/>
        </w:rPr>
        <w:t xml:space="preserve">engaged to arrive at the Final </w:t>
      </w:r>
      <w:r w:rsidR="00C53D10" w:rsidRPr="000C06D7">
        <w:rPr>
          <w:rFonts w:ascii="Times New Roman" w:hAnsi="Times New Roman"/>
        </w:rPr>
        <w:t>Determination.</w:t>
      </w:r>
      <w:r w:rsidR="00E61A1C" w:rsidRPr="000C06D7">
        <w:rPr>
          <w:rFonts w:ascii="Times New Roman" w:hAnsi="Times New Roman"/>
        </w:rPr>
        <w:t xml:space="preserve"> Provided the Tribunal so took each of the specified matters into account, how the Tribunal factored each of them into its decision-making process was a matter for it</w:t>
      </w:r>
      <w:r w:rsidR="00E61A1C" w:rsidRPr="000C06D7">
        <w:rPr>
          <w:rStyle w:val="FootnoteReference"/>
          <w:rFonts w:ascii="Times New Roman" w:hAnsi="Times New Roman"/>
          <w:sz w:val="24"/>
        </w:rPr>
        <w:footnoteReference w:id="102"/>
      </w:r>
      <w:r w:rsidR="00E61A1C" w:rsidRPr="000C06D7">
        <w:rPr>
          <w:rFonts w:ascii="Times New Roman" w:hAnsi="Times New Roman"/>
        </w:rPr>
        <w:t xml:space="preserve"> subject to the implied condition that its decision-making power be exercised within the bounds of reasonableness</w:t>
      </w:r>
      <w:r w:rsidR="00E61A1C" w:rsidRPr="000C06D7">
        <w:rPr>
          <w:rStyle w:val="FootnoteReference"/>
          <w:rFonts w:ascii="Times New Roman" w:hAnsi="Times New Roman"/>
          <w:sz w:val="24"/>
        </w:rPr>
        <w:footnoteReference w:id="103"/>
      </w:r>
      <w:r w:rsidR="00E61A1C" w:rsidRPr="000C06D7">
        <w:rPr>
          <w:rFonts w:ascii="Times New Roman" w:hAnsi="Times New Roman"/>
        </w:rPr>
        <w:t>. No issue of unreasonableness has been raised</w:t>
      </w:r>
      <w:r w:rsidR="005A0B75" w:rsidRPr="000C06D7">
        <w:rPr>
          <w:rFonts w:ascii="Times New Roman" w:hAnsi="Times New Roman"/>
        </w:rPr>
        <w:t xml:space="preserve"> in the present case</w:t>
      </w:r>
      <w:r w:rsidR="00E61A1C" w:rsidRPr="000C06D7">
        <w:rPr>
          <w:rFonts w:ascii="Times New Roman" w:hAnsi="Times New Roman"/>
        </w:rPr>
        <w:t>.</w:t>
      </w:r>
    </w:p>
    <w:p w14:paraId="2228CD0F" w14:textId="2A20BAB0" w:rsidR="003128C3" w:rsidRPr="000C06D7" w:rsidRDefault="009F7815"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3128C3" w:rsidRPr="000C06D7">
        <w:rPr>
          <w:rFonts w:ascii="Times New Roman" w:hAnsi="Times New Roman"/>
        </w:rPr>
        <w:t xml:space="preserve">It will be recalled that the Full Court </w:t>
      </w:r>
      <w:r w:rsidR="00477E51" w:rsidRPr="000C06D7">
        <w:rPr>
          <w:rFonts w:ascii="Times New Roman" w:hAnsi="Times New Roman"/>
        </w:rPr>
        <w:t xml:space="preserve">found </w:t>
      </w:r>
      <w:r w:rsidR="003128C3" w:rsidRPr="000C06D7">
        <w:rPr>
          <w:rFonts w:ascii="Times New Roman" w:hAnsi="Times New Roman"/>
        </w:rPr>
        <w:t>the Tribunal had misconstrued and misapplied s</w:t>
      </w:r>
      <w:r w:rsidR="00B475DB" w:rsidRPr="000C06D7">
        <w:rPr>
          <w:rFonts w:ascii="Times New Roman" w:hAnsi="Times New Roman"/>
        </w:rPr>
        <w:t> </w:t>
      </w:r>
      <w:r w:rsidR="003128C3" w:rsidRPr="000C06D7">
        <w:rPr>
          <w:rFonts w:ascii="Times New Roman" w:hAnsi="Times New Roman"/>
        </w:rPr>
        <w:t xml:space="preserve">44X(1)(e). For reasons </w:t>
      </w:r>
      <w:r w:rsidR="00F160C7" w:rsidRPr="000C06D7">
        <w:rPr>
          <w:rFonts w:ascii="Times New Roman" w:hAnsi="Times New Roman"/>
        </w:rPr>
        <w:t>to be explained</w:t>
      </w:r>
      <w:r w:rsidR="003128C3" w:rsidRPr="000C06D7">
        <w:rPr>
          <w:rFonts w:ascii="Times New Roman" w:hAnsi="Times New Roman"/>
        </w:rPr>
        <w:t xml:space="preserve"> below, the Full Court erred in </w:t>
      </w:r>
      <w:r w:rsidR="008520B8" w:rsidRPr="000C06D7">
        <w:rPr>
          <w:rFonts w:ascii="Times New Roman" w:hAnsi="Times New Roman"/>
        </w:rPr>
        <w:t>its own construction of that provision</w:t>
      </w:r>
      <w:r w:rsidR="003128C3" w:rsidRPr="000C06D7">
        <w:rPr>
          <w:rFonts w:ascii="Times New Roman" w:hAnsi="Times New Roman"/>
        </w:rPr>
        <w:t>. Before addressing the proper construction of s</w:t>
      </w:r>
      <w:r w:rsidR="00B475DB" w:rsidRPr="000C06D7">
        <w:rPr>
          <w:rFonts w:ascii="Times New Roman" w:hAnsi="Times New Roman"/>
        </w:rPr>
        <w:t> </w:t>
      </w:r>
      <w:r w:rsidR="003128C3" w:rsidRPr="000C06D7">
        <w:rPr>
          <w:rFonts w:ascii="Times New Roman" w:hAnsi="Times New Roman"/>
        </w:rPr>
        <w:t xml:space="preserve">44X(1)(e), it </w:t>
      </w:r>
      <w:r w:rsidR="00215190" w:rsidRPr="000C06D7">
        <w:rPr>
          <w:rFonts w:ascii="Times New Roman" w:hAnsi="Times New Roman"/>
        </w:rPr>
        <w:t xml:space="preserve">may be </w:t>
      </w:r>
      <w:r w:rsidR="003128C3" w:rsidRPr="000C06D7">
        <w:rPr>
          <w:rFonts w:ascii="Times New Roman" w:hAnsi="Times New Roman"/>
        </w:rPr>
        <w:t xml:space="preserve">instructive to say something about the methodology that ought to be adopted </w:t>
      </w:r>
      <w:r w:rsidR="00B80736" w:rsidRPr="000C06D7">
        <w:rPr>
          <w:rFonts w:ascii="Times New Roman" w:hAnsi="Times New Roman"/>
        </w:rPr>
        <w:t xml:space="preserve">by </w:t>
      </w:r>
      <w:r w:rsidR="005A33B8" w:rsidRPr="000C06D7">
        <w:rPr>
          <w:rFonts w:ascii="Times New Roman" w:hAnsi="Times New Roman"/>
        </w:rPr>
        <w:t>a court</w:t>
      </w:r>
      <w:r w:rsidR="000F277A" w:rsidRPr="000C06D7">
        <w:rPr>
          <w:rFonts w:ascii="Times New Roman" w:hAnsi="Times New Roman"/>
        </w:rPr>
        <w:t xml:space="preserve"> reviewing a decision of the Tribunal to determine whether </w:t>
      </w:r>
      <w:r w:rsidR="009F3147" w:rsidRPr="000C06D7">
        <w:rPr>
          <w:rFonts w:ascii="Times New Roman" w:hAnsi="Times New Roman"/>
        </w:rPr>
        <w:t xml:space="preserve">that decision was affected by </w:t>
      </w:r>
      <w:r w:rsidR="00F27CDB" w:rsidRPr="000C06D7">
        <w:rPr>
          <w:rFonts w:ascii="Times New Roman" w:hAnsi="Times New Roman"/>
        </w:rPr>
        <w:t>an erroneous construction</w:t>
      </w:r>
      <w:r w:rsidR="009F3147" w:rsidRPr="000C06D7">
        <w:rPr>
          <w:rFonts w:ascii="Times New Roman" w:hAnsi="Times New Roman"/>
        </w:rPr>
        <w:t>.</w:t>
      </w:r>
    </w:p>
    <w:p w14:paraId="14D7D02C" w14:textId="352B3A64" w:rsidR="009F7815" w:rsidRPr="000C06D7" w:rsidRDefault="00F0469C"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2D69BB" w:rsidRPr="000C06D7">
        <w:rPr>
          <w:rFonts w:ascii="Times New Roman" w:hAnsi="Times New Roman"/>
        </w:rPr>
        <w:t xml:space="preserve">Were </w:t>
      </w:r>
      <w:r w:rsidR="00271AD4" w:rsidRPr="000C06D7">
        <w:rPr>
          <w:rFonts w:ascii="Times New Roman" w:hAnsi="Times New Roman"/>
        </w:rPr>
        <w:t xml:space="preserve">the reference in </w:t>
      </w:r>
      <w:r w:rsidR="00892196" w:rsidRPr="000C06D7">
        <w:rPr>
          <w:rFonts w:ascii="Times New Roman" w:hAnsi="Times New Roman"/>
        </w:rPr>
        <w:t>s</w:t>
      </w:r>
      <w:r w:rsidR="00F13394" w:rsidRPr="000C06D7">
        <w:rPr>
          <w:rFonts w:ascii="Times New Roman" w:hAnsi="Times New Roman"/>
        </w:rPr>
        <w:t> </w:t>
      </w:r>
      <w:r w:rsidR="00892196" w:rsidRPr="000C06D7">
        <w:rPr>
          <w:rFonts w:ascii="Times New Roman" w:hAnsi="Times New Roman"/>
        </w:rPr>
        <w:t xml:space="preserve">44X(1)(e) to </w:t>
      </w:r>
      <w:r w:rsidR="00ED7CAD" w:rsidRPr="000C06D7">
        <w:rPr>
          <w:rFonts w:ascii="Times New Roman" w:hAnsi="Times New Roman"/>
        </w:rPr>
        <w:t>"</w:t>
      </w:r>
      <w:r w:rsidR="00AC293A" w:rsidRPr="000C06D7">
        <w:rPr>
          <w:rFonts w:ascii="Times New Roman" w:hAnsi="Times New Roman"/>
        </w:rPr>
        <w:t xml:space="preserve">extensions (including expansions of capacity and expansions of geographical reach) whose cost is borne by someone </w:t>
      </w:r>
      <w:r w:rsidR="00AC293A" w:rsidRPr="000C06D7">
        <w:rPr>
          <w:rFonts w:ascii="Times New Roman" w:hAnsi="Times New Roman"/>
        </w:rPr>
        <w:lastRenderedPageBreak/>
        <w:t>else"</w:t>
      </w:r>
      <w:r w:rsidR="00ED7CAD" w:rsidRPr="000C06D7">
        <w:rPr>
          <w:rFonts w:ascii="Times New Roman" w:hAnsi="Times New Roman"/>
        </w:rPr>
        <w:t xml:space="preserve"> apt to encompass </w:t>
      </w:r>
      <w:r w:rsidR="00583B34" w:rsidRPr="000C06D7">
        <w:rPr>
          <w:rFonts w:ascii="Times New Roman" w:hAnsi="Times New Roman"/>
        </w:rPr>
        <w:t xml:space="preserve">the </w:t>
      </w:r>
      <w:r w:rsidR="0073728C" w:rsidRPr="000C06D7">
        <w:rPr>
          <w:rFonts w:ascii="Times New Roman" w:hAnsi="Times New Roman"/>
        </w:rPr>
        <w:t xml:space="preserve">creation by the State of New South Wales of the </w:t>
      </w:r>
      <w:r w:rsidR="00583B34" w:rsidRPr="000C06D7">
        <w:rPr>
          <w:rFonts w:ascii="Times New Roman" w:hAnsi="Times New Roman"/>
        </w:rPr>
        <w:t xml:space="preserve">shipping channels and associated </w:t>
      </w:r>
      <w:r w:rsidR="00515BEB" w:rsidRPr="000C06D7">
        <w:rPr>
          <w:rFonts w:ascii="Times New Roman" w:hAnsi="Times New Roman"/>
        </w:rPr>
        <w:t xml:space="preserve">public </w:t>
      </w:r>
      <w:r w:rsidR="00583B34" w:rsidRPr="000C06D7">
        <w:rPr>
          <w:rFonts w:ascii="Times New Roman" w:hAnsi="Times New Roman"/>
        </w:rPr>
        <w:t xml:space="preserve">works now used by PNO to provide the Service </w:t>
      </w:r>
      <w:r w:rsidR="00C02C56" w:rsidRPr="000C06D7">
        <w:rPr>
          <w:rFonts w:ascii="Times New Roman" w:hAnsi="Times New Roman"/>
        </w:rPr>
        <w:t>funded by</w:t>
      </w:r>
      <w:r w:rsidR="00583B34" w:rsidRPr="000C06D7">
        <w:rPr>
          <w:rFonts w:ascii="Times New Roman" w:hAnsi="Times New Roman"/>
        </w:rPr>
        <w:t xml:space="preserve"> </w:t>
      </w:r>
      <w:r w:rsidR="00205864" w:rsidRPr="000C06D7">
        <w:rPr>
          <w:rFonts w:ascii="Times New Roman" w:hAnsi="Times New Roman"/>
        </w:rPr>
        <w:t xml:space="preserve">"user </w:t>
      </w:r>
      <w:r w:rsidR="00583B34" w:rsidRPr="000C06D7">
        <w:rPr>
          <w:rFonts w:ascii="Times New Roman" w:hAnsi="Times New Roman"/>
        </w:rPr>
        <w:t xml:space="preserve">contributions" </w:t>
      </w:r>
      <w:r w:rsidR="00205864" w:rsidRPr="000C06D7">
        <w:rPr>
          <w:rFonts w:ascii="Times New Roman" w:hAnsi="Times New Roman"/>
        </w:rPr>
        <w:t xml:space="preserve">from </w:t>
      </w:r>
      <w:r w:rsidR="00583B34" w:rsidRPr="000C06D7">
        <w:rPr>
          <w:rFonts w:ascii="Times New Roman" w:hAnsi="Times New Roman"/>
        </w:rPr>
        <w:t>past users of the Port</w:t>
      </w:r>
      <w:r w:rsidR="00C92C1E" w:rsidRPr="000C06D7">
        <w:rPr>
          <w:rFonts w:ascii="Times New Roman" w:hAnsi="Times New Roman"/>
        </w:rPr>
        <w:t xml:space="preserve">, a </w:t>
      </w:r>
      <w:r w:rsidR="000563A6" w:rsidRPr="000C06D7">
        <w:rPr>
          <w:rFonts w:ascii="Times New Roman" w:hAnsi="Times New Roman"/>
        </w:rPr>
        <w:t xml:space="preserve">legal </w:t>
      </w:r>
      <w:r w:rsidR="00C92C1E" w:rsidRPr="000C06D7">
        <w:rPr>
          <w:rFonts w:ascii="Times New Roman" w:hAnsi="Times New Roman"/>
        </w:rPr>
        <w:t>foundation would exist for an argument that</w:t>
      </w:r>
      <w:r w:rsidR="00EF62BF" w:rsidRPr="000C06D7">
        <w:rPr>
          <w:rFonts w:ascii="Times New Roman" w:hAnsi="Times New Roman"/>
        </w:rPr>
        <w:t xml:space="preserve"> the Tribunal</w:t>
      </w:r>
      <w:r w:rsidR="00E72552" w:rsidRPr="000C06D7">
        <w:rPr>
          <w:rFonts w:ascii="Times New Roman" w:hAnsi="Times New Roman"/>
        </w:rPr>
        <w:t xml:space="preserve">, </w:t>
      </w:r>
      <w:r w:rsidR="00EF62BF" w:rsidRPr="000C06D7">
        <w:rPr>
          <w:rFonts w:ascii="Times New Roman" w:hAnsi="Times New Roman"/>
        </w:rPr>
        <w:t xml:space="preserve">in </w:t>
      </w:r>
      <w:r w:rsidR="00325A9A" w:rsidRPr="000C06D7">
        <w:rPr>
          <w:rFonts w:ascii="Times New Roman" w:hAnsi="Times New Roman"/>
        </w:rPr>
        <w:t xml:space="preserve">refusing to make an </w:t>
      </w:r>
      <w:r w:rsidR="00C00966" w:rsidRPr="000C06D7">
        <w:rPr>
          <w:rFonts w:ascii="Times New Roman" w:hAnsi="Times New Roman"/>
        </w:rPr>
        <w:t xml:space="preserve">allowance for the value </w:t>
      </w:r>
      <w:r w:rsidR="00380F82" w:rsidRPr="000C06D7">
        <w:rPr>
          <w:rFonts w:ascii="Times New Roman" w:hAnsi="Times New Roman"/>
        </w:rPr>
        <w:t xml:space="preserve">to PNO of the shipping channels and associated public works </w:t>
      </w:r>
      <w:r w:rsidR="00D56EE8" w:rsidRPr="000C06D7">
        <w:rPr>
          <w:rFonts w:ascii="Times New Roman" w:hAnsi="Times New Roman"/>
        </w:rPr>
        <w:t xml:space="preserve">so created, </w:t>
      </w:r>
      <w:r w:rsidR="007D7C6B" w:rsidRPr="000C06D7">
        <w:rPr>
          <w:rFonts w:ascii="Times New Roman" w:hAnsi="Times New Roman"/>
        </w:rPr>
        <w:t>misconstrued s 44</w:t>
      </w:r>
      <w:r w:rsidR="00EA5F1F" w:rsidRPr="000C06D7">
        <w:rPr>
          <w:rFonts w:ascii="Times New Roman" w:hAnsi="Times New Roman"/>
        </w:rPr>
        <w:t>X</w:t>
      </w:r>
      <w:r w:rsidR="007D7C6B" w:rsidRPr="000C06D7">
        <w:rPr>
          <w:rFonts w:ascii="Times New Roman" w:hAnsi="Times New Roman"/>
        </w:rPr>
        <w:t>(1)(e) in</w:t>
      </w:r>
      <w:r w:rsidR="009E2659" w:rsidRPr="000C06D7">
        <w:rPr>
          <w:rFonts w:ascii="Times New Roman" w:hAnsi="Times New Roman"/>
        </w:rPr>
        <w:t xml:space="preserve"> making</w:t>
      </w:r>
      <w:r w:rsidR="0083773D" w:rsidRPr="000C06D7">
        <w:rPr>
          <w:rFonts w:ascii="Times New Roman" w:hAnsi="Times New Roman"/>
        </w:rPr>
        <w:t xml:space="preserve"> the Final Determination</w:t>
      </w:r>
      <w:r w:rsidR="00A51056" w:rsidRPr="000C06D7">
        <w:rPr>
          <w:rFonts w:ascii="Times New Roman" w:hAnsi="Times New Roman"/>
        </w:rPr>
        <w:t xml:space="preserve"> in</w:t>
      </w:r>
      <w:r w:rsidR="007D7C6B" w:rsidRPr="000C06D7">
        <w:rPr>
          <w:rFonts w:ascii="Times New Roman" w:hAnsi="Times New Roman"/>
        </w:rPr>
        <w:t xml:space="preserve"> a manner that was "material" to its decision "in the sense that the decision which was in fact made by the Tribunal might have been different if the error of law had not occurred"</w:t>
      </w:r>
      <w:r w:rsidR="007D7C6B" w:rsidRPr="000C06D7">
        <w:rPr>
          <w:rStyle w:val="FootnoteReference"/>
          <w:rFonts w:ascii="Times New Roman" w:hAnsi="Times New Roman"/>
          <w:sz w:val="24"/>
        </w:rPr>
        <w:footnoteReference w:id="104"/>
      </w:r>
      <w:r w:rsidR="007D7C6B" w:rsidRPr="000C06D7">
        <w:rPr>
          <w:rFonts w:ascii="Times New Roman" w:hAnsi="Times New Roman"/>
        </w:rPr>
        <w:t xml:space="preserve">. Evaluation of that argument would involve an examination of the extensive reasons that the Tribunal </w:t>
      </w:r>
      <w:r w:rsidR="00BB487A" w:rsidRPr="000C06D7">
        <w:rPr>
          <w:rFonts w:ascii="Times New Roman" w:hAnsi="Times New Roman"/>
        </w:rPr>
        <w:t xml:space="preserve">gave for </w:t>
      </w:r>
      <w:r w:rsidR="00DB0BA9" w:rsidRPr="000C06D7">
        <w:rPr>
          <w:rFonts w:ascii="Times New Roman" w:hAnsi="Times New Roman"/>
        </w:rPr>
        <w:t xml:space="preserve">choosing not </w:t>
      </w:r>
      <w:r w:rsidR="00595A44" w:rsidRPr="000C06D7">
        <w:rPr>
          <w:rFonts w:ascii="Times New Roman" w:hAnsi="Times New Roman"/>
        </w:rPr>
        <w:t xml:space="preserve">to make </w:t>
      </w:r>
      <w:r w:rsidR="00CB6657" w:rsidRPr="000C06D7">
        <w:rPr>
          <w:rFonts w:ascii="Times New Roman" w:hAnsi="Times New Roman"/>
        </w:rPr>
        <w:t xml:space="preserve">an </w:t>
      </w:r>
      <w:r w:rsidR="00595A44" w:rsidRPr="000C06D7">
        <w:rPr>
          <w:rFonts w:ascii="Times New Roman" w:hAnsi="Times New Roman"/>
        </w:rPr>
        <w:t xml:space="preserve">allowance by </w:t>
      </w:r>
      <w:r w:rsidR="00DB0BA9" w:rsidRPr="000C06D7">
        <w:rPr>
          <w:rFonts w:ascii="Times New Roman" w:hAnsi="Times New Roman"/>
        </w:rPr>
        <w:t xml:space="preserve">adjusting the DORC downwards by reference to </w:t>
      </w:r>
      <w:r w:rsidR="00EC3537" w:rsidRPr="000C06D7">
        <w:rPr>
          <w:rFonts w:ascii="Times New Roman" w:hAnsi="Times New Roman"/>
        </w:rPr>
        <w:t>"</w:t>
      </w:r>
      <w:r w:rsidR="00DB0BA9" w:rsidRPr="000C06D7">
        <w:rPr>
          <w:rFonts w:ascii="Times New Roman" w:hAnsi="Times New Roman"/>
        </w:rPr>
        <w:t>user contributions</w:t>
      </w:r>
      <w:r w:rsidR="00EC3537" w:rsidRPr="000C06D7">
        <w:rPr>
          <w:rFonts w:ascii="Times New Roman" w:hAnsi="Times New Roman"/>
        </w:rPr>
        <w:t>"</w:t>
      </w:r>
      <w:r w:rsidR="00DB0BA9" w:rsidRPr="000C06D7">
        <w:rPr>
          <w:rFonts w:ascii="Times New Roman" w:hAnsi="Times New Roman"/>
        </w:rPr>
        <w:t xml:space="preserve"> to arrive at an RAB</w:t>
      </w:r>
      <w:r w:rsidR="003E2C8A" w:rsidRPr="000C06D7">
        <w:rPr>
          <w:rFonts w:ascii="Times New Roman" w:hAnsi="Times New Roman"/>
        </w:rPr>
        <w:t>.</w:t>
      </w:r>
      <w:r w:rsidR="00A50D47" w:rsidRPr="000C06D7">
        <w:rPr>
          <w:rFonts w:ascii="Times New Roman" w:hAnsi="Times New Roman"/>
        </w:rPr>
        <w:t xml:space="preserve"> </w:t>
      </w:r>
      <w:r w:rsidR="00AF72CB" w:rsidRPr="000C06D7">
        <w:rPr>
          <w:rFonts w:ascii="Times New Roman" w:hAnsi="Times New Roman"/>
        </w:rPr>
        <w:t>Th</w:t>
      </w:r>
      <w:r w:rsidR="007F347F" w:rsidRPr="000C06D7">
        <w:rPr>
          <w:rFonts w:ascii="Times New Roman" w:hAnsi="Times New Roman"/>
        </w:rPr>
        <w:t>at</w:t>
      </w:r>
      <w:r w:rsidR="00AF72CB" w:rsidRPr="000C06D7">
        <w:rPr>
          <w:rFonts w:ascii="Times New Roman" w:hAnsi="Times New Roman"/>
        </w:rPr>
        <w:t xml:space="preserve"> reasoning would not be </w:t>
      </w:r>
      <w:r w:rsidR="000A0723" w:rsidRPr="000C06D7">
        <w:rPr>
          <w:rFonts w:ascii="Times New Roman" w:hAnsi="Times New Roman"/>
        </w:rPr>
        <w:t>"</w:t>
      </w:r>
      <w:r w:rsidR="00AF72CB" w:rsidRPr="000C06D7">
        <w:rPr>
          <w:rFonts w:ascii="Times New Roman" w:hAnsi="Times New Roman"/>
        </w:rPr>
        <w:t xml:space="preserve">construed minutely and finely </w:t>
      </w:r>
      <w:r w:rsidR="000A0723" w:rsidRPr="000C06D7">
        <w:rPr>
          <w:rFonts w:ascii="Times New Roman" w:hAnsi="Times New Roman"/>
        </w:rPr>
        <w:t>with an eye keenly attuned to the perception of error"</w:t>
      </w:r>
      <w:r w:rsidR="00AF72CB" w:rsidRPr="000C06D7">
        <w:rPr>
          <w:rFonts w:ascii="Times New Roman" w:hAnsi="Times New Roman"/>
        </w:rPr>
        <w:t xml:space="preserve"> </w:t>
      </w:r>
      <w:r w:rsidR="00994F9F" w:rsidRPr="000C06D7">
        <w:rPr>
          <w:rFonts w:ascii="Times New Roman" w:hAnsi="Times New Roman"/>
        </w:rPr>
        <w:t>in examining</w:t>
      </w:r>
      <w:r w:rsidR="00AF72CB" w:rsidRPr="000C06D7">
        <w:rPr>
          <w:rFonts w:ascii="Times New Roman" w:hAnsi="Times New Roman"/>
        </w:rPr>
        <w:t xml:space="preserve"> whether </w:t>
      </w:r>
      <w:r w:rsidR="008659F4" w:rsidRPr="000C06D7">
        <w:rPr>
          <w:rFonts w:ascii="Times New Roman" w:hAnsi="Times New Roman"/>
        </w:rPr>
        <w:t xml:space="preserve">the Tribunal in fact </w:t>
      </w:r>
      <w:r w:rsidR="00AF595E" w:rsidRPr="000C06D7">
        <w:rPr>
          <w:rFonts w:ascii="Times New Roman" w:hAnsi="Times New Roman"/>
        </w:rPr>
        <w:t>acted upon a</w:t>
      </w:r>
      <w:r w:rsidR="00AF72CB" w:rsidRPr="000C06D7">
        <w:rPr>
          <w:rFonts w:ascii="Times New Roman" w:hAnsi="Times New Roman"/>
        </w:rPr>
        <w:t xml:space="preserve"> misconstruction of the provision</w:t>
      </w:r>
      <w:r w:rsidR="00A06DB8" w:rsidRPr="000C06D7">
        <w:rPr>
          <w:rStyle w:val="FootnoteReference"/>
          <w:rFonts w:ascii="Times New Roman" w:hAnsi="Times New Roman"/>
          <w:sz w:val="24"/>
        </w:rPr>
        <w:footnoteReference w:id="105"/>
      </w:r>
      <w:r w:rsidR="000A0723" w:rsidRPr="000C06D7">
        <w:rPr>
          <w:rFonts w:ascii="Times New Roman" w:hAnsi="Times New Roman"/>
        </w:rPr>
        <w:t xml:space="preserve">. </w:t>
      </w:r>
      <w:r w:rsidR="00A50D47" w:rsidRPr="000C06D7">
        <w:rPr>
          <w:rFonts w:ascii="Times New Roman" w:hAnsi="Times New Roman"/>
        </w:rPr>
        <w:t xml:space="preserve">Consideration of the materiality of any misconstruction </w:t>
      </w:r>
      <w:r w:rsidR="007E2BEC" w:rsidRPr="000C06D7">
        <w:rPr>
          <w:rFonts w:ascii="Times New Roman" w:hAnsi="Times New Roman"/>
        </w:rPr>
        <w:t>upon which it might be found to have acted</w:t>
      </w:r>
      <w:r w:rsidR="00A50D47" w:rsidRPr="000C06D7">
        <w:rPr>
          <w:rFonts w:ascii="Times New Roman" w:hAnsi="Times New Roman"/>
        </w:rPr>
        <w:t xml:space="preserve"> would</w:t>
      </w:r>
      <w:r w:rsidR="002D438D" w:rsidRPr="000C06D7">
        <w:rPr>
          <w:rFonts w:ascii="Times New Roman" w:hAnsi="Times New Roman"/>
        </w:rPr>
        <w:t xml:space="preserve"> then</w:t>
      </w:r>
      <w:r w:rsidR="00A50D47" w:rsidRPr="000C06D7">
        <w:rPr>
          <w:rFonts w:ascii="Times New Roman" w:hAnsi="Times New Roman"/>
        </w:rPr>
        <w:t xml:space="preserve"> fall to be undertaken mindful that the </w:t>
      </w:r>
      <w:r w:rsidR="00A50D47" w:rsidRPr="000C06D7">
        <w:rPr>
          <w:rFonts w:ascii="Times New Roman" w:hAnsi="Times New Roman"/>
          <w:color w:val="000000"/>
          <w:shd w:val="clear" w:color="auto" w:fill="FFFFFF"/>
        </w:rPr>
        <w:t>Tribunal "is constituted by a judge of the Federal Court and two experts"</w:t>
      </w:r>
      <w:r w:rsidR="00A50D47" w:rsidRPr="000C06D7">
        <w:rPr>
          <w:rStyle w:val="FootnoteReference"/>
          <w:rFonts w:ascii="Times New Roman" w:hAnsi="Times New Roman"/>
          <w:color w:val="000000"/>
          <w:sz w:val="24"/>
          <w:shd w:val="clear" w:color="auto" w:fill="FFFFFF"/>
        </w:rPr>
        <w:footnoteReference w:id="106"/>
      </w:r>
      <w:r w:rsidR="00A50D47" w:rsidRPr="000C06D7">
        <w:rPr>
          <w:rFonts w:ascii="Times New Roman" w:hAnsi="Times New Roman"/>
          <w:color w:val="000000"/>
          <w:shd w:val="clear" w:color="auto" w:fill="FFFFFF"/>
        </w:rPr>
        <w:t>, making it "well fitted to decide the issues of fact and opinion to be resolved by it"</w:t>
      </w:r>
      <w:r w:rsidR="00D4647B" w:rsidRPr="000C06D7">
        <w:rPr>
          <w:rFonts w:ascii="Times New Roman" w:hAnsi="Times New Roman"/>
          <w:color w:val="000000"/>
          <w:shd w:val="clear" w:color="auto" w:fill="FFFFFF"/>
        </w:rPr>
        <w:t>,</w:t>
      </w:r>
      <w:r w:rsidR="00A50D47" w:rsidRPr="000C06D7">
        <w:rPr>
          <w:rFonts w:ascii="Times New Roman" w:hAnsi="Times New Roman"/>
          <w:color w:val="000000"/>
          <w:shd w:val="clear" w:color="auto" w:fill="FFFFFF"/>
        </w:rPr>
        <w:t xml:space="preserve"> and mindful that the curial supervisory jurisdiction to correct for error of law "ought not be used as a basis for a complete re-evaluation of the findings of</w:t>
      </w:r>
      <w:r w:rsidR="00A50D47" w:rsidRPr="000C06D7">
        <w:rPr>
          <w:rFonts w:ascii="Times New Roman" w:hAnsi="Times New Roman"/>
          <w:color w:val="000000"/>
          <w:sz w:val="27"/>
          <w:szCs w:val="27"/>
          <w:shd w:val="clear" w:color="auto" w:fill="FFFFFF"/>
        </w:rPr>
        <w:t xml:space="preserve"> fact, a </w:t>
      </w:r>
      <w:r w:rsidR="00A50D47" w:rsidRPr="000C06D7">
        <w:rPr>
          <w:rFonts w:ascii="Times New Roman" w:hAnsi="Times New Roman"/>
          <w:color w:val="000000"/>
          <w:shd w:val="clear" w:color="auto" w:fill="FFFFFF"/>
        </w:rPr>
        <w:t>reconsideration of the merits of the case or a re-litigation of the arguments that have been ventilated, and that failed, before the person designated as the repository of the decision-making power</w:t>
      </w:r>
      <w:r w:rsidR="00A50D47" w:rsidRPr="000C06D7">
        <w:rPr>
          <w:rFonts w:ascii="Times New Roman" w:hAnsi="Times New Roman"/>
          <w:color w:val="000000"/>
          <w:sz w:val="27"/>
          <w:shd w:val="clear" w:color="auto" w:fill="FFFFFF"/>
        </w:rPr>
        <w:t>"</w:t>
      </w:r>
      <w:r w:rsidR="00A50D47" w:rsidRPr="000C06D7">
        <w:rPr>
          <w:rStyle w:val="FootnoteReference"/>
          <w:rFonts w:ascii="Times New Roman" w:hAnsi="Times New Roman"/>
          <w:color w:val="000000"/>
          <w:sz w:val="24"/>
          <w:shd w:val="clear" w:color="auto" w:fill="FFFFFF"/>
        </w:rPr>
        <w:footnoteReference w:id="107"/>
      </w:r>
      <w:r w:rsidR="00A50D47" w:rsidRPr="000C06D7">
        <w:rPr>
          <w:rFonts w:ascii="Times New Roman" w:hAnsi="Times New Roman"/>
          <w:color w:val="000000"/>
          <w:sz w:val="27"/>
          <w:shd w:val="clear" w:color="auto" w:fill="FFFFFF"/>
        </w:rPr>
        <w:t>.</w:t>
      </w:r>
    </w:p>
    <w:p w14:paraId="45ADBD63" w14:textId="7DACCB24" w:rsidR="00EB1E1F" w:rsidRPr="000C06D7" w:rsidRDefault="00EB1E1F"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4108CB" w:rsidRPr="000C06D7">
        <w:rPr>
          <w:rFonts w:ascii="Times New Roman" w:hAnsi="Times New Roman"/>
        </w:rPr>
        <w:t>When</w:t>
      </w:r>
      <w:r w:rsidR="00DD686E" w:rsidRPr="000C06D7">
        <w:rPr>
          <w:rFonts w:ascii="Times New Roman" w:hAnsi="Times New Roman"/>
        </w:rPr>
        <w:t xml:space="preserve"> </w:t>
      </w:r>
      <w:r w:rsidR="004108CB" w:rsidRPr="000C06D7">
        <w:rPr>
          <w:rFonts w:ascii="Times New Roman" w:hAnsi="Times New Roman"/>
        </w:rPr>
        <w:t>s</w:t>
      </w:r>
      <w:r w:rsidR="00D92D4E" w:rsidRPr="000C06D7">
        <w:rPr>
          <w:rFonts w:ascii="Times New Roman" w:hAnsi="Times New Roman"/>
        </w:rPr>
        <w:t> </w:t>
      </w:r>
      <w:r w:rsidR="004108CB" w:rsidRPr="000C06D7">
        <w:rPr>
          <w:rFonts w:ascii="Times New Roman" w:hAnsi="Times New Roman"/>
        </w:rPr>
        <w:t xml:space="preserve">44X(1)(e) is read </w:t>
      </w:r>
      <w:r w:rsidR="00E24B67" w:rsidRPr="000C06D7">
        <w:rPr>
          <w:rFonts w:ascii="Times New Roman" w:hAnsi="Times New Roman"/>
        </w:rPr>
        <w:t>with</w:t>
      </w:r>
      <w:r w:rsidR="00DD686E" w:rsidRPr="000C06D7">
        <w:rPr>
          <w:rFonts w:ascii="Times New Roman" w:hAnsi="Times New Roman"/>
        </w:rPr>
        <w:t>in the context of</w:t>
      </w:r>
      <w:r w:rsidR="005945B1" w:rsidRPr="000C06D7">
        <w:rPr>
          <w:rFonts w:ascii="Times New Roman" w:hAnsi="Times New Roman"/>
        </w:rPr>
        <w:t xml:space="preserve"> </w:t>
      </w:r>
      <w:proofErr w:type="spellStart"/>
      <w:r w:rsidR="005945B1" w:rsidRPr="000C06D7">
        <w:rPr>
          <w:rFonts w:ascii="Times New Roman" w:hAnsi="Times New Roman"/>
        </w:rPr>
        <w:t>Div</w:t>
      </w:r>
      <w:proofErr w:type="spellEnd"/>
      <w:r w:rsidR="00D92D4E" w:rsidRPr="000C06D7">
        <w:rPr>
          <w:rFonts w:ascii="Times New Roman" w:hAnsi="Times New Roman"/>
        </w:rPr>
        <w:t> </w:t>
      </w:r>
      <w:r w:rsidR="005945B1" w:rsidRPr="000C06D7">
        <w:rPr>
          <w:rFonts w:ascii="Times New Roman" w:hAnsi="Times New Roman"/>
        </w:rPr>
        <w:t>3 of Pt</w:t>
      </w:r>
      <w:r w:rsidR="00D92D4E" w:rsidRPr="000C06D7">
        <w:rPr>
          <w:rFonts w:ascii="Times New Roman" w:hAnsi="Times New Roman"/>
        </w:rPr>
        <w:t> </w:t>
      </w:r>
      <w:r w:rsidR="005945B1" w:rsidRPr="000C06D7">
        <w:rPr>
          <w:rFonts w:ascii="Times New Roman" w:hAnsi="Times New Roman"/>
        </w:rPr>
        <w:t xml:space="preserve">IIIA as a whole, however, </w:t>
      </w:r>
      <w:r w:rsidR="004108CB" w:rsidRPr="000C06D7">
        <w:rPr>
          <w:rFonts w:ascii="Times New Roman" w:hAnsi="Times New Roman"/>
        </w:rPr>
        <w:t xml:space="preserve">it is apparent that its reference to "extensions </w:t>
      </w:r>
      <w:r w:rsidR="00332360" w:rsidRPr="000C06D7">
        <w:rPr>
          <w:rFonts w:ascii="Times New Roman" w:hAnsi="Times New Roman"/>
        </w:rPr>
        <w:t>(including expansions of capacity and expansions of geographical reach)</w:t>
      </w:r>
      <w:r w:rsidR="004108CB" w:rsidRPr="000C06D7">
        <w:rPr>
          <w:rFonts w:ascii="Times New Roman" w:hAnsi="Times New Roman"/>
        </w:rPr>
        <w:t xml:space="preserve"> whose cost is borne by someone </w:t>
      </w:r>
      <w:r w:rsidR="004108CB" w:rsidRPr="000C06D7">
        <w:rPr>
          <w:rFonts w:ascii="Times New Roman" w:hAnsi="Times New Roman"/>
        </w:rPr>
        <w:lastRenderedPageBreak/>
        <w:t>else"</w:t>
      </w:r>
      <w:r w:rsidR="003737D8" w:rsidRPr="000C06D7">
        <w:rPr>
          <w:rFonts w:ascii="Times New Roman" w:hAnsi="Times New Roman"/>
        </w:rPr>
        <w:t xml:space="preserve"> is a reference </w:t>
      </w:r>
      <w:r w:rsidR="007D1B5F" w:rsidRPr="000C06D7">
        <w:rPr>
          <w:rFonts w:ascii="Times New Roman" w:hAnsi="Times New Roman"/>
        </w:rPr>
        <w:t xml:space="preserve">only </w:t>
      </w:r>
      <w:r w:rsidR="003737D8" w:rsidRPr="000C06D7">
        <w:rPr>
          <w:rFonts w:ascii="Times New Roman" w:hAnsi="Times New Roman"/>
        </w:rPr>
        <w:t xml:space="preserve">to </w:t>
      </w:r>
      <w:r w:rsidR="00FF0E59" w:rsidRPr="000C06D7">
        <w:rPr>
          <w:rFonts w:ascii="Times New Roman" w:hAnsi="Times New Roman"/>
        </w:rPr>
        <w:t xml:space="preserve">extensions undertaken for the purpose of providing </w:t>
      </w:r>
      <w:r w:rsidR="001A5070" w:rsidRPr="000C06D7">
        <w:rPr>
          <w:rFonts w:ascii="Times New Roman" w:hAnsi="Times New Roman"/>
        </w:rPr>
        <w:t xml:space="preserve">a third party </w:t>
      </w:r>
      <w:r w:rsidR="00AD187C" w:rsidRPr="000C06D7">
        <w:rPr>
          <w:rFonts w:ascii="Times New Roman" w:hAnsi="Times New Roman"/>
        </w:rPr>
        <w:t xml:space="preserve">with </w:t>
      </w:r>
      <w:r w:rsidR="00FF0E59" w:rsidRPr="000C06D7">
        <w:rPr>
          <w:rFonts w:ascii="Times New Roman" w:hAnsi="Times New Roman"/>
        </w:rPr>
        <w:t>access</w:t>
      </w:r>
      <w:r w:rsidR="002C042D" w:rsidRPr="000C06D7">
        <w:rPr>
          <w:rFonts w:ascii="Times New Roman" w:hAnsi="Times New Roman"/>
        </w:rPr>
        <w:t xml:space="preserve"> in the context</w:t>
      </w:r>
      <w:r w:rsidR="00C06849" w:rsidRPr="000C06D7">
        <w:rPr>
          <w:rFonts w:ascii="Times New Roman" w:hAnsi="Times New Roman"/>
        </w:rPr>
        <w:t xml:space="preserve"> of </w:t>
      </w:r>
      <w:proofErr w:type="spellStart"/>
      <w:r w:rsidR="00C06849" w:rsidRPr="000C06D7">
        <w:rPr>
          <w:rFonts w:ascii="Times New Roman" w:hAnsi="Times New Roman"/>
        </w:rPr>
        <w:t>Div</w:t>
      </w:r>
      <w:proofErr w:type="spellEnd"/>
      <w:r w:rsidR="0047273B" w:rsidRPr="000C06D7">
        <w:rPr>
          <w:rFonts w:ascii="Times New Roman" w:hAnsi="Times New Roman"/>
        </w:rPr>
        <w:t> </w:t>
      </w:r>
      <w:r w:rsidR="00C06849" w:rsidRPr="000C06D7">
        <w:rPr>
          <w:rFonts w:ascii="Times New Roman" w:hAnsi="Times New Roman"/>
        </w:rPr>
        <w:t>3 itself</w:t>
      </w:r>
      <w:r w:rsidR="00AD187C" w:rsidRPr="000C06D7">
        <w:rPr>
          <w:rFonts w:ascii="Times New Roman" w:hAnsi="Times New Roman"/>
        </w:rPr>
        <w:t xml:space="preserve">. </w:t>
      </w:r>
      <w:r w:rsidR="00BE1B34" w:rsidRPr="000C06D7">
        <w:rPr>
          <w:rFonts w:ascii="Times New Roman" w:hAnsi="Times New Roman"/>
        </w:rPr>
        <w:t>In particular, s</w:t>
      </w:r>
      <w:r w:rsidR="00D92D4E" w:rsidRPr="000C06D7">
        <w:rPr>
          <w:rFonts w:ascii="Times New Roman" w:hAnsi="Times New Roman"/>
        </w:rPr>
        <w:t> </w:t>
      </w:r>
      <w:r w:rsidR="00653801" w:rsidRPr="000C06D7">
        <w:rPr>
          <w:rFonts w:ascii="Times New Roman" w:hAnsi="Times New Roman"/>
        </w:rPr>
        <w:t>44X(1)(e)</w:t>
      </w:r>
      <w:r w:rsidR="00EE2BE1" w:rsidRPr="000C06D7">
        <w:rPr>
          <w:rFonts w:ascii="Times New Roman" w:hAnsi="Times New Roman"/>
        </w:rPr>
        <w:t xml:space="preserve"> can be seen to form part of a coherent </w:t>
      </w:r>
      <w:r w:rsidR="005E5D4B" w:rsidRPr="000C06D7">
        <w:rPr>
          <w:rFonts w:ascii="Times New Roman" w:hAnsi="Times New Roman"/>
        </w:rPr>
        <w:t>self-contained statutory scheme</w:t>
      </w:r>
      <w:r w:rsidR="0083539C" w:rsidRPr="000C06D7">
        <w:rPr>
          <w:rFonts w:ascii="Times New Roman" w:hAnsi="Times New Roman"/>
        </w:rPr>
        <w:t>. T</w:t>
      </w:r>
      <w:r w:rsidR="00A64C8E" w:rsidRPr="000C06D7">
        <w:rPr>
          <w:rFonts w:ascii="Times New Roman" w:hAnsi="Times New Roman"/>
        </w:rPr>
        <w:t>he</w:t>
      </w:r>
      <w:r w:rsidR="00120507" w:rsidRPr="000C06D7">
        <w:rPr>
          <w:rFonts w:ascii="Times New Roman" w:hAnsi="Times New Roman"/>
        </w:rPr>
        <w:t xml:space="preserve"> service provider can be required </w:t>
      </w:r>
      <w:r w:rsidR="00677BD7" w:rsidRPr="000C06D7">
        <w:rPr>
          <w:rFonts w:ascii="Times New Roman" w:hAnsi="Times New Roman"/>
        </w:rPr>
        <w:t>under s</w:t>
      </w:r>
      <w:r w:rsidR="00D92D4E" w:rsidRPr="000C06D7">
        <w:rPr>
          <w:rFonts w:ascii="Times New Roman" w:hAnsi="Times New Roman"/>
        </w:rPr>
        <w:t> </w:t>
      </w:r>
      <w:r w:rsidR="00677BD7" w:rsidRPr="000C06D7">
        <w:rPr>
          <w:rFonts w:ascii="Times New Roman" w:hAnsi="Times New Roman"/>
        </w:rPr>
        <w:t>44</w:t>
      </w:r>
      <w:r w:rsidR="00CF338F" w:rsidRPr="000C06D7">
        <w:rPr>
          <w:rFonts w:ascii="Times New Roman" w:hAnsi="Times New Roman"/>
        </w:rPr>
        <w:t>V</w:t>
      </w:r>
      <w:r w:rsidR="00677BD7" w:rsidRPr="000C06D7">
        <w:rPr>
          <w:rFonts w:ascii="Times New Roman" w:hAnsi="Times New Roman"/>
        </w:rPr>
        <w:t xml:space="preserve">(2)(d) </w:t>
      </w:r>
      <w:r w:rsidR="00576ADA" w:rsidRPr="000C06D7">
        <w:rPr>
          <w:rFonts w:ascii="Times New Roman" w:hAnsi="Times New Roman"/>
        </w:rPr>
        <w:t>to extend a facility (including under s</w:t>
      </w:r>
      <w:r w:rsidR="00D92D4E" w:rsidRPr="000C06D7">
        <w:rPr>
          <w:rFonts w:ascii="Times New Roman" w:hAnsi="Times New Roman"/>
        </w:rPr>
        <w:t> </w:t>
      </w:r>
      <w:r w:rsidR="00DF12C8" w:rsidRPr="000C06D7">
        <w:rPr>
          <w:rFonts w:ascii="Times New Roman" w:hAnsi="Times New Roman"/>
        </w:rPr>
        <w:t>44</w:t>
      </w:r>
      <w:r w:rsidR="00CF338F" w:rsidRPr="000C06D7">
        <w:rPr>
          <w:rFonts w:ascii="Times New Roman" w:hAnsi="Times New Roman"/>
        </w:rPr>
        <w:t>V</w:t>
      </w:r>
      <w:r w:rsidR="00677BD7" w:rsidRPr="000C06D7">
        <w:rPr>
          <w:rFonts w:ascii="Times New Roman" w:hAnsi="Times New Roman"/>
        </w:rPr>
        <w:t xml:space="preserve">(2A) </w:t>
      </w:r>
      <w:r w:rsidR="00DF12C8" w:rsidRPr="000C06D7">
        <w:rPr>
          <w:rFonts w:ascii="Times New Roman" w:hAnsi="Times New Roman"/>
        </w:rPr>
        <w:t>by expanding the capacity or geographical reach of the facility)</w:t>
      </w:r>
      <w:r w:rsidR="0083539C" w:rsidRPr="000C06D7">
        <w:rPr>
          <w:rFonts w:ascii="Times New Roman" w:hAnsi="Times New Roman"/>
        </w:rPr>
        <w:t>. B</w:t>
      </w:r>
      <w:r w:rsidR="00FF1EF8" w:rsidRPr="000C06D7">
        <w:rPr>
          <w:rFonts w:ascii="Times New Roman" w:hAnsi="Times New Roman"/>
        </w:rPr>
        <w:t>ut b</w:t>
      </w:r>
      <w:r w:rsidR="00B60037" w:rsidRPr="000C06D7">
        <w:rPr>
          <w:rFonts w:ascii="Times New Roman" w:hAnsi="Times New Roman"/>
        </w:rPr>
        <w:t>y s</w:t>
      </w:r>
      <w:r w:rsidR="0076578B" w:rsidRPr="000C06D7">
        <w:rPr>
          <w:rFonts w:ascii="Times New Roman" w:hAnsi="Times New Roman"/>
        </w:rPr>
        <w:t> </w:t>
      </w:r>
      <w:r w:rsidR="00B60037" w:rsidRPr="000C06D7">
        <w:rPr>
          <w:rFonts w:ascii="Times New Roman" w:hAnsi="Times New Roman"/>
        </w:rPr>
        <w:t>44W</w:t>
      </w:r>
      <w:r w:rsidR="00D2467B" w:rsidRPr="000C06D7">
        <w:rPr>
          <w:rFonts w:ascii="Times New Roman" w:hAnsi="Times New Roman"/>
        </w:rPr>
        <w:t>(1)</w:t>
      </w:r>
      <w:r w:rsidR="00B60037" w:rsidRPr="000C06D7">
        <w:rPr>
          <w:rFonts w:ascii="Times New Roman" w:hAnsi="Times New Roman"/>
        </w:rPr>
        <w:t>(e) and (</w:t>
      </w:r>
      <w:proofErr w:type="spellStart"/>
      <w:r w:rsidR="00B60037" w:rsidRPr="000C06D7">
        <w:rPr>
          <w:rFonts w:ascii="Times New Roman" w:hAnsi="Times New Roman"/>
        </w:rPr>
        <w:t>ea</w:t>
      </w:r>
      <w:proofErr w:type="spellEnd"/>
      <w:r w:rsidR="00B60037" w:rsidRPr="000C06D7">
        <w:rPr>
          <w:rFonts w:ascii="Times New Roman" w:hAnsi="Times New Roman"/>
        </w:rPr>
        <w:t xml:space="preserve">) </w:t>
      </w:r>
      <w:r w:rsidR="0083539C" w:rsidRPr="000C06D7">
        <w:rPr>
          <w:rFonts w:ascii="Times New Roman" w:hAnsi="Times New Roman"/>
        </w:rPr>
        <w:t xml:space="preserve">the service provider </w:t>
      </w:r>
      <w:r w:rsidR="00B60037" w:rsidRPr="000C06D7">
        <w:rPr>
          <w:rFonts w:ascii="Times New Roman" w:hAnsi="Times New Roman"/>
        </w:rPr>
        <w:t xml:space="preserve">cannot be required </w:t>
      </w:r>
      <w:r w:rsidR="00AC1FB7" w:rsidRPr="000C06D7">
        <w:rPr>
          <w:rFonts w:ascii="Times New Roman" w:hAnsi="Times New Roman"/>
        </w:rPr>
        <w:t xml:space="preserve">to bear any of the costs of </w:t>
      </w:r>
      <w:r w:rsidR="00CB2203" w:rsidRPr="000C06D7">
        <w:rPr>
          <w:rFonts w:ascii="Times New Roman" w:hAnsi="Times New Roman"/>
        </w:rPr>
        <w:t>th</w:t>
      </w:r>
      <w:r w:rsidR="00B16C96" w:rsidRPr="000C06D7">
        <w:rPr>
          <w:rFonts w:ascii="Times New Roman" w:hAnsi="Times New Roman"/>
        </w:rPr>
        <w:t>e</w:t>
      </w:r>
      <w:r w:rsidR="00CB2203" w:rsidRPr="000C06D7">
        <w:rPr>
          <w:rFonts w:ascii="Times New Roman" w:hAnsi="Times New Roman"/>
        </w:rPr>
        <w:t xml:space="preserve"> extension of the facility</w:t>
      </w:r>
      <w:r w:rsidR="0083539C" w:rsidRPr="000C06D7">
        <w:rPr>
          <w:rFonts w:ascii="Times New Roman" w:hAnsi="Times New Roman"/>
        </w:rPr>
        <w:t>. T</w:t>
      </w:r>
      <w:r w:rsidR="00A64C8E" w:rsidRPr="000C06D7">
        <w:rPr>
          <w:rFonts w:ascii="Times New Roman" w:hAnsi="Times New Roman"/>
        </w:rPr>
        <w:t>he third party</w:t>
      </w:r>
      <w:r w:rsidR="00C06849" w:rsidRPr="000C06D7">
        <w:rPr>
          <w:rFonts w:ascii="Times New Roman" w:hAnsi="Times New Roman"/>
        </w:rPr>
        <w:t>,</w:t>
      </w:r>
      <w:r w:rsidR="00A64C8E" w:rsidRPr="000C06D7">
        <w:rPr>
          <w:rFonts w:ascii="Times New Roman" w:hAnsi="Times New Roman"/>
        </w:rPr>
        <w:t xml:space="preserve"> </w:t>
      </w:r>
      <w:r w:rsidR="002412C1" w:rsidRPr="000C06D7">
        <w:rPr>
          <w:rFonts w:ascii="Times New Roman" w:hAnsi="Times New Roman"/>
        </w:rPr>
        <w:t>or an associated entity</w:t>
      </w:r>
      <w:r w:rsidR="00C06849" w:rsidRPr="000C06D7">
        <w:rPr>
          <w:rFonts w:ascii="Times New Roman" w:hAnsi="Times New Roman"/>
        </w:rPr>
        <w:t>,</w:t>
      </w:r>
      <w:r w:rsidR="002412C1" w:rsidRPr="000C06D7">
        <w:rPr>
          <w:rFonts w:ascii="Times New Roman" w:hAnsi="Times New Roman"/>
        </w:rPr>
        <w:t xml:space="preserve"> </w:t>
      </w:r>
      <w:r w:rsidR="00B16C96" w:rsidRPr="000C06D7">
        <w:rPr>
          <w:rFonts w:ascii="Times New Roman" w:hAnsi="Times New Roman"/>
        </w:rPr>
        <w:t xml:space="preserve">can </w:t>
      </w:r>
      <w:r w:rsidR="0083539C" w:rsidRPr="000C06D7">
        <w:rPr>
          <w:rFonts w:ascii="Times New Roman" w:hAnsi="Times New Roman"/>
        </w:rPr>
        <w:t xml:space="preserve">therefore </w:t>
      </w:r>
      <w:r w:rsidR="002412C1" w:rsidRPr="000C06D7">
        <w:rPr>
          <w:rFonts w:ascii="Times New Roman" w:hAnsi="Times New Roman"/>
        </w:rPr>
        <w:t xml:space="preserve">end up </w:t>
      </w:r>
      <w:r w:rsidR="00B16C96" w:rsidRPr="000C06D7">
        <w:rPr>
          <w:rFonts w:ascii="Times New Roman" w:hAnsi="Times New Roman"/>
        </w:rPr>
        <w:t>bear</w:t>
      </w:r>
      <w:r w:rsidR="002412C1" w:rsidRPr="000C06D7">
        <w:rPr>
          <w:rFonts w:ascii="Times New Roman" w:hAnsi="Times New Roman"/>
        </w:rPr>
        <w:t>ing</w:t>
      </w:r>
      <w:r w:rsidR="00B16C96" w:rsidRPr="000C06D7">
        <w:rPr>
          <w:rFonts w:ascii="Times New Roman" w:hAnsi="Times New Roman"/>
        </w:rPr>
        <w:t xml:space="preserve"> the costs of the extension of the facility</w:t>
      </w:r>
      <w:r w:rsidR="0083539C" w:rsidRPr="000C06D7">
        <w:rPr>
          <w:rFonts w:ascii="Times New Roman" w:hAnsi="Times New Roman"/>
        </w:rPr>
        <w:t>. B</w:t>
      </w:r>
      <w:r w:rsidR="00B16C96" w:rsidRPr="000C06D7">
        <w:rPr>
          <w:rFonts w:ascii="Times New Roman" w:hAnsi="Times New Roman"/>
        </w:rPr>
        <w:t>ut by s</w:t>
      </w:r>
      <w:r w:rsidR="0076578B" w:rsidRPr="000C06D7">
        <w:rPr>
          <w:rFonts w:ascii="Times New Roman" w:hAnsi="Times New Roman"/>
        </w:rPr>
        <w:t> </w:t>
      </w:r>
      <w:r w:rsidR="00B16C96" w:rsidRPr="000C06D7">
        <w:rPr>
          <w:rFonts w:ascii="Times New Roman" w:hAnsi="Times New Roman"/>
        </w:rPr>
        <w:t>44W</w:t>
      </w:r>
      <w:r w:rsidR="00D2467B" w:rsidRPr="000C06D7">
        <w:rPr>
          <w:rFonts w:ascii="Times New Roman" w:hAnsi="Times New Roman"/>
        </w:rPr>
        <w:t>(1)</w:t>
      </w:r>
      <w:r w:rsidR="00B16C96" w:rsidRPr="000C06D7">
        <w:rPr>
          <w:rFonts w:ascii="Times New Roman" w:hAnsi="Times New Roman"/>
        </w:rPr>
        <w:t>(d)</w:t>
      </w:r>
      <w:r w:rsidR="003B6249" w:rsidRPr="000C06D7">
        <w:rPr>
          <w:rFonts w:ascii="Times New Roman" w:hAnsi="Times New Roman"/>
        </w:rPr>
        <w:t xml:space="preserve"> </w:t>
      </w:r>
      <w:r w:rsidR="0083539C" w:rsidRPr="000C06D7">
        <w:rPr>
          <w:rFonts w:ascii="Times New Roman" w:hAnsi="Times New Roman"/>
        </w:rPr>
        <w:t xml:space="preserve">the third party </w:t>
      </w:r>
      <w:r w:rsidR="003B6249" w:rsidRPr="000C06D7">
        <w:rPr>
          <w:rFonts w:ascii="Times New Roman" w:hAnsi="Times New Roman"/>
        </w:rPr>
        <w:t>cannot become the owner</w:t>
      </w:r>
      <w:r w:rsidR="000270BF" w:rsidRPr="000C06D7">
        <w:rPr>
          <w:rFonts w:ascii="Times New Roman" w:hAnsi="Times New Roman"/>
        </w:rPr>
        <w:t xml:space="preserve"> of the extension without the consent of the service provider.</w:t>
      </w:r>
      <w:r w:rsidR="00381B1B" w:rsidRPr="000C06D7">
        <w:rPr>
          <w:rFonts w:ascii="Times New Roman" w:hAnsi="Times New Roman"/>
        </w:rPr>
        <w:t xml:space="preserve"> Section</w:t>
      </w:r>
      <w:r w:rsidR="0076578B" w:rsidRPr="000C06D7">
        <w:rPr>
          <w:rFonts w:ascii="Times New Roman" w:hAnsi="Times New Roman"/>
        </w:rPr>
        <w:t> </w:t>
      </w:r>
      <w:r w:rsidR="00140BAC" w:rsidRPr="000C06D7">
        <w:rPr>
          <w:rFonts w:ascii="Times New Roman" w:hAnsi="Times New Roman"/>
        </w:rPr>
        <w:t>44X(1)(e)</w:t>
      </w:r>
      <w:r w:rsidR="00381B1B" w:rsidRPr="000C06D7">
        <w:rPr>
          <w:rFonts w:ascii="Times New Roman" w:hAnsi="Times New Roman"/>
        </w:rPr>
        <w:t xml:space="preserve"> </w:t>
      </w:r>
      <w:r w:rsidR="00AA0FF0" w:rsidRPr="000C06D7">
        <w:rPr>
          <w:rFonts w:ascii="Times New Roman" w:hAnsi="Times New Roman"/>
        </w:rPr>
        <w:t xml:space="preserve">operates </w:t>
      </w:r>
      <w:r w:rsidR="00F46DCC" w:rsidRPr="000C06D7">
        <w:rPr>
          <w:rFonts w:ascii="Times New Roman" w:hAnsi="Times New Roman"/>
        </w:rPr>
        <w:t xml:space="preserve">in those circumstances </w:t>
      </w:r>
      <w:r w:rsidR="00AA0FF0" w:rsidRPr="000C06D7">
        <w:rPr>
          <w:rFonts w:ascii="Times New Roman" w:hAnsi="Times New Roman"/>
        </w:rPr>
        <w:t xml:space="preserve">to </w:t>
      </w:r>
      <w:r w:rsidR="0083539C" w:rsidRPr="000C06D7">
        <w:rPr>
          <w:rFonts w:ascii="Times New Roman" w:hAnsi="Times New Roman"/>
        </w:rPr>
        <w:t xml:space="preserve">redress the balance </w:t>
      </w:r>
      <w:r w:rsidR="00C46A46" w:rsidRPr="000C06D7">
        <w:rPr>
          <w:rFonts w:ascii="Times New Roman" w:hAnsi="Times New Roman"/>
        </w:rPr>
        <w:t xml:space="preserve">by </w:t>
      </w:r>
      <w:r w:rsidR="00AA0FF0" w:rsidRPr="000C06D7">
        <w:rPr>
          <w:rFonts w:ascii="Times New Roman" w:hAnsi="Times New Roman"/>
        </w:rPr>
        <w:t>requir</w:t>
      </w:r>
      <w:r w:rsidR="00C46A46" w:rsidRPr="000C06D7">
        <w:rPr>
          <w:rFonts w:ascii="Times New Roman" w:hAnsi="Times New Roman"/>
        </w:rPr>
        <w:t>ing</w:t>
      </w:r>
      <w:r w:rsidR="00381B1B" w:rsidRPr="000C06D7">
        <w:rPr>
          <w:rFonts w:ascii="Times New Roman" w:hAnsi="Times New Roman"/>
        </w:rPr>
        <w:t xml:space="preserve"> the </w:t>
      </w:r>
      <w:r w:rsidR="00F46DCC" w:rsidRPr="000C06D7">
        <w:rPr>
          <w:rFonts w:ascii="Times New Roman" w:hAnsi="Times New Roman"/>
        </w:rPr>
        <w:t xml:space="preserve">value to the service provider </w:t>
      </w:r>
      <w:r w:rsidR="00AA0FF0" w:rsidRPr="000C06D7">
        <w:rPr>
          <w:rFonts w:ascii="Times New Roman" w:hAnsi="Times New Roman"/>
        </w:rPr>
        <w:t xml:space="preserve">of </w:t>
      </w:r>
      <w:r w:rsidR="009C14DA" w:rsidRPr="000C06D7">
        <w:rPr>
          <w:rFonts w:ascii="Times New Roman" w:hAnsi="Times New Roman"/>
        </w:rPr>
        <w:t>an</w:t>
      </w:r>
      <w:r w:rsidR="00F46DCC" w:rsidRPr="000C06D7">
        <w:rPr>
          <w:rFonts w:ascii="Times New Roman" w:hAnsi="Times New Roman"/>
        </w:rPr>
        <w:t xml:space="preserve"> extension of the facility</w:t>
      </w:r>
      <w:r w:rsidR="005D6DED" w:rsidRPr="000C06D7">
        <w:rPr>
          <w:rFonts w:ascii="Times New Roman" w:hAnsi="Times New Roman"/>
        </w:rPr>
        <w:t xml:space="preserve"> for which </w:t>
      </w:r>
      <w:r w:rsidR="00291ABC" w:rsidRPr="000C06D7">
        <w:rPr>
          <w:rFonts w:ascii="Times New Roman" w:hAnsi="Times New Roman"/>
        </w:rPr>
        <w:t xml:space="preserve">the service provider bears no cost </w:t>
      </w:r>
      <w:r w:rsidR="00C46A46" w:rsidRPr="000C06D7">
        <w:rPr>
          <w:rFonts w:ascii="Times New Roman" w:hAnsi="Times New Roman"/>
        </w:rPr>
        <w:t xml:space="preserve">to be brought to account </w:t>
      </w:r>
      <w:r w:rsidR="00954BE6" w:rsidRPr="000C06D7">
        <w:rPr>
          <w:rFonts w:ascii="Times New Roman" w:hAnsi="Times New Roman"/>
        </w:rPr>
        <w:t>in the final arbitral determination</w:t>
      </w:r>
      <w:r w:rsidR="00C06173" w:rsidRPr="000C06D7">
        <w:rPr>
          <w:rFonts w:ascii="Times New Roman" w:hAnsi="Times New Roman"/>
        </w:rPr>
        <w:t xml:space="preserve"> of an access dispute between </w:t>
      </w:r>
      <w:r w:rsidR="002462F4" w:rsidRPr="000C06D7">
        <w:rPr>
          <w:rFonts w:ascii="Times New Roman" w:hAnsi="Times New Roman"/>
        </w:rPr>
        <w:t>the service provider and a third party</w:t>
      </w:r>
      <w:r w:rsidR="00954BE6" w:rsidRPr="000C06D7">
        <w:rPr>
          <w:rFonts w:ascii="Times New Roman" w:hAnsi="Times New Roman"/>
        </w:rPr>
        <w:t>.</w:t>
      </w:r>
      <w:r w:rsidR="004A05CB" w:rsidRPr="000C06D7">
        <w:rPr>
          <w:rFonts w:ascii="Times New Roman" w:hAnsi="Times New Roman"/>
        </w:rPr>
        <w:t xml:space="preserve"> The </w:t>
      </w:r>
      <w:r w:rsidR="00C23FFF" w:rsidRPr="000C06D7">
        <w:rPr>
          <w:rFonts w:ascii="Times New Roman" w:hAnsi="Times New Roman"/>
        </w:rPr>
        <w:t xml:space="preserve">use of the present tense </w:t>
      </w:r>
      <w:r w:rsidR="00583F11" w:rsidRPr="000C06D7">
        <w:rPr>
          <w:rFonts w:ascii="Times New Roman" w:hAnsi="Times New Roman"/>
        </w:rPr>
        <w:t xml:space="preserve">in </w:t>
      </w:r>
      <w:r w:rsidR="00920F06" w:rsidRPr="000C06D7">
        <w:rPr>
          <w:rFonts w:ascii="Times New Roman" w:hAnsi="Times New Roman"/>
        </w:rPr>
        <w:t>s</w:t>
      </w:r>
      <w:r w:rsidR="004609DC" w:rsidRPr="000C06D7">
        <w:rPr>
          <w:rFonts w:ascii="Times New Roman" w:hAnsi="Times New Roman"/>
        </w:rPr>
        <w:t> </w:t>
      </w:r>
      <w:r w:rsidR="00583F11" w:rsidRPr="000C06D7">
        <w:rPr>
          <w:rFonts w:ascii="Times New Roman" w:hAnsi="Times New Roman"/>
        </w:rPr>
        <w:t xml:space="preserve">44X(1)(e) </w:t>
      </w:r>
      <w:r w:rsidR="00830282" w:rsidRPr="000C06D7">
        <w:rPr>
          <w:rFonts w:ascii="Times New Roman" w:hAnsi="Times New Roman"/>
        </w:rPr>
        <w:t xml:space="preserve">confirms that operation. </w:t>
      </w:r>
      <w:r w:rsidR="00583F11" w:rsidRPr="000C06D7">
        <w:rPr>
          <w:rFonts w:ascii="Times New Roman" w:hAnsi="Times New Roman"/>
        </w:rPr>
        <w:t>The "someone else" to whom it refers is simply someone other than the service provider</w:t>
      </w:r>
      <w:r w:rsidR="00AE5D23" w:rsidRPr="000C06D7">
        <w:rPr>
          <w:rFonts w:ascii="Times New Roman" w:hAnsi="Times New Roman"/>
        </w:rPr>
        <w:t>. That</w:t>
      </w:r>
      <w:r w:rsidR="006C779E" w:rsidRPr="000C06D7">
        <w:rPr>
          <w:rFonts w:ascii="Times New Roman" w:hAnsi="Times New Roman"/>
        </w:rPr>
        <w:t xml:space="preserve"> m</w:t>
      </w:r>
      <w:r w:rsidR="00AE5D23" w:rsidRPr="000C06D7">
        <w:rPr>
          <w:rFonts w:ascii="Times New Roman" w:hAnsi="Times New Roman"/>
        </w:rPr>
        <w:t>ight</w:t>
      </w:r>
      <w:r w:rsidR="006C779E" w:rsidRPr="000C06D7">
        <w:rPr>
          <w:rFonts w:ascii="Times New Roman" w:hAnsi="Times New Roman"/>
        </w:rPr>
        <w:t xml:space="preserve"> </w:t>
      </w:r>
      <w:r w:rsidR="00C00828" w:rsidRPr="000C06D7">
        <w:rPr>
          <w:rFonts w:ascii="Times New Roman" w:hAnsi="Times New Roman"/>
        </w:rPr>
        <w:t>be</w:t>
      </w:r>
      <w:r w:rsidR="007B0012" w:rsidRPr="000C06D7">
        <w:rPr>
          <w:rFonts w:ascii="Times New Roman" w:hAnsi="Times New Roman"/>
        </w:rPr>
        <w:t xml:space="preserve"> the third party </w:t>
      </w:r>
      <w:r w:rsidR="00401B0F" w:rsidRPr="000C06D7">
        <w:rPr>
          <w:rFonts w:ascii="Times New Roman" w:hAnsi="Times New Roman"/>
        </w:rPr>
        <w:t>in dispute with the service provider</w:t>
      </w:r>
      <w:r w:rsidR="00AE5D23" w:rsidRPr="000C06D7">
        <w:rPr>
          <w:rFonts w:ascii="Times New Roman" w:hAnsi="Times New Roman"/>
        </w:rPr>
        <w:t>. O</w:t>
      </w:r>
      <w:r w:rsidR="007B0012" w:rsidRPr="000C06D7">
        <w:rPr>
          <w:rFonts w:ascii="Times New Roman" w:hAnsi="Times New Roman"/>
        </w:rPr>
        <w:t xml:space="preserve">r </w:t>
      </w:r>
      <w:r w:rsidR="00AE5D23" w:rsidRPr="000C06D7">
        <w:rPr>
          <w:rFonts w:ascii="Times New Roman" w:hAnsi="Times New Roman"/>
        </w:rPr>
        <w:t xml:space="preserve">it might be </w:t>
      </w:r>
      <w:r w:rsidR="007B0012" w:rsidRPr="000C06D7">
        <w:rPr>
          <w:rFonts w:ascii="Times New Roman" w:hAnsi="Times New Roman"/>
        </w:rPr>
        <w:t xml:space="preserve">one or more </w:t>
      </w:r>
      <w:r w:rsidR="0020225B" w:rsidRPr="000C06D7">
        <w:rPr>
          <w:rFonts w:ascii="Times New Roman" w:hAnsi="Times New Roman"/>
        </w:rPr>
        <w:t xml:space="preserve">other </w:t>
      </w:r>
      <w:r w:rsidR="007B0012" w:rsidRPr="000C06D7">
        <w:rPr>
          <w:rFonts w:ascii="Times New Roman" w:hAnsi="Times New Roman"/>
        </w:rPr>
        <w:t>th</w:t>
      </w:r>
      <w:r w:rsidR="0020225B" w:rsidRPr="000C06D7">
        <w:rPr>
          <w:rFonts w:ascii="Times New Roman" w:hAnsi="Times New Roman"/>
        </w:rPr>
        <w:t>ird</w:t>
      </w:r>
      <w:r w:rsidR="007B0012" w:rsidRPr="000C06D7">
        <w:rPr>
          <w:rFonts w:ascii="Times New Roman" w:hAnsi="Times New Roman"/>
        </w:rPr>
        <w:t xml:space="preserve"> parties </w:t>
      </w:r>
      <w:r w:rsidR="0020225B" w:rsidRPr="000C06D7">
        <w:rPr>
          <w:rFonts w:ascii="Times New Roman" w:hAnsi="Times New Roman"/>
        </w:rPr>
        <w:t xml:space="preserve">who </w:t>
      </w:r>
      <w:r w:rsidR="00AE5D23" w:rsidRPr="000C06D7">
        <w:rPr>
          <w:rFonts w:ascii="Times New Roman" w:hAnsi="Times New Roman"/>
        </w:rPr>
        <w:t xml:space="preserve">are currently </w:t>
      </w:r>
      <w:r w:rsidR="005C5718" w:rsidRPr="000C06D7">
        <w:rPr>
          <w:rFonts w:ascii="Times New Roman" w:hAnsi="Times New Roman"/>
        </w:rPr>
        <w:t>bearing the costs of the extension of the facility</w:t>
      </w:r>
      <w:r w:rsidR="0020225B" w:rsidRPr="000C06D7">
        <w:rPr>
          <w:rFonts w:ascii="Times New Roman" w:hAnsi="Times New Roman"/>
        </w:rPr>
        <w:t xml:space="preserve"> </w:t>
      </w:r>
      <w:r w:rsidR="00C12245" w:rsidRPr="000C06D7">
        <w:rPr>
          <w:rFonts w:ascii="Times New Roman" w:hAnsi="Times New Roman"/>
        </w:rPr>
        <w:t>by reason of one or more previous arbitral determinations</w:t>
      </w:r>
      <w:r w:rsidR="00AE5D23" w:rsidRPr="000C06D7">
        <w:rPr>
          <w:rFonts w:ascii="Times New Roman" w:hAnsi="Times New Roman"/>
        </w:rPr>
        <w:t>. O</w:t>
      </w:r>
      <w:r w:rsidR="007B0012" w:rsidRPr="000C06D7">
        <w:rPr>
          <w:rFonts w:ascii="Times New Roman" w:hAnsi="Times New Roman"/>
        </w:rPr>
        <w:t xml:space="preserve">r </w:t>
      </w:r>
      <w:r w:rsidR="00AE5D23" w:rsidRPr="000C06D7">
        <w:rPr>
          <w:rFonts w:ascii="Times New Roman" w:hAnsi="Times New Roman"/>
        </w:rPr>
        <w:t xml:space="preserve">it may be </w:t>
      </w:r>
      <w:r w:rsidR="004609DC" w:rsidRPr="000C06D7">
        <w:rPr>
          <w:rFonts w:ascii="Times New Roman" w:hAnsi="Times New Roman"/>
        </w:rPr>
        <w:t xml:space="preserve">one or more of </w:t>
      </w:r>
      <w:r w:rsidR="007B0012" w:rsidRPr="000C06D7">
        <w:rPr>
          <w:rFonts w:ascii="Times New Roman" w:hAnsi="Times New Roman"/>
        </w:rPr>
        <w:t>their associated entities</w:t>
      </w:r>
      <w:r w:rsidR="00AE5D23" w:rsidRPr="000C06D7">
        <w:rPr>
          <w:rFonts w:ascii="Times New Roman" w:hAnsi="Times New Roman"/>
        </w:rPr>
        <w:t>.</w:t>
      </w:r>
    </w:p>
    <w:p w14:paraId="429DA095" w14:textId="050707AD" w:rsidR="006B7F8A" w:rsidRPr="000C06D7" w:rsidRDefault="000270BF"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A50268" w:rsidRPr="000C06D7">
        <w:rPr>
          <w:rFonts w:ascii="Times New Roman" w:hAnsi="Times New Roman"/>
        </w:rPr>
        <w:t xml:space="preserve">Legislative history confirms that reading. </w:t>
      </w:r>
      <w:r w:rsidR="00920F06" w:rsidRPr="000C06D7">
        <w:rPr>
          <w:rFonts w:ascii="Times New Roman" w:hAnsi="Times New Roman"/>
        </w:rPr>
        <w:t>Specifically, s</w:t>
      </w:r>
      <w:r w:rsidR="00B568A4" w:rsidRPr="000C06D7">
        <w:rPr>
          <w:rFonts w:ascii="Times New Roman" w:hAnsi="Times New Roman"/>
        </w:rPr>
        <w:t> </w:t>
      </w:r>
      <w:r w:rsidR="00920F06" w:rsidRPr="000C06D7">
        <w:rPr>
          <w:rFonts w:ascii="Times New Roman" w:hAnsi="Times New Roman"/>
        </w:rPr>
        <w:t xml:space="preserve">44X(1)(e) </w:t>
      </w:r>
      <w:r w:rsidR="00B96F36" w:rsidRPr="000C06D7">
        <w:rPr>
          <w:rFonts w:ascii="Times New Roman" w:hAnsi="Times New Roman"/>
        </w:rPr>
        <w:t xml:space="preserve">as originally enacted </w:t>
      </w:r>
      <w:r w:rsidR="00920F06" w:rsidRPr="000C06D7">
        <w:rPr>
          <w:rFonts w:ascii="Times New Roman" w:hAnsi="Times New Roman"/>
        </w:rPr>
        <w:t xml:space="preserve">can be seen to have been framed </w:t>
      </w:r>
      <w:r w:rsidR="00CF338F" w:rsidRPr="000C06D7">
        <w:rPr>
          <w:rFonts w:ascii="Times New Roman" w:hAnsi="Times New Roman"/>
        </w:rPr>
        <w:t>in a manner consistent with a policy objective set out in the</w:t>
      </w:r>
      <w:r w:rsidR="005938E1" w:rsidRPr="000C06D7">
        <w:rPr>
          <w:rFonts w:ascii="Times New Roman" w:hAnsi="Times New Roman"/>
        </w:rPr>
        <w:t xml:space="preserve"> Competition Principles Agreement</w:t>
      </w:r>
      <w:r w:rsidR="005938E1" w:rsidRPr="000C06D7">
        <w:rPr>
          <w:rStyle w:val="FootnoteReference"/>
          <w:rFonts w:ascii="Times New Roman" w:hAnsi="Times New Roman"/>
          <w:sz w:val="24"/>
        </w:rPr>
        <w:footnoteReference w:id="108"/>
      </w:r>
      <w:r w:rsidR="005938E1" w:rsidRPr="000C06D7">
        <w:rPr>
          <w:rFonts w:ascii="Times New Roman" w:hAnsi="Times New Roman"/>
        </w:rPr>
        <w:t xml:space="preserve"> by which COAG had agreed that </w:t>
      </w:r>
      <w:r w:rsidR="00E80324" w:rsidRPr="000C06D7">
        <w:rPr>
          <w:rFonts w:ascii="Times New Roman" w:hAnsi="Times New Roman"/>
        </w:rPr>
        <w:t>any</w:t>
      </w:r>
      <w:r w:rsidR="00DB1E43" w:rsidRPr="000C06D7">
        <w:rPr>
          <w:rFonts w:ascii="Times New Roman" w:hAnsi="Times New Roman"/>
        </w:rPr>
        <w:t xml:space="preserve"> dispute resolution body</w:t>
      </w:r>
      <w:r w:rsidR="00E80324" w:rsidRPr="000C06D7">
        <w:rPr>
          <w:rFonts w:ascii="Times New Roman" w:hAnsi="Times New Roman"/>
        </w:rPr>
        <w:t xml:space="preserve"> established by a State or Territory should, when deciding disputes as to</w:t>
      </w:r>
      <w:r w:rsidR="00A8619F" w:rsidRPr="000C06D7">
        <w:rPr>
          <w:rFonts w:ascii="Times New Roman" w:hAnsi="Times New Roman"/>
        </w:rPr>
        <w:t xml:space="preserve"> third party access to services</w:t>
      </w:r>
      <w:r w:rsidR="009C1BC1" w:rsidRPr="000C06D7">
        <w:rPr>
          <w:rFonts w:ascii="Times New Roman" w:hAnsi="Times New Roman"/>
        </w:rPr>
        <w:t xml:space="preserve"> provided by means of essential </w:t>
      </w:r>
      <w:r w:rsidR="00BD2B08" w:rsidRPr="000C06D7">
        <w:rPr>
          <w:rFonts w:ascii="Times New Roman" w:hAnsi="Times New Roman"/>
        </w:rPr>
        <w:t>infrastructure facilities</w:t>
      </w:r>
      <w:r w:rsidR="009D6BBA" w:rsidRPr="000C06D7">
        <w:rPr>
          <w:rFonts w:ascii="Times New Roman" w:hAnsi="Times New Roman"/>
        </w:rPr>
        <w:t>,</w:t>
      </w:r>
      <w:r w:rsidR="00233B97" w:rsidRPr="000C06D7">
        <w:rPr>
          <w:rFonts w:ascii="Times New Roman" w:hAnsi="Times New Roman"/>
        </w:rPr>
        <w:t xml:space="preserve"> take account of </w:t>
      </w:r>
      <w:r w:rsidR="004D1AF9" w:rsidRPr="000C06D7">
        <w:rPr>
          <w:rFonts w:ascii="Times New Roman" w:hAnsi="Times New Roman"/>
        </w:rPr>
        <w:t xml:space="preserve">"the economic value to the owner of any additional investment that the person </w:t>
      </w:r>
      <w:r w:rsidR="00F10C0B" w:rsidRPr="000C06D7">
        <w:rPr>
          <w:rFonts w:ascii="Times New Roman" w:hAnsi="Times New Roman"/>
        </w:rPr>
        <w:t>seeking access or the owner has agreed to undertake".</w:t>
      </w:r>
      <w:r w:rsidR="00B96F36" w:rsidRPr="000C06D7">
        <w:rPr>
          <w:rFonts w:ascii="Times New Roman" w:hAnsi="Times New Roman"/>
        </w:rPr>
        <w:t xml:space="preserve"> </w:t>
      </w:r>
      <w:r w:rsidR="009D6BBA" w:rsidRPr="000C06D7">
        <w:rPr>
          <w:rFonts w:ascii="Times New Roman" w:hAnsi="Times New Roman"/>
        </w:rPr>
        <w:t>While t</w:t>
      </w:r>
      <w:r w:rsidR="00B17379" w:rsidRPr="000C06D7">
        <w:rPr>
          <w:rFonts w:ascii="Times New Roman" w:hAnsi="Times New Roman"/>
        </w:rPr>
        <w:t>he language of s</w:t>
      </w:r>
      <w:r w:rsidR="0076578B" w:rsidRPr="000C06D7">
        <w:rPr>
          <w:rFonts w:ascii="Times New Roman" w:hAnsi="Times New Roman"/>
        </w:rPr>
        <w:t> </w:t>
      </w:r>
      <w:r w:rsidR="00B17379" w:rsidRPr="000C06D7">
        <w:rPr>
          <w:rFonts w:ascii="Times New Roman" w:hAnsi="Times New Roman"/>
        </w:rPr>
        <w:t>44X(1)(e) was different</w:t>
      </w:r>
      <w:r w:rsidR="00BE2B79" w:rsidRPr="000C06D7">
        <w:rPr>
          <w:rFonts w:ascii="Times New Roman" w:hAnsi="Times New Roman"/>
        </w:rPr>
        <w:t>, as the Full Court pointed out</w:t>
      </w:r>
      <w:r w:rsidR="00502E23" w:rsidRPr="000C06D7">
        <w:rPr>
          <w:rStyle w:val="FootnoteReference"/>
          <w:rFonts w:ascii="Times New Roman" w:hAnsi="Times New Roman"/>
          <w:sz w:val="24"/>
        </w:rPr>
        <w:footnoteReference w:id="109"/>
      </w:r>
      <w:r w:rsidR="009D6BBA" w:rsidRPr="000C06D7">
        <w:rPr>
          <w:rFonts w:ascii="Times New Roman" w:hAnsi="Times New Roman"/>
        </w:rPr>
        <w:t>, and while s 44X(1)(e) forms part of a Commonwealth legislative scheme not that of a State or Territory, there is no reason to think that there was a different policy intent.</w:t>
      </w:r>
      <w:r w:rsidR="00321AB5" w:rsidRPr="000C06D7">
        <w:rPr>
          <w:rFonts w:ascii="Times New Roman" w:hAnsi="Times New Roman"/>
        </w:rPr>
        <w:t xml:space="preserve"> The policy was consistent</w:t>
      </w:r>
      <w:r w:rsidR="0095386D" w:rsidRPr="000C06D7">
        <w:rPr>
          <w:rFonts w:ascii="Times New Roman" w:hAnsi="Times New Roman"/>
        </w:rPr>
        <w:t xml:space="preserve"> in 1995</w:t>
      </w:r>
      <w:r w:rsidR="007033DA" w:rsidRPr="000C06D7">
        <w:rPr>
          <w:rFonts w:ascii="Times New Roman" w:hAnsi="Times New Roman"/>
        </w:rPr>
        <w:t>, and</w:t>
      </w:r>
      <w:r w:rsidR="002821D7" w:rsidRPr="000C06D7">
        <w:rPr>
          <w:rFonts w:ascii="Times New Roman" w:hAnsi="Times New Roman"/>
        </w:rPr>
        <w:t xml:space="preserve"> </w:t>
      </w:r>
      <w:r w:rsidR="00321AB5" w:rsidRPr="000C06D7">
        <w:rPr>
          <w:rFonts w:ascii="Times New Roman" w:hAnsi="Times New Roman"/>
        </w:rPr>
        <w:t xml:space="preserve">was </w:t>
      </w:r>
      <w:r w:rsidR="00502E23" w:rsidRPr="000C06D7">
        <w:rPr>
          <w:rFonts w:ascii="Times New Roman" w:hAnsi="Times New Roman"/>
        </w:rPr>
        <w:t xml:space="preserve">consistently </w:t>
      </w:r>
      <w:r w:rsidR="00321AB5" w:rsidRPr="000C06D7">
        <w:rPr>
          <w:rFonts w:ascii="Times New Roman" w:hAnsi="Times New Roman"/>
        </w:rPr>
        <w:t>followed through in the subsequent amendment of s</w:t>
      </w:r>
      <w:r w:rsidR="00626327" w:rsidRPr="000C06D7">
        <w:rPr>
          <w:rFonts w:ascii="Times New Roman" w:hAnsi="Times New Roman"/>
        </w:rPr>
        <w:t> </w:t>
      </w:r>
      <w:r w:rsidR="00321AB5" w:rsidRPr="000C06D7">
        <w:rPr>
          <w:rFonts w:ascii="Times New Roman" w:hAnsi="Times New Roman"/>
        </w:rPr>
        <w:t>44X(1)(e)</w:t>
      </w:r>
      <w:r w:rsidR="009D7534" w:rsidRPr="000C06D7">
        <w:rPr>
          <w:rFonts w:ascii="Times New Roman" w:hAnsi="Times New Roman"/>
        </w:rPr>
        <w:t xml:space="preserve"> in 2017</w:t>
      </w:r>
      <w:r w:rsidR="00321AB5" w:rsidRPr="000C06D7">
        <w:rPr>
          <w:rFonts w:ascii="Times New Roman" w:hAnsi="Times New Roman"/>
        </w:rPr>
        <w:t>.</w:t>
      </w:r>
    </w:p>
    <w:p w14:paraId="10BC6727" w14:textId="0F74221F" w:rsidR="00C92F07" w:rsidRPr="000C06D7" w:rsidRDefault="006B7F8A" w:rsidP="000C06D7">
      <w:pPr>
        <w:pStyle w:val="FixListStyle"/>
        <w:spacing w:after="260" w:line="280" w:lineRule="exact"/>
        <w:ind w:right="0"/>
        <w:jc w:val="both"/>
        <w:rPr>
          <w:rFonts w:ascii="Times New Roman" w:hAnsi="Times New Roman"/>
        </w:rPr>
      </w:pPr>
      <w:r w:rsidRPr="000C06D7">
        <w:rPr>
          <w:rFonts w:ascii="Times New Roman" w:hAnsi="Times New Roman"/>
        </w:rPr>
        <w:lastRenderedPageBreak/>
        <w:tab/>
      </w:r>
      <w:r w:rsidR="000031D9" w:rsidRPr="000C06D7">
        <w:rPr>
          <w:rFonts w:ascii="Times New Roman" w:hAnsi="Times New Roman"/>
        </w:rPr>
        <w:t xml:space="preserve">The 2017 </w:t>
      </w:r>
      <w:r w:rsidR="00343B9C" w:rsidRPr="000C06D7">
        <w:rPr>
          <w:rFonts w:ascii="Times New Roman" w:hAnsi="Times New Roman"/>
        </w:rPr>
        <w:t xml:space="preserve">Act </w:t>
      </w:r>
      <w:r w:rsidR="000031D9" w:rsidRPr="000C06D7">
        <w:rPr>
          <w:rFonts w:ascii="Times New Roman" w:hAnsi="Times New Roman"/>
        </w:rPr>
        <w:t>amended s</w:t>
      </w:r>
      <w:r w:rsidR="00836938" w:rsidRPr="000C06D7">
        <w:rPr>
          <w:rFonts w:ascii="Times New Roman" w:hAnsi="Times New Roman"/>
        </w:rPr>
        <w:t> </w:t>
      </w:r>
      <w:r w:rsidR="000E709B" w:rsidRPr="000C06D7">
        <w:rPr>
          <w:rFonts w:ascii="Times New Roman" w:hAnsi="Times New Roman"/>
        </w:rPr>
        <w:t xml:space="preserve">44X(1)(e) by </w:t>
      </w:r>
      <w:r w:rsidR="000031D9" w:rsidRPr="000C06D7">
        <w:rPr>
          <w:rFonts w:ascii="Times New Roman" w:hAnsi="Times New Roman"/>
        </w:rPr>
        <w:t>inserting the bracketed words</w:t>
      </w:r>
      <w:r w:rsidR="00607DF4" w:rsidRPr="000C06D7">
        <w:rPr>
          <w:rFonts w:ascii="Times New Roman" w:hAnsi="Times New Roman"/>
        </w:rPr>
        <w:t>. It did so</w:t>
      </w:r>
      <w:r w:rsidR="000031D9" w:rsidRPr="000C06D7">
        <w:rPr>
          <w:rFonts w:ascii="Times New Roman" w:hAnsi="Times New Roman"/>
        </w:rPr>
        <w:t xml:space="preserve"> </w:t>
      </w:r>
      <w:r w:rsidR="00AB5769" w:rsidRPr="000C06D7">
        <w:rPr>
          <w:rFonts w:ascii="Times New Roman" w:hAnsi="Times New Roman"/>
        </w:rPr>
        <w:t xml:space="preserve">as part of a suite of amendments </w:t>
      </w:r>
      <w:r w:rsidR="006D46E6" w:rsidRPr="000C06D7">
        <w:rPr>
          <w:rFonts w:ascii="Times New Roman" w:hAnsi="Times New Roman"/>
        </w:rPr>
        <w:t>which included the insertion of s</w:t>
      </w:r>
      <w:r w:rsidR="0047273B" w:rsidRPr="000C06D7">
        <w:rPr>
          <w:rFonts w:ascii="Times New Roman" w:hAnsi="Times New Roman"/>
        </w:rPr>
        <w:t> </w:t>
      </w:r>
      <w:r w:rsidR="006D46E6" w:rsidRPr="000C06D7">
        <w:rPr>
          <w:rFonts w:ascii="Times New Roman" w:hAnsi="Times New Roman"/>
        </w:rPr>
        <w:t>44</w:t>
      </w:r>
      <w:r w:rsidR="00940339" w:rsidRPr="000C06D7">
        <w:rPr>
          <w:rFonts w:ascii="Times New Roman" w:hAnsi="Times New Roman"/>
        </w:rPr>
        <w:t>V</w:t>
      </w:r>
      <w:r w:rsidR="006D46E6" w:rsidRPr="000C06D7">
        <w:rPr>
          <w:rFonts w:ascii="Times New Roman" w:hAnsi="Times New Roman"/>
        </w:rPr>
        <w:t>(2A) and of s 44W</w:t>
      </w:r>
      <w:r w:rsidR="007E50BB" w:rsidRPr="000C06D7">
        <w:rPr>
          <w:rFonts w:ascii="Times New Roman" w:hAnsi="Times New Roman"/>
        </w:rPr>
        <w:t>(1)</w:t>
      </w:r>
      <w:r w:rsidR="006D46E6" w:rsidRPr="000C06D7">
        <w:rPr>
          <w:rFonts w:ascii="Times New Roman" w:hAnsi="Times New Roman"/>
        </w:rPr>
        <w:t>(</w:t>
      </w:r>
      <w:proofErr w:type="spellStart"/>
      <w:r w:rsidR="006D46E6" w:rsidRPr="000C06D7">
        <w:rPr>
          <w:rFonts w:ascii="Times New Roman" w:hAnsi="Times New Roman"/>
        </w:rPr>
        <w:t>ea</w:t>
      </w:r>
      <w:proofErr w:type="spellEnd"/>
      <w:r w:rsidR="006D46E6" w:rsidRPr="000C06D7">
        <w:rPr>
          <w:rFonts w:ascii="Times New Roman" w:hAnsi="Times New Roman"/>
        </w:rPr>
        <w:t>)</w:t>
      </w:r>
      <w:r w:rsidR="00607DF4" w:rsidRPr="000C06D7">
        <w:rPr>
          <w:rFonts w:ascii="Times New Roman" w:hAnsi="Times New Roman"/>
        </w:rPr>
        <w:t xml:space="preserve">. </w:t>
      </w:r>
      <w:r w:rsidR="003E4B56" w:rsidRPr="000C06D7">
        <w:rPr>
          <w:rFonts w:ascii="Times New Roman" w:hAnsi="Times New Roman"/>
        </w:rPr>
        <w:t>The suite of amendments gave</w:t>
      </w:r>
      <w:r w:rsidR="006D46E6" w:rsidRPr="000C06D7">
        <w:rPr>
          <w:rFonts w:ascii="Times New Roman" w:hAnsi="Times New Roman"/>
        </w:rPr>
        <w:t xml:space="preserve"> </w:t>
      </w:r>
      <w:r w:rsidR="00C95079" w:rsidRPr="000C06D7">
        <w:rPr>
          <w:rFonts w:ascii="Times New Roman" w:hAnsi="Times New Roman"/>
        </w:rPr>
        <w:t xml:space="preserve">effect to a recommendation </w:t>
      </w:r>
      <w:r w:rsidR="00D44470" w:rsidRPr="000C06D7">
        <w:rPr>
          <w:rFonts w:ascii="Times New Roman" w:hAnsi="Times New Roman"/>
        </w:rPr>
        <w:t>of</w:t>
      </w:r>
      <w:r w:rsidR="00F706FB" w:rsidRPr="000C06D7">
        <w:rPr>
          <w:rFonts w:ascii="Times New Roman" w:hAnsi="Times New Roman"/>
        </w:rPr>
        <w:t xml:space="preserve"> the Productivity Commission in 2013</w:t>
      </w:r>
      <w:r w:rsidR="00DF6D7B" w:rsidRPr="000C06D7">
        <w:rPr>
          <w:rFonts w:ascii="Times New Roman" w:hAnsi="Times New Roman"/>
        </w:rPr>
        <w:t xml:space="preserve"> </w:t>
      </w:r>
      <w:r w:rsidR="00D44470" w:rsidRPr="000C06D7">
        <w:rPr>
          <w:rFonts w:ascii="Times New Roman" w:hAnsi="Times New Roman"/>
        </w:rPr>
        <w:t xml:space="preserve">that </w:t>
      </w:r>
      <w:r w:rsidR="003F5066" w:rsidRPr="000C06D7">
        <w:rPr>
          <w:rFonts w:ascii="Times New Roman" w:hAnsi="Times New Roman"/>
        </w:rPr>
        <w:t>Pt</w:t>
      </w:r>
      <w:r w:rsidR="0076578B" w:rsidRPr="000C06D7">
        <w:rPr>
          <w:rFonts w:ascii="Times New Roman" w:hAnsi="Times New Roman"/>
        </w:rPr>
        <w:t> </w:t>
      </w:r>
      <w:r w:rsidR="003F5066" w:rsidRPr="000C06D7">
        <w:rPr>
          <w:rFonts w:ascii="Times New Roman" w:hAnsi="Times New Roman"/>
        </w:rPr>
        <w:t>IIIA</w:t>
      </w:r>
      <w:r w:rsidR="00D44470" w:rsidRPr="000C06D7">
        <w:rPr>
          <w:rFonts w:ascii="Times New Roman" w:hAnsi="Times New Roman"/>
        </w:rPr>
        <w:t xml:space="preserve"> should be amended</w:t>
      </w:r>
      <w:r w:rsidR="00F74440" w:rsidRPr="000C06D7">
        <w:rPr>
          <w:rFonts w:ascii="Times New Roman" w:hAnsi="Times New Roman"/>
        </w:rPr>
        <w:t xml:space="preserve"> "</w:t>
      </w:r>
      <w:r w:rsidR="00081DA3" w:rsidRPr="000C06D7">
        <w:rPr>
          <w:rFonts w:ascii="Times New Roman" w:hAnsi="Times New Roman"/>
        </w:rPr>
        <w:t>to confirm the pr</w:t>
      </w:r>
      <w:r w:rsidR="00BB1DC9" w:rsidRPr="000C06D7">
        <w:rPr>
          <w:rFonts w:ascii="Times New Roman" w:hAnsi="Times New Roman"/>
        </w:rPr>
        <w:t>e</w:t>
      </w:r>
      <w:r w:rsidR="00081DA3" w:rsidRPr="000C06D7">
        <w:rPr>
          <w:rFonts w:ascii="Times New Roman" w:hAnsi="Times New Roman"/>
        </w:rPr>
        <w:t>vailing interpretation by the</w:t>
      </w:r>
      <w:r w:rsidR="004F5E55" w:rsidRPr="000C06D7">
        <w:rPr>
          <w:rFonts w:ascii="Times New Roman" w:hAnsi="Times New Roman"/>
        </w:rPr>
        <w:t xml:space="preserve"> </w:t>
      </w:r>
      <w:r w:rsidR="001279A9" w:rsidRPr="000C06D7">
        <w:rPr>
          <w:rFonts w:ascii="Times New Roman" w:hAnsi="Times New Roman"/>
        </w:rPr>
        <w:t>[</w:t>
      </w:r>
      <w:r w:rsidR="004F5E55" w:rsidRPr="000C06D7">
        <w:rPr>
          <w:rFonts w:ascii="Times New Roman" w:hAnsi="Times New Roman"/>
        </w:rPr>
        <w:t>Tribunal</w:t>
      </w:r>
      <w:r w:rsidR="001279A9" w:rsidRPr="000C06D7">
        <w:rPr>
          <w:rFonts w:ascii="Times New Roman" w:hAnsi="Times New Roman"/>
        </w:rPr>
        <w:t>]</w:t>
      </w:r>
      <w:r w:rsidR="004F5E55" w:rsidRPr="000C06D7">
        <w:rPr>
          <w:rFonts w:ascii="Times New Roman" w:hAnsi="Times New Roman"/>
        </w:rPr>
        <w:t xml:space="preserve"> that the terms </w:t>
      </w:r>
      <w:r w:rsidR="00BB1DC9" w:rsidRPr="000C06D7">
        <w:rPr>
          <w:rFonts w:ascii="Times New Roman" w:hAnsi="Times New Roman"/>
        </w:rPr>
        <w:t>'</w:t>
      </w:r>
      <w:r w:rsidR="004F5E55" w:rsidRPr="000C06D7">
        <w:rPr>
          <w:rFonts w:ascii="Times New Roman" w:hAnsi="Times New Roman"/>
        </w:rPr>
        <w:t>extend</w:t>
      </w:r>
      <w:r w:rsidR="00BB1DC9" w:rsidRPr="000C06D7">
        <w:rPr>
          <w:rFonts w:ascii="Times New Roman" w:hAnsi="Times New Roman"/>
        </w:rPr>
        <w:t>'</w:t>
      </w:r>
      <w:r w:rsidR="006975F5" w:rsidRPr="000C06D7">
        <w:rPr>
          <w:rFonts w:ascii="Times New Roman" w:hAnsi="Times New Roman"/>
        </w:rPr>
        <w:t>, 'extensions' and 'extending' in</w:t>
      </w:r>
      <w:r w:rsidR="00FF4D7D" w:rsidRPr="000C06D7">
        <w:rPr>
          <w:rFonts w:ascii="Times New Roman" w:hAnsi="Times New Roman"/>
        </w:rPr>
        <w:t xml:space="preserve"> </w:t>
      </w:r>
      <w:r w:rsidR="008C2F86" w:rsidRPr="000C06D7">
        <w:rPr>
          <w:rFonts w:ascii="Times New Roman" w:hAnsi="Times New Roman"/>
        </w:rPr>
        <w:t xml:space="preserve">sections </w:t>
      </w:r>
      <w:r w:rsidR="00FF4D7D" w:rsidRPr="000C06D7">
        <w:rPr>
          <w:rFonts w:ascii="Times New Roman" w:hAnsi="Times New Roman"/>
        </w:rPr>
        <w:t>44V</w:t>
      </w:r>
      <w:r w:rsidR="00BB1DC9" w:rsidRPr="000C06D7">
        <w:rPr>
          <w:rFonts w:ascii="Times New Roman" w:hAnsi="Times New Roman"/>
        </w:rPr>
        <w:t>, 44W and</w:t>
      </w:r>
      <w:r w:rsidR="0076578B" w:rsidRPr="000C06D7">
        <w:rPr>
          <w:rFonts w:ascii="Times New Roman" w:hAnsi="Times New Roman"/>
        </w:rPr>
        <w:t> </w:t>
      </w:r>
      <w:r w:rsidR="00BB1DC9" w:rsidRPr="000C06D7">
        <w:rPr>
          <w:rFonts w:ascii="Times New Roman" w:hAnsi="Times New Roman"/>
        </w:rPr>
        <w:t>44X include expansions of a facility's capacity</w:t>
      </w:r>
      <w:r w:rsidR="00F74440" w:rsidRPr="000C06D7">
        <w:rPr>
          <w:rFonts w:ascii="Times New Roman" w:hAnsi="Times New Roman"/>
        </w:rPr>
        <w:t>"</w:t>
      </w:r>
      <w:r w:rsidR="00DF6D7B" w:rsidRPr="000C06D7">
        <w:rPr>
          <w:rStyle w:val="FootnoteReference"/>
          <w:rFonts w:ascii="Times New Roman" w:hAnsi="Times New Roman"/>
          <w:sz w:val="24"/>
        </w:rPr>
        <w:footnoteReference w:id="110"/>
      </w:r>
      <w:r w:rsidR="00F74440" w:rsidRPr="000C06D7">
        <w:rPr>
          <w:rFonts w:ascii="Times New Roman" w:hAnsi="Times New Roman"/>
        </w:rPr>
        <w:t xml:space="preserve">. </w:t>
      </w:r>
      <w:r w:rsidR="00EB00F6" w:rsidRPr="000C06D7">
        <w:rPr>
          <w:rFonts w:ascii="Times New Roman" w:hAnsi="Times New Roman"/>
        </w:rPr>
        <w:t>The Productivity Commission had gone on in the recommendation to explain</w:t>
      </w:r>
      <w:r w:rsidR="0006299C" w:rsidRPr="000C06D7">
        <w:rPr>
          <w:rFonts w:ascii="Times New Roman" w:hAnsi="Times New Roman"/>
        </w:rPr>
        <w:t xml:space="preserve"> the intent of the amendment to be</w:t>
      </w:r>
      <w:r w:rsidR="00DF33D5" w:rsidRPr="000C06D7">
        <w:rPr>
          <w:rFonts w:ascii="Times New Roman" w:hAnsi="Times New Roman"/>
        </w:rPr>
        <w:t xml:space="preserve"> </w:t>
      </w:r>
      <w:r w:rsidR="00D9019F" w:rsidRPr="000C06D7">
        <w:rPr>
          <w:rFonts w:ascii="Times New Roman" w:hAnsi="Times New Roman"/>
        </w:rPr>
        <w:t>"</w:t>
      </w:r>
      <w:r w:rsidR="00DF33D5" w:rsidRPr="000C06D7">
        <w:rPr>
          <w:rFonts w:ascii="Times New Roman" w:hAnsi="Times New Roman"/>
        </w:rPr>
        <w:t xml:space="preserve">that when making an access determination, the </w:t>
      </w:r>
      <w:r w:rsidR="00800CC1" w:rsidRPr="000C06D7">
        <w:rPr>
          <w:rFonts w:ascii="Times New Roman" w:hAnsi="Times New Roman"/>
        </w:rPr>
        <w:t>[ACCC]</w:t>
      </w:r>
      <w:r w:rsidR="00DF33D5" w:rsidRPr="000C06D7">
        <w:rPr>
          <w:rFonts w:ascii="Times New Roman" w:hAnsi="Times New Roman"/>
        </w:rPr>
        <w:t xml:space="preserve"> can require a service provider to expand the capacity of its facility (in addition to being able</w:t>
      </w:r>
      <w:r w:rsidR="0015331D" w:rsidRPr="000C06D7">
        <w:rPr>
          <w:rFonts w:ascii="Times New Roman" w:hAnsi="Times New Roman"/>
        </w:rPr>
        <w:t xml:space="preserve"> to require a ge</w:t>
      </w:r>
      <w:r w:rsidR="00AB46E4" w:rsidRPr="000C06D7">
        <w:rPr>
          <w:rFonts w:ascii="Times New Roman" w:hAnsi="Times New Roman"/>
        </w:rPr>
        <w:t>o</w:t>
      </w:r>
      <w:r w:rsidR="0015331D" w:rsidRPr="000C06D7">
        <w:rPr>
          <w:rFonts w:ascii="Times New Roman" w:hAnsi="Times New Roman"/>
        </w:rPr>
        <w:t xml:space="preserve">graphical extension) and that the </w:t>
      </w:r>
      <w:r w:rsidR="00AB46E4" w:rsidRPr="000C06D7">
        <w:rPr>
          <w:rFonts w:ascii="Times New Roman" w:hAnsi="Times New Roman"/>
        </w:rPr>
        <w:t>s</w:t>
      </w:r>
      <w:r w:rsidR="0015331D" w:rsidRPr="000C06D7">
        <w:rPr>
          <w:rFonts w:ascii="Times New Roman" w:hAnsi="Times New Roman"/>
        </w:rPr>
        <w:t>afeguards in sections 44W and 44X appl</w:t>
      </w:r>
      <w:r w:rsidR="00AB46E4" w:rsidRPr="000C06D7">
        <w:rPr>
          <w:rFonts w:ascii="Times New Roman" w:hAnsi="Times New Roman"/>
        </w:rPr>
        <w:t>y</w:t>
      </w:r>
      <w:r w:rsidR="0015331D" w:rsidRPr="000C06D7">
        <w:rPr>
          <w:rFonts w:ascii="Times New Roman" w:hAnsi="Times New Roman"/>
        </w:rPr>
        <w:t xml:space="preserve"> to direct</w:t>
      </w:r>
      <w:r w:rsidR="001F6A6F" w:rsidRPr="000C06D7">
        <w:rPr>
          <w:rFonts w:ascii="Times New Roman" w:hAnsi="Times New Roman"/>
        </w:rPr>
        <w:t>ed capacity expansions</w:t>
      </w:r>
      <w:r w:rsidR="00EB00F6" w:rsidRPr="000C06D7">
        <w:rPr>
          <w:rFonts w:ascii="Times New Roman" w:hAnsi="Times New Roman"/>
        </w:rPr>
        <w:t>".</w:t>
      </w:r>
      <w:r w:rsidR="00DF60D5" w:rsidRPr="000C06D7">
        <w:rPr>
          <w:rFonts w:ascii="Times New Roman" w:hAnsi="Times New Roman"/>
        </w:rPr>
        <w:t xml:space="preserve"> The Explanatory Memorandum</w:t>
      </w:r>
      <w:r w:rsidR="00462E6E" w:rsidRPr="000C06D7">
        <w:rPr>
          <w:rFonts w:ascii="Times New Roman" w:hAnsi="Times New Roman"/>
        </w:rPr>
        <w:t xml:space="preserve"> for the </w:t>
      </w:r>
      <w:r w:rsidR="004221E2" w:rsidRPr="000C06D7">
        <w:rPr>
          <w:rFonts w:ascii="Times New Roman" w:hAnsi="Times New Roman"/>
        </w:rPr>
        <w:t xml:space="preserve">2017 Act </w:t>
      </w:r>
      <w:r w:rsidR="00BD7328" w:rsidRPr="000C06D7">
        <w:rPr>
          <w:rFonts w:ascii="Times New Roman" w:hAnsi="Times New Roman"/>
        </w:rPr>
        <w:t>correspond</w:t>
      </w:r>
      <w:r w:rsidR="00A87787" w:rsidRPr="000C06D7">
        <w:rPr>
          <w:rFonts w:ascii="Times New Roman" w:hAnsi="Times New Roman"/>
        </w:rPr>
        <w:t>ingly stated</w:t>
      </w:r>
      <w:r w:rsidR="00F61A70" w:rsidRPr="000C06D7">
        <w:rPr>
          <w:rStyle w:val="FootnoteReference"/>
          <w:rFonts w:ascii="Times New Roman" w:hAnsi="Times New Roman"/>
          <w:sz w:val="24"/>
        </w:rPr>
        <w:footnoteReference w:id="111"/>
      </w:r>
      <w:r w:rsidR="00E11EEC" w:rsidRPr="000C06D7">
        <w:rPr>
          <w:rFonts w:ascii="Times New Roman" w:hAnsi="Times New Roman"/>
        </w:rPr>
        <w:t>:</w:t>
      </w:r>
    </w:p>
    <w:p w14:paraId="5C6F0F8A" w14:textId="77777777" w:rsidR="000C06D7" w:rsidRDefault="004F2962" w:rsidP="000C06D7">
      <w:pPr>
        <w:pStyle w:val="leftright"/>
        <w:spacing w:before="0" w:after="260" w:line="280" w:lineRule="exact"/>
        <w:ind w:right="0"/>
        <w:jc w:val="both"/>
        <w:rPr>
          <w:rFonts w:ascii="Times New Roman" w:hAnsi="Times New Roman"/>
        </w:rPr>
      </w:pPr>
      <w:r w:rsidRPr="000C06D7">
        <w:rPr>
          <w:rFonts w:ascii="Times New Roman" w:hAnsi="Times New Roman"/>
        </w:rPr>
        <w:t>"</w:t>
      </w:r>
      <w:r w:rsidR="002D0745" w:rsidRPr="000C06D7">
        <w:rPr>
          <w:rFonts w:ascii="Times New Roman" w:hAnsi="Times New Roman"/>
        </w:rPr>
        <w:t>The intent of these am</w:t>
      </w:r>
      <w:r w:rsidR="0079790E" w:rsidRPr="000C06D7">
        <w:rPr>
          <w:rFonts w:ascii="Times New Roman" w:hAnsi="Times New Roman"/>
        </w:rPr>
        <w:t>en</w:t>
      </w:r>
      <w:r w:rsidR="002D0745" w:rsidRPr="000C06D7">
        <w:rPr>
          <w:rFonts w:ascii="Times New Roman" w:hAnsi="Times New Roman"/>
        </w:rPr>
        <w:t xml:space="preserve">dments is to clarify that the </w:t>
      </w:r>
      <w:r w:rsidR="00FE2D9E" w:rsidRPr="000C06D7">
        <w:rPr>
          <w:rFonts w:ascii="Times New Roman" w:hAnsi="Times New Roman"/>
        </w:rPr>
        <w:t>[ACCC]</w:t>
      </w:r>
      <w:r w:rsidR="002D0745" w:rsidRPr="000C06D7">
        <w:rPr>
          <w:rFonts w:ascii="Times New Roman" w:hAnsi="Times New Roman"/>
        </w:rPr>
        <w:t xml:space="preserve"> can require a service provider to expand </w:t>
      </w:r>
      <w:r w:rsidR="00AC1C91" w:rsidRPr="000C06D7">
        <w:rPr>
          <w:rFonts w:ascii="Times New Roman" w:hAnsi="Times New Roman"/>
        </w:rPr>
        <w:t>the</w:t>
      </w:r>
      <w:r w:rsidR="002D0745" w:rsidRPr="000C06D7">
        <w:rPr>
          <w:rFonts w:ascii="Times New Roman" w:hAnsi="Times New Roman"/>
        </w:rPr>
        <w:t xml:space="preserve"> capacity of its facility (as well as being able to require a geographical extension) when making an access</w:t>
      </w:r>
      <w:r w:rsidR="008C0C7A" w:rsidRPr="000C06D7">
        <w:rPr>
          <w:rFonts w:ascii="Times New Roman" w:hAnsi="Times New Roman"/>
        </w:rPr>
        <w:t xml:space="preserve"> determination. The amendments also clarify</w:t>
      </w:r>
      <w:r w:rsidR="0079790E" w:rsidRPr="000C06D7">
        <w:rPr>
          <w:rFonts w:ascii="Times New Roman" w:hAnsi="Times New Roman"/>
        </w:rPr>
        <w:t xml:space="preserve"> that the safeguards</w:t>
      </w:r>
      <w:r w:rsidR="00987048" w:rsidRPr="000C06D7">
        <w:rPr>
          <w:rFonts w:ascii="Times New Roman" w:hAnsi="Times New Roman"/>
        </w:rPr>
        <w:t xml:space="preserve"> in sections 44W and 44X apply to directed capacity extensions."</w:t>
      </w:r>
    </w:p>
    <w:p w14:paraId="083A21C8" w14:textId="7A77AE85" w:rsidR="00105376" w:rsidRPr="000C06D7" w:rsidRDefault="00F048DA" w:rsidP="000C06D7">
      <w:pPr>
        <w:pStyle w:val="FixListStyle"/>
        <w:spacing w:after="260" w:line="280" w:lineRule="exact"/>
        <w:ind w:right="0"/>
        <w:jc w:val="both"/>
        <w:rPr>
          <w:rFonts w:ascii="Times New Roman" w:hAnsi="Times New Roman"/>
        </w:rPr>
      </w:pPr>
      <w:r w:rsidRPr="000C06D7">
        <w:rPr>
          <w:rFonts w:ascii="Times New Roman" w:hAnsi="Times New Roman"/>
        </w:rPr>
        <w:tab/>
        <w:t>The construction of s</w:t>
      </w:r>
      <w:r w:rsidR="0076578B" w:rsidRPr="000C06D7">
        <w:rPr>
          <w:rFonts w:ascii="Times New Roman" w:hAnsi="Times New Roman"/>
        </w:rPr>
        <w:t> </w:t>
      </w:r>
      <w:r w:rsidR="005C591E" w:rsidRPr="000C06D7">
        <w:rPr>
          <w:rFonts w:ascii="Times New Roman" w:hAnsi="Times New Roman"/>
        </w:rPr>
        <w:t>44X(1)</w:t>
      </w:r>
      <w:r w:rsidR="00E92C58" w:rsidRPr="000C06D7">
        <w:rPr>
          <w:rFonts w:ascii="Times New Roman" w:hAnsi="Times New Roman"/>
        </w:rPr>
        <w:t xml:space="preserve">(e) </w:t>
      </w:r>
      <w:r w:rsidR="00F710FB" w:rsidRPr="000C06D7">
        <w:rPr>
          <w:rFonts w:ascii="Times New Roman" w:hAnsi="Times New Roman"/>
        </w:rPr>
        <w:t xml:space="preserve">to </w:t>
      </w:r>
      <w:r w:rsidR="00A05E65" w:rsidRPr="000C06D7">
        <w:rPr>
          <w:rFonts w:ascii="Times New Roman" w:hAnsi="Times New Roman"/>
        </w:rPr>
        <w:t>which the Full Court was persuaded cannot be sustained.</w:t>
      </w:r>
    </w:p>
    <w:p w14:paraId="110835B0" w14:textId="3086E3CD" w:rsidR="0089180E" w:rsidRPr="000C06D7" w:rsidRDefault="0007416A" w:rsidP="000C06D7">
      <w:pPr>
        <w:pStyle w:val="HeadingL1"/>
        <w:spacing w:after="260" w:line="280" w:lineRule="exact"/>
        <w:ind w:right="0"/>
        <w:jc w:val="both"/>
        <w:rPr>
          <w:rFonts w:ascii="Times New Roman" w:hAnsi="Times New Roman"/>
        </w:rPr>
      </w:pPr>
      <w:r w:rsidRPr="000C06D7">
        <w:rPr>
          <w:rFonts w:ascii="Times New Roman" w:hAnsi="Times New Roman"/>
        </w:rPr>
        <w:t>Section 44</w:t>
      </w:r>
      <w:r w:rsidR="008B7718" w:rsidRPr="000C06D7">
        <w:rPr>
          <w:rFonts w:ascii="Times New Roman" w:hAnsi="Times New Roman"/>
        </w:rPr>
        <w:t>ZZCA</w:t>
      </w:r>
      <w:r w:rsidR="005B0CB5" w:rsidRPr="000C06D7">
        <w:rPr>
          <w:rFonts w:ascii="Times New Roman" w:hAnsi="Times New Roman"/>
        </w:rPr>
        <w:t>(a)(ii) of the Act</w:t>
      </w:r>
    </w:p>
    <w:p w14:paraId="56989DD5" w14:textId="7F45718F" w:rsidR="006B1967" w:rsidRPr="000C06D7" w:rsidRDefault="009906A8"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776410" w:rsidRPr="000C06D7">
        <w:rPr>
          <w:rFonts w:ascii="Times New Roman" w:hAnsi="Times New Roman"/>
        </w:rPr>
        <w:t>Section</w:t>
      </w:r>
      <w:r w:rsidR="001A7766" w:rsidRPr="000C06D7">
        <w:rPr>
          <w:rFonts w:ascii="Times New Roman" w:hAnsi="Times New Roman"/>
        </w:rPr>
        <w:t xml:space="preserve"> 44X(1)(</w:t>
      </w:r>
      <w:r w:rsidR="00892196" w:rsidRPr="000C06D7">
        <w:rPr>
          <w:rFonts w:ascii="Times New Roman" w:hAnsi="Times New Roman"/>
        </w:rPr>
        <w:t>h</w:t>
      </w:r>
      <w:r w:rsidR="001A7766" w:rsidRPr="000C06D7">
        <w:rPr>
          <w:rFonts w:ascii="Times New Roman" w:hAnsi="Times New Roman"/>
        </w:rPr>
        <w:t>)</w:t>
      </w:r>
      <w:r w:rsidRPr="000C06D7">
        <w:rPr>
          <w:rFonts w:ascii="Times New Roman" w:hAnsi="Times New Roman"/>
        </w:rPr>
        <w:t xml:space="preserve"> </w:t>
      </w:r>
      <w:r w:rsidR="001A7766" w:rsidRPr="000C06D7">
        <w:rPr>
          <w:rFonts w:ascii="Times New Roman" w:hAnsi="Times New Roman"/>
        </w:rPr>
        <w:t>oblige</w:t>
      </w:r>
      <w:r w:rsidR="00776410" w:rsidRPr="000C06D7">
        <w:rPr>
          <w:rFonts w:ascii="Times New Roman" w:hAnsi="Times New Roman"/>
        </w:rPr>
        <w:t>d</w:t>
      </w:r>
      <w:r w:rsidR="001A7766" w:rsidRPr="000C06D7">
        <w:rPr>
          <w:rFonts w:ascii="Times New Roman" w:hAnsi="Times New Roman"/>
        </w:rPr>
        <w:t xml:space="preserve"> the Tribunal </w:t>
      </w:r>
      <w:r w:rsidR="003778C9" w:rsidRPr="000C06D7">
        <w:rPr>
          <w:rFonts w:ascii="Times New Roman" w:hAnsi="Times New Roman"/>
        </w:rPr>
        <w:t xml:space="preserve">to </w:t>
      </w:r>
      <w:r w:rsidR="00C5364D" w:rsidRPr="000C06D7">
        <w:rPr>
          <w:rFonts w:ascii="Times New Roman" w:hAnsi="Times New Roman"/>
        </w:rPr>
        <w:t xml:space="preserve">take the pricing </w:t>
      </w:r>
      <w:r w:rsidR="008A231A" w:rsidRPr="000C06D7">
        <w:rPr>
          <w:rFonts w:ascii="Times New Roman" w:hAnsi="Times New Roman"/>
        </w:rPr>
        <w:t>principles specified in s</w:t>
      </w:r>
      <w:r w:rsidR="00CB037D" w:rsidRPr="000C06D7">
        <w:rPr>
          <w:rFonts w:ascii="Times New Roman" w:hAnsi="Times New Roman"/>
        </w:rPr>
        <w:t> </w:t>
      </w:r>
      <w:r w:rsidR="008A231A" w:rsidRPr="000C06D7">
        <w:rPr>
          <w:rFonts w:ascii="Times New Roman" w:hAnsi="Times New Roman"/>
        </w:rPr>
        <w:t xml:space="preserve">44ZZCA </w:t>
      </w:r>
      <w:r w:rsidR="001F3E7D" w:rsidRPr="000C06D7">
        <w:rPr>
          <w:rFonts w:ascii="Times New Roman" w:hAnsi="Times New Roman"/>
        </w:rPr>
        <w:t xml:space="preserve">into account </w:t>
      </w:r>
      <w:r w:rsidR="008A231A" w:rsidRPr="000C06D7">
        <w:rPr>
          <w:rFonts w:ascii="Times New Roman" w:hAnsi="Times New Roman"/>
        </w:rPr>
        <w:t>i</w:t>
      </w:r>
      <w:r w:rsidR="007419E0" w:rsidRPr="000C06D7">
        <w:rPr>
          <w:rFonts w:ascii="Times New Roman" w:hAnsi="Times New Roman"/>
        </w:rPr>
        <w:t xml:space="preserve">n </w:t>
      </w:r>
      <w:r w:rsidR="001E06A5" w:rsidRPr="000C06D7">
        <w:rPr>
          <w:rFonts w:ascii="Times New Roman" w:hAnsi="Times New Roman"/>
        </w:rPr>
        <w:t xml:space="preserve">making the Final Determination. </w:t>
      </w:r>
    </w:p>
    <w:p w14:paraId="76442374" w14:textId="1FB0A1B8" w:rsidR="008A0024" w:rsidRPr="000C06D7" w:rsidRDefault="006B1967"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1E06A5" w:rsidRPr="000C06D7">
        <w:rPr>
          <w:rFonts w:ascii="Times New Roman" w:hAnsi="Times New Roman"/>
        </w:rPr>
        <w:t xml:space="preserve">The Tribunal in fact took </w:t>
      </w:r>
      <w:r w:rsidR="00D0699B" w:rsidRPr="000C06D7">
        <w:rPr>
          <w:rFonts w:ascii="Times New Roman" w:hAnsi="Times New Roman"/>
        </w:rPr>
        <w:t>the pricing principle specified in s</w:t>
      </w:r>
      <w:r w:rsidR="003B201B" w:rsidRPr="000C06D7">
        <w:rPr>
          <w:rFonts w:ascii="Times New Roman" w:hAnsi="Times New Roman"/>
        </w:rPr>
        <w:t> </w:t>
      </w:r>
      <w:r w:rsidR="00D0699B" w:rsidRPr="000C06D7">
        <w:rPr>
          <w:rFonts w:ascii="Times New Roman" w:hAnsi="Times New Roman"/>
        </w:rPr>
        <w:t>44ZZCA(a)</w:t>
      </w:r>
      <w:r w:rsidR="0063524E" w:rsidRPr="000C06D7">
        <w:rPr>
          <w:rFonts w:ascii="Times New Roman" w:hAnsi="Times New Roman"/>
        </w:rPr>
        <w:t>(</w:t>
      </w:r>
      <w:proofErr w:type="spellStart"/>
      <w:r w:rsidR="0063524E" w:rsidRPr="000C06D7">
        <w:rPr>
          <w:rFonts w:ascii="Times New Roman" w:hAnsi="Times New Roman"/>
        </w:rPr>
        <w:t>i</w:t>
      </w:r>
      <w:proofErr w:type="spellEnd"/>
      <w:r w:rsidR="0063524E" w:rsidRPr="000C06D7">
        <w:rPr>
          <w:rFonts w:ascii="Times New Roman" w:hAnsi="Times New Roman"/>
        </w:rPr>
        <w:t>)</w:t>
      </w:r>
      <w:r w:rsidR="00D0699B" w:rsidRPr="000C06D7">
        <w:rPr>
          <w:rFonts w:ascii="Times New Roman" w:hAnsi="Times New Roman"/>
        </w:rPr>
        <w:t xml:space="preserve"> </w:t>
      </w:r>
      <w:r w:rsidR="001E06A5" w:rsidRPr="000C06D7">
        <w:rPr>
          <w:rFonts w:ascii="Times New Roman" w:hAnsi="Times New Roman"/>
        </w:rPr>
        <w:t>into</w:t>
      </w:r>
      <w:r w:rsidR="00D0699B" w:rsidRPr="000C06D7">
        <w:rPr>
          <w:rFonts w:ascii="Times New Roman" w:hAnsi="Times New Roman"/>
        </w:rPr>
        <w:t xml:space="preserve"> account </w:t>
      </w:r>
      <w:r w:rsidR="006D60CC" w:rsidRPr="000C06D7">
        <w:rPr>
          <w:rFonts w:ascii="Times New Roman" w:hAnsi="Times New Roman"/>
        </w:rPr>
        <w:t>when it adopted</w:t>
      </w:r>
      <w:r w:rsidR="00590C8D" w:rsidRPr="000C06D7">
        <w:rPr>
          <w:rFonts w:ascii="Times New Roman" w:hAnsi="Times New Roman"/>
        </w:rPr>
        <w:t xml:space="preserve"> the</w:t>
      </w:r>
      <w:r w:rsidR="006D60CC" w:rsidRPr="000C06D7">
        <w:rPr>
          <w:rFonts w:ascii="Times New Roman" w:hAnsi="Times New Roman"/>
        </w:rPr>
        <w:t xml:space="preserve"> BBM</w:t>
      </w:r>
      <w:r w:rsidR="0099265C" w:rsidRPr="000C06D7">
        <w:rPr>
          <w:rFonts w:ascii="Times New Roman" w:hAnsi="Times New Roman"/>
        </w:rPr>
        <w:t xml:space="preserve"> allow</w:t>
      </w:r>
      <w:r w:rsidR="00C11864" w:rsidRPr="000C06D7">
        <w:rPr>
          <w:rFonts w:ascii="Times New Roman" w:hAnsi="Times New Roman"/>
        </w:rPr>
        <w:t>ing</w:t>
      </w:r>
      <w:r w:rsidR="0099265C" w:rsidRPr="000C06D7">
        <w:rPr>
          <w:rFonts w:ascii="Times New Roman" w:hAnsi="Times New Roman"/>
        </w:rPr>
        <w:t xml:space="preserve"> for an </w:t>
      </w:r>
      <w:r w:rsidR="006D60CC" w:rsidRPr="000C06D7">
        <w:rPr>
          <w:rFonts w:ascii="Times New Roman" w:hAnsi="Times New Roman"/>
        </w:rPr>
        <w:t xml:space="preserve">MAR </w:t>
      </w:r>
      <w:r w:rsidR="00CD0A76" w:rsidRPr="000C06D7">
        <w:rPr>
          <w:rFonts w:ascii="Times New Roman" w:hAnsi="Times New Roman"/>
        </w:rPr>
        <w:t>provid</w:t>
      </w:r>
      <w:r w:rsidR="00AA5866" w:rsidRPr="000C06D7">
        <w:rPr>
          <w:rFonts w:ascii="Times New Roman" w:hAnsi="Times New Roman"/>
        </w:rPr>
        <w:t>ing</w:t>
      </w:r>
      <w:r w:rsidR="00B903A3" w:rsidRPr="000C06D7">
        <w:rPr>
          <w:rFonts w:ascii="Times New Roman" w:hAnsi="Times New Roman"/>
        </w:rPr>
        <w:t xml:space="preserve"> </w:t>
      </w:r>
      <w:r w:rsidR="00CD0A76" w:rsidRPr="000C06D7">
        <w:rPr>
          <w:rFonts w:ascii="Times New Roman" w:hAnsi="Times New Roman"/>
        </w:rPr>
        <w:t>for a</w:t>
      </w:r>
      <w:r w:rsidR="00B85747" w:rsidRPr="000C06D7">
        <w:rPr>
          <w:rFonts w:ascii="Times New Roman" w:hAnsi="Times New Roman"/>
        </w:rPr>
        <w:t>n</w:t>
      </w:r>
      <w:r w:rsidR="00CD0A76" w:rsidRPr="000C06D7">
        <w:rPr>
          <w:rFonts w:ascii="Times New Roman" w:hAnsi="Times New Roman"/>
        </w:rPr>
        <w:t xml:space="preserve"> </w:t>
      </w:r>
      <w:r w:rsidR="00B85747" w:rsidRPr="000C06D7">
        <w:rPr>
          <w:rFonts w:ascii="Times New Roman" w:hAnsi="Times New Roman"/>
        </w:rPr>
        <w:t>ROC</w:t>
      </w:r>
      <w:r w:rsidR="006D60CC" w:rsidRPr="000C06D7">
        <w:rPr>
          <w:rFonts w:ascii="Times New Roman" w:hAnsi="Times New Roman"/>
        </w:rPr>
        <w:t xml:space="preserve"> to be calculated by reference</w:t>
      </w:r>
      <w:r w:rsidR="00B85747" w:rsidRPr="000C06D7">
        <w:rPr>
          <w:rFonts w:ascii="Times New Roman" w:hAnsi="Times New Roman"/>
        </w:rPr>
        <w:t xml:space="preserve"> to</w:t>
      </w:r>
      <w:r w:rsidR="006D60CC" w:rsidRPr="000C06D7">
        <w:rPr>
          <w:rFonts w:ascii="Times New Roman" w:hAnsi="Times New Roman"/>
        </w:rPr>
        <w:t xml:space="preserve"> </w:t>
      </w:r>
      <w:r w:rsidR="009C5D88" w:rsidRPr="000C06D7">
        <w:rPr>
          <w:rFonts w:ascii="Times New Roman" w:hAnsi="Times New Roman"/>
        </w:rPr>
        <w:t xml:space="preserve">an </w:t>
      </w:r>
      <w:r w:rsidR="006D60CC" w:rsidRPr="000C06D7">
        <w:rPr>
          <w:rFonts w:ascii="Times New Roman" w:hAnsi="Times New Roman"/>
        </w:rPr>
        <w:t>RAB valued using a DORC methodology</w:t>
      </w:r>
      <w:r w:rsidR="00753F19" w:rsidRPr="000C06D7">
        <w:rPr>
          <w:rFonts w:ascii="Times New Roman" w:hAnsi="Times New Roman"/>
        </w:rPr>
        <w:t>. The Tribunal in fact took the pricing principle specified in s</w:t>
      </w:r>
      <w:r w:rsidR="0076578B" w:rsidRPr="000C06D7">
        <w:rPr>
          <w:rFonts w:ascii="Times New Roman" w:hAnsi="Times New Roman"/>
        </w:rPr>
        <w:t> </w:t>
      </w:r>
      <w:r w:rsidR="00753F19" w:rsidRPr="000C06D7">
        <w:rPr>
          <w:rFonts w:ascii="Times New Roman" w:hAnsi="Times New Roman"/>
        </w:rPr>
        <w:t>44ZZCA(a)(i</w:t>
      </w:r>
      <w:r w:rsidR="00B8603A" w:rsidRPr="000C06D7">
        <w:rPr>
          <w:rFonts w:ascii="Times New Roman" w:hAnsi="Times New Roman"/>
        </w:rPr>
        <w:t>i</w:t>
      </w:r>
      <w:r w:rsidR="00753F19" w:rsidRPr="000C06D7">
        <w:rPr>
          <w:rFonts w:ascii="Times New Roman" w:hAnsi="Times New Roman"/>
        </w:rPr>
        <w:t>) into account when it</w:t>
      </w:r>
      <w:r w:rsidR="00B5752A" w:rsidRPr="000C06D7">
        <w:rPr>
          <w:rFonts w:ascii="Times New Roman" w:hAnsi="Times New Roman"/>
        </w:rPr>
        <w:t xml:space="preserve"> </w:t>
      </w:r>
      <w:r w:rsidR="00AA5866" w:rsidRPr="000C06D7">
        <w:rPr>
          <w:rFonts w:ascii="Times New Roman" w:hAnsi="Times New Roman"/>
        </w:rPr>
        <w:t>took</w:t>
      </w:r>
      <w:r w:rsidR="0034100E" w:rsidRPr="000C06D7">
        <w:rPr>
          <w:rFonts w:ascii="Times New Roman" w:hAnsi="Times New Roman"/>
        </w:rPr>
        <w:t xml:space="preserve"> </w:t>
      </w:r>
      <w:r w:rsidR="00D20354" w:rsidRPr="000C06D7">
        <w:rPr>
          <w:rFonts w:ascii="Times New Roman" w:hAnsi="Times New Roman"/>
        </w:rPr>
        <w:t xml:space="preserve">regulatory and commercial risk </w:t>
      </w:r>
      <w:r w:rsidR="00AA5866" w:rsidRPr="000C06D7">
        <w:rPr>
          <w:rFonts w:ascii="Times New Roman" w:hAnsi="Times New Roman"/>
        </w:rPr>
        <w:t xml:space="preserve">into account </w:t>
      </w:r>
      <w:r w:rsidR="00D20354" w:rsidRPr="000C06D7">
        <w:rPr>
          <w:rFonts w:ascii="Times New Roman" w:hAnsi="Times New Roman"/>
        </w:rPr>
        <w:t xml:space="preserve">in </w:t>
      </w:r>
      <w:r w:rsidR="00DF18FA" w:rsidRPr="000C06D7">
        <w:rPr>
          <w:rFonts w:ascii="Times New Roman" w:hAnsi="Times New Roman"/>
        </w:rPr>
        <w:t>determin</w:t>
      </w:r>
      <w:r w:rsidR="00D20354" w:rsidRPr="000C06D7">
        <w:rPr>
          <w:rFonts w:ascii="Times New Roman" w:hAnsi="Times New Roman"/>
        </w:rPr>
        <w:t xml:space="preserve">ing </w:t>
      </w:r>
      <w:r w:rsidR="00A96C6C" w:rsidRPr="000C06D7">
        <w:rPr>
          <w:rFonts w:ascii="Times New Roman" w:hAnsi="Times New Roman"/>
        </w:rPr>
        <w:t>the</w:t>
      </w:r>
      <w:r w:rsidR="00720B75" w:rsidRPr="000C06D7">
        <w:rPr>
          <w:rFonts w:ascii="Times New Roman" w:hAnsi="Times New Roman"/>
        </w:rPr>
        <w:t xml:space="preserve"> WACC </w:t>
      </w:r>
      <w:r w:rsidR="0057010A" w:rsidRPr="000C06D7">
        <w:rPr>
          <w:rFonts w:ascii="Times New Roman" w:hAnsi="Times New Roman"/>
        </w:rPr>
        <w:t>considered appropriate to be</w:t>
      </w:r>
      <w:r w:rsidR="008C6B83" w:rsidRPr="000C06D7">
        <w:rPr>
          <w:rFonts w:ascii="Times New Roman" w:hAnsi="Times New Roman"/>
        </w:rPr>
        <w:t xml:space="preserve"> </w:t>
      </w:r>
      <w:r w:rsidR="0057010A" w:rsidRPr="000C06D7">
        <w:rPr>
          <w:rFonts w:ascii="Times New Roman" w:hAnsi="Times New Roman"/>
        </w:rPr>
        <w:t xml:space="preserve">used as </w:t>
      </w:r>
      <w:r w:rsidR="00B5752A" w:rsidRPr="000C06D7">
        <w:rPr>
          <w:rFonts w:ascii="Times New Roman" w:hAnsi="Times New Roman"/>
        </w:rPr>
        <w:t xml:space="preserve">the </w:t>
      </w:r>
      <w:r w:rsidR="00A27F9E" w:rsidRPr="000C06D7">
        <w:rPr>
          <w:rFonts w:ascii="Times New Roman" w:hAnsi="Times New Roman"/>
        </w:rPr>
        <w:t xml:space="preserve">applicable </w:t>
      </w:r>
      <w:r w:rsidR="00B85747" w:rsidRPr="000C06D7">
        <w:rPr>
          <w:rFonts w:ascii="Times New Roman" w:hAnsi="Times New Roman"/>
        </w:rPr>
        <w:t>ROC</w:t>
      </w:r>
      <w:r w:rsidR="00570F1F" w:rsidRPr="000C06D7">
        <w:rPr>
          <w:rFonts w:ascii="Times New Roman" w:hAnsi="Times New Roman"/>
        </w:rPr>
        <w:t>.</w:t>
      </w:r>
      <w:r w:rsidR="009B3BC4" w:rsidRPr="000C06D7">
        <w:rPr>
          <w:rFonts w:ascii="Times New Roman" w:hAnsi="Times New Roman"/>
        </w:rPr>
        <w:t xml:space="preserve"> Section</w:t>
      </w:r>
      <w:r w:rsidR="00A206C7" w:rsidRPr="000C06D7">
        <w:rPr>
          <w:rFonts w:ascii="Times New Roman" w:hAnsi="Times New Roman"/>
        </w:rPr>
        <w:t xml:space="preserve"> </w:t>
      </w:r>
      <w:r w:rsidR="009B3BC4" w:rsidRPr="000C06D7">
        <w:rPr>
          <w:rFonts w:ascii="Times New Roman" w:hAnsi="Times New Roman"/>
        </w:rPr>
        <w:t xml:space="preserve">44ZZCA(a)(ii) </w:t>
      </w:r>
      <w:r w:rsidR="00B14730" w:rsidRPr="000C06D7">
        <w:rPr>
          <w:rFonts w:ascii="Times New Roman" w:hAnsi="Times New Roman"/>
        </w:rPr>
        <w:t xml:space="preserve">simply </w:t>
      </w:r>
      <w:r w:rsidR="009B3BC4" w:rsidRPr="000C06D7">
        <w:rPr>
          <w:rFonts w:ascii="Times New Roman" w:hAnsi="Times New Roman"/>
        </w:rPr>
        <w:t xml:space="preserve">did not bear on the </w:t>
      </w:r>
      <w:r w:rsidR="00DA4C50" w:rsidRPr="000C06D7">
        <w:rPr>
          <w:rFonts w:ascii="Times New Roman" w:hAnsi="Times New Roman"/>
        </w:rPr>
        <w:t xml:space="preserve">issue addressed by the Tribunal </w:t>
      </w:r>
      <w:r w:rsidR="00F00A14" w:rsidRPr="000C06D7">
        <w:rPr>
          <w:rFonts w:ascii="Times New Roman" w:hAnsi="Times New Roman"/>
        </w:rPr>
        <w:lastRenderedPageBreak/>
        <w:t>concerning</w:t>
      </w:r>
      <w:r w:rsidR="00DA4C50" w:rsidRPr="000C06D7">
        <w:rPr>
          <w:rFonts w:ascii="Times New Roman" w:hAnsi="Times New Roman"/>
        </w:rPr>
        <w:t xml:space="preserve"> whether </w:t>
      </w:r>
      <w:r w:rsidR="00B14730" w:rsidRPr="000C06D7">
        <w:rPr>
          <w:rFonts w:ascii="Times New Roman" w:hAnsi="Times New Roman"/>
        </w:rPr>
        <w:t xml:space="preserve">the RAB as valued using a DORC methodology should be adjusted </w:t>
      </w:r>
      <w:r w:rsidR="009F2E22" w:rsidRPr="000C06D7">
        <w:rPr>
          <w:rFonts w:ascii="Times New Roman" w:hAnsi="Times New Roman"/>
        </w:rPr>
        <w:t>downwards by reference to user contributions</w:t>
      </w:r>
      <w:r w:rsidR="00B14730" w:rsidRPr="000C06D7">
        <w:rPr>
          <w:rFonts w:ascii="Times New Roman" w:hAnsi="Times New Roman"/>
        </w:rPr>
        <w:t xml:space="preserve">. </w:t>
      </w:r>
    </w:p>
    <w:p w14:paraId="3B7E17C9" w14:textId="192634BB" w:rsidR="00FC066A" w:rsidRPr="000C06D7" w:rsidRDefault="00FC066A"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2E034E" w:rsidRPr="000C06D7">
        <w:rPr>
          <w:rFonts w:ascii="Times New Roman" w:hAnsi="Times New Roman"/>
        </w:rPr>
        <w:t xml:space="preserve">The Full Court </w:t>
      </w:r>
      <w:r w:rsidR="00A44DCF" w:rsidRPr="000C06D7">
        <w:rPr>
          <w:rFonts w:ascii="Times New Roman" w:hAnsi="Times New Roman"/>
        </w:rPr>
        <w:t xml:space="preserve">was mistaken to think </w:t>
      </w:r>
      <w:r w:rsidR="002E034E" w:rsidRPr="000C06D7">
        <w:rPr>
          <w:rFonts w:ascii="Times New Roman" w:hAnsi="Times New Roman"/>
        </w:rPr>
        <w:t xml:space="preserve">that </w:t>
      </w:r>
      <w:r w:rsidR="009E07E5" w:rsidRPr="000C06D7">
        <w:rPr>
          <w:rFonts w:ascii="Times New Roman" w:hAnsi="Times New Roman"/>
        </w:rPr>
        <w:t>the application</w:t>
      </w:r>
      <w:r w:rsidR="00CB5E78" w:rsidRPr="000C06D7">
        <w:rPr>
          <w:rFonts w:ascii="Times New Roman" w:hAnsi="Times New Roman"/>
        </w:rPr>
        <w:t>,</w:t>
      </w:r>
      <w:r w:rsidR="009E07E5" w:rsidRPr="000C06D7">
        <w:rPr>
          <w:rFonts w:ascii="Times New Roman" w:hAnsi="Times New Roman"/>
        </w:rPr>
        <w:t xml:space="preserve"> </w:t>
      </w:r>
      <w:r w:rsidR="00174F33" w:rsidRPr="000C06D7">
        <w:rPr>
          <w:rFonts w:ascii="Times New Roman" w:hAnsi="Times New Roman"/>
        </w:rPr>
        <w:t>through s</w:t>
      </w:r>
      <w:r w:rsidR="0076578B" w:rsidRPr="000C06D7">
        <w:rPr>
          <w:rFonts w:ascii="Times New Roman" w:hAnsi="Times New Roman"/>
        </w:rPr>
        <w:t> </w:t>
      </w:r>
      <w:r w:rsidR="00174F33" w:rsidRPr="000C06D7">
        <w:rPr>
          <w:rFonts w:ascii="Times New Roman" w:hAnsi="Times New Roman"/>
        </w:rPr>
        <w:t>44X(1)(h)</w:t>
      </w:r>
      <w:r w:rsidR="00CB5E78" w:rsidRPr="000C06D7">
        <w:rPr>
          <w:rFonts w:ascii="Times New Roman" w:hAnsi="Times New Roman"/>
        </w:rPr>
        <w:t>,</w:t>
      </w:r>
      <w:r w:rsidR="00174F33" w:rsidRPr="000C06D7">
        <w:rPr>
          <w:rFonts w:ascii="Times New Roman" w:hAnsi="Times New Roman"/>
        </w:rPr>
        <w:t xml:space="preserve"> </w:t>
      </w:r>
      <w:r w:rsidR="009E07E5" w:rsidRPr="000C06D7">
        <w:rPr>
          <w:rFonts w:ascii="Times New Roman" w:hAnsi="Times New Roman"/>
        </w:rPr>
        <w:t xml:space="preserve">of </w:t>
      </w:r>
      <w:r w:rsidR="00FC05D7" w:rsidRPr="000C06D7">
        <w:rPr>
          <w:rFonts w:ascii="Times New Roman" w:hAnsi="Times New Roman"/>
        </w:rPr>
        <w:t>s</w:t>
      </w:r>
      <w:r w:rsidR="00CB5E78" w:rsidRPr="000C06D7">
        <w:rPr>
          <w:rFonts w:ascii="Times New Roman" w:hAnsi="Times New Roman"/>
        </w:rPr>
        <w:t> </w:t>
      </w:r>
      <w:r w:rsidR="009E07E5" w:rsidRPr="000C06D7">
        <w:rPr>
          <w:rFonts w:ascii="Times New Roman" w:hAnsi="Times New Roman"/>
        </w:rPr>
        <w:t>44ZZCA(a)(ii)</w:t>
      </w:r>
      <w:r w:rsidR="00540B8D" w:rsidRPr="000C06D7">
        <w:rPr>
          <w:rFonts w:ascii="Times New Roman" w:hAnsi="Times New Roman"/>
        </w:rPr>
        <w:t xml:space="preserve"> </w:t>
      </w:r>
      <w:r w:rsidR="00CB5E78" w:rsidRPr="000C06D7">
        <w:rPr>
          <w:rFonts w:ascii="Times New Roman" w:hAnsi="Times New Roman"/>
        </w:rPr>
        <w:t xml:space="preserve">required more of the Tribunal than what the Tribunal in fact did. </w:t>
      </w:r>
    </w:p>
    <w:p w14:paraId="24B7CF67" w14:textId="376DDA15" w:rsidR="008A0024" w:rsidRPr="000C06D7" w:rsidRDefault="008A0024" w:rsidP="000C06D7">
      <w:pPr>
        <w:pStyle w:val="HeadingL1"/>
        <w:spacing w:after="260" w:line="280" w:lineRule="exact"/>
        <w:ind w:right="0"/>
        <w:jc w:val="both"/>
        <w:rPr>
          <w:rFonts w:ascii="Times New Roman" w:hAnsi="Times New Roman"/>
        </w:rPr>
      </w:pPr>
      <w:r w:rsidRPr="000C06D7">
        <w:rPr>
          <w:rFonts w:ascii="Times New Roman" w:hAnsi="Times New Roman"/>
        </w:rPr>
        <w:t>Conclusion</w:t>
      </w:r>
    </w:p>
    <w:p w14:paraId="15EC0F68" w14:textId="1FF0C470" w:rsidR="008C2677" w:rsidRPr="000C06D7" w:rsidRDefault="008A0024"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DB4F8A" w:rsidRPr="000C06D7">
        <w:rPr>
          <w:rFonts w:ascii="Times New Roman" w:hAnsi="Times New Roman"/>
        </w:rPr>
        <w:t xml:space="preserve">The </w:t>
      </w:r>
      <w:r w:rsidR="00FB2212" w:rsidRPr="000C06D7">
        <w:rPr>
          <w:rFonts w:ascii="Times New Roman" w:hAnsi="Times New Roman"/>
        </w:rPr>
        <w:t>upshot</w:t>
      </w:r>
      <w:r w:rsidR="00DB4F8A" w:rsidRPr="000C06D7">
        <w:rPr>
          <w:rFonts w:ascii="Times New Roman" w:hAnsi="Times New Roman"/>
        </w:rPr>
        <w:t xml:space="preserve"> is that the Full Court was wrong to discern legal error on the part of the Tribunal in relation to the amount of the Navigation Service Charge</w:t>
      </w:r>
      <w:r w:rsidR="006209AC" w:rsidRPr="000C06D7">
        <w:rPr>
          <w:rFonts w:ascii="Times New Roman" w:hAnsi="Times New Roman"/>
        </w:rPr>
        <w:t xml:space="preserve">, </w:t>
      </w:r>
      <w:r w:rsidR="00BF4745" w:rsidRPr="000C06D7">
        <w:rPr>
          <w:rFonts w:ascii="Times New Roman" w:hAnsi="Times New Roman"/>
        </w:rPr>
        <w:t xml:space="preserve">but </w:t>
      </w:r>
      <w:r w:rsidR="006209AC" w:rsidRPr="000C06D7">
        <w:rPr>
          <w:rFonts w:ascii="Times New Roman" w:hAnsi="Times New Roman"/>
        </w:rPr>
        <w:t xml:space="preserve">that the Full Court </w:t>
      </w:r>
      <w:r w:rsidR="00E60B75" w:rsidRPr="000C06D7">
        <w:rPr>
          <w:rFonts w:ascii="Times New Roman" w:hAnsi="Times New Roman"/>
        </w:rPr>
        <w:t xml:space="preserve">was </w:t>
      </w:r>
      <w:r w:rsidR="00BF4745" w:rsidRPr="000C06D7">
        <w:rPr>
          <w:rFonts w:ascii="Times New Roman" w:hAnsi="Times New Roman"/>
        </w:rPr>
        <w:t xml:space="preserve">right </w:t>
      </w:r>
      <w:r w:rsidR="006209AC" w:rsidRPr="000C06D7">
        <w:rPr>
          <w:rFonts w:ascii="Times New Roman" w:hAnsi="Times New Roman"/>
        </w:rPr>
        <w:t xml:space="preserve">to discern legal error on the part of the Tribunal in relation to </w:t>
      </w:r>
      <w:r w:rsidR="009A687C" w:rsidRPr="000C06D7">
        <w:rPr>
          <w:rFonts w:ascii="Times New Roman" w:hAnsi="Times New Roman"/>
        </w:rPr>
        <w:t xml:space="preserve">the </w:t>
      </w:r>
      <w:r w:rsidR="00BF4745" w:rsidRPr="000C06D7">
        <w:rPr>
          <w:rFonts w:ascii="Times New Roman" w:hAnsi="Times New Roman"/>
        </w:rPr>
        <w:t>scope of the Navigation Service Charge</w:t>
      </w:r>
      <w:r w:rsidR="006209AC" w:rsidRPr="000C06D7">
        <w:rPr>
          <w:rFonts w:ascii="Times New Roman" w:hAnsi="Times New Roman"/>
        </w:rPr>
        <w:t xml:space="preserve">. </w:t>
      </w:r>
      <w:r w:rsidR="004C2368" w:rsidRPr="000C06D7">
        <w:rPr>
          <w:rFonts w:ascii="Times New Roman" w:hAnsi="Times New Roman"/>
        </w:rPr>
        <w:t xml:space="preserve">The Tribunal's </w:t>
      </w:r>
      <w:r w:rsidR="009A687C" w:rsidRPr="000C06D7">
        <w:rPr>
          <w:rFonts w:ascii="Times New Roman" w:hAnsi="Times New Roman"/>
        </w:rPr>
        <w:t xml:space="preserve">error </w:t>
      </w:r>
      <w:r w:rsidR="004C2368" w:rsidRPr="000C06D7">
        <w:rPr>
          <w:rFonts w:ascii="Times New Roman" w:hAnsi="Times New Roman"/>
        </w:rPr>
        <w:t xml:space="preserve">in relation to </w:t>
      </w:r>
      <w:r w:rsidR="009A687C" w:rsidRPr="000C06D7">
        <w:rPr>
          <w:rFonts w:ascii="Times New Roman" w:hAnsi="Times New Roman"/>
        </w:rPr>
        <w:t xml:space="preserve">the </w:t>
      </w:r>
      <w:r w:rsidR="004C2368" w:rsidRPr="000C06D7">
        <w:rPr>
          <w:rFonts w:ascii="Times New Roman" w:hAnsi="Times New Roman"/>
        </w:rPr>
        <w:t xml:space="preserve">scope of the Navigation Service Charge </w:t>
      </w:r>
      <w:r w:rsidR="00386C68" w:rsidRPr="000C06D7">
        <w:rPr>
          <w:rFonts w:ascii="Times New Roman" w:hAnsi="Times New Roman"/>
        </w:rPr>
        <w:t xml:space="preserve">was alone </w:t>
      </w:r>
      <w:r w:rsidR="0082247E" w:rsidRPr="000C06D7">
        <w:rPr>
          <w:rFonts w:ascii="Times New Roman" w:hAnsi="Times New Roman"/>
        </w:rPr>
        <w:t>sufficient</w:t>
      </w:r>
      <w:r w:rsidR="00386C68" w:rsidRPr="000C06D7">
        <w:rPr>
          <w:rFonts w:ascii="Times New Roman" w:hAnsi="Times New Roman"/>
        </w:rPr>
        <w:t xml:space="preserve"> to </w:t>
      </w:r>
      <w:r w:rsidR="008F1A53" w:rsidRPr="000C06D7">
        <w:rPr>
          <w:rFonts w:ascii="Times New Roman" w:hAnsi="Times New Roman"/>
        </w:rPr>
        <w:t>justif</w:t>
      </w:r>
      <w:r w:rsidR="00386C68" w:rsidRPr="000C06D7">
        <w:rPr>
          <w:rFonts w:ascii="Times New Roman" w:hAnsi="Times New Roman"/>
        </w:rPr>
        <w:t>y</w:t>
      </w:r>
      <w:r w:rsidR="008F1A53" w:rsidRPr="000C06D7">
        <w:rPr>
          <w:rFonts w:ascii="Times New Roman" w:hAnsi="Times New Roman"/>
        </w:rPr>
        <w:t xml:space="preserve"> </w:t>
      </w:r>
      <w:r w:rsidR="000731F2" w:rsidRPr="000C06D7">
        <w:rPr>
          <w:rFonts w:ascii="Times New Roman" w:hAnsi="Times New Roman"/>
        </w:rPr>
        <w:t xml:space="preserve">the order of the Full Court setting aside the Tribunal Decision and remitting the matter to the Tribunal for determination according to law. That order </w:t>
      </w:r>
      <w:r w:rsidR="00386C68" w:rsidRPr="000C06D7">
        <w:rPr>
          <w:rFonts w:ascii="Times New Roman" w:hAnsi="Times New Roman"/>
        </w:rPr>
        <w:t>must</w:t>
      </w:r>
      <w:r w:rsidR="00FB2212" w:rsidRPr="000C06D7">
        <w:rPr>
          <w:rFonts w:ascii="Times New Roman" w:hAnsi="Times New Roman"/>
        </w:rPr>
        <w:t xml:space="preserve"> stand</w:t>
      </w:r>
      <w:r w:rsidR="00A1655F" w:rsidRPr="000C06D7">
        <w:rPr>
          <w:rFonts w:ascii="Times New Roman" w:hAnsi="Times New Roman"/>
        </w:rPr>
        <w:t xml:space="preserve">. </w:t>
      </w:r>
      <w:r w:rsidR="00BD5B4C" w:rsidRPr="000C06D7">
        <w:rPr>
          <w:rFonts w:ascii="Times New Roman" w:hAnsi="Times New Roman"/>
        </w:rPr>
        <w:t>For the avoidance of doubt, it will be supplemented with a direction</w:t>
      </w:r>
      <w:r w:rsidR="00274AB8" w:rsidRPr="000C06D7">
        <w:rPr>
          <w:rFonts w:ascii="Times New Roman" w:hAnsi="Times New Roman"/>
        </w:rPr>
        <w:t xml:space="preserve"> </w:t>
      </w:r>
      <w:r w:rsidR="00D76200" w:rsidRPr="000C06D7">
        <w:rPr>
          <w:rFonts w:ascii="Times New Roman" w:hAnsi="Times New Roman"/>
        </w:rPr>
        <w:t>mak</w:t>
      </w:r>
      <w:r w:rsidR="00BD5B4C" w:rsidRPr="000C06D7">
        <w:rPr>
          <w:rFonts w:ascii="Times New Roman" w:hAnsi="Times New Roman"/>
        </w:rPr>
        <w:t>ing</w:t>
      </w:r>
      <w:r w:rsidR="00D76200" w:rsidRPr="000C06D7">
        <w:rPr>
          <w:rFonts w:ascii="Times New Roman" w:hAnsi="Times New Roman"/>
        </w:rPr>
        <w:t xml:space="preserve"> clear</w:t>
      </w:r>
      <w:r w:rsidR="00274AB8" w:rsidRPr="000C06D7">
        <w:rPr>
          <w:rFonts w:ascii="Times New Roman" w:hAnsi="Times New Roman"/>
        </w:rPr>
        <w:t xml:space="preserve"> that</w:t>
      </w:r>
      <w:r w:rsidR="00D76200" w:rsidRPr="000C06D7">
        <w:rPr>
          <w:rFonts w:ascii="Times New Roman" w:hAnsi="Times New Roman"/>
        </w:rPr>
        <w:t xml:space="preserve"> the </w:t>
      </w:r>
      <w:r w:rsidR="00992CEE" w:rsidRPr="000C06D7">
        <w:rPr>
          <w:rFonts w:ascii="Times New Roman" w:hAnsi="Times New Roman"/>
        </w:rPr>
        <w:t xml:space="preserve">Tribunal </w:t>
      </w:r>
      <w:r w:rsidR="00D76200" w:rsidRPr="000C06D7">
        <w:rPr>
          <w:rFonts w:ascii="Times New Roman" w:hAnsi="Times New Roman"/>
        </w:rPr>
        <w:t xml:space="preserve">will be </w:t>
      </w:r>
      <w:r w:rsidR="00296C4B" w:rsidRPr="000C06D7">
        <w:rPr>
          <w:rFonts w:ascii="Times New Roman" w:hAnsi="Times New Roman"/>
        </w:rPr>
        <w:t>confined on</w:t>
      </w:r>
      <w:r w:rsidR="007B73AE" w:rsidRPr="000C06D7">
        <w:rPr>
          <w:rFonts w:ascii="Times New Roman" w:hAnsi="Times New Roman"/>
        </w:rPr>
        <w:t xml:space="preserve"> remitter </w:t>
      </w:r>
      <w:r w:rsidR="00296C4B" w:rsidRPr="000C06D7">
        <w:rPr>
          <w:rFonts w:ascii="Times New Roman" w:hAnsi="Times New Roman"/>
        </w:rPr>
        <w:t>to redetermining the scope of the Navigation Service Charge</w:t>
      </w:r>
      <w:r w:rsidR="00A41EC0" w:rsidRPr="000C06D7">
        <w:rPr>
          <w:rFonts w:ascii="Times New Roman" w:hAnsi="Times New Roman"/>
        </w:rPr>
        <w:t xml:space="preserve">. For reasons already given, </w:t>
      </w:r>
      <w:r w:rsidR="00AE0328" w:rsidRPr="000C06D7">
        <w:rPr>
          <w:rFonts w:ascii="Times New Roman" w:hAnsi="Times New Roman"/>
        </w:rPr>
        <w:t>t</w:t>
      </w:r>
      <w:r w:rsidR="00A41EC0" w:rsidRPr="000C06D7">
        <w:rPr>
          <w:rFonts w:ascii="Times New Roman" w:hAnsi="Times New Roman"/>
        </w:rPr>
        <w:t>he redeterm</w:t>
      </w:r>
      <w:r w:rsidR="00AE0328" w:rsidRPr="000C06D7">
        <w:rPr>
          <w:rFonts w:ascii="Times New Roman" w:hAnsi="Times New Roman"/>
        </w:rPr>
        <w:t>in</w:t>
      </w:r>
      <w:r w:rsidR="00A41EC0" w:rsidRPr="000C06D7">
        <w:rPr>
          <w:rFonts w:ascii="Times New Roman" w:hAnsi="Times New Roman"/>
        </w:rPr>
        <w:t xml:space="preserve">ation of the scope of the Navigation Service Charge </w:t>
      </w:r>
      <w:r w:rsidR="00787201" w:rsidRPr="000C06D7">
        <w:rPr>
          <w:rFonts w:ascii="Times New Roman" w:hAnsi="Times New Roman"/>
        </w:rPr>
        <w:t xml:space="preserve">according to law </w:t>
      </w:r>
      <w:r w:rsidR="00D76200" w:rsidRPr="000C06D7">
        <w:rPr>
          <w:rFonts w:ascii="Times New Roman" w:hAnsi="Times New Roman"/>
        </w:rPr>
        <w:t xml:space="preserve">will not extend beyond </w:t>
      </w:r>
      <w:r w:rsidR="00123FB1" w:rsidRPr="000C06D7">
        <w:rPr>
          <w:rFonts w:ascii="Times New Roman" w:hAnsi="Times New Roman"/>
        </w:rPr>
        <w:t xml:space="preserve">determining </w:t>
      </w:r>
      <w:r w:rsidR="00996BDA" w:rsidRPr="000C06D7">
        <w:rPr>
          <w:rFonts w:ascii="Times New Roman" w:hAnsi="Times New Roman"/>
        </w:rPr>
        <w:t>when and how</w:t>
      </w:r>
      <w:r w:rsidR="00123FB1" w:rsidRPr="000C06D7">
        <w:rPr>
          <w:rFonts w:ascii="Times New Roman" w:hAnsi="Times New Roman"/>
        </w:rPr>
        <w:t xml:space="preserve"> Glencore will be obliged to </w:t>
      </w:r>
      <w:r w:rsidR="00996BDA" w:rsidRPr="000C06D7">
        <w:rPr>
          <w:rFonts w:ascii="Times New Roman" w:hAnsi="Times New Roman"/>
        </w:rPr>
        <w:t>pay the Navigation Service Charge to PNO</w:t>
      </w:r>
      <w:r w:rsidR="004C4ED5" w:rsidRPr="000C06D7">
        <w:rPr>
          <w:rFonts w:ascii="Times New Roman" w:hAnsi="Times New Roman"/>
        </w:rPr>
        <w:t xml:space="preserve"> consistently with the terms of the PMA Act</w:t>
      </w:r>
      <w:r w:rsidR="00996BDA" w:rsidRPr="000C06D7">
        <w:rPr>
          <w:rFonts w:ascii="Times New Roman" w:hAnsi="Times New Roman"/>
        </w:rPr>
        <w:t>.</w:t>
      </w:r>
    </w:p>
    <w:p w14:paraId="17EA17E6" w14:textId="5898826E" w:rsidR="00FB2212" w:rsidRPr="000C06D7" w:rsidRDefault="00FB2212" w:rsidP="000C06D7">
      <w:pPr>
        <w:pStyle w:val="FixListStyle"/>
        <w:spacing w:after="260" w:line="280" w:lineRule="exact"/>
        <w:ind w:right="0"/>
        <w:jc w:val="both"/>
        <w:rPr>
          <w:rFonts w:ascii="Times New Roman" w:hAnsi="Times New Roman"/>
        </w:rPr>
      </w:pPr>
      <w:r w:rsidRPr="000C06D7">
        <w:rPr>
          <w:rFonts w:ascii="Times New Roman" w:hAnsi="Times New Roman"/>
        </w:rPr>
        <w:tab/>
      </w:r>
      <w:r w:rsidR="00386C68" w:rsidRPr="000C06D7">
        <w:rPr>
          <w:rFonts w:ascii="Times New Roman" w:hAnsi="Times New Roman"/>
        </w:rPr>
        <w:t xml:space="preserve">As </w:t>
      </w:r>
      <w:r w:rsidR="0039386C" w:rsidRPr="000C06D7">
        <w:rPr>
          <w:rFonts w:ascii="Times New Roman" w:hAnsi="Times New Roman"/>
        </w:rPr>
        <w:t xml:space="preserve">Glencore and PNO have each had a </w:t>
      </w:r>
      <w:r w:rsidR="0041166C" w:rsidRPr="000C06D7">
        <w:rPr>
          <w:rFonts w:ascii="Times New Roman" w:hAnsi="Times New Roman"/>
        </w:rPr>
        <w:t xml:space="preserve">significant measure of success on the appeal, each should bear its own costs of the appeal </w:t>
      </w:r>
      <w:r w:rsidR="001432AC" w:rsidRPr="000C06D7">
        <w:rPr>
          <w:rFonts w:ascii="Times New Roman" w:hAnsi="Times New Roman"/>
        </w:rPr>
        <w:t>and there should be no disturbance of the orders</w:t>
      </w:r>
      <w:r w:rsidR="009E5AB3" w:rsidRPr="000C06D7">
        <w:rPr>
          <w:rFonts w:ascii="Times New Roman" w:hAnsi="Times New Roman"/>
        </w:rPr>
        <w:t xml:space="preserve"> for costs made by the Full Court. The </w:t>
      </w:r>
      <w:r w:rsidR="001921B1" w:rsidRPr="000C06D7">
        <w:rPr>
          <w:rFonts w:ascii="Times New Roman" w:hAnsi="Times New Roman"/>
        </w:rPr>
        <w:t>ACCC should bear its own costs in any event.</w:t>
      </w:r>
    </w:p>
    <w:p w14:paraId="6DD09438" w14:textId="15F1EB04" w:rsidR="00A12C6F" w:rsidRPr="000C06D7" w:rsidRDefault="00A12C6F" w:rsidP="000C06D7">
      <w:pPr>
        <w:pStyle w:val="FixListStyle"/>
        <w:spacing w:after="260" w:line="280" w:lineRule="exact"/>
        <w:ind w:right="0"/>
        <w:jc w:val="both"/>
        <w:rPr>
          <w:rFonts w:ascii="Times New Roman" w:hAnsi="Times New Roman"/>
        </w:rPr>
      </w:pPr>
      <w:r w:rsidRPr="000C06D7">
        <w:rPr>
          <w:rFonts w:ascii="Times New Roman" w:hAnsi="Times New Roman"/>
        </w:rPr>
        <w:tab/>
        <w:t xml:space="preserve">In the </w:t>
      </w:r>
      <w:r w:rsidR="006E0843" w:rsidRPr="000C06D7">
        <w:rPr>
          <w:rFonts w:ascii="Times New Roman" w:hAnsi="Times New Roman"/>
        </w:rPr>
        <w:t>result</w:t>
      </w:r>
      <w:r w:rsidRPr="000C06D7">
        <w:rPr>
          <w:rFonts w:ascii="Times New Roman" w:hAnsi="Times New Roman"/>
        </w:rPr>
        <w:t xml:space="preserve">, </w:t>
      </w:r>
      <w:r w:rsidR="000A57D6" w:rsidRPr="000C06D7">
        <w:rPr>
          <w:rFonts w:ascii="Times New Roman" w:hAnsi="Times New Roman"/>
        </w:rPr>
        <w:t xml:space="preserve">the orders made by the Full Court will be varied to include a direction </w:t>
      </w:r>
      <w:r w:rsidR="00FC6847" w:rsidRPr="000C06D7">
        <w:rPr>
          <w:rFonts w:ascii="Times New Roman" w:hAnsi="Times New Roman"/>
        </w:rPr>
        <w:t>confining</w:t>
      </w:r>
      <w:r w:rsidR="000A57D6" w:rsidRPr="000C06D7">
        <w:rPr>
          <w:rFonts w:ascii="Times New Roman" w:hAnsi="Times New Roman"/>
        </w:rPr>
        <w:t xml:space="preserve"> the </w:t>
      </w:r>
      <w:r w:rsidR="00787201" w:rsidRPr="000C06D7">
        <w:rPr>
          <w:rFonts w:ascii="Times New Roman" w:hAnsi="Times New Roman"/>
        </w:rPr>
        <w:t>Tribunal on remitter to redetermining the scope of the Navigation Service Charge. T</w:t>
      </w:r>
      <w:r w:rsidRPr="000C06D7">
        <w:rPr>
          <w:rFonts w:ascii="Times New Roman" w:hAnsi="Times New Roman"/>
        </w:rPr>
        <w:t xml:space="preserve">he appeal will </w:t>
      </w:r>
      <w:r w:rsidR="000734B2" w:rsidRPr="000C06D7">
        <w:rPr>
          <w:rFonts w:ascii="Times New Roman" w:hAnsi="Times New Roman"/>
        </w:rPr>
        <w:t xml:space="preserve">otherwise </w:t>
      </w:r>
      <w:r w:rsidRPr="000C06D7">
        <w:rPr>
          <w:rFonts w:ascii="Times New Roman" w:hAnsi="Times New Roman"/>
        </w:rPr>
        <w:t>be dismissed with no order as to costs.</w:t>
      </w:r>
      <w:r w:rsidR="000734B2" w:rsidRPr="000C06D7">
        <w:rPr>
          <w:rFonts w:ascii="Times New Roman" w:hAnsi="Times New Roman"/>
        </w:rPr>
        <w:t xml:space="preserve"> </w:t>
      </w:r>
    </w:p>
    <w:sectPr w:rsidR="00A12C6F" w:rsidRPr="000C06D7" w:rsidSect="005A714E">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6EFDF" w14:textId="77777777" w:rsidR="00110D34" w:rsidRDefault="00110D34">
      <w:pPr>
        <w:spacing w:line="240" w:lineRule="auto"/>
      </w:pPr>
      <w:r>
        <w:separator/>
      </w:r>
    </w:p>
  </w:endnote>
  <w:endnote w:type="continuationSeparator" w:id="0">
    <w:p w14:paraId="493C1B5C" w14:textId="77777777" w:rsidR="00110D34" w:rsidRDefault="00110D34">
      <w:pPr>
        <w:spacing w:line="240" w:lineRule="auto"/>
      </w:pPr>
      <w:r>
        <w:continuationSeparator/>
      </w:r>
    </w:p>
  </w:endnote>
  <w:endnote w:type="continuationNotice" w:id="1">
    <w:p w14:paraId="6B671969" w14:textId="77777777" w:rsidR="00110D34" w:rsidRDefault="00110D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EB946" w14:textId="77777777" w:rsidR="005A714E" w:rsidRDefault="005A7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81D92" w14:textId="77777777" w:rsidR="005A714E" w:rsidRDefault="005A71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6BA04" w14:textId="77777777" w:rsidR="005A714E" w:rsidRDefault="005A71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74428" w14:textId="77777777" w:rsidR="005A714E" w:rsidRDefault="005A71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582CE" w14:textId="77777777" w:rsidR="005A714E" w:rsidRDefault="005A71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880E9" w14:textId="77777777" w:rsidR="005A714E" w:rsidRDefault="005A7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E7BE4" w14:textId="77777777" w:rsidR="00110D34" w:rsidRPr="000C06D7" w:rsidRDefault="00110D34" w:rsidP="000C06D7">
      <w:pPr>
        <w:pStyle w:val="Footer"/>
        <w:spacing w:before="120" w:after="20"/>
        <w:ind w:right="0"/>
        <w:rPr>
          <w:rFonts w:ascii="Times New Roman" w:hAnsi="Times New Roman"/>
        </w:rPr>
      </w:pPr>
      <w:r>
        <w:continuationSeparator/>
      </w:r>
    </w:p>
  </w:footnote>
  <w:footnote w:type="continuationSeparator" w:id="0">
    <w:p w14:paraId="5E033DB5" w14:textId="77777777" w:rsidR="00110D34" w:rsidRPr="000C06D7" w:rsidRDefault="00110D34" w:rsidP="000C06D7">
      <w:pPr>
        <w:pStyle w:val="Footer"/>
        <w:spacing w:before="120" w:after="20"/>
        <w:ind w:right="0"/>
        <w:rPr>
          <w:rFonts w:ascii="Times New Roman" w:hAnsi="Times New Roman"/>
        </w:rPr>
      </w:pPr>
      <w:r w:rsidRPr="000C06D7">
        <w:rPr>
          <w:rFonts w:ascii="Times New Roman" w:hAnsi="Times New Roman"/>
        </w:rPr>
        <w:continuationSeparator/>
      </w:r>
    </w:p>
  </w:footnote>
  <w:footnote w:type="continuationNotice" w:id="1">
    <w:p w14:paraId="1F9A6E3D" w14:textId="77777777" w:rsidR="00110D34" w:rsidRPr="00676E1D" w:rsidRDefault="00110D34">
      <w:pPr>
        <w:jc w:val="right"/>
        <w:rPr>
          <w:rFonts w:ascii="Times New Roman" w:hAnsi="Times New Roman"/>
          <w:sz w:val="24"/>
        </w:rPr>
      </w:pPr>
    </w:p>
  </w:footnote>
  <w:footnote w:id="2">
    <w:p w14:paraId="4A4B58D7" w14:textId="4A5ED18D"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Glencore Coal Assets Australia Pty Ltd v Australian Competition Tribunal</w:t>
      </w:r>
      <w:r w:rsidRPr="000C06D7">
        <w:rPr>
          <w:rFonts w:ascii="Times New Roman" w:hAnsi="Times New Roman"/>
          <w:sz w:val="24"/>
        </w:rPr>
        <w:t xml:space="preserve"> (2020) 280 FCR 194.</w:t>
      </w:r>
    </w:p>
  </w:footnote>
  <w:footnote w:id="3">
    <w:p w14:paraId="7597B94E" w14:textId="3D8EF360"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Application by Port of Newcastle Operations Pty Ltd</w:t>
      </w:r>
      <w:r w:rsidRPr="000C06D7">
        <w:rPr>
          <w:rFonts w:ascii="Times New Roman" w:hAnsi="Times New Roman"/>
          <w:sz w:val="24"/>
        </w:rPr>
        <w:t xml:space="preserve"> [2019] </w:t>
      </w:r>
      <w:r w:rsidRPr="000C06D7">
        <w:rPr>
          <w:rFonts w:ascii="Times New Roman" w:hAnsi="Times New Roman"/>
          <w:sz w:val="24"/>
        </w:rPr>
        <w:t>ACompT 1.</w:t>
      </w:r>
    </w:p>
  </w:footnote>
  <w:footnote w:id="4">
    <w:p w14:paraId="71081271" w14:textId="2ABB539A"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(1980) 144 CLR 13.</w:t>
      </w:r>
    </w:p>
  </w:footnote>
  <w:footnote w:id="5">
    <w:p w14:paraId="5C2BCBCE" w14:textId="5C4D563B"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Competition Policy Reform Act 1995</w:t>
      </w:r>
      <w:r w:rsidRPr="000C06D7">
        <w:rPr>
          <w:rFonts w:ascii="Times New Roman" w:hAnsi="Times New Roman"/>
          <w:sz w:val="24"/>
        </w:rPr>
        <w:t xml:space="preserve"> (Cth).</w:t>
      </w:r>
    </w:p>
  </w:footnote>
  <w:footnote w:id="6">
    <w:p w14:paraId="1451305C" w14:textId="6F83093E"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Competition Principles Agreement, 11 April 1995, cl 6.</w:t>
      </w:r>
    </w:p>
  </w:footnote>
  <w:footnote w:id="7">
    <w:p w14:paraId="4FCAD4A5" w14:textId="37852FB3"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National Competition Policy</w:t>
      </w:r>
      <w:r w:rsidRPr="000C06D7">
        <w:rPr>
          <w:rFonts w:ascii="Times New Roman" w:hAnsi="Times New Roman"/>
          <w:sz w:val="24"/>
        </w:rPr>
        <w:t xml:space="preserve"> (1993), </w:t>
      </w:r>
      <w:r w:rsidRPr="000C06D7">
        <w:rPr>
          <w:rFonts w:ascii="Times New Roman" w:hAnsi="Times New Roman"/>
          <w:sz w:val="24"/>
        </w:rPr>
        <w:t xml:space="preserve">ch 11. </w:t>
      </w:r>
    </w:p>
  </w:footnote>
  <w:footnote w:id="8">
    <w:p w14:paraId="14EAF808" w14:textId="7E77A7F5"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National Competition Policy: Draft Legislative Package</w:t>
      </w:r>
      <w:r w:rsidRPr="000C06D7">
        <w:rPr>
          <w:rFonts w:ascii="Times New Roman" w:hAnsi="Times New Roman"/>
          <w:sz w:val="24"/>
        </w:rPr>
        <w:t xml:space="preserve"> (1994). </w:t>
      </w:r>
    </w:p>
  </w:footnote>
  <w:footnote w:id="9">
    <w:p w14:paraId="7FEF8B1C" w14:textId="624B4826"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 xml:space="preserve">Productivity Commission, </w:t>
      </w:r>
      <w:r w:rsidRPr="000C06D7">
        <w:rPr>
          <w:rFonts w:ascii="Times New Roman" w:hAnsi="Times New Roman"/>
          <w:i/>
          <w:sz w:val="24"/>
        </w:rPr>
        <w:t>Review of the National Access Regime</w:t>
      </w:r>
      <w:r w:rsidRPr="000C06D7">
        <w:rPr>
          <w:rFonts w:ascii="Times New Roman" w:hAnsi="Times New Roman"/>
          <w:sz w:val="24"/>
        </w:rPr>
        <w:t>, Report No 17 (2001).</w:t>
      </w:r>
    </w:p>
  </w:footnote>
  <w:footnote w:id="10">
    <w:p w14:paraId="6371B2C9" w14:textId="52FAAB31"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Trade Practices Amendment (National Access Regime) Act 2006</w:t>
      </w:r>
      <w:r w:rsidRPr="000C06D7">
        <w:rPr>
          <w:rFonts w:ascii="Times New Roman" w:hAnsi="Times New Roman"/>
          <w:sz w:val="24"/>
        </w:rPr>
        <w:t xml:space="preserve"> (Cth).</w:t>
      </w:r>
    </w:p>
  </w:footnote>
  <w:footnote w:id="11">
    <w:p w14:paraId="07E19E10" w14:textId="77777777"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BHP Billiton Iron Ore Pty Ltd v National Competition Council</w:t>
      </w:r>
      <w:r w:rsidRPr="000C06D7">
        <w:rPr>
          <w:rFonts w:ascii="Times New Roman" w:hAnsi="Times New Roman"/>
          <w:sz w:val="24"/>
        </w:rPr>
        <w:t xml:space="preserve"> (2008) 236 CLR 145.</w:t>
      </w:r>
    </w:p>
  </w:footnote>
  <w:footnote w:id="12">
    <w:p w14:paraId="6A5ACE01" w14:textId="636BF3DB"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Pilbara Infrastructure Pty Ltd v Australian Competition Tribunal</w:t>
      </w:r>
      <w:r w:rsidRPr="000C06D7">
        <w:rPr>
          <w:rFonts w:ascii="Times New Roman" w:hAnsi="Times New Roman"/>
          <w:sz w:val="24"/>
        </w:rPr>
        <w:t xml:space="preserve"> (2012) 246 CLR 379.</w:t>
      </w:r>
    </w:p>
  </w:footnote>
  <w:footnote w:id="13">
    <w:p w14:paraId="74893AD9" w14:textId="2E5F693B"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 xml:space="preserve">Productivity Commission, </w:t>
      </w:r>
      <w:r w:rsidRPr="000C06D7">
        <w:rPr>
          <w:rFonts w:ascii="Times New Roman" w:hAnsi="Times New Roman"/>
          <w:i/>
          <w:sz w:val="24"/>
        </w:rPr>
        <w:t>National Access Regime</w:t>
      </w:r>
      <w:r w:rsidRPr="000C06D7">
        <w:rPr>
          <w:rFonts w:ascii="Times New Roman" w:hAnsi="Times New Roman"/>
          <w:sz w:val="24"/>
        </w:rPr>
        <w:t>, Inquiry Report No 66</w:t>
      </w:r>
      <w:r w:rsidRPr="000C06D7">
        <w:rPr>
          <w:rFonts w:ascii="Times New Roman" w:hAnsi="Times New Roman"/>
          <w:i/>
          <w:sz w:val="24"/>
        </w:rPr>
        <w:t xml:space="preserve"> </w:t>
      </w:r>
      <w:r w:rsidRPr="000C06D7">
        <w:rPr>
          <w:rFonts w:ascii="Times New Roman" w:hAnsi="Times New Roman"/>
          <w:sz w:val="24"/>
        </w:rPr>
        <w:t>(2013).</w:t>
      </w:r>
    </w:p>
  </w:footnote>
  <w:footnote w:id="14">
    <w:p w14:paraId="68D6DC7E" w14:textId="4F734CA0"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Competition Policy Review,</w:t>
      </w:r>
      <w:r w:rsidRPr="000C06D7">
        <w:rPr>
          <w:rFonts w:ascii="Times New Roman" w:hAnsi="Times New Roman"/>
          <w:i/>
          <w:sz w:val="24"/>
        </w:rPr>
        <w:t xml:space="preserve"> Final Report</w:t>
      </w:r>
      <w:r w:rsidRPr="000C06D7">
        <w:rPr>
          <w:rFonts w:ascii="Times New Roman" w:hAnsi="Times New Roman"/>
          <w:sz w:val="24"/>
        </w:rPr>
        <w:t xml:space="preserve"> (2015). </w:t>
      </w:r>
    </w:p>
  </w:footnote>
  <w:footnote w:id="15">
    <w:p w14:paraId="240013E1" w14:textId="4444C470"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Competition and Consumer Amendment</w:t>
      </w:r>
      <w:r w:rsidRPr="000C06D7">
        <w:rPr>
          <w:rFonts w:ascii="Times New Roman" w:hAnsi="Times New Roman"/>
          <w:sz w:val="24"/>
        </w:rPr>
        <w:t xml:space="preserve"> </w:t>
      </w:r>
      <w:r w:rsidRPr="000C06D7">
        <w:rPr>
          <w:rFonts w:ascii="Times New Roman" w:hAnsi="Times New Roman"/>
          <w:i/>
          <w:sz w:val="24"/>
        </w:rPr>
        <w:t>(Competition Policy Review)</w:t>
      </w:r>
      <w:r w:rsidRPr="000C06D7">
        <w:rPr>
          <w:rFonts w:ascii="Times New Roman" w:hAnsi="Times New Roman"/>
          <w:sz w:val="24"/>
        </w:rPr>
        <w:t xml:space="preserve"> </w:t>
      </w:r>
      <w:r w:rsidRPr="000C06D7">
        <w:rPr>
          <w:rFonts w:ascii="Times New Roman" w:hAnsi="Times New Roman"/>
          <w:i/>
          <w:sz w:val="24"/>
        </w:rPr>
        <w:t>Act 2017</w:t>
      </w:r>
      <w:r w:rsidRPr="000C06D7">
        <w:rPr>
          <w:rFonts w:ascii="Times New Roman" w:hAnsi="Times New Roman"/>
          <w:sz w:val="24"/>
        </w:rPr>
        <w:t xml:space="preserve"> (Cth).</w:t>
      </w:r>
    </w:p>
  </w:footnote>
  <w:footnote w:id="16">
    <w:p w14:paraId="475299BD" w14:textId="7B1066BB"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Section 44AA(a) of the Act.</w:t>
      </w:r>
    </w:p>
  </w:footnote>
  <w:footnote w:id="17">
    <w:p w14:paraId="422B35C2" w14:textId="77777777"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Section 44AA(b) of the Act.</w:t>
      </w:r>
    </w:p>
  </w:footnote>
  <w:footnote w:id="18">
    <w:p w14:paraId="0EBA3350" w14:textId="36DAE391"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 xml:space="preserve">Section 44F(1)(b) and </w:t>
      </w:r>
      <w:r w:rsidRPr="000C06D7">
        <w:rPr>
          <w:rFonts w:ascii="Times New Roman" w:hAnsi="Times New Roman"/>
          <w:sz w:val="24"/>
        </w:rPr>
        <w:t>Div 6 of Pt IIIA of the Act.</w:t>
      </w:r>
    </w:p>
  </w:footnote>
  <w:footnote w:id="19">
    <w:p w14:paraId="184F43C1" w14:textId="00E74440"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 xml:space="preserve">Section 44F(1)(a) and </w:t>
      </w:r>
      <w:r w:rsidRPr="000C06D7">
        <w:rPr>
          <w:rFonts w:ascii="Times New Roman" w:hAnsi="Times New Roman"/>
          <w:sz w:val="24"/>
        </w:rPr>
        <w:t>Div 2A of Pt IIIA of the Act.</w:t>
      </w:r>
    </w:p>
  </w:footnote>
  <w:footnote w:id="20">
    <w:p w14:paraId="7A274CE4" w14:textId="2A56066D"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sz w:val="24"/>
        </w:rPr>
        <w:t>Hilmer Report at 240-241 (footnotes omitted).</w:t>
      </w:r>
    </w:p>
  </w:footnote>
  <w:footnote w:id="21">
    <w:p w14:paraId="3D026337" w14:textId="154F8240"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Cs/>
          <w:color w:val="000000"/>
          <w:sz w:val="24"/>
          <w:szCs w:val="27"/>
          <w:shd w:val="clear" w:color="auto" w:fill="FFFFFF"/>
        </w:rPr>
        <w:t>(1912) 224 US 383.</w:t>
      </w:r>
    </w:p>
  </w:footnote>
  <w:footnote w:id="22">
    <w:p w14:paraId="18731445" w14:textId="0CF22F59"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Re Sydney Airports Corporation Ltd</w:t>
      </w:r>
      <w:r w:rsidRPr="000C06D7">
        <w:rPr>
          <w:rFonts w:ascii="Times New Roman" w:hAnsi="Times New Roman"/>
          <w:sz w:val="24"/>
        </w:rPr>
        <w:t xml:space="preserve"> (2000) 156 FLR 10 at 37 [82].</w:t>
      </w:r>
    </w:p>
  </w:footnote>
  <w:footnote w:id="23">
    <w:p w14:paraId="11DD48ED" w14:textId="191A6FA8"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 xml:space="preserve">Productivity Commission, </w:t>
      </w:r>
      <w:r w:rsidRPr="000C06D7">
        <w:rPr>
          <w:rFonts w:ascii="Times New Roman" w:hAnsi="Times New Roman"/>
          <w:i/>
          <w:sz w:val="24"/>
        </w:rPr>
        <w:t>Review of the National Access Regime</w:t>
      </w:r>
      <w:r w:rsidRPr="000C06D7">
        <w:rPr>
          <w:rFonts w:ascii="Times New Roman" w:hAnsi="Times New Roman"/>
          <w:sz w:val="24"/>
        </w:rPr>
        <w:t>, Report No 17 (2001) at 2, 38-39.</w:t>
      </w:r>
    </w:p>
  </w:footnote>
  <w:footnote w:id="24">
    <w:p w14:paraId="714365DD" w14:textId="0B6C72BD"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 xml:space="preserve">Competition Policy Review, </w:t>
      </w:r>
      <w:r w:rsidRPr="000C06D7">
        <w:rPr>
          <w:rFonts w:ascii="Times New Roman" w:hAnsi="Times New Roman"/>
          <w:i/>
          <w:sz w:val="24"/>
        </w:rPr>
        <w:t>Final Report</w:t>
      </w:r>
      <w:r w:rsidRPr="000C06D7">
        <w:rPr>
          <w:rFonts w:ascii="Times New Roman" w:hAnsi="Times New Roman"/>
          <w:sz w:val="24"/>
        </w:rPr>
        <w:t xml:space="preserve"> (2015)</w:t>
      </w:r>
      <w:r w:rsidRPr="000C06D7">
        <w:rPr>
          <w:rFonts w:ascii="Times New Roman" w:hAnsi="Times New Roman"/>
          <w:i/>
          <w:sz w:val="24"/>
        </w:rPr>
        <w:t xml:space="preserve"> </w:t>
      </w:r>
      <w:r w:rsidRPr="000C06D7">
        <w:rPr>
          <w:rFonts w:ascii="Times New Roman" w:hAnsi="Times New Roman"/>
          <w:sz w:val="24"/>
        </w:rPr>
        <w:t xml:space="preserve">at 72-74.  </w:t>
      </w:r>
    </w:p>
  </w:footnote>
  <w:footnote w:id="25">
    <w:p w14:paraId="0BDBA73B" w14:textId="372D6C28"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National Competition Policy: Draft Legislative Package</w:t>
      </w:r>
      <w:r w:rsidRPr="000C06D7">
        <w:rPr>
          <w:rFonts w:ascii="Times New Roman" w:hAnsi="Times New Roman"/>
          <w:sz w:val="24"/>
        </w:rPr>
        <w:t xml:space="preserve"> (1994) at 1.10.</w:t>
      </w:r>
    </w:p>
  </w:footnote>
  <w:footnote w:id="26">
    <w:p w14:paraId="4261B220" w14:textId="16E0EB74"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Section 44F of the Act.</w:t>
      </w:r>
    </w:p>
  </w:footnote>
  <w:footnote w:id="27">
    <w:p w14:paraId="37859CA8" w14:textId="31175CDE"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 xml:space="preserve">Section 44D of the Act. </w:t>
      </w:r>
    </w:p>
  </w:footnote>
  <w:footnote w:id="28">
    <w:p w14:paraId="48C5690E" w14:textId="71E233A6"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Section 44H of the Act.</w:t>
      </w:r>
    </w:p>
  </w:footnote>
  <w:footnote w:id="29">
    <w:p w14:paraId="11897D65" w14:textId="1911FB7C"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Section 44K of the Act.</w:t>
      </w:r>
    </w:p>
  </w:footnote>
  <w:footnote w:id="30">
    <w:p w14:paraId="4F213B34" w14:textId="070E8348"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Sections 44HA and 44K(9) of the Act.</w:t>
      </w:r>
    </w:p>
  </w:footnote>
  <w:footnote w:id="31">
    <w:p w14:paraId="00F2D781" w14:textId="37604E0A"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 xml:space="preserve">Section 44Q(b) of the Act. </w:t>
      </w:r>
    </w:p>
  </w:footnote>
  <w:footnote w:id="32">
    <w:p w14:paraId="2DAA77B9" w14:textId="21F11271"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 xml:space="preserve">Section 44I of the Act. </w:t>
      </w:r>
    </w:p>
  </w:footnote>
  <w:footnote w:id="33">
    <w:p w14:paraId="7FBFD29D" w14:textId="77777777"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Section 44J of the Act.</w:t>
      </w:r>
    </w:p>
  </w:footnote>
  <w:footnote w:id="34">
    <w:p w14:paraId="4BF47522" w14:textId="264488D9"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Former section 44H(4)(a) of the Act.</w:t>
      </w:r>
    </w:p>
  </w:footnote>
  <w:footnote w:id="35">
    <w:p w14:paraId="51B42435" w14:textId="43140513"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ab/>
        <w:t>Section 44CA(1)(a) of the Act.</w:t>
      </w:r>
    </w:p>
  </w:footnote>
  <w:footnote w:id="36">
    <w:p w14:paraId="2A84D9E6" w14:textId="77777777"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Sydney Airport Corporation Ltd v Australian Competition Tribunal</w:t>
      </w:r>
      <w:r w:rsidRPr="000C06D7">
        <w:rPr>
          <w:rFonts w:ascii="Times New Roman" w:hAnsi="Times New Roman"/>
          <w:sz w:val="24"/>
        </w:rPr>
        <w:t xml:space="preserve"> (2006) 155 FCR 124 at 146-148 [76]-[89]; </w:t>
      </w:r>
      <w:r w:rsidRPr="000C06D7">
        <w:rPr>
          <w:rFonts w:ascii="Times New Roman" w:hAnsi="Times New Roman"/>
          <w:i/>
          <w:sz w:val="24"/>
        </w:rPr>
        <w:t>Port of Newcastle Operations Pty Ltd v Australian Competition Tribunal</w:t>
      </w:r>
      <w:r w:rsidRPr="000C06D7">
        <w:rPr>
          <w:rFonts w:ascii="Times New Roman" w:hAnsi="Times New Roman"/>
          <w:sz w:val="24"/>
        </w:rPr>
        <w:t xml:space="preserve"> (2017) 253 FCR 115 at 133-134 [86]-[89].</w:t>
      </w:r>
    </w:p>
  </w:footnote>
  <w:footnote w:id="37">
    <w:p w14:paraId="42C1CA79" w14:textId="781FCEBB"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BHP Billiton Iron Ore Pty Ltd v National Competition Council</w:t>
      </w:r>
      <w:r w:rsidRPr="000C06D7">
        <w:rPr>
          <w:rFonts w:ascii="Times New Roman" w:hAnsi="Times New Roman"/>
          <w:sz w:val="24"/>
        </w:rPr>
        <w:t xml:space="preserve"> (2008) 236 CLR 145 at 156 [17].</w:t>
      </w:r>
    </w:p>
  </w:footnote>
  <w:footnote w:id="38">
    <w:p w14:paraId="7E7225B4" w14:textId="6394569D"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Section 44U of the Act.</w:t>
      </w:r>
    </w:p>
  </w:footnote>
  <w:footnote w:id="39">
    <w:p w14:paraId="3E3F9975" w14:textId="77777777"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Section 44V(1) of the Act.</w:t>
      </w:r>
    </w:p>
  </w:footnote>
  <w:footnote w:id="40">
    <w:p w14:paraId="2B4AB837" w14:textId="56EFE6CF"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Section 44Y of the Act.</w:t>
      </w:r>
    </w:p>
  </w:footnote>
  <w:footnote w:id="41">
    <w:p w14:paraId="79FA3F81" w14:textId="0C8014AC"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Section 44ZP(1) of the Act.</w:t>
      </w:r>
    </w:p>
  </w:footnote>
  <w:footnote w:id="42">
    <w:p w14:paraId="100E3C33" w14:textId="77777777"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Section 44ZP(3) and (4) of the Act.</w:t>
      </w:r>
    </w:p>
  </w:footnote>
  <w:footnote w:id="43">
    <w:p w14:paraId="348F4B0D" w14:textId="77B4F09D"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Section 44ZP(6) of the Act.</w:t>
      </w:r>
    </w:p>
  </w:footnote>
  <w:footnote w:id="44">
    <w:p w14:paraId="03187A77" w14:textId="19094C5B"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Section 44ZO of the Act.</w:t>
      </w:r>
    </w:p>
  </w:footnote>
  <w:footnote w:id="45">
    <w:p w14:paraId="5D1ED276" w14:textId="5F4FA879"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Section 44ZU of the Act.</w:t>
      </w:r>
    </w:p>
  </w:footnote>
  <w:footnote w:id="46">
    <w:p w14:paraId="027CF1A8" w14:textId="6BD355AA"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Section 44ZZL of the Act.</w:t>
      </w:r>
    </w:p>
  </w:footnote>
  <w:footnote w:id="47">
    <w:p w14:paraId="59F34B08" w14:textId="35961B3F"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Section 44ZR(1) of the Act.</w:t>
      </w:r>
    </w:p>
  </w:footnote>
  <w:footnote w:id="48">
    <w:p w14:paraId="5B0EEEFE" w14:textId="5184D4E6"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 xml:space="preserve">Section 19(2) of the </w:t>
      </w:r>
      <w:r w:rsidRPr="000C06D7">
        <w:rPr>
          <w:rFonts w:ascii="Times New Roman" w:hAnsi="Times New Roman"/>
          <w:i/>
          <w:sz w:val="24"/>
        </w:rPr>
        <w:t xml:space="preserve">Federal Court of Australia Act 1976 </w:t>
      </w:r>
      <w:r w:rsidRPr="000C06D7">
        <w:rPr>
          <w:rFonts w:ascii="Times New Roman" w:hAnsi="Times New Roman"/>
          <w:sz w:val="24"/>
        </w:rPr>
        <w:t xml:space="preserve">(Cth). </w:t>
      </w:r>
    </w:p>
  </w:footnote>
  <w:footnote w:id="49">
    <w:p w14:paraId="392689BC" w14:textId="4663F7C4"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 xml:space="preserve">Section 44ZR(1) of the Act. See </w:t>
      </w:r>
      <w:r w:rsidRPr="000C06D7">
        <w:rPr>
          <w:rFonts w:ascii="Times New Roman" w:hAnsi="Times New Roman"/>
          <w:i/>
          <w:sz w:val="24"/>
        </w:rPr>
        <w:t>Haritos v Federal Commissioner of Taxation</w:t>
      </w:r>
      <w:r w:rsidRPr="000C06D7">
        <w:rPr>
          <w:rFonts w:ascii="Times New Roman" w:hAnsi="Times New Roman"/>
          <w:sz w:val="24"/>
        </w:rPr>
        <w:t xml:space="preserve"> (2015) 233 FCR 315 at 348-349 [85], quoting </w:t>
      </w:r>
      <w:r w:rsidRPr="000C06D7">
        <w:rPr>
          <w:rFonts w:ascii="Times New Roman" w:hAnsi="Times New Roman"/>
          <w:i/>
          <w:sz w:val="24"/>
        </w:rPr>
        <w:t>Brown v Repatriation Commission</w:t>
      </w:r>
      <w:r w:rsidRPr="000C06D7">
        <w:rPr>
          <w:rFonts w:ascii="Times New Roman" w:hAnsi="Times New Roman"/>
          <w:sz w:val="24"/>
        </w:rPr>
        <w:t xml:space="preserve"> (1985) 7 FCR 302 at 304.</w:t>
      </w:r>
    </w:p>
  </w:footnote>
  <w:footnote w:id="50">
    <w:p w14:paraId="4893938A" w14:textId="393B6766"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Section 44ZZD(1) of the Act.</w:t>
      </w:r>
    </w:p>
  </w:footnote>
  <w:footnote w:id="51">
    <w:p w14:paraId="5A0FCEE3" w14:textId="66E09F13"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 xml:space="preserve">Section 15C of the </w:t>
      </w:r>
      <w:r w:rsidRPr="000C06D7">
        <w:rPr>
          <w:rFonts w:ascii="Times New Roman" w:hAnsi="Times New Roman"/>
          <w:i/>
          <w:sz w:val="24"/>
        </w:rPr>
        <w:t>Acts Interpretation Act 1901</w:t>
      </w:r>
      <w:r w:rsidRPr="000C06D7">
        <w:rPr>
          <w:rFonts w:ascii="Times New Roman" w:hAnsi="Times New Roman"/>
          <w:sz w:val="24"/>
        </w:rPr>
        <w:t xml:space="preserve"> (Cth).</w:t>
      </w:r>
    </w:p>
  </w:footnote>
  <w:footnote w:id="52">
    <w:p w14:paraId="02C9252A" w14:textId="60E5EDA3"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Section 51 of the PMA Act.</w:t>
      </w:r>
    </w:p>
  </w:footnote>
  <w:footnote w:id="53">
    <w:p w14:paraId="29BB55FB" w14:textId="5B64614E"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Section 50 of the PMA Act.</w:t>
      </w:r>
    </w:p>
  </w:footnote>
  <w:footnote w:id="54">
    <w:p w14:paraId="533ABC00" w14:textId="5A8C4550"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Section 62 of the PMA Act.</w:t>
      </w:r>
    </w:p>
  </w:footnote>
  <w:footnote w:id="55">
    <w:p w14:paraId="04C4FCD7" w14:textId="4562E0BF"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Section 61(1), read with s 47(1) (definition of "stevedoring") and s 59 (definition of "site"), of the PMA Act.</w:t>
      </w:r>
    </w:p>
  </w:footnote>
  <w:footnote w:id="56">
    <w:p w14:paraId="10BA58C5" w14:textId="3AD71345"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Section 61(2) and (3) of the PMA Act.</w:t>
      </w:r>
    </w:p>
  </w:footnote>
  <w:footnote w:id="57">
    <w:p w14:paraId="7ED9CF65" w14:textId="473D4BFE"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sz w:val="24"/>
        </w:rPr>
        <w:t xml:space="preserve">cf </w:t>
      </w:r>
      <w:r w:rsidRPr="000C06D7">
        <w:rPr>
          <w:rFonts w:ascii="Times New Roman" w:hAnsi="Times New Roman"/>
          <w:i/>
          <w:sz w:val="24"/>
        </w:rPr>
        <w:t>The Commonwealth v Western Australia</w:t>
      </w:r>
      <w:r w:rsidRPr="000C06D7">
        <w:rPr>
          <w:rFonts w:ascii="Times New Roman" w:hAnsi="Times New Roman"/>
          <w:sz w:val="24"/>
        </w:rPr>
        <w:t xml:space="preserve"> (1999) 196 CLR 392 at 417 [61]-[62], 439-440 [139].</w:t>
      </w:r>
    </w:p>
  </w:footnote>
  <w:footnote w:id="58">
    <w:p w14:paraId="491FDCB3" w14:textId="5835E0D9"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 xml:space="preserve">Application by Glencore Coal Pty Ltd [No 2] </w:t>
      </w:r>
      <w:r w:rsidRPr="000C06D7">
        <w:rPr>
          <w:rFonts w:ascii="Times New Roman" w:hAnsi="Times New Roman"/>
          <w:sz w:val="24"/>
        </w:rPr>
        <w:t xml:space="preserve">[2016] </w:t>
      </w:r>
      <w:r w:rsidRPr="000C06D7">
        <w:rPr>
          <w:rFonts w:ascii="Times New Roman" w:hAnsi="Times New Roman"/>
          <w:sz w:val="24"/>
        </w:rPr>
        <w:t>ACompT 7.</w:t>
      </w:r>
    </w:p>
  </w:footnote>
  <w:footnote w:id="59">
    <w:p w14:paraId="6E5872A9" w14:textId="46910E52"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Application by Glencore Coal Pty Ltd</w:t>
      </w:r>
      <w:r w:rsidRPr="000C06D7">
        <w:rPr>
          <w:rFonts w:ascii="Times New Roman" w:hAnsi="Times New Roman"/>
          <w:sz w:val="24"/>
        </w:rPr>
        <w:t xml:space="preserve"> [2016] </w:t>
      </w:r>
      <w:r w:rsidRPr="000C06D7">
        <w:rPr>
          <w:rFonts w:ascii="Times New Roman" w:hAnsi="Times New Roman"/>
          <w:sz w:val="24"/>
        </w:rPr>
        <w:t>ACompT 6 at [113], [121].</w:t>
      </w:r>
    </w:p>
  </w:footnote>
  <w:footnote w:id="60">
    <w:p w14:paraId="27EC1C62" w14:textId="502DFF1A"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Port of Newcastle Operations Pty Ltd v Australian Competition Tribunal</w:t>
      </w:r>
      <w:r w:rsidRPr="000C06D7">
        <w:rPr>
          <w:rFonts w:ascii="Times New Roman" w:hAnsi="Times New Roman"/>
          <w:sz w:val="24"/>
        </w:rPr>
        <w:t xml:space="preserve"> (2017) 253 FCR 115.</w:t>
      </w:r>
    </w:p>
  </w:footnote>
  <w:footnote w:id="61">
    <w:p w14:paraId="625952BE" w14:textId="25ED0F93"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Application by Port of Newcastle Operations Pty Ltd</w:t>
      </w:r>
      <w:r w:rsidRPr="000C06D7">
        <w:rPr>
          <w:rFonts w:ascii="Times New Roman" w:hAnsi="Times New Roman"/>
          <w:sz w:val="24"/>
        </w:rPr>
        <w:t xml:space="preserve"> [2019] </w:t>
      </w:r>
      <w:r w:rsidRPr="000C06D7">
        <w:rPr>
          <w:rFonts w:ascii="Times New Roman" w:hAnsi="Times New Roman"/>
          <w:sz w:val="24"/>
        </w:rPr>
        <w:t>ACompT 1 at [610].</w:t>
      </w:r>
    </w:p>
  </w:footnote>
  <w:footnote w:id="62">
    <w:p w14:paraId="037027C4" w14:textId="792FF4D8"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Glencore Coal Assets Australia Pty Ltd v Australian Competition Tribunal</w:t>
      </w:r>
      <w:r w:rsidRPr="000C06D7">
        <w:rPr>
          <w:rFonts w:ascii="Times New Roman" w:hAnsi="Times New Roman"/>
          <w:sz w:val="24"/>
        </w:rPr>
        <w:t xml:space="preserve"> (2020) 280 FCR 194.</w:t>
      </w:r>
    </w:p>
  </w:footnote>
  <w:footnote w:id="63">
    <w:p w14:paraId="045CE7B5" w14:textId="1092055E"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 xml:space="preserve">See s 44J(7) of the Act. </w:t>
      </w:r>
    </w:p>
  </w:footnote>
  <w:footnote w:id="64">
    <w:p w14:paraId="114B0CCC" w14:textId="35644FA0"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Application by New South Wales Minerals Council</w:t>
      </w:r>
      <w:r w:rsidRPr="000C06D7">
        <w:rPr>
          <w:rFonts w:ascii="Times New Roman" w:hAnsi="Times New Roman"/>
          <w:sz w:val="24"/>
        </w:rPr>
        <w:t xml:space="preserve"> </w:t>
      </w:r>
      <w:r w:rsidRPr="000C06D7">
        <w:rPr>
          <w:rFonts w:ascii="Times New Roman" w:hAnsi="Times New Roman"/>
          <w:i/>
          <w:sz w:val="24"/>
        </w:rPr>
        <w:t>[No 3]</w:t>
      </w:r>
      <w:r w:rsidRPr="000C06D7">
        <w:rPr>
          <w:rFonts w:ascii="Times New Roman" w:hAnsi="Times New Roman"/>
          <w:sz w:val="24"/>
        </w:rPr>
        <w:t xml:space="preserve"> [2021] </w:t>
      </w:r>
      <w:r w:rsidRPr="000C06D7">
        <w:rPr>
          <w:rFonts w:ascii="Times New Roman" w:hAnsi="Times New Roman"/>
          <w:sz w:val="24"/>
        </w:rPr>
        <w:t>ACompT 4.</w:t>
      </w:r>
    </w:p>
  </w:footnote>
  <w:footnote w:id="65">
    <w:p w14:paraId="514C1ACF" w14:textId="5747A270"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Application by New South Wales Minerals Council</w:t>
      </w:r>
      <w:r w:rsidRPr="000C06D7">
        <w:rPr>
          <w:rFonts w:ascii="Times New Roman" w:hAnsi="Times New Roman"/>
          <w:sz w:val="24"/>
        </w:rPr>
        <w:t xml:space="preserve"> </w:t>
      </w:r>
      <w:r w:rsidRPr="000C06D7">
        <w:rPr>
          <w:rFonts w:ascii="Times New Roman" w:hAnsi="Times New Roman"/>
          <w:i/>
          <w:sz w:val="24"/>
        </w:rPr>
        <w:t>[No 3]</w:t>
      </w:r>
      <w:r w:rsidRPr="000C06D7">
        <w:rPr>
          <w:rFonts w:ascii="Times New Roman" w:hAnsi="Times New Roman"/>
          <w:sz w:val="24"/>
        </w:rPr>
        <w:t xml:space="preserve"> [2021] </w:t>
      </w:r>
      <w:r w:rsidRPr="000C06D7">
        <w:rPr>
          <w:rFonts w:ascii="Times New Roman" w:hAnsi="Times New Roman"/>
          <w:sz w:val="24"/>
        </w:rPr>
        <w:t>ACompT 4 at [263]-[264].</w:t>
      </w:r>
    </w:p>
  </w:footnote>
  <w:footnote w:id="66">
    <w:p w14:paraId="1EC4A930" w14:textId="17EBA72E"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See s 44I(4)(a) of the Act.</w:t>
      </w:r>
    </w:p>
  </w:footnote>
  <w:footnote w:id="67">
    <w:p w14:paraId="3E48AC44" w14:textId="50E200F1"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See s 44I(4)(b) of the Act.</w:t>
      </w:r>
    </w:p>
  </w:footnote>
  <w:footnote w:id="68">
    <w:p w14:paraId="1CA31276" w14:textId="7E0E0B18"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Application by Port of Newcastle Operations Pty Ltd</w:t>
      </w:r>
      <w:r w:rsidRPr="000C06D7">
        <w:rPr>
          <w:rFonts w:ascii="Times New Roman" w:hAnsi="Times New Roman"/>
          <w:sz w:val="24"/>
        </w:rPr>
        <w:t xml:space="preserve"> [2019] </w:t>
      </w:r>
      <w:r w:rsidRPr="000C06D7">
        <w:rPr>
          <w:rFonts w:ascii="Times New Roman" w:hAnsi="Times New Roman"/>
          <w:sz w:val="24"/>
        </w:rPr>
        <w:t>ACompT 1 at [148]-[158].</w:t>
      </w:r>
    </w:p>
  </w:footnote>
  <w:footnote w:id="69">
    <w:p w14:paraId="56A2EAF7" w14:textId="722F9A0C"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i/>
          <w:sz w:val="24"/>
        </w:rPr>
        <w:tab/>
      </w:r>
      <w:r w:rsidRPr="000C06D7">
        <w:rPr>
          <w:rFonts w:ascii="Times New Roman" w:hAnsi="Times New Roman"/>
          <w:sz w:val="24"/>
        </w:rPr>
        <w:t xml:space="preserve">ACCC, </w:t>
      </w:r>
      <w:r w:rsidRPr="000C06D7">
        <w:rPr>
          <w:rFonts w:ascii="Times New Roman" w:hAnsi="Times New Roman"/>
          <w:i/>
          <w:sz w:val="24"/>
        </w:rPr>
        <w:t xml:space="preserve">Final Determination: Statement of Reasons </w:t>
      </w:r>
      <w:r w:rsidRPr="000C06D7">
        <w:rPr>
          <w:rFonts w:ascii="Times New Roman" w:hAnsi="Times New Roman"/>
          <w:sz w:val="24"/>
        </w:rPr>
        <w:t>–</w:t>
      </w:r>
      <w:r w:rsidRPr="000C06D7">
        <w:rPr>
          <w:rFonts w:ascii="Times New Roman" w:hAnsi="Times New Roman"/>
          <w:i/>
          <w:sz w:val="24"/>
        </w:rPr>
        <w:t xml:space="preserve"> Access dispute between Glencore Coal Assets Australia Pty Ltd and Port of Newcastle Operations Pty Ltd </w:t>
      </w:r>
      <w:r w:rsidRPr="000C06D7">
        <w:rPr>
          <w:rFonts w:ascii="Times New Roman" w:hAnsi="Times New Roman"/>
          <w:sz w:val="24"/>
        </w:rPr>
        <w:t>(18 September 2018) at 136.</w:t>
      </w:r>
    </w:p>
  </w:footnote>
  <w:footnote w:id="70">
    <w:p w14:paraId="2D08D30D" w14:textId="51F4EB39"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Application by Port of Newcastle Operations Pty Ltd</w:t>
      </w:r>
      <w:r w:rsidRPr="000C06D7">
        <w:rPr>
          <w:rFonts w:ascii="Times New Roman" w:hAnsi="Times New Roman"/>
          <w:sz w:val="24"/>
        </w:rPr>
        <w:t xml:space="preserve"> [2019] </w:t>
      </w:r>
      <w:r w:rsidRPr="000C06D7">
        <w:rPr>
          <w:rFonts w:ascii="Times New Roman" w:hAnsi="Times New Roman"/>
          <w:sz w:val="24"/>
        </w:rPr>
        <w:t>ACompT 1 at [54].</w:t>
      </w:r>
    </w:p>
  </w:footnote>
  <w:footnote w:id="71">
    <w:p w14:paraId="2C763462" w14:textId="1CC7101E"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Application by Port of Newcastle Operations Pty Ltd</w:t>
      </w:r>
      <w:r w:rsidRPr="000C06D7">
        <w:rPr>
          <w:rFonts w:ascii="Times New Roman" w:hAnsi="Times New Roman"/>
          <w:sz w:val="24"/>
        </w:rPr>
        <w:t xml:space="preserve"> [2019] </w:t>
      </w:r>
      <w:r w:rsidRPr="000C06D7">
        <w:rPr>
          <w:rFonts w:ascii="Times New Roman" w:hAnsi="Times New Roman"/>
          <w:sz w:val="24"/>
        </w:rPr>
        <w:t>ACompT 1 at [300].</w:t>
      </w:r>
    </w:p>
  </w:footnote>
  <w:footnote w:id="72">
    <w:p w14:paraId="6868CC3D" w14:textId="59FEEE46"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Application by Port of Newcastle Operations Pty Ltd</w:t>
      </w:r>
      <w:r w:rsidRPr="000C06D7">
        <w:rPr>
          <w:rFonts w:ascii="Times New Roman" w:hAnsi="Times New Roman"/>
          <w:sz w:val="24"/>
        </w:rPr>
        <w:t xml:space="preserve"> [2019] </w:t>
      </w:r>
      <w:r w:rsidRPr="000C06D7">
        <w:rPr>
          <w:rFonts w:ascii="Times New Roman" w:hAnsi="Times New Roman"/>
          <w:sz w:val="24"/>
        </w:rPr>
        <w:t>ACompT 1 at [278].</w:t>
      </w:r>
    </w:p>
  </w:footnote>
  <w:footnote w:id="73">
    <w:p w14:paraId="5F33A40A" w14:textId="5E87F1A1"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Application by Port of Newcastle Operations Pty Ltd</w:t>
      </w:r>
      <w:r w:rsidRPr="000C06D7">
        <w:rPr>
          <w:rFonts w:ascii="Times New Roman" w:hAnsi="Times New Roman"/>
          <w:sz w:val="24"/>
        </w:rPr>
        <w:t xml:space="preserve"> [2019] </w:t>
      </w:r>
      <w:r w:rsidRPr="000C06D7">
        <w:rPr>
          <w:rFonts w:ascii="Times New Roman" w:hAnsi="Times New Roman"/>
          <w:sz w:val="24"/>
        </w:rPr>
        <w:t>ACompT 1 at [354].</w:t>
      </w:r>
    </w:p>
  </w:footnote>
  <w:footnote w:id="74">
    <w:p w14:paraId="6C42939F" w14:textId="18EC477E"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Application by Port of Newcastle Operations Pty Ltd</w:t>
      </w:r>
      <w:r w:rsidRPr="000C06D7">
        <w:rPr>
          <w:rFonts w:ascii="Times New Roman" w:hAnsi="Times New Roman"/>
          <w:sz w:val="24"/>
        </w:rPr>
        <w:t xml:space="preserve"> [2019] </w:t>
      </w:r>
      <w:r w:rsidRPr="000C06D7">
        <w:rPr>
          <w:rFonts w:ascii="Times New Roman" w:hAnsi="Times New Roman"/>
          <w:sz w:val="24"/>
        </w:rPr>
        <w:t>ACompT 1 at [359]-[360].</w:t>
      </w:r>
    </w:p>
  </w:footnote>
  <w:footnote w:id="75">
    <w:p w14:paraId="42DA2041" w14:textId="1FD5F1D9"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Application by Port of Newcastle Operations Pty Ltd</w:t>
      </w:r>
      <w:r w:rsidRPr="000C06D7">
        <w:rPr>
          <w:rFonts w:ascii="Times New Roman" w:hAnsi="Times New Roman"/>
          <w:sz w:val="24"/>
        </w:rPr>
        <w:t xml:space="preserve"> [2019] </w:t>
      </w:r>
      <w:r w:rsidRPr="000C06D7">
        <w:rPr>
          <w:rFonts w:ascii="Times New Roman" w:hAnsi="Times New Roman"/>
          <w:sz w:val="24"/>
        </w:rPr>
        <w:t>ACompT 1 at [361].</w:t>
      </w:r>
    </w:p>
  </w:footnote>
  <w:footnote w:id="76">
    <w:p w14:paraId="4C558D2D" w14:textId="740A7EDB"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Application by Port of Newcastle Operations Pty Ltd</w:t>
      </w:r>
      <w:r w:rsidRPr="000C06D7">
        <w:rPr>
          <w:rFonts w:ascii="Times New Roman" w:hAnsi="Times New Roman"/>
          <w:sz w:val="24"/>
        </w:rPr>
        <w:t xml:space="preserve"> [2019] </w:t>
      </w:r>
      <w:r w:rsidRPr="000C06D7">
        <w:rPr>
          <w:rFonts w:ascii="Times New Roman" w:hAnsi="Times New Roman"/>
          <w:sz w:val="24"/>
        </w:rPr>
        <w:t>ACompT 1 at [365].</w:t>
      </w:r>
    </w:p>
  </w:footnote>
  <w:footnote w:id="77">
    <w:p w14:paraId="67F7B76A" w14:textId="5975B160"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Application by Port of Newcastle Operations Pty Ltd</w:t>
      </w:r>
      <w:r w:rsidRPr="000C06D7">
        <w:rPr>
          <w:rFonts w:ascii="Times New Roman" w:hAnsi="Times New Roman"/>
          <w:sz w:val="24"/>
        </w:rPr>
        <w:t xml:space="preserve"> [2019] </w:t>
      </w:r>
      <w:r w:rsidRPr="000C06D7">
        <w:rPr>
          <w:rFonts w:ascii="Times New Roman" w:hAnsi="Times New Roman"/>
          <w:sz w:val="24"/>
        </w:rPr>
        <w:t>ACompT 1 at [365].</w:t>
      </w:r>
    </w:p>
  </w:footnote>
  <w:footnote w:id="78">
    <w:p w14:paraId="0F3DC846" w14:textId="1A0F1F7C"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Glencore Coal Assets Australia Pty Ltd v Australian Competition Tribunal</w:t>
      </w:r>
      <w:r w:rsidRPr="000C06D7">
        <w:rPr>
          <w:rFonts w:ascii="Times New Roman" w:hAnsi="Times New Roman"/>
          <w:sz w:val="24"/>
        </w:rPr>
        <w:t xml:space="preserve"> (2020) 280 FCR 194 at 229 [158].</w:t>
      </w:r>
    </w:p>
  </w:footnote>
  <w:footnote w:id="79">
    <w:p w14:paraId="13563F91" w14:textId="27116E95"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Glencore Coal Assets Australia Pty Ltd v Australian Competition Tribunal</w:t>
      </w:r>
      <w:r w:rsidRPr="000C06D7">
        <w:rPr>
          <w:rFonts w:ascii="Times New Roman" w:hAnsi="Times New Roman"/>
          <w:sz w:val="24"/>
        </w:rPr>
        <w:t xml:space="preserve"> (2020) 280 FCR 194 at 229-230 [159]-[160].</w:t>
      </w:r>
    </w:p>
  </w:footnote>
  <w:footnote w:id="80">
    <w:p w14:paraId="740A3005" w14:textId="0A454165"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Glencore Coal Assets Australia Pty Ltd v Australian Competition Tribunal</w:t>
      </w:r>
      <w:r w:rsidRPr="000C06D7">
        <w:rPr>
          <w:rFonts w:ascii="Times New Roman" w:hAnsi="Times New Roman"/>
          <w:sz w:val="24"/>
        </w:rPr>
        <w:t xml:space="preserve"> (2020) 280 FCR 194 at 230 [162].</w:t>
      </w:r>
    </w:p>
  </w:footnote>
  <w:footnote w:id="81">
    <w:p w14:paraId="6A28FAFB" w14:textId="1D2A26F3"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Glencore Coal Assets Australia Pty Ltd v Australian Competition Tribunal</w:t>
      </w:r>
      <w:r w:rsidRPr="000C06D7">
        <w:rPr>
          <w:rFonts w:ascii="Times New Roman" w:hAnsi="Times New Roman"/>
          <w:sz w:val="24"/>
        </w:rPr>
        <w:t xml:space="preserve"> (2020) 280 FCR 194 at 231-232 [167] (emphasis in original).</w:t>
      </w:r>
    </w:p>
  </w:footnote>
  <w:footnote w:id="82">
    <w:p w14:paraId="222E5952" w14:textId="7B7B33A7"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Glencore Coal Assets Australia Pty Ltd v Australian Competition Tribunal</w:t>
      </w:r>
      <w:r w:rsidRPr="000C06D7">
        <w:rPr>
          <w:rFonts w:ascii="Times New Roman" w:hAnsi="Times New Roman"/>
          <w:sz w:val="24"/>
        </w:rPr>
        <w:t xml:space="preserve"> (2020) 280 FCR 194 at 250 [243].</w:t>
      </w:r>
    </w:p>
  </w:footnote>
  <w:footnote w:id="83">
    <w:p w14:paraId="4EEB9E1B" w14:textId="00D83E82"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Glencore Coal Assets Australia Pty Ltd v Australian Competition Tribunal</w:t>
      </w:r>
      <w:r w:rsidRPr="000C06D7">
        <w:rPr>
          <w:rFonts w:ascii="Times New Roman" w:hAnsi="Times New Roman"/>
          <w:sz w:val="24"/>
        </w:rPr>
        <w:t xml:space="preserve"> (2020) 280 FCR 194 at 252 [254]. See also at 258 [288].</w:t>
      </w:r>
    </w:p>
  </w:footnote>
  <w:footnote w:id="84">
    <w:p w14:paraId="0A69024B" w14:textId="28541ADD"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Glencore Coal Assets Australia Pty Ltd v Australian Competition Tribunal</w:t>
      </w:r>
      <w:r w:rsidRPr="000C06D7">
        <w:rPr>
          <w:rFonts w:ascii="Times New Roman" w:hAnsi="Times New Roman"/>
          <w:sz w:val="24"/>
        </w:rPr>
        <w:t xml:space="preserve"> (2020) 280 FCR 194 at 254 [267].</w:t>
      </w:r>
    </w:p>
  </w:footnote>
  <w:footnote w:id="85">
    <w:p w14:paraId="2BA52E34" w14:textId="70FD64D7"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Attorney-General</w:t>
      </w:r>
      <w:r w:rsidRPr="000C06D7">
        <w:rPr>
          <w:rFonts w:ascii="Times New Roman" w:hAnsi="Times New Roman"/>
          <w:sz w:val="24"/>
        </w:rPr>
        <w:t xml:space="preserve"> </w:t>
      </w:r>
      <w:r w:rsidRPr="000C06D7">
        <w:rPr>
          <w:rFonts w:ascii="Times New Roman" w:hAnsi="Times New Roman"/>
          <w:i/>
          <w:sz w:val="24"/>
        </w:rPr>
        <w:t>for Queensland v Attorney-General</w:t>
      </w:r>
      <w:r w:rsidRPr="000C06D7">
        <w:rPr>
          <w:rFonts w:ascii="Times New Roman" w:hAnsi="Times New Roman"/>
          <w:sz w:val="24"/>
        </w:rPr>
        <w:t xml:space="preserve"> </w:t>
      </w:r>
      <w:r w:rsidRPr="000C06D7">
        <w:rPr>
          <w:rFonts w:ascii="Times New Roman" w:hAnsi="Times New Roman"/>
          <w:i/>
          <w:sz w:val="24"/>
        </w:rPr>
        <w:t xml:space="preserve">for the Commonwealth </w:t>
      </w:r>
      <w:r w:rsidRPr="000C06D7">
        <w:rPr>
          <w:rFonts w:ascii="Times New Roman" w:hAnsi="Times New Roman"/>
          <w:sz w:val="24"/>
        </w:rPr>
        <w:t xml:space="preserve">(1915) 20 CLR 148 at 174. See </w:t>
      </w:r>
      <w:r w:rsidRPr="000C06D7">
        <w:rPr>
          <w:rFonts w:ascii="Times New Roman" w:hAnsi="Times New Roman"/>
          <w:i/>
          <w:sz w:val="24"/>
        </w:rPr>
        <w:t>Aubrey v The Queen</w:t>
      </w:r>
      <w:r w:rsidRPr="000C06D7">
        <w:rPr>
          <w:rFonts w:ascii="Times New Roman" w:hAnsi="Times New Roman"/>
          <w:sz w:val="24"/>
        </w:rPr>
        <w:t xml:space="preserve"> (2017) 260 CLR 305 at 321-322 [29]-[30]; </w:t>
      </w:r>
      <w:r w:rsidRPr="000C06D7">
        <w:rPr>
          <w:rFonts w:ascii="Times New Roman" w:hAnsi="Times New Roman"/>
          <w:i/>
          <w:sz w:val="24"/>
        </w:rPr>
        <w:t>R v A2</w:t>
      </w:r>
      <w:r w:rsidRPr="000C06D7">
        <w:rPr>
          <w:rFonts w:ascii="Times New Roman" w:hAnsi="Times New Roman"/>
          <w:sz w:val="24"/>
        </w:rPr>
        <w:t xml:space="preserve"> (2019) </w:t>
      </w:r>
      <w:r w:rsidR="00C410FD">
        <w:rPr>
          <w:rFonts w:ascii="Times New Roman" w:hAnsi="Times New Roman"/>
          <w:sz w:val="24"/>
        </w:rPr>
        <w:t xml:space="preserve">269 CLR </w:t>
      </w:r>
      <w:r w:rsidR="00B52D37">
        <w:rPr>
          <w:rFonts w:ascii="Times New Roman" w:hAnsi="Times New Roman"/>
          <w:sz w:val="24"/>
        </w:rPr>
        <w:t>507</w:t>
      </w:r>
      <w:r w:rsidRPr="000C06D7">
        <w:rPr>
          <w:rFonts w:ascii="Times New Roman" w:hAnsi="Times New Roman"/>
          <w:sz w:val="24"/>
        </w:rPr>
        <w:t xml:space="preserve"> at </w:t>
      </w:r>
      <w:r w:rsidR="00B52D37">
        <w:rPr>
          <w:rFonts w:ascii="Times New Roman" w:hAnsi="Times New Roman"/>
          <w:sz w:val="24"/>
        </w:rPr>
        <w:t>552</w:t>
      </w:r>
      <w:r w:rsidR="00B52D37" w:rsidRPr="000C06D7">
        <w:rPr>
          <w:rFonts w:ascii="Times New Roman" w:hAnsi="Times New Roman"/>
          <w:sz w:val="24"/>
        </w:rPr>
        <w:t xml:space="preserve"> </w:t>
      </w:r>
      <w:r w:rsidRPr="000C06D7">
        <w:rPr>
          <w:rFonts w:ascii="Times New Roman" w:hAnsi="Times New Roman"/>
          <w:sz w:val="24"/>
        </w:rPr>
        <w:t xml:space="preserve">[141], </w:t>
      </w:r>
      <w:r w:rsidR="00B52D37">
        <w:rPr>
          <w:rFonts w:ascii="Times New Roman" w:hAnsi="Times New Roman"/>
          <w:sz w:val="24"/>
        </w:rPr>
        <w:t>562</w:t>
      </w:r>
      <w:r w:rsidR="00B52D37" w:rsidRPr="000C06D7">
        <w:rPr>
          <w:rFonts w:ascii="Times New Roman" w:hAnsi="Times New Roman"/>
          <w:sz w:val="24"/>
        </w:rPr>
        <w:t xml:space="preserve"> </w:t>
      </w:r>
      <w:r w:rsidRPr="000C06D7">
        <w:rPr>
          <w:rFonts w:ascii="Times New Roman" w:hAnsi="Times New Roman"/>
          <w:sz w:val="24"/>
        </w:rPr>
        <w:t>[169].</w:t>
      </w:r>
    </w:p>
  </w:footnote>
  <w:footnote w:id="86">
    <w:p w14:paraId="019BDC74" w14:textId="77777777"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 xml:space="preserve">Section 11B(1) of the </w:t>
      </w:r>
      <w:r w:rsidRPr="000C06D7">
        <w:rPr>
          <w:rFonts w:ascii="Times New Roman" w:hAnsi="Times New Roman"/>
          <w:i/>
          <w:sz w:val="24"/>
        </w:rPr>
        <w:t>Acts Interpretation Act 1901</w:t>
      </w:r>
      <w:r w:rsidRPr="000C06D7">
        <w:rPr>
          <w:rFonts w:ascii="Times New Roman" w:hAnsi="Times New Roman"/>
          <w:sz w:val="24"/>
        </w:rPr>
        <w:t xml:space="preserve"> (Cth).</w:t>
      </w:r>
    </w:p>
  </w:footnote>
  <w:footnote w:id="87">
    <w:p w14:paraId="6EDEC7FD" w14:textId="47922DD4"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Commissioner of Stamps</w:t>
      </w:r>
      <w:r w:rsidRPr="000C06D7">
        <w:rPr>
          <w:rFonts w:ascii="Times New Roman" w:hAnsi="Times New Roman"/>
          <w:sz w:val="24"/>
        </w:rPr>
        <w:t xml:space="preserve"> </w:t>
      </w:r>
      <w:r w:rsidRPr="000C06D7">
        <w:rPr>
          <w:rFonts w:ascii="Times New Roman" w:hAnsi="Times New Roman"/>
          <w:i/>
          <w:sz w:val="24"/>
        </w:rPr>
        <w:t>(SA)</w:t>
      </w:r>
      <w:r w:rsidRPr="000C06D7">
        <w:rPr>
          <w:rFonts w:ascii="Times New Roman" w:hAnsi="Times New Roman"/>
          <w:sz w:val="24"/>
        </w:rPr>
        <w:t xml:space="preserve"> </w:t>
      </w:r>
      <w:r w:rsidRPr="000C06D7">
        <w:rPr>
          <w:rFonts w:ascii="Times New Roman" w:hAnsi="Times New Roman"/>
          <w:i/>
          <w:sz w:val="24"/>
        </w:rPr>
        <w:t>v Telegraph Investment Co</w:t>
      </w:r>
      <w:r w:rsidRPr="000C06D7">
        <w:rPr>
          <w:rFonts w:ascii="Times New Roman" w:hAnsi="Times New Roman"/>
          <w:sz w:val="24"/>
        </w:rPr>
        <w:t xml:space="preserve"> </w:t>
      </w:r>
      <w:r w:rsidRPr="000C06D7">
        <w:rPr>
          <w:rFonts w:ascii="Times New Roman" w:hAnsi="Times New Roman"/>
          <w:i/>
          <w:sz w:val="24"/>
        </w:rPr>
        <w:t xml:space="preserve">Pty Ltd </w:t>
      </w:r>
      <w:r w:rsidRPr="000C06D7">
        <w:rPr>
          <w:rFonts w:ascii="Times New Roman" w:hAnsi="Times New Roman"/>
          <w:sz w:val="24"/>
        </w:rPr>
        <w:t xml:space="preserve">(1995) 184 CLR 453 at 463; </w:t>
      </w:r>
      <w:r w:rsidRPr="000C06D7">
        <w:rPr>
          <w:rFonts w:ascii="Times New Roman" w:hAnsi="Times New Roman"/>
          <w:i/>
          <w:sz w:val="24"/>
        </w:rPr>
        <w:t>Plaintiff S297/2013 v Minister for Immigration and Border Protection</w:t>
      </w:r>
      <w:r w:rsidRPr="000C06D7">
        <w:rPr>
          <w:rFonts w:ascii="Times New Roman" w:hAnsi="Times New Roman"/>
          <w:sz w:val="24"/>
        </w:rPr>
        <w:t xml:space="preserve"> (2014) 255 CLR 179 at 186 [25].</w:t>
      </w:r>
    </w:p>
  </w:footnote>
  <w:footnote w:id="88">
    <w:p w14:paraId="0752888E" w14:textId="0BCB2A7F"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 xml:space="preserve">Section 7(2) of the </w:t>
      </w:r>
      <w:r w:rsidRPr="000C06D7">
        <w:rPr>
          <w:rFonts w:ascii="Times New Roman" w:hAnsi="Times New Roman"/>
          <w:i/>
          <w:sz w:val="24"/>
        </w:rPr>
        <w:t>Acts Interpretation Act 1901</w:t>
      </w:r>
      <w:r w:rsidRPr="000C06D7">
        <w:rPr>
          <w:rFonts w:ascii="Times New Roman" w:hAnsi="Times New Roman"/>
          <w:sz w:val="24"/>
        </w:rPr>
        <w:t xml:space="preserve"> (Cth); </w:t>
      </w:r>
      <w:r w:rsidRPr="000C06D7">
        <w:rPr>
          <w:rFonts w:ascii="Times New Roman" w:hAnsi="Times New Roman"/>
          <w:i/>
          <w:sz w:val="24"/>
        </w:rPr>
        <w:t>Esber v The Commonwealth</w:t>
      </w:r>
      <w:r w:rsidRPr="000C06D7">
        <w:rPr>
          <w:rFonts w:ascii="Times New Roman" w:hAnsi="Times New Roman"/>
          <w:sz w:val="24"/>
        </w:rPr>
        <w:t xml:space="preserve"> (1992) 174 CLR 430 at 438-441.</w:t>
      </w:r>
    </w:p>
  </w:footnote>
  <w:footnote w:id="89">
    <w:p w14:paraId="59C6A21D" w14:textId="4AE2F971"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Grain Elevators Board</w:t>
      </w:r>
      <w:r w:rsidRPr="000C06D7">
        <w:rPr>
          <w:rFonts w:ascii="Times New Roman" w:hAnsi="Times New Roman"/>
          <w:sz w:val="24"/>
        </w:rPr>
        <w:t xml:space="preserve"> </w:t>
      </w:r>
      <w:r w:rsidRPr="000C06D7">
        <w:rPr>
          <w:rFonts w:ascii="Times New Roman" w:hAnsi="Times New Roman"/>
          <w:i/>
          <w:sz w:val="24"/>
        </w:rPr>
        <w:t>(</w:t>
      </w:r>
      <w:r w:rsidRPr="000C06D7">
        <w:rPr>
          <w:rFonts w:ascii="Times New Roman" w:hAnsi="Times New Roman"/>
          <w:i/>
          <w:sz w:val="24"/>
        </w:rPr>
        <w:t>Vict)</w:t>
      </w:r>
      <w:r w:rsidRPr="000C06D7">
        <w:rPr>
          <w:rFonts w:ascii="Times New Roman" w:hAnsi="Times New Roman"/>
          <w:sz w:val="24"/>
        </w:rPr>
        <w:t xml:space="preserve"> </w:t>
      </w:r>
      <w:r w:rsidRPr="000C06D7">
        <w:rPr>
          <w:rFonts w:ascii="Times New Roman" w:hAnsi="Times New Roman"/>
          <w:i/>
          <w:sz w:val="24"/>
        </w:rPr>
        <w:t>v Dunmunkle Corporation</w:t>
      </w:r>
      <w:r w:rsidRPr="000C06D7">
        <w:rPr>
          <w:rFonts w:ascii="Times New Roman" w:hAnsi="Times New Roman"/>
          <w:sz w:val="24"/>
        </w:rPr>
        <w:t xml:space="preserve"> (1946) 73 CLR 70 at 85-86; </w:t>
      </w:r>
      <w:r w:rsidRPr="000C06D7">
        <w:rPr>
          <w:rFonts w:ascii="Times New Roman" w:hAnsi="Times New Roman"/>
          <w:i/>
          <w:sz w:val="24"/>
        </w:rPr>
        <w:t>Masson v Parsons</w:t>
      </w:r>
      <w:r w:rsidRPr="000C06D7">
        <w:rPr>
          <w:rFonts w:ascii="Times New Roman" w:hAnsi="Times New Roman"/>
          <w:sz w:val="24"/>
        </w:rPr>
        <w:t xml:space="preserve"> (2019) 266 CLR 554 at 573-574 [28].</w:t>
      </w:r>
    </w:p>
  </w:footnote>
  <w:footnote w:id="90">
    <w:p w14:paraId="2AEA258E" w14:textId="14D6F29A"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Federal Commissioner of Taxation v Consolidated Media Holdings Ltd</w:t>
      </w:r>
      <w:r w:rsidRPr="000C06D7">
        <w:rPr>
          <w:rFonts w:ascii="Times New Roman" w:hAnsi="Times New Roman"/>
          <w:sz w:val="24"/>
        </w:rPr>
        <w:t xml:space="preserve"> (2012) 250 CLR 503 at 519 [39]; </w:t>
      </w:r>
      <w:r w:rsidRPr="000C06D7">
        <w:rPr>
          <w:rFonts w:ascii="Times New Roman" w:hAnsi="Times New Roman"/>
          <w:i/>
          <w:sz w:val="24"/>
        </w:rPr>
        <w:t>Thiess v Collector of Customs</w:t>
      </w:r>
      <w:r w:rsidRPr="000C06D7">
        <w:rPr>
          <w:rFonts w:ascii="Times New Roman" w:hAnsi="Times New Roman"/>
          <w:sz w:val="24"/>
        </w:rPr>
        <w:t xml:space="preserve"> (2014) 250 CLR 664 at 671 [22].</w:t>
      </w:r>
    </w:p>
  </w:footnote>
  <w:footnote w:id="91">
    <w:p w14:paraId="686CE509" w14:textId="77777777"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Port of Newcastle Operations Pty Ltd v Australian Competition Tribunal</w:t>
      </w:r>
      <w:r w:rsidRPr="000C06D7">
        <w:rPr>
          <w:rFonts w:ascii="Times New Roman" w:hAnsi="Times New Roman"/>
          <w:sz w:val="24"/>
        </w:rPr>
        <w:t xml:space="preserve"> (2017) 253 FCR 115 at 130 [72], explaining </w:t>
      </w:r>
      <w:r w:rsidRPr="000C06D7">
        <w:rPr>
          <w:rFonts w:ascii="Times New Roman" w:hAnsi="Times New Roman"/>
          <w:i/>
          <w:sz w:val="24"/>
        </w:rPr>
        <w:t>Sydney Airport Corporation Ltd v Australian Competition Tribunal</w:t>
      </w:r>
      <w:r w:rsidRPr="000C06D7">
        <w:rPr>
          <w:rFonts w:ascii="Times New Roman" w:hAnsi="Times New Roman"/>
          <w:sz w:val="24"/>
        </w:rPr>
        <w:t xml:space="preserve"> (2006) 155 FCR 124.</w:t>
      </w:r>
    </w:p>
  </w:footnote>
  <w:footnote w:id="92">
    <w:p w14:paraId="1AD06178" w14:textId="71E2A9AB"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 xml:space="preserve">Taylor v Owners </w:t>
      </w:r>
      <w:r w:rsidRPr="000C06D7">
        <w:rPr>
          <w:rFonts w:ascii="Times New Roman" w:hAnsi="Times New Roman"/>
          <w:sz w:val="24"/>
        </w:rPr>
        <w:t>–</w:t>
      </w:r>
      <w:r w:rsidRPr="000C06D7">
        <w:rPr>
          <w:rFonts w:ascii="Times New Roman" w:hAnsi="Times New Roman"/>
          <w:i/>
          <w:sz w:val="24"/>
        </w:rPr>
        <w:t xml:space="preserve"> Strata Plan No 11564</w:t>
      </w:r>
      <w:r w:rsidRPr="000C06D7">
        <w:rPr>
          <w:rFonts w:ascii="Times New Roman" w:hAnsi="Times New Roman"/>
          <w:sz w:val="24"/>
        </w:rPr>
        <w:t xml:space="preserve"> (2014) 253 CLR 531 at 557 [66]; </w:t>
      </w:r>
      <w:r w:rsidRPr="000C06D7">
        <w:rPr>
          <w:rFonts w:ascii="Times New Roman" w:hAnsi="Times New Roman"/>
          <w:i/>
          <w:sz w:val="24"/>
        </w:rPr>
        <w:t>SAS Trustee Corporation v Miles</w:t>
      </w:r>
      <w:r w:rsidRPr="000C06D7">
        <w:rPr>
          <w:rFonts w:ascii="Times New Roman" w:hAnsi="Times New Roman"/>
          <w:sz w:val="24"/>
        </w:rPr>
        <w:t xml:space="preserve"> (2018) 265 CLR 137 at 149 [20].</w:t>
      </w:r>
    </w:p>
  </w:footnote>
  <w:footnote w:id="93">
    <w:p w14:paraId="0E0E1C5A" w14:textId="77777777"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Thiess v Collector of Customs</w:t>
      </w:r>
      <w:r w:rsidRPr="000C06D7">
        <w:rPr>
          <w:rFonts w:ascii="Times New Roman" w:hAnsi="Times New Roman"/>
          <w:sz w:val="24"/>
        </w:rPr>
        <w:t xml:space="preserve"> (2014) 250 CLR 664 at 672 [23].</w:t>
      </w:r>
    </w:p>
  </w:footnote>
  <w:footnote w:id="94">
    <w:p w14:paraId="4DB26051" w14:textId="6F12E46E"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 xml:space="preserve">Section 15AA of the </w:t>
      </w:r>
      <w:r w:rsidRPr="000C06D7">
        <w:rPr>
          <w:rFonts w:ascii="Times New Roman" w:hAnsi="Times New Roman"/>
          <w:i/>
          <w:sz w:val="24"/>
        </w:rPr>
        <w:t>Acts Interpretation Act 1901</w:t>
      </w:r>
      <w:r w:rsidRPr="000C06D7">
        <w:rPr>
          <w:rFonts w:ascii="Times New Roman" w:hAnsi="Times New Roman"/>
          <w:sz w:val="24"/>
        </w:rPr>
        <w:t xml:space="preserve"> (Cth).</w:t>
      </w:r>
    </w:p>
  </w:footnote>
  <w:footnote w:id="95">
    <w:p w14:paraId="4ED6B7AB" w14:textId="1F93FDE8"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BHP Billiton Iron Ore Pty Ltd</w:t>
      </w:r>
      <w:r w:rsidRPr="000C06D7">
        <w:rPr>
          <w:rFonts w:ascii="Times New Roman" w:hAnsi="Times New Roman"/>
          <w:sz w:val="24"/>
        </w:rPr>
        <w:t xml:space="preserve"> </w:t>
      </w:r>
      <w:r w:rsidRPr="000C06D7">
        <w:rPr>
          <w:rFonts w:ascii="Times New Roman" w:hAnsi="Times New Roman"/>
          <w:i/>
          <w:sz w:val="24"/>
        </w:rPr>
        <w:t>v National Competition Council</w:t>
      </w:r>
      <w:r w:rsidRPr="000C06D7">
        <w:rPr>
          <w:rFonts w:ascii="Times New Roman" w:hAnsi="Times New Roman"/>
          <w:sz w:val="24"/>
        </w:rPr>
        <w:t xml:space="preserve"> (2008) 236 CLR 145 at 161 [42]; </w:t>
      </w:r>
      <w:r w:rsidRPr="000C06D7">
        <w:rPr>
          <w:rFonts w:ascii="Times New Roman" w:hAnsi="Times New Roman"/>
          <w:i/>
          <w:sz w:val="24"/>
        </w:rPr>
        <w:t>Pilbara Infrastructure Pty Ltd v Australian Competition Tribunal</w:t>
      </w:r>
      <w:r w:rsidRPr="000C06D7">
        <w:rPr>
          <w:rFonts w:ascii="Times New Roman" w:hAnsi="Times New Roman"/>
          <w:sz w:val="24"/>
        </w:rPr>
        <w:t xml:space="preserve"> (2012) 246 CLR 379 at 418 [97].</w:t>
      </w:r>
    </w:p>
  </w:footnote>
  <w:footnote w:id="96">
    <w:p w14:paraId="60E380C0" w14:textId="30E3A0C3"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Port of Newcastle Operations Pty Ltd v Australian Competition Tribunal</w:t>
      </w:r>
      <w:r w:rsidRPr="000C06D7">
        <w:rPr>
          <w:rFonts w:ascii="Times New Roman" w:hAnsi="Times New Roman"/>
          <w:sz w:val="24"/>
        </w:rPr>
        <w:t xml:space="preserve"> (2017) 253 FCR 115 at 146 [140].</w:t>
      </w:r>
    </w:p>
  </w:footnote>
  <w:footnote w:id="97">
    <w:p w14:paraId="3911B024" w14:textId="5BAD0EDD"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 xml:space="preserve">See </w:t>
      </w:r>
      <w:r w:rsidRPr="000C06D7">
        <w:rPr>
          <w:rFonts w:ascii="Times New Roman" w:hAnsi="Times New Roman"/>
          <w:i/>
          <w:sz w:val="24"/>
        </w:rPr>
        <w:t>Port of Newcastle Operations Pty Ltd v Australian Competition Tribunal</w:t>
      </w:r>
      <w:r w:rsidRPr="000C06D7">
        <w:rPr>
          <w:rFonts w:ascii="Times New Roman" w:hAnsi="Times New Roman"/>
          <w:sz w:val="24"/>
        </w:rPr>
        <w:t xml:space="preserve"> (2017) 253 FCR 115 at 128 [67], quoting </w:t>
      </w:r>
      <w:r w:rsidRPr="000C06D7">
        <w:rPr>
          <w:rFonts w:ascii="Times New Roman" w:hAnsi="Times New Roman"/>
          <w:i/>
          <w:sz w:val="24"/>
        </w:rPr>
        <w:t>Re Virgin Blue Airlines Pty Ltd</w:t>
      </w:r>
      <w:r w:rsidRPr="000C06D7">
        <w:rPr>
          <w:rFonts w:ascii="Times New Roman" w:hAnsi="Times New Roman"/>
          <w:sz w:val="24"/>
        </w:rPr>
        <w:t xml:space="preserve"> (2005) 195 FLR 242 at 270 [137].</w:t>
      </w:r>
    </w:p>
  </w:footnote>
  <w:footnote w:id="98">
    <w:p w14:paraId="77AD30D4" w14:textId="7F168975"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Oxford English Dictionary</w:t>
      </w:r>
      <w:r w:rsidRPr="000C06D7">
        <w:rPr>
          <w:rFonts w:ascii="Times New Roman" w:hAnsi="Times New Roman"/>
          <w:sz w:val="24"/>
        </w:rPr>
        <w:t>, 3rd ed (2011), published online March 2021.</w:t>
      </w:r>
    </w:p>
  </w:footnote>
  <w:footnote w:id="99">
    <w:p w14:paraId="4891E7DB" w14:textId="1AC61983"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National Competition Policy: Draft Legislative Package</w:t>
      </w:r>
      <w:r w:rsidRPr="000C06D7">
        <w:rPr>
          <w:rFonts w:ascii="Times New Roman" w:hAnsi="Times New Roman"/>
          <w:sz w:val="24"/>
        </w:rPr>
        <w:t xml:space="preserve"> (1994) at 1.10.</w:t>
      </w:r>
    </w:p>
  </w:footnote>
  <w:footnote w:id="100">
    <w:p w14:paraId="23C4E2AE" w14:textId="1EA455BA"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 xml:space="preserve">See </w:t>
      </w:r>
      <w:r w:rsidRPr="000C06D7">
        <w:rPr>
          <w:rFonts w:ascii="Times New Roman" w:hAnsi="Times New Roman"/>
          <w:i/>
          <w:sz w:val="24"/>
        </w:rPr>
        <w:t>Glencore Coal Assets Australia Pty Ltd v Australian Competition Tribunal</w:t>
      </w:r>
      <w:r w:rsidRPr="000C06D7">
        <w:rPr>
          <w:rFonts w:ascii="Times New Roman" w:hAnsi="Times New Roman"/>
          <w:sz w:val="24"/>
        </w:rPr>
        <w:t xml:space="preserve"> (2020) 280 FCR 194 at 230 [162] and 231-232 [167], quoted at [76] above.</w:t>
      </w:r>
    </w:p>
  </w:footnote>
  <w:footnote w:id="101">
    <w:p w14:paraId="566CE016" w14:textId="1E5D6343"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 xml:space="preserve">R v Hunt; Ex </w:t>
      </w:r>
      <w:r w:rsidRPr="000C06D7">
        <w:rPr>
          <w:rFonts w:ascii="Times New Roman" w:hAnsi="Times New Roman"/>
          <w:i/>
          <w:sz w:val="24"/>
        </w:rPr>
        <w:t>parte Sean Investments Pty Ltd</w:t>
      </w:r>
      <w:r w:rsidRPr="000C06D7">
        <w:rPr>
          <w:rFonts w:ascii="Times New Roman" w:hAnsi="Times New Roman"/>
          <w:sz w:val="24"/>
        </w:rPr>
        <w:t xml:space="preserve"> (1979) 180 CLR 322 at 329.</w:t>
      </w:r>
    </w:p>
  </w:footnote>
  <w:footnote w:id="102">
    <w:p w14:paraId="08A6CF69" w14:textId="77777777"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Minister for Aboriginal Affairs v Peko-Wallsend Ltd</w:t>
      </w:r>
      <w:r w:rsidRPr="000C06D7">
        <w:rPr>
          <w:rFonts w:ascii="Times New Roman" w:hAnsi="Times New Roman"/>
          <w:sz w:val="24"/>
        </w:rPr>
        <w:t xml:space="preserve"> (1986) 162 CLR 24 at 41.</w:t>
      </w:r>
    </w:p>
  </w:footnote>
  <w:footnote w:id="103">
    <w:p w14:paraId="026F9968" w14:textId="7A8E774C"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Attorney-General</w:t>
      </w:r>
      <w:r w:rsidRPr="000C06D7">
        <w:rPr>
          <w:rFonts w:ascii="Times New Roman" w:hAnsi="Times New Roman"/>
          <w:sz w:val="24"/>
        </w:rPr>
        <w:t xml:space="preserve"> </w:t>
      </w:r>
      <w:r w:rsidRPr="000C06D7">
        <w:rPr>
          <w:rFonts w:ascii="Times New Roman" w:hAnsi="Times New Roman"/>
          <w:i/>
          <w:sz w:val="24"/>
        </w:rPr>
        <w:t>(NSW)</w:t>
      </w:r>
      <w:r w:rsidRPr="000C06D7">
        <w:rPr>
          <w:rFonts w:ascii="Times New Roman" w:hAnsi="Times New Roman"/>
          <w:sz w:val="24"/>
        </w:rPr>
        <w:t xml:space="preserve"> </w:t>
      </w:r>
      <w:r w:rsidRPr="000C06D7">
        <w:rPr>
          <w:rFonts w:ascii="Times New Roman" w:hAnsi="Times New Roman"/>
          <w:i/>
          <w:sz w:val="24"/>
        </w:rPr>
        <w:t>v Quin</w:t>
      </w:r>
      <w:r w:rsidRPr="000C06D7">
        <w:rPr>
          <w:rFonts w:ascii="Times New Roman" w:hAnsi="Times New Roman"/>
          <w:sz w:val="24"/>
        </w:rPr>
        <w:t xml:space="preserve"> (1990) 170 CLR 1 at 36; </w:t>
      </w:r>
      <w:r w:rsidRPr="000C06D7">
        <w:rPr>
          <w:rFonts w:ascii="Times New Roman" w:hAnsi="Times New Roman"/>
          <w:i/>
          <w:sz w:val="24"/>
        </w:rPr>
        <w:t>ABT17 v</w:t>
      </w:r>
      <w:r w:rsidRPr="000C06D7">
        <w:rPr>
          <w:rFonts w:ascii="Times New Roman" w:hAnsi="Times New Roman"/>
          <w:sz w:val="24"/>
        </w:rPr>
        <w:t xml:space="preserve"> </w:t>
      </w:r>
      <w:r w:rsidRPr="000C06D7">
        <w:rPr>
          <w:rFonts w:ascii="Times New Roman" w:hAnsi="Times New Roman"/>
          <w:i/>
          <w:sz w:val="24"/>
        </w:rPr>
        <w:t xml:space="preserve">Minister for Immigration and Border Protection </w:t>
      </w:r>
      <w:r w:rsidRPr="000C06D7">
        <w:rPr>
          <w:rFonts w:ascii="Times New Roman" w:hAnsi="Times New Roman"/>
          <w:sz w:val="24"/>
        </w:rPr>
        <w:t>(2020) 269 CLR 439 at 445 [3].</w:t>
      </w:r>
    </w:p>
  </w:footnote>
  <w:footnote w:id="104">
    <w:p w14:paraId="5819DE60" w14:textId="2C323A1B"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Comptroller-General of Customs v Pharm-A-Care Laboratories Pty</w:t>
      </w:r>
      <w:r w:rsidRPr="000C06D7">
        <w:rPr>
          <w:rFonts w:ascii="Times New Roman" w:hAnsi="Times New Roman"/>
          <w:sz w:val="24"/>
        </w:rPr>
        <w:t xml:space="preserve"> </w:t>
      </w:r>
      <w:r w:rsidRPr="000C06D7">
        <w:rPr>
          <w:rFonts w:ascii="Times New Roman" w:hAnsi="Times New Roman"/>
          <w:i/>
          <w:sz w:val="24"/>
        </w:rPr>
        <w:t>Ltd</w:t>
      </w:r>
      <w:r w:rsidRPr="000C06D7">
        <w:rPr>
          <w:rFonts w:ascii="Times New Roman" w:hAnsi="Times New Roman"/>
          <w:sz w:val="24"/>
        </w:rPr>
        <w:t xml:space="preserve"> (2020) 94 ALJR 182 at 192 [40]; 375 ALR 98 at 109. </w:t>
      </w:r>
    </w:p>
  </w:footnote>
  <w:footnote w:id="105">
    <w:p w14:paraId="7796AB74" w14:textId="0AFA14FE"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 xml:space="preserve">Minister for Immigration and Ethnic Affairs v Wu Shan Liang </w:t>
      </w:r>
      <w:r w:rsidRPr="000C06D7">
        <w:rPr>
          <w:rFonts w:ascii="Times New Roman" w:hAnsi="Times New Roman"/>
          <w:sz w:val="24"/>
        </w:rPr>
        <w:t xml:space="preserve">(1996) 185 CLR 259 at 272. </w:t>
      </w:r>
    </w:p>
  </w:footnote>
  <w:footnote w:id="106">
    <w:p w14:paraId="12126BD5" w14:textId="37040B0C"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Pilbara Infrastructure Pty Ltd v Australian Competition Tribunal</w:t>
      </w:r>
      <w:r w:rsidRPr="000C06D7">
        <w:rPr>
          <w:rFonts w:ascii="Times New Roman" w:hAnsi="Times New Roman"/>
          <w:sz w:val="24"/>
        </w:rPr>
        <w:t xml:space="preserve"> (2011) 193 FCR 57 at 62 [15].</w:t>
      </w:r>
    </w:p>
  </w:footnote>
  <w:footnote w:id="107">
    <w:p w14:paraId="67BF72B0" w14:textId="225AC8C6"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iCs/>
          <w:color w:val="000000"/>
          <w:sz w:val="24"/>
          <w:szCs w:val="27"/>
          <w:shd w:val="clear" w:color="auto" w:fill="FFFFFF"/>
        </w:rPr>
        <w:t>Re</w:t>
      </w:r>
      <w:r w:rsidRPr="000C06D7">
        <w:rPr>
          <w:rFonts w:ascii="Times New Roman" w:hAnsi="Times New Roman"/>
          <w:i/>
          <w:color w:val="000000"/>
          <w:sz w:val="24"/>
          <w:shd w:val="clear" w:color="auto" w:fill="FFFFFF"/>
        </w:rPr>
        <w:t xml:space="preserve"> Minister for Immigration and </w:t>
      </w:r>
      <w:r w:rsidRPr="000C06D7">
        <w:rPr>
          <w:rFonts w:ascii="Times New Roman" w:hAnsi="Times New Roman"/>
          <w:i/>
          <w:iCs/>
          <w:color w:val="000000"/>
          <w:sz w:val="24"/>
          <w:szCs w:val="27"/>
          <w:shd w:val="clear" w:color="auto" w:fill="FFFFFF"/>
        </w:rPr>
        <w:t xml:space="preserve">Multicultural Affairs; Ex </w:t>
      </w:r>
      <w:r w:rsidRPr="000C06D7">
        <w:rPr>
          <w:rFonts w:ascii="Times New Roman" w:hAnsi="Times New Roman"/>
          <w:i/>
          <w:iCs/>
          <w:color w:val="000000"/>
          <w:sz w:val="24"/>
          <w:szCs w:val="27"/>
          <w:shd w:val="clear" w:color="auto" w:fill="FFFFFF"/>
        </w:rPr>
        <w:t xml:space="preserve">parte Applicant S20/2002 </w:t>
      </w:r>
      <w:r w:rsidRPr="000C06D7">
        <w:rPr>
          <w:rFonts w:ascii="Times New Roman" w:hAnsi="Times New Roman"/>
          <w:iCs/>
          <w:color w:val="000000"/>
          <w:sz w:val="24"/>
          <w:szCs w:val="27"/>
          <w:shd w:val="clear" w:color="auto" w:fill="FFFFFF"/>
        </w:rPr>
        <w:t>(2003) 77 ALJR 1165 at 1184 [114]; 198 ALR 59</w:t>
      </w:r>
      <w:r w:rsidRPr="000C06D7">
        <w:rPr>
          <w:rFonts w:ascii="Times New Roman" w:hAnsi="Times New Roman"/>
          <w:color w:val="000000"/>
          <w:sz w:val="24"/>
          <w:szCs w:val="27"/>
          <w:shd w:val="clear" w:color="auto" w:fill="FFFFFF"/>
        </w:rPr>
        <w:t xml:space="preserve"> at 84</w:t>
      </w:r>
      <w:r w:rsidRPr="000C06D7">
        <w:rPr>
          <w:rFonts w:ascii="Times New Roman" w:hAnsi="Times New Roman"/>
          <w:iCs/>
          <w:color w:val="000000"/>
          <w:sz w:val="24"/>
          <w:szCs w:val="27"/>
          <w:shd w:val="clear" w:color="auto" w:fill="FFFFFF"/>
        </w:rPr>
        <w:t xml:space="preserve"> (footnotes omitted);</w:t>
      </w:r>
      <w:r w:rsidRPr="000C06D7">
        <w:rPr>
          <w:rFonts w:ascii="Times New Roman" w:hAnsi="Times New Roman"/>
          <w:i/>
          <w:sz w:val="24"/>
        </w:rPr>
        <w:t xml:space="preserve"> Pilbara Infrastructure Pty Ltd v Australian Competition Tribunal</w:t>
      </w:r>
      <w:r w:rsidRPr="000C06D7">
        <w:rPr>
          <w:rFonts w:ascii="Times New Roman" w:hAnsi="Times New Roman"/>
          <w:sz w:val="24"/>
        </w:rPr>
        <w:t xml:space="preserve"> (2011) 193 FCR 57 at 62 [16].</w:t>
      </w:r>
    </w:p>
  </w:footnote>
  <w:footnote w:id="108">
    <w:p w14:paraId="49AB6E74" w14:textId="1DEBEECF"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Clause 6(4)(</w:t>
      </w:r>
      <w:r w:rsidRPr="000C06D7">
        <w:rPr>
          <w:rFonts w:ascii="Times New Roman" w:hAnsi="Times New Roman"/>
          <w:sz w:val="24"/>
        </w:rPr>
        <w:t>i)(iii).</w:t>
      </w:r>
    </w:p>
  </w:footnote>
  <w:footnote w:id="109">
    <w:p w14:paraId="35496968" w14:textId="420E4962"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r>
      <w:r w:rsidRPr="000C06D7">
        <w:rPr>
          <w:rFonts w:ascii="Times New Roman" w:hAnsi="Times New Roman"/>
          <w:i/>
          <w:sz w:val="24"/>
        </w:rPr>
        <w:t>Glencore Coal Assets Australia Pty Ltd v Australian Competition Tribunal</w:t>
      </w:r>
      <w:r w:rsidRPr="000C06D7">
        <w:rPr>
          <w:rFonts w:ascii="Times New Roman" w:hAnsi="Times New Roman"/>
          <w:sz w:val="24"/>
        </w:rPr>
        <w:t xml:space="preserve"> (2020) 280 FCR 194 at 207 [51].</w:t>
      </w:r>
    </w:p>
  </w:footnote>
  <w:footnote w:id="110">
    <w:p w14:paraId="7104E287" w14:textId="25E7C9FE"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 xml:space="preserve">Productivity Commission, </w:t>
      </w:r>
      <w:r w:rsidRPr="000C06D7">
        <w:rPr>
          <w:rFonts w:ascii="Times New Roman" w:hAnsi="Times New Roman"/>
          <w:i/>
          <w:sz w:val="24"/>
        </w:rPr>
        <w:t>National Access Regime</w:t>
      </w:r>
      <w:r w:rsidRPr="000C06D7">
        <w:rPr>
          <w:rFonts w:ascii="Times New Roman" w:hAnsi="Times New Roman"/>
          <w:sz w:val="24"/>
        </w:rPr>
        <w:t>, Inquiry Report No 66</w:t>
      </w:r>
      <w:r w:rsidRPr="000C06D7">
        <w:rPr>
          <w:rFonts w:ascii="Times New Roman" w:hAnsi="Times New Roman"/>
          <w:i/>
          <w:sz w:val="24"/>
        </w:rPr>
        <w:t xml:space="preserve"> </w:t>
      </w:r>
      <w:r w:rsidRPr="000C06D7">
        <w:rPr>
          <w:rFonts w:ascii="Times New Roman" w:hAnsi="Times New Roman"/>
          <w:sz w:val="24"/>
        </w:rPr>
        <w:t>(2013) at 35.</w:t>
      </w:r>
    </w:p>
  </w:footnote>
  <w:footnote w:id="111">
    <w:p w14:paraId="20F87299" w14:textId="1B5A3E89" w:rsidR="00165689" w:rsidRPr="000C06D7" w:rsidRDefault="00165689" w:rsidP="000C06D7">
      <w:pPr>
        <w:pStyle w:val="FootnoteText"/>
        <w:spacing w:line="280" w:lineRule="exact"/>
        <w:ind w:right="0"/>
        <w:jc w:val="both"/>
        <w:rPr>
          <w:rFonts w:ascii="Times New Roman" w:hAnsi="Times New Roman"/>
          <w:sz w:val="24"/>
        </w:rPr>
      </w:pPr>
      <w:r w:rsidRPr="000C06D7">
        <w:rPr>
          <w:rStyle w:val="FootnoteReference"/>
          <w:rFonts w:ascii="Times New Roman" w:hAnsi="Times New Roman"/>
          <w:sz w:val="22"/>
          <w:vertAlign w:val="baseline"/>
        </w:rPr>
        <w:footnoteRef/>
      </w:r>
      <w:r w:rsidRPr="000C06D7">
        <w:rPr>
          <w:rFonts w:ascii="Times New Roman" w:hAnsi="Times New Roman"/>
          <w:sz w:val="24"/>
        </w:rPr>
        <w:t xml:space="preserve"> </w:t>
      </w:r>
      <w:r w:rsidRPr="000C06D7">
        <w:rPr>
          <w:rFonts w:ascii="Times New Roman" w:hAnsi="Times New Roman"/>
          <w:sz w:val="24"/>
        </w:rPr>
        <w:tab/>
        <w:t>Australia, House of Representatives,</w:t>
      </w:r>
      <w:r w:rsidRPr="000C06D7">
        <w:rPr>
          <w:rFonts w:ascii="Times New Roman" w:hAnsi="Times New Roman"/>
          <w:i/>
          <w:sz w:val="24"/>
        </w:rPr>
        <w:t xml:space="preserve"> Competition and Consumer Amendment (Competition Policy Review) Bill 2017</w:t>
      </w:r>
      <w:r w:rsidRPr="000C06D7">
        <w:rPr>
          <w:rFonts w:ascii="Times New Roman" w:hAnsi="Times New Roman"/>
          <w:sz w:val="24"/>
        </w:rPr>
        <w:t>, Explanatory Memorandum</w:t>
      </w:r>
      <w:r w:rsidRPr="000C06D7">
        <w:rPr>
          <w:rFonts w:ascii="Times New Roman" w:hAnsi="Times New Roman"/>
          <w:i/>
          <w:sz w:val="24"/>
        </w:rPr>
        <w:t xml:space="preserve"> </w:t>
      </w:r>
      <w:r w:rsidRPr="000C06D7">
        <w:rPr>
          <w:rFonts w:ascii="Times New Roman" w:hAnsi="Times New Roman"/>
          <w:sz w:val="24"/>
        </w:rPr>
        <w:t xml:space="preserve">at 109.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B05A2" w14:textId="77777777" w:rsidR="000C06D7" w:rsidRPr="005A714E" w:rsidRDefault="000C06D7" w:rsidP="005A7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77A90" w14:textId="6D2FA6C8" w:rsidR="000C06D7" w:rsidRPr="005A714E" w:rsidRDefault="005A714E" w:rsidP="005A714E">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E73B48">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E73B48">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95EE" w14:textId="27A84A6E" w:rsidR="00165689" w:rsidRPr="005A714E" w:rsidRDefault="00165689" w:rsidP="005A71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203B6" w14:textId="77777777" w:rsidR="005A714E" w:rsidRPr="000C06D7" w:rsidRDefault="005A714E" w:rsidP="000C06D7">
    <w:pPr>
      <w:pStyle w:val="Header"/>
      <w:tabs>
        <w:tab w:val="clear" w:pos="4153"/>
        <w:tab w:val="clear" w:pos="8306"/>
        <w:tab w:val="right" w:pos="1304"/>
      </w:tabs>
      <w:spacing w:line="280" w:lineRule="exact"/>
      <w:ind w:firstLine="0"/>
      <w:rPr>
        <w:rFonts w:ascii="Times New Roman" w:hAnsi="Times New Roman"/>
        <w:i/>
        <w:sz w:val="22"/>
      </w:rPr>
    </w:pPr>
    <w:r w:rsidRPr="000C06D7">
      <w:rPr>
        <w:rFonts w:ascii="Times New Roman" w:hAnsi="Times New Roman"/>
        <w:i/>
        <w:sz w:val="22"/>
      </w:rPr>
      <w:t>Kiefel</w:t>
    </w:r>
    <w:r w:rsidRPr="000C06D7">
      <w:rPr>
        <w:rFonts w:ascii="Times New Roman" w:hAnsi="Times New Roman"/>
        <w:i/>
        <w:sz w:val="22"/>
      </w:rPr>
      <w:tab/>
      <w:t>CJ</w:t>
    </w:r>
  </w:p>
  <w:p w14:paraId="72255A18" w14:textId="77777777" w:rsidR="005A714E" w:rsidRPr="000C06D7" w:rsidRDefault="005A714E" w:rsidP="000C06D7">
    <w:pPr>
      <w:pStyle w:val="Header"/>
      <w:tabs>
        <w:tab w:val="clear" w:pos="4153"/>
        <w:tab w:val="clear" w:pos="8306"/>
        <w:tab w:val="right" w:pos="1304"/>
      </w:tabs>
      <w:spacing w:line="280" w:lineRule="exact"/>
      <w:ind w:firstLine="0"/>
      <w:rPr>
        <w:rFonts w:ascii="Times New Roman" w:hAnsi="Times New Roman"/>
        <w:i/>
        <w:sz w:val="22"/>
      </w:rPr>
    </w:pPr>
    <w:r w:rsidRPr="000C06D7">
      <w:rPr>
        <w:rFonts w:ascii="Times New Roman" w:hAnsi="Times New Roman"/>
        <w:i/>
        <w:sz w:val="22"/>
      </w:rPr>
      <w:t>Gageler</w:t>
    </w:r>
    <w:r w:rsidRPr="000C06D7">
      <w:rPr>
        <w:rFonts w:ascii="Times New Roman" w:hAnsi="Times New Roman"/>
        <w:i/>
        <w:sz w:val="22"/>
      </w:rPr>
      <w:tab/>
      <w:t>J</w:t>
    </w:r>
  </w:p>
  <w:p w14:paraId="1DFE4A06" w14:textId="77777777" w:rsidR="005A714E" w:rsidRPr="000C06D7" w:rsidRDefault="005A714E" w:rsidP="000C06D7">
    <w:pPr>
      <w:pStyle w:val="Header"/>
      <w:tabs>
        <w:tab w:val="clear" w:pos="4153"/>
        <w:tab w:val="clear" w:pos="8306"/>
        <w:tab w:val="right" w:pos="1304"/>
      </w:tabs>
      <w:spacing w:line="280" w:lineRule="exact"/>
      <w:ind w:firstLine="0"/>
      <w:rPr>
        <w:rFonts w:ascii="Times New Roman" w:hAnsi="Times New Roman"/>
        <w:i/>
        <w:sz w:val="22"/>
      </w:rPr>
    </w:pPr>
    <w:r w:rsidRPr="000C06D7">
      <w:rPr>
        <w:rFonts w:ascii="Times New Roman" w:hAnsi="Times New Roman"/>
        <w:i/>
        <w:sz w:val="22"/>
      </w:rPr>
      <w:t>Gordon</w:t>
    </w:r>
    <w:r w:rsidRPr="000C06D7">
      <w:rPr>
        <w:rFonts w:ascii="Times New Roman" w:hAnsi="Times New Roman"/>
        <w:i/>
        <w:sz w:val="22"/>
      </w:rPr>
      <w:tab/>
      <w:t>J</w:t>
    </w:r>
  </w:p>
  <w:p w14:paraId="3F6A9309" w14:textId="77777777" w:rsidR="005A714E" w:rsidRPr="000C06D7" w:rsidRDefault="005A714E" w:rsidP="000C06D7">
    <w:pPr>
      <w:pStyle w:val="Header"/>
      <w:tabs>
        <w:tab w:val="clear" w:pos="4153"/>
        <w:tab w:val="clear" w:pos="8306"/>
        <w:tab w:val="right" w:pos="1304"/>
      </w:tabs>
      <w:spacing w:line="280" w:lineRule="exact"/>
      <w:ind w:firstLine="0"/>
      <w:rPr>
        <w:rFonts w:ascii="Times New Roman" w:hAnsi="Times New Roman"/>
        <w:i/>
        <w:sz w:val="22"/>
      </w:rPr>
    </w:pPr>
    <w:r w:rsidRPr="000C06D7">
      <w:rPr>
        <w:rFonts w:ascii="Times New Roman" w:hAnsi="Times New Roman"/>
        <w:i/>
        <w:sz w:val="22"/>
      </w:rPr>
      <w:t>Steward</w:t>
    </w:r>
    <w:r w:rsidRPr="000C06D7">
      <w:rPr>
        <w:rFonts w:ascii="Times New Roman" w:hAnsi="Times New Roman"/>
        <w:i/>
        <w:sz w:val="22"/>
      </w:rPr>
      <w:tab/>
      <w:t>J</w:t>
    </w:r>
  </w:p>
  <w:p w14:paraId="7697855A" w14:textId="77777777" w:rsidR="005A714E" w:rsidRDefault="005A714E" w:rsidP="000C06D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2DE3B9AB" w14:textId="77777777" w:rsidR="005A714E" w:rsidRDefault="005A714E" w:rsidP="000C06D7">
    <w:pPr>
      <w:pStyle w:val="Header"/>
      <w:tabs>
        <w:tab w:val="clear" w:pos="4153"/>
        <w:tab w:val="clear" w:pos="8306"/>
        <w:tab w:val="right" w:pos="1304"/>
      </w:tabs>
      <w:spacing w:line="280" w:lineRule="exact"/>
      <w:ind w:firstLine="0"/>
      <w:rPr>
        <w:rFonts w:ascii="Times New Roman" w:hAnsi="Times New Roman"/>
        <w:i/>
        <w:sz w:val="22"/>
      </w:rPr>
    </w:pPr>
  </w:p>
  <w:p w14:paraId="1456A539" w14:textId="77777777" w:rsidR="005A714E" w:rsidRDefault="005A714E" w:rsidP="000C06D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B0D35DA" w14:textId="77777777" w:rsidR="005A714E" w:rsidRPr="000C06D7" w:rsidRDefault="005A714E" w:rsidP="000C06D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80B07" w14:textId="77777777" w:rsidR="005A714E" w:rsidRPr="000C06D7" w:rsidRDefault="005A714E" w:rsidP="000C06D7">
    <w:pPr>
      <w:pStyle w:val="Header"/>
      <w:tabs>
        <w:tab w:val="clear" w:pos="4153"/>
        <w:tab w:val="clear" w:pos="8306"/>
        <w:tab w:val="left" w:pos="7200"/>
        <w:tab w:val="right" w:pos="8504"/>
      </w:tabs>
      <w:spacing w:line="280" w:lineRule="exact"/>
      <w:jc w:val="right"/>
      <w:rPr>
        <w:rFonts w:ascii="Times New Roman" w:hAnsi="Times New Roman"/>
        <w:i/>
        <w:sz w:val="22"/>
      </w:rPr>
    </w:pPr>
    <w:r w:rsidRPr="000C06D7">
      <w:rPr>
        <w:rFonts w:ascii="Times New Roman" w:hAnsi="Times New Roman"/>
        <w:i/>
        <w:sz w:val="22"/>
      </w:rPr>
      <w:tab/>
      <w:t>Kiefel</w:t>
    </w:r>
    <w:r w:rsidRPr="000C06D7">
      <w:rPr>
        <w:rFonts w:ascii="Times New Roman" w:hAnsi="Times New Roman"/>
        <w:i/>
        <w:sz w:val="22"/>
      </w:rPr>
      <w:tab/>
      <w:t>CJ</w:t>
    </w:r>
  </w:p>
  <w:p w14:paraId="6A0BFA49" w14:textId="77777777" w:rsidR="005A714E" w:rsidRPr="000C06D7" w:rsidRDefault="005A714E" w:rsidP="000C06D7">
    <w:pPr>
      <w:pStyle w:val="Header"/>
      <w:tabs>
        <w:tab w:val="clear" w:pos="4153"/>
        <w:tab w:val="clear" w:pos="8306"/>
        <w:tab w:val="left" w:pos="7200"/>
        <w:tab w:val="right" w:pos="8504"/>
      </w:tabs>
      <w:spacing w:line="280" w:lineRule="exact"/>
      <w:jc w:val="right"/>
      <w:rPr>
        <w:rFonts w:ascii="Times New Roman" w:hAnsi="Times New Roman"/>
        <w:i/>
        <w:sz w:val="22"/>
      </w:rPr>
    </w:pPr>
    <w:r w:rsidRPr="000C06D7">
      <w:rPr>
        <w:rFonts w:ascii="Times New Roman" w:hAnsi="Times New Roman"/>
        <w:i/>
        <w:sz w:val="22"/>
      </w:rPr>
      <w:tab/>
      <w:t>Gageler</w:t>
    </w:r>
    <w:r w:rsidRPr="000C06D7">
      <w:rPr>
        <w:rFonts w:ascii="Times New Roman" w:hAnsi="Times New Roman"/>
        <w:i/>
        <w:sz w:val="22"/>
      </w:rPr>
      <w:tab/>
      <w:t>J</w:t>
    </w:r>
  </w:p>
  <w:p w14:paraId="688DAE57" w14:textId="77777777" w:rsidR="005A714E" w:rsidRPr="000C06D7" w:rsidRDefault="005A714E" w:rsidP="000C06D7">
    <w:pPr>
      <w:pStyle w:val="Header"/>
      <w:tabs>
        <w:tab w:val="clear" w:pos="4153"/>
        <w:tab w:val="clear" w:pos="8306"/>
        <w:tab w:val="left" w:pos="7200"/>
        <w:tab w:val="right" w:pos="8504"/>
      </w:tabs>
      <w:spacing w:line="280" w:lineRule="exact"/>
      <w:jc w:val="right"/>
      <w:rPr>
        <w:rFonts w:ascii="Times New Roman" w:hAnsi="Times New Roman"/>
        <w:i/>
        <w:sz w:val="22"/>
      </w:rPr>
    </w:pPr>
    <w:r w:rsidRPr="000C06D7">
      <w:rPr>
        <w:rFonts w:ascii="Times New Roman" w:hAnsi="Times New Roman"/>
        <w:i/>
        <w:sz w:val="22"/>
      </w:rPr>
      <w:tab/>
      <w:t>Gordon</w:t>
    </w:r>
    <w:r w:rsidRPr="000C06D7">
      <w:rPr>
        <w:rFonts w:ascii="Times New Roman" w:hAnsi="Times New Roman"/>
        <w:i/>
        <w:sz w:val="22"/>
      </w:rPr>
      <w:tab/>
      <w:t>J</w:t>
    </w:r>
  </w:p>
  <w:p w14:paraId="1E66280F" w14:textId="77777777" w:rsidR="005A714E" w:rsidRPr="000C06D7" w:rsidRDefault="005A714E" w:rsidP="000C06D7">
    <w:pPr>
      <w:pStyle w:val="Header"/>
      <w:tabs>
        <w:tab w:val="clear" w:pos="4153"/>
        <w:tab w:val="clear" w:pos="8306"/>
        <w:tab w:val="left" w:pos="7200"/>
        <w:tab w:val="right" w:pos="8504"/>
      </w:tabs>
      <w:spacing w:line="280" w:lineRule="exact"/>
      <w:jc w:val="right"/>
      <w:rPr>
        <w:rFonts w:ascii="Times New Roman" w:hAnsi="Times New Roman"/>
        <w:i/>
        <w:sz w:val="22"/>
      </w:rPr>
    </w:pPr>
    <w:r w:rsidRPr="000C06D7">
      <w:rPr>
        <w:rFonts w:ascii="Times New Roman" w:hAnsi="Times New Roman"/>
        <w:i/>
        <w:sz w:val="22"/>
      </w:rPr>
      <w:tab/>
      <w:t>Steward</w:t>
    </w:r>
    <w:r w:rsidRPr="000C06D7">
      <w:rPr>
        <w:rFonts w:ascii="Times New Roman" w:hAnsi="Times New Roman"/>
        <w:i/>
        <w:sz w:val="22"/>
      </w:rPr>
      <w:tab/>
      <w:t>J</w:t>
    </w:r>
  </w:p>
  <w:p w14:paraId="501B82DE" w14:textId="77777777" w:rsidR="005A714E" w:rsidRDefault="005A714E" w:rsidP="000C06D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4A785A10" w14:textId="77777777" w:rsidR="005A714E" w:rsidRDefault="005A714E" w:rsidP="000C06D7">
    <w:pPr>
      <w:pStyle w:val="Header"/>
      <w:tabs>
        <w:tab w:val="clear" w:pos="4153"/>
        <w:tab w:val="clear" w:pos="8306"/>
        <w:tab w:val="left" w:pos="7200"/>
        <w:tab w:val="right" w:pos="8504"/>
      </w:tabs>
      <w:spacing w:line="280" w:lineRule="exact"/>
      <w:jc w:val="right"/>
      <w:rPr>
        <w:rFonts w:ascii="Times New Roman" w:hAnsi="Times New Roman"/>
        <w:i/>
        <w:sz w:val="22"/>
      </w:rPr>
    </w:pPr>
  </w:p>
  <w:p w14:paraId="0623E25F" w14:textId="77777777" w:rsidR="005A714E" w:rsidRDefault="005A714E" w:rsidP="000C06D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9AFFFB9" w14:textId="77777777" w:rsidR="005A714E" w:rsidRPr="000C06D7" w:rsidRDefault="005A714E" w:rsidP="000C06D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50EFE" w14:textId="77777777" w:rsidR="005A714E" w:rsidRDefault="005A714E" w:rsidP="000C06D7">
    <w:pPr>
      <w:pStyle w:val="Header"/>
      <w:tabs>
        <w:tab w:val="clear" w:pos="4153"/>
        <w:tab w:val="clear" w:pos="8306"/>
        <w:tab w:val="center" w:pos="1134"/>
      </w:tabs>
      <w:spacing w:line="280" w:lineRule="exact"/>
      <w:ind w:firstLine="0"/>
      <w:rPr>
        <w:rFonts w:ascii="Times New Roman" w:hAnsi="Times New Roman"/>
        <w:i/>
        <w:sz w:val="22"/>
      </w:rPr>
    </w:pPr>
  </w:p>
  <w:p w14:paraId="644CFD7D" w14:textId="77777777" w:rsidR="005A714E" w:rsidRDefault="005A714E" w:rsidP="000C06D7">
    <w:pPr>
      <w:pStyle w:val="Header"/>
      <w:tabs>
        <w:tab w:val="clear" w:pos="4153"/>
        <w:tab w:val="clear" w:pos="8306"/>
        <w:tab w:val="center" w:pos="1134"/>
      </w:tabs>
      <w:spacing w:line="280" w:lineRule="exact"/>
      <w:ind w:firstLine="0"/>
      <w:rPr>
        <w:rFonts w:ascii="Times New Roman" w:hAnsi="Times New Roman"/>
        <w:i/>
        <w:sz w:val="22"/>
      </w:rPr>
    </w:pPr>
  </w:p>
  <w:p w14:paraId="78A58EBB" w14:textId="77777777" w:rsidR="005A714E" w:rsidRDefault="005A714E" w:rsidP="000C06D7">
    <w:pPr>
      <w:pStyle w:val="Header"/>
      <w:tabs>
        <w:tab w:val="clear" w:pos="4153"/>
        <w:tab w:val="clear" w:pos="8306"/>
        <w:tab w:val="center" w:pos="1134"/>
      </w:tabs>
      <w:spacing w:line="280" w:lineRule="exact"/>
      <w:ind w:firstLine="0"/>
      <w:rPr>
        <w:rFonts w:ascii="Times New Roman" w:hAnsi="Times New Roman"/>
        <w:i/>
        <w:sz w:val="22"/>
      </w:rPr>
    </w:pPr>
  </w:p>
  <w:p w14:paraId="02619279" w14:textId="77777777" w:rsidR="005A714E" w:rsidRDefault="005A714E" w:rsidP="000C06D7">
    <w:pPr>
      <w:pStyle w:val="Header"/>
      <w:tabs>
        <w:tab w:val="clear" w:pos="4153"/>
        <w:tab w:val="clear" w:pos="8306"/>
        <w:tab w:val="center" w:pos="1134"/>
      </w:tabs>
      <w:spacing w:line="280" w:lineRule="exact"/>
      <w:ind w:firstLine="0"/>
      <w:rPr>
        <w:rFonts w:ascii="Times New Roman" w:hAnsi="Times New Roman"/>
        <w:i/>
        <w:sz w:val="22"/>
      </w:rPr>
    </w:pPr>
  </w:p>
  <w:p w14:paraId="743CED37" w14:textId="77777777" w:rsidR="005A714E" w:rsidRDefault="005A714E" w:rsidP="000C06D7">
    <w:pPr>
      <w:pStyle w:val="Header"/>
      <w:tabs>
        <w:tab w:val="clear" w:pos="4153"/>
        <w:tab w:val="clear" w:pos="8306"/>
        <w:tab w:val="center" w:pos="1134"/>
      </w:tabs>
      <w:spacing w:line="280" w:lineRule="exact"/>
      <w:ind w:firstLine="0"/>
      <w:rPr>
        <w:rFonts w:ascii="Times New Roman" w:hAnsi="Times New Roman"/>
        <w:i/>
        <w:sz w:val="22"/>
      </w:rPr>
    </w:pPr>
  </w:p>
  <w:p w14:paraId="60655F33" w14:textId="77777777" w:rsidR="005A714E" w:rsidRDefault="005A714E" w:rsidP="000C06D7">
    <w:pPr>
      <w:pStyle w:val="Header"/>
      <w:tabs>
        <w:tab w:val="clear" w:pos="4153"/>
        <w:tab w:val="clear" w:pos="8306"/>
        <w:tab w:val="center" w:pos="1134"/>
      </w:tabs>
      <w:spacing w:line="280" w:lineRule="exact"/>
      <w:ind w:firstLine="0"/>
      <w:rPr>
        <w:rFonts w:ascii="Times New Roman" w:hAnsi="Times New Roman"/>
        <w:i/>
        <w:sz w:val="22"/>
      </w:rPr>
    </w:pPr>
  </w:p>
  <w:p w14:paraId="2C0220FD" w14:textId="77777777" w:rsidR="005A714E" w:rsidRDefault="005A714E" w:rsidP="000C06D7">
    <w:pPr>
      <w:pStyle w:val="Header"/>
      <w:tabs>
        <w:tab w:val="clear" w:pos="4153"/>
        <w:tab w:val="clear" w:pos="8306"/>
        <w:tab w:val="center" w:pos="1134"/>
      </w:tabs>
      <w:spacing w:line="280" w:lineRule="exact"/>
      <w:ind w:firstLine="0"/>
      <w:rPr>
        <w:rFonts w:ascii="Times New Roman" w:hAnsi="Times New Roman"/>
        <w:i/>
        <w:sz w:val="22"/>
      </w:rPr>
    </w:pPr>
  </w:p>
  <w:p w14:paraId="68B84E3E" w14:textId="77777777" w:rsidR="005A714E" w:rsidRPr="000C06D7" w:rsidRDefault="005A714E" w:rsidP="000C06D7">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1F"/>
    <w:rsid w:val="00000510"/>
    <w:rsid w:val="0000051F"/>
    <w:rsid w:val="00000807"/>
    <w:rsid w:val="0000108B"/>
    <w:rsid w:val="00001182"/>
    <w:rsid w:val="000012F5"/>
    <w:rsid w:val="00001B96"/>
    <w:rsid w:val="00001FEE"/>
    <w:rsid w:val="00002069"/>
    <w:rsid w:val="00002223"/>
    <w:rsid w:val="00002CE6"/>
    <w:rsid w:val="00003020"/>
    <w:rsid w:val="0000316A"/>
    <w:rsid w:val="000031D9"/>
    <w:rsid w:val="00003305"/>
    <w:rsid w:val="000033F4"/>
    <w:rsid w:val="00003564"/>
    <w:rsid w:val="00003921"/>
    <w:rsid w:val="00003AA4"/>
    <w:rsid w:val="00003C52"/>
    <w:rsid w:val="00003F6F"/>
    <w:rsid w:val="000044DE"/>
    <w:rsid w:val="00004688"/>
    <w:rsid w:val="00004928"/>
    <w:rsid w:val="000049B7"/>
    <w:rsid w:val="00004D73"/>
    <w:rsid w:val="00004F08"/>
    <w:rsid w:val="0000540F"/>
    <w:rsid w:val="000054BB"/>
    <w:rsid w:val="00005559"/>
    <w:rsid w:val="00005B3B"/>
    <w:rsid w:val="00005DE7"/>
    <w:rsid w:val="00006609"/>
    <w:rsid w:val="00006744"/>
    <w:rsid w:val="00006C23"/>
    <w:rsid w:val="00006DFE"/>
    <w:rsid w:val="00006E99"/>
    <w:rsid w:val="00006F09"/>
    <w:rsid w:val="00006F19"/>
    <w:rsid w:val="0000714B"/>
    <w:rsid w:val="000072F7"/>
    <w:rsid w:val="00007C28"/>
    <w:rsid w:val="00007C9A"/>
    <w:rsid w:val="000105A4"/>
    <w:rsid w:val="00010BA1"/>
    <w:rsid w:val="000114A1"/>
    <w:rsid w:val="00011DB0"/>
    <w:rsid w:val="00013950"/>
    <w:rsid w:val="00013FA6"/>
    <w:rsid w:val="00014006"/>
    <w:rsid w:val="000143A8"/>
    <w:rsid w:val="000145EA"/>
    <w:rsid w:val="00014B34"/>
    <w:rsid w:val="00015129"/>
    <w:rsid w:val="0001522F"/>
    <w:rsid w:val="000154F8"/>
    <w:rsid w:val="00015C73"/>
    <w:rsid w:val="00016613"/>
    <w:rsid w:val="0001662E"/>
    <w:rsid w:val="0001676E"/>
    <w:rsid w:val="000168C9"/>
    <w:rsid w:val="00016BDA"/>
    <w:rsid w:val="00016C20"/>
    <w:rsid w:val="00016DBB"/>
    <w:rsid w:val="00017144"/>
    <w:rsid w:val="00017C96"/>
    <w:rsid w:val="00020552"/>
    <w:rsid w:val="00020659"/>
    <w:rsid w:val="00020D2C"/>
    <w:rsid w:val="000210B6"/>
    <w:rsid w:val="0002110A"/>
    <w:rsid w:val="0002184A"/>
    <w:rsid w:val="00021D65"/>
    <w:rsid w:val="000220B5"/>
    <w:rsid w:val="000224B4"/>
    <w:rsid w:val="00022620"/>
    <w:rsid w:val="0002272A"/>
    <w:rsid w:val="00022DA4"/>
    <w:rsid w:val="000233DF"/>
    <w:rsid w:val="00023A17"/>
    <w:rsid w:val="000240BE"/>
    <w:rsid w:val="0002442B"/>
    <w:rsid w:val="0002452E"/>
    <w:rsid w:val="00024625"/>
    <w:rsid w:val="000250AF"/>
    <w:rsid w:val="00025253"/>
    <w:rsid w:val="000253D9"/>
    <w:rsid w:val="00025490"/>
    <w:rsid w:val="0002561E"/>
    <w:rsid w:val="00025BAD"/>
    <w:rsid w:val="00025C36"/>
    <w:rsid w:val="000268E1"/>
    <w:rsid w:val="00026B93"/>
    <w:rsid w:val="00026E7E"/>
    <w:rsid w:val="000270BF"/>
    <w:rsid w:val="000271AE"/>
    <w:rsid w:val="0002777D"/>
    <w:rsid w:val="00027EBF"/>
    <w:rsid w:val="00027F23"/>
    <w:rsid w:val="0003004A"/>
    <w:rsid w:val="00030151"/>
    <w:rsid w:val="000303E5"/>
    <w:rsid w:val="000304C7"/>
    <w:rsid w:val="000305DF"/>
    <w:rsid w:val="00030877"/>
    <w:rsid w:val="0003107C"/>
    <w:rsid w:val="0003107D"/>
    <w:rsid w:val="000314EA"/>
    <w:rsid w:val="000314EB"/>
    <w:rsid w:val="00031BAA"/>
    <w:rsid w:val="00032127"/>
    <w:rsid w:val="0003214E"/>
    <w:rsid w:val="00032D37"/>
    <w:rsid w:val="00032EFC"/>
    <w:rsid w:val="000339F0"/>
    <w:rsid w:val="00033CAE"/>
    <w:rsid w:val="00033CF3"/>
    <w:rsid w:val="0003424B"/>
    <w:rsid w:val="00034AC5"/>
    <w:rsid w:val="00034CB3"/>
    <w:rsid w:val="00034E2F"/>
    <w:rsid w:val="00035461"/>
    <w:rsid w:val="00035518"/>
    <w:rsid w:val="0003575A"/>
    <w:rsid w:val="00035847"/>
    <w:rsid w:val="0003587B"/>
    <w:rsid w:val="00035CA5"/>
    <w:rsid w:val="000360EB"/>
    <w:rsid w:val="00036418"/>
    <w:rsid w:val="000378EF"/>
    <w:rsid w:val="00037913"/>
    <w:rsid w:val="00037A5F"/>
    <w:rsid w:val="00037C8A"/>
    <w:rsid w:val="00037D87"/>
    <w:rsid w:val="0004009E"/>
    <w:rsid w:val="00040CAF"/>
    <w:rsid w:val="00040DEA"/>
    <w:rsid w:val="000413F9"/>
    <w:rsid w:val="00041408"/>
    <w:rsid w:val="00042114"/>
    <w:rsid w:val="00042C06"/>
    <w:rsid w:val="00042E8B"/>
    <w:rsid w:val="00043115"/>
    <w:rsid w:val="00043C6E"/>
    <w:rsid w:val="00043D2C"/>
    <w:rsid w:val="00044407"/>
    <w:rsid w:val="00044C7C"/>
    <w:rsid w:val="00045329"/>
    <w:rsid w:val="00045429"/>
    <w:rsid w:val="00045693"/>
    <w:rsid w:val="00045E8C"/>
    <w:rsid w:val="00045ECC"/>
    <w:rsid w:val="00046206"/>
    <w:rsid w:val="000464E6"/>
    <w:rsid w:val="000465E9"/>
    <w:rsid w:val="00046812"/>
    <w:rsid w:val="000468B0"/>
    <w:rsid w:val="00046920"/>
    <w:rsid w:val="00046932"/>
    <w:rsid w:val="00046CB6"/>
    <w:rsid w:val="00046F97"/>
    <w:rsid w:val="00047563"/>
    <w:rsid w:val="00047A71"/>
    <w:rsid w:val="00047EF8"/>
    <w:rsid w:val="00047F2E"/>
    <w:rsid w:val="00050321"/>
    <w:rsid w:val="0005044A"/>
    <w:rsid w:val="00050769"/>
    <w:rsid w:val="000508AA"/>
    <w:rsid w:val="000523FB"/>
    <w:rsid w:val="00052805"/>
    <w:rsid w:val="00052A83"/>
    <w:rsid w:val="00052ABA"/>
    <w:rsid w:val="00053041"/>
    <w:rsid w:val="000531B1"/>
    <w:rsid w:val="00053B1D"/>
    <w:rsid w:val="000540C1"/>
    <w:rsid w:val="000541C3"/>
    <w:rsid w:val="00054FBE"/>
    <w:rsid w:val="00055065"/>
    <w:rsid w:val="0005538B"/>
    <w:rsid w:val="00055ACD"/>
    <w:rsid w:val="00055AFD"/>
    <w:rsid w:val="00055DA2"/>
    <w:rsid w:val="0005632C"/>
    <w:rsid w:val="000563A6"/>
    <w:rsid w:val="0005652E"/>
    <w:rsid w:val="00056617"/>
    <w:rsid w:val="000568FF"/>
    <w:rsid w:val="00056BD2"/>
    <w:rsid w:val="00056F27"/>
    <w:rsid w:val="000573AF"/>
    <w:rsid w:val="0005766D"/>
    <w:rsid w:val="00060061"/>
    <w:rsid w:val="00060701"/>
    <w:rsid w:val="00060788"/>
    <w:rsid w:val="000608E2"/>
    <w:rsid w:val="0006136E"/>
    <w:rsid w:val="0006169E"/>
    <w:rsid w:val="00062072"/>
    <w:rsid w:val="000626FD"/>
    <w:rsid w:val="00062775"/>
    <w:rsid w:val="00062841"/>
    <w:rsid w:val="0006299C"/>
    <w:rsid w:val="00062BBB"/>
    <w:rsid w:val="00062BBC"/>
    <w:rsid w:val="00062EE2"/>
    <w:rsid w:val="0006346F"/>
    <w:rsid w:val="00063540"/>
    <w:rsid w:val="00063B3B"/>
    <w:rsid w:val="00064006"/>
    <w:rsid w:val="0006432B"/>
    <w:rsid w:val="00064744"/>
    <w:rsid w:val="00064915"/>
    <w:rsid w:val="00064B5A"/>
    <w:rsid w:val="00064B61"/>
    <w:rsid w:val="00065084"/>
    <w:rsid w:val="000650A9"/>
    <w:rsid w:val="000653D4"/>
    <w:rsid w:val="00065547"/>
    <w:rsid w:val="0006556A"/>
    <w:rsid w:val="000657F8"/>
    <w:rsid w:val="00066303"/>
    <w:rsid w:val="0006659C"/>
    <w:rsid w:val="00066BC9"/>
    <w:rsid w:val="00066CAC"/>
    <w:rsid w:val="0006736B"/>
    <w:rsid w:val="00070266"/>
    <w:rsid w:val="000702E8"/>
    <w:rsid w:val="000703E9"/>
    <w:rsid w:val="00070472"/>
    <w:rsid w:val="000712B6"/>
    <w:rsid w:val="000716DF"/>
    <w:rsid w:val="00071C35"/>
    <w:rsid w:val="0007228C"/>
    <w:rsid w:val="000723E2"/>
    <w:rsid w:val="00072CA3"/>
    <w:rsid w:val="00072CCB"/>
    <w:rsid w:val="00072DB7"/>
    <w:rsid w:val="00072E04"/>
    <w:rsid w:val="000731F2"/>
    <w:rsid w:val="00073385"/>
    <w:rsid w:val="000734B2"/>
    <w:rsid w:val="00073C49"/>
    <w:rsid w:val="00073DBC"/>
    <w:rsid w:val="00073FE4"/>
    <w:rsid w:val="0007416A"/>
    <w:rsid w:val="00074742"/>
    <w:rsid w:val="00074B1A"/>
    <w:rsid w:val="00074F6F"/>
    <w:rsid w:val="00075494"/>
    <w:rsid w:val="00075F50"/>
    <w:rsid w:val="000766C9"/>
    <w:rsid w:val="00076B06"/>
    <w:rsid w:val="00076BF1"/>
    <w:rsid w:val="00076CB8"/>
    <w:rsid w:val="00076E48"/>
    <w:rsid w:val="000771E2"/>
    <w:rsid w:val="000774B8"/>
    <w:rsid w:val="0007751E"/>
    <w:rsid w:val="00077D01"/>
    <w:rsid w:val="000805FD"/>
    <w:rsid w:val="00080BCC"/>
    <w:rsid w:val="00080D77"/>
    <w:rsid w:val="00081301"/>
    <w:rsid w:val="000818F3"/>
    <w:rsid w:val="00081ABF"/>
    <w:rsid w:val="00081CF6"/>
    <w:rsid w:val="00081DA3"/>
    <w:rsid w:val="00081E95"/>
    <w:rsid w:val="0008207C"/>
    <w:rsid w:val="000821F4"/>
    <w:rsid w:val="0008247F"/>
    <w:rsid w:val="00082578"/>
    <w:rsid w:val="000826AB"/>
    <w:rsid w:val="00082963"/>
    <w:rsid w:val="00082A1F"/>
    <w:rsid w:val="00082AD9"/>
    <w:rsid w:val="00082D71"/>
    <w:rsid w:val="00082F6A"/>
    <w:rsid w:val="00083376"/>
    <w:rsid w:val="0008365E"/>
    <w:rsid w:val="00083822"/>
    <w:rsid w:val="0008435D"/>
    <w:rsid w:val="0008436A"/>
    <w:rsid w:val="00084BA2"/>
    <w:rsid w:val="0008558C"/>
    <w:rsid w:val="000855E3"/>
    <w:rsid w:val="000857E9"/>
    <w:rsid w:val="0008588E"/>
    <w:rsid w:val="00085ED8"/>
    <w:rsid w:val="00085F13"/>
    <w:rsid w:val="00086311"/>
    <w:rsid w:val="000869AB"/>
    <w:rsid w:val="00086E37"/>
    <w:rsid w:val="00087033"/>
    <w:rsid w:val="000874A4"/>
    <w:rsid w:val="000875BB"/>
    <w:rsid w:val="000879AA"/>
    <w:rsid w:val="00087A61"/>
    <w:rsid w:val="000905D2"/>
    <w:rsid w:val="00090BF1"/>
    <w:rsid w:val="00090FE4"/>
    <w:rsid w:val="00091A5E"/>
    <w:rsid w:val="00091C79"/>
    <w:rsid w:val="00091D70"/>
    <w:rsid w:val="00093B6E"/>
    <w:rsid w:val="000940B3"/>
    <w:rsid w:val="000947FA"/>
    <w:rsid w:val="00094A07"/>
    <w:rsid w:val="00094D30"/>
    <w:rsid w:val="00094FEA"/>
    <w:rsid w:val="0009509D"/>
    <w:rsid w:val="00095D26"/>
    <w:rsid w:val="000964A8"/>
    <w:rsid w:val="000966EE"/>
    <w:rsid w:val="000967D4"/>
    <w:rsid w:val="00096887"/>
    <w:rsid w:val="000973F0"/>
    <w:rsid w:val="00097843"/>
    <w:rsid w:val="000978F6"/>
    <w:rsid w:val="00097BA1"/>
    <w:rsid w:val="00097F0B"/>
    <w:rsid w:val="000A0723"/>
    <w:rsid w:val="000A0876"/>
    <w:rsid w:val="000A1266"/>
    <w:rsid w:val="000A1277"/>
    <w:rsid w:val="000A131C"/>
    <w:rsid w:val="000A16C8"/>
    <w:rsid w:val="000A1742"/>
    <w:rsid w:val="000A1871"/>
    <w:rsid w:val="000A1F38"/>
    <w:rsid w:val="000A1FFC"/>
    <w:rsid w:val="000A2692"/>
    <w:rsid w:val="000A28D4"/>
    <w:rsid w:val="000A2D67"/>
    <w:rsid w:val="000A2D89"/>
    <w:rsid w:val="000A2EB4"/>
    <w:rsid w:val="000A2F0B"/>
    <w:rsid w:val="000A312E"/>
    <w:rsid w:val="000A3541"/>
    <w:rsid w:val="000A3DA3"/>
    <w:rsid w:val="000A4046"/>
    <w:rsid w:val="000A4100"/>
    <w:rsid w:val="000A5022"/>
    <w:rsid w:val="000A51C6"/>
    <w:rsid w:val="000A52E6"/>
    <w:rsid w:val="000A5476"/>
    <w:rsid w:val="000A57D6"/>
    <w:rsid w:val="000A58C1"/>
    <w:rsid w:val="000A5C3F"/>
    <w:rsid w:val="000A5C9A"/>
    <w:rsid w:val="000A5EAE"/>
    <w:rsid w:val="000A6065"/>
    <w:rsid w:val="000A60E5"/>
    <w:rsid w:val="000A61E2"/>
    <w:rsid w:val="000A63C6"/>
    <w:rsid w:val="000A6A46"/>
    <w:rsid w:val="000A6D7F"/>
    <w:rsid w:val="000A6EAD"/>
    <w:rsid w:val="000A7465"/>
    <w:rsid w:val="000B0918"/>
    <w:rsid w:val="000B0BDB"/>
    <w:rsid w:val="000B0F2F"/>
    <w:rsid w:val="000B10C9"/>
    <w:rsid w:val="000B1260"/>
    <w:rsid w:val="000B1261"/>
    <w:rsid w:val="000B1406"/>
    <w:rsid w:val="000B1AD5"/>
    <w:rsid w:val="000B1E61"/>
    <w:rsid w:val="000B205F"/>
    <w:rsid w:val="000B2335"/>
    <w:rsid w:val="000B2800"/>
    <w:rsid w:val="000B2D71"/>
    <w:rsid w:val="000B2E5F"/>
    <w:rsid w:val="000B3177"/>
    <w:rsid w:val="000B3D30"/>
    <w:rsid w:val="000B3FD8"/>
    <w:rsid w:val="000B407E"/>
    <w:rsid w:val="000B4630"/>
    <w:rsid w:val="000B4863"/>
    <w:rsid w:val="000B488F"/>
    <w:rsid w:val="000B497F"/>
    <w:rsid w:val="000B4A0C"/>
    <w:rsid w:val="000B4A99"/>
    <w:rsid w:val="000B4AF1"/>
    <w:rsid w:val="000B506E"/>
    <w:rsid w:val="000B52B6"/>
    <w:rsid w:val="000B5567"/>
    <w:rsid w:val="000B5705"/>
    <w:rsid w:val="000B5A6A"/>
    <w:rsid w:val="000B5F53"/>
    <w:rsid w:val="000B61F4"/>
    <w:rsid w:val="000B6305"/>
    <w:rsid w:val="000B63C9"/>
    <w:rsid w:val="000B6473"/>
    <w:rsid w:val="000B6D1C"/>
    <w:rsid w:val="000B6E3D"/>
    <w:rsid w:val="000B710D"/>
    <w:rsid w:val="000B7558"/>
    <w:rsid w:val="000B78D1"/>
    <w:rsid w:val="000B7D06"/>
    <w:rsid w:val="000C04DC"/>
    <w:rsid w:val="000C04F1"/>
    <w:rsid w:val="000C063E"/>
    <w:rsid w:val="000C06D7"/>
    <w:rsid w:val="000C0D98"/>
    <w:rsid w:val="000C11DD"/>
    <w:rsid w:val="000C1566"/>
    <w:rsid w:val="000C1F4D"/>
    <w:rsid w:val="000C22C9"/>
    <w:rsid w:val="000C271C"/>
    <w:rsid w:val="000C27F1"/>
    <w:rsid w:val="000C360F"/>
    <w:rsid w:val="000C3AB3"/>
    <w:rsid w:val="000C484A"/>
    <w:rsid w:val="000C4A8F"/>
    <w:rsid w:val="000C4F63"/>
    <w:rsid w:val="000C517F"/>
    <w:rsid w:val="000C5388"/>
    <w:rsid w:val="000C5629"/>
    <w:rsid w:val="000C602A"/>
    <w:rsid w:val="000C610F"/>
    <w:rsid w:val="000C618A"/>
    <w:rsid w:val="000C7049"/>
    <w:rsid w:val="000C7266"/>
    <w:rsid w:val="000C780A"/>
    <w:rsid w:val="000C790F"/>
    <w:rsid w:val="000C7C6F"/>
    <w:rsid w:val="000D077A"/>
    <w:rsid w:val="000D0810"/>
    <w:rsid w:val="000D0848"/>
    <w:rsid w:val="000D0B76"/>
    <w:rsid w:val="000D0E97"/>
    <w:rsid w:val="000D0FBA"/>
    <w:rsid w:val="000D11E5"/>
    <w:rsid w:val="000D13E7"/>
    <w:rsid w:val="000D176A"/>
    <w:rsid w:val="000D19B6"/>
    <w:rsid w:val="000D1B95"/>
    <w:rsid w:val="000D1CBB"/>
    <w:rsid w:val="000D1D1E"/>
    <w:rsid w:val="000D2552"/>
    <w:rsid w:val="000D25E6"/>
    <w:rsid w:val="000D29F7"/>
    <w:rsid w:val="000D3587"/>
    <w:rsid w:val="000D35D6"/>
    <w:rsid w:val="000D42AB"/>
    <w:rsid w:val="000D50E8"/>
    <w:rsid w:val="000D5181"/>
    <w:rsid w:val="000D5D92"/>
    <w:rsid w:val="000D5FC8"/>
    <w:rsid w:val="000D61DD"/>
    <w:rsid w:val="000D64DB"/>
    <w:rsid w:val="000D660C"/>
    <w:rsid w:val="000D660F"/>
    <w:rsid w:val="000D66B3"/>
    <w:rsid w:val="000D6A63"/>
    <w:rsid w:val="000D6D37"/>
    <w:rsid w:val="000D6F6A"/>
    <w:rsid w:val="000D710A"/>
    <w:rsid w:val="000D72C8"/>
    <w:rsid w:val="000D7F81"/>
    <w:rsid w:val="000E019B"/>
    <w:rsid w:val="000E047C"/>
    <w:rsid w:val="000E108D"/>
    <w:rsid w:val="000E146E"/>
    <w:rsid w:val="000E189D"/>
    <w:rsid w:val="000E1C45"/>
    <w:rsid w:val="000E1F52"/>
    <w:rsid w:val="000E223B"/>
    <w:rsid w:val="000E2665"/>
    <w:rsid w:val="000E2B72"/>
    <w:rsid w:val="000E3007"/>
    <w:rsid w:val="000E304F"/>
    <w:rsid w:val="000E3468"/>
    <w:rsid w:val="000E351D"/>
    <w:rsid w:val="000E36CD"/>
    <w:rsid w:val="000E38D2"/>
    <w:rsid w:val="000E3B5B"/>
    <w:rsid w:val="000E3FF1"/>
    <w:rsid w:val="000E4527"/>
    <w:rsid w:val="000E4760"/>
    <w:rsid w:val="000E48AD"/>
    <w:rsid w:val="000E5376"/>
    <w:rsid w:val="000E5A1E"/>
    <w:rsid w:val="000E5CE4"/>
    <w:rsid w:val="000E6211"/>
    <w:rsid w:val="000E6482"/>
    <w:rsid w:val="000E65F7"/>
    <w:rsid w:val="000E709B"/>
    <w:rsid w:val="000E7137"/>
    <w:rsid w:val="000E76C5"/>
    <w:rsid w:val="000E7951"/>
    <w:rsid w:val="000E7AEC"/>
    <w:rsid w:val="000F0CAC"/>
    <w:rsid w:val="000F0E1E"/>
    <w:rsid w:val="000F1106"/>
    <w:rsid w:val="000F1309"/>
    <w:rsid w:val="000F1345"/>
    <w:rsid w:val="000F14DB"/>
    <w:rsid w:val="000F1532"/>
    <w:rsid w:val="000F15AC"/>
    <w:rsid w:val="000F1C17"/>
    <w:rsid w:val="000F21CB"/>
    <w:rsid w:val="000F2226"/>
    <w:rsid w:val="000F2304"/>
    <w:rsid w:val="000F2437"/>
    <w:rsid w:val="000F26BC"/>
    <w:rsid w:val="000F275E"/>
    <w:rsid w:val="000F277A"/>
    <w:rsid w:val="000F28A0"/>
    <w:rsid w:val="000F2D58"/>
    <w:rsid w:val="000F2DB4"/>
    <w:rsid w:val="000F39B1"/>
    <w:rsid w:val="000F5694"/>
    <w:rsid w:val="000F57F1"/>
    <w:rsid w:val="000F5B2B"/>
    <w:rsid w:val="000F5D9C"/>
    <w:rsid w:val="000F627A"/>
    <w:rsid w:val="000F63D7"/>
    <w:rsid w:val="000F67ED"/>
    <w:rsid w:val="000F6889"/>
    <w:rsid w:val="000F6D8D"/>
    <w:rsid w:val="000F6DEE"/>
    <w:rsid w:val="000F7654"/>
    <w:rsid w:val="000F7AEE"/>
    <w:rsid w:val="000F7C68"/>
    <w:rsid w:val="000F7FF3"/>
    <w:rsid w:val="001001B9"/>
    <w:rsid w:val="00100B5A"/>
    <w:rsid w:val="00100E89"/>
    <w:rsid w:val="00100F44"/>
    <w:rsid w:val="00101CC8"/>
    <w:rsid w:val="00102254"/>
    <w:rsid w:val="001024A9"/>
    <w:rsid w:val="0010265C"/>
    <w:rsid w:val="00102979"/>
    <w:rsid w:val="00102DBC"/>
    <w:rsid w:val="00102DFA"/>
    <w:rsid w:val="001032AD"/>
    <w:rsid w:val="00103BF7"/>
    <w:rsid w:val="00104062"/>
    <w:rsid w:val="00104180"/>
    <w:rsid w:val="001043AA"/>
    <w:rsid w:val="001043D0"/>
    <w:rsid w:val="00104BEC"/>
    <w:rsid w:val="00104D51"/>
    <w:rsid w:val="00104DDA"/>
    <w:rsid w:val="001051B4"/>
    <w:rsid w:val="00105376"/>
    <w:rsid w:val="001059FE"/>
    <w:rsid w:val="00105CEA"/>
    <w:rsid w:val="001062A4"/>
    <w:rsid w:val="00106527"/>
    <w:rsid w:val="00106883"/>
    <w:rsid w:val="0010702C"/>
    <w:rsid w:val="00107359"/>
    <w:rsid w:val="00107843"/>
    <w:rsid w:val="00107928"/>
    <w:rsid w:val="00107A92"/>
    <w:rsid w:val="00110494"/>
    <w:rsid w:val="001104A6"/>
    <w:rsid w:val="00110611"/>
    <w:rsid w:val="00110616"/>
    <w:rsid w:val="00110717"/>
    <w:rsid w:val="00110970"/>
    <w:rsid w:val="00110A1E"/>
    <w:rsid w:val="00110B13"/>
    <w:rsid w:val="00110CA4"/>
    <w:rsid w:val="00110D21"/>
    <w:rsid w:val="00110D34"/>
    <w:rsid w:val="00111568"/>
    <w:rsid w:val="0011161D"/>
    <w:rsid w:val="001116F6"/>
    <w:rsid w:val="00111AE2"/>
    <w:rsid w:val="00111E7A"/>
    <w:rsid w:val="001120C0"/>
    <w:rsid w:val="00112FAF"/>
    <w:rsid w:val="00112FB6"/>
    <w:rsid w:val="00113386"/>
    <w:rsid w:val="001135EE"/>
    <w:rsid w:val="001144A9"/>
    <w:rsid w:val="001146EB"/>
    <w:rsid w:val="00114846"/>
    <w:rsid w:val="001150BF"/>
    <w:rsid w:val="00115351"/>
    <w:rsid w:val="001153C9"/>
    <w:rsid w:val="001157D8"/>
    <w:rsid w:val="00115D42"/>
    <w:rsid w:val="00115EB0"/>
    <w:rsid w:val="001163C6"/>
    <w:rsid w:val="00116468"/>
    <w:rsid w:val="001168F2"/>
    <w:rsid w:val="00116F52"/>
    <w:rsid w:val="00116F94"/>
    <w:rsid w:val="00117596"/>
    <w:rsid w:val="00117A06"/>
    <w:rsid w:val="00120207"/>
    <w:rsid w:val="00120507"/>
    <w:rsid w:val="00120A49"/>
    <w:rsid w:val="00120FE7"/>
    <w:rsid w:val="0012135A"/>
    <w:rsid w:val="001215FF"/>
    <w:rsid w:val="00121A14"/>
    <w:rsid w:val="0012245D"/>
    <w:rsid w:val="00122A4F"/>
    <w:rsid w:val="0012302E"/>
    <w:rsid w:val="00123C1B"/>
    <w:rsid w:val="00123CC4"/>
    <w:rsid w:val="00123FB1"/>
    <w:rsid w:val="00124A9F"/>
    <w:rsid w:val="00124F87"/>
    <w:rsid w:val="001257F9"/>
    <w:rsid w:val="001258CD"/>
    <w:rsid w:val="00125A00"/>
    <w:rsid w:val="00125DBD"/>
    <w:rsid w:val="00125E3C"/>
    <w:rsid w:val="00126716"/>
    <w:rsid w:val="00126825"/>
    <w:rsid w:val="00126B82"/>
    <w:rsid w:val="00126BAA"/>
    <w:rsid w:val="00126C96"/>
    <w:rsid w:val="001275FC"/>
    <w:rsid w:val="0012771F"/>
    <w:rsid w:val="001278BA"/>
    <w:rsid w:val="001279A9"/>
    <w:rsid w:val="001302D6"/>
    <w:rsid w:val="0013065A"/>
    <w:rsid w:val="0013071E"/>
    <w:rsid w:val="00130B1A"/>
    <w:rsid w:val="00130CA2"/>
    <w:rsid w:val="001313C6"/>
    <w:rsid w:val="0013165F"/>
    <w:rsid w:val="00131EA0"/>
    <w:rsid w:val="00132867"/>
    <w:rsid w:val="0013287B"/>
    <w:rsid w:val="00132A4A"/>
    <w:rsid w:val="0013300C"/>
    <w:rsid w:val="001331C4"/>
    <w:rsid w:val="001331D8"/>
    <w:rsid w:val="0013358D"/>
    <w:rsid w:val="00133B39"/>
    <w:rsid w:val="00133E7E"/>
    <w:rsid w:val="001341ED"/>
    <w:rsid w:val="0013456F"/>
    <w:rsid w:val="001349B7"/>
    <w:rsid w:val="00134F9C"/>
    <w:rsid w:val="00135299"/>
    <w:rsid w:val="001353B9"/>
    <w:rsid w:val="00135636"/>
    <w:rsid w:val="0013590E"/>
    <w:rsid w:val="001368D4"/>
    <w:rsid w:val="0013690E"/>
    <w:rsid w:val="00136941"/>
    <w:rsid w:val="001369EB"/>
    <w:rsid w:val="00136D5B"/>
    <w:rsid w:val="00136FA3"/>
    <w:rsid w:val="00136FD1"/>
    <w:rsid w:val="001370C7"/>
    <w:rsid w:val="00137508"/>
    <w:rsid w:val="00137E21"/>
    <w:rsid w:val="00137FD9"/>
    <w:rsid w:val="00140012"/>
    <w:rsid w:val="0014028C"/>
    <w:rsid w:val="00140425"/>
    <w:rsid w:val="001407AC"/>
    <w:rsid w:val="00140BAC"/>
    <w:rsid w:val="00140E8E"/>
    <w:rsid w:val="00141220"/>
    <w:rsid w:val="0014122C"/>
    <w:rsid w:val="0014133B"/>
    <w:rsid w:val="001413B3"/>
    <w:rsid w:val="00141832"/>
    <w:rsid w:val="00141D72"/>
    <w:rsid w:val="00142046"/>
    <w:rsid w:val="00142072"/>
    <w:rsid w:val="001420AF"/>
    <w:rsid w:val="0014261C"/>
    <w:rsid w:val="001427D4"/>
    <w:rsid w:val="00142B61"/>
    <w:rsid w:val="00142FA7"/>
    <w:rsid w:val="0014316E"/>
    <w:rsid w:val="001432AC"/>
    <w:rsid w:val="0014346D"/>
    <w:rsid w:val="00143741"/>
    <w:rsid w:val="00143843"/>
    <w:rsid w:val="001438DA"/>
    <w:rsid w:val="00143FCB"/>
    <w:rsid w:val="00144249"/>
    <w:rsid w:val="00144510"/>
    <w:rsid w:val="001448B0"/>
    <w:rsid w:val="00144A5D"/>
    <w:rsid w:val="00144B28"/>
    <w:rsid w:val="00144BF5"/>
    <w:rsid w:val="001454DA"/>
    <w:rsid w:val="00145627"/>
    <w:rsid w:val="00145814"/>
    <w:rsid w:val="00145830"/>
    <w:rsid w:val="0014598A"/>
    <w:rsid w:val="00146A41"/>
    <w:rsid w:val="00146EC3"/>
    <w:rsid w:val="00147742"/>
    <w:rsid w:val="0014797F"/>
    <w:rsid w:val="001479DB"/>
    <w:rsid w:val="001501A4"/>
    <w:rsid w:val="001502F9"/>
    <w:rsid w:val="0015085B"/>
    <w:rsid w:val="00150876"/>
    <w:rsid w:val="00150C8A"/>
    <w:rsid w:val="00150F3A"/>
    <w:rsid w:val="001512D7"/>
    <w:rsid w:val="0015146D"/>
    <w:rsid w:val="0015152F"/>
    <w:rsid w:val="00151679"/>
    <w:rsid w:val="00151CDC"/>
    <w:rsid w:val="00152276"/>
    <w:rsid w:val="001522C7"/>
    <w:rsid w:val="00152AA8"/>
    <w:rsid w:val="00152C5D"/>
    <w:rsid w:val="00152D10"/>
    <w:rsid w:val="001530D2"/>
    <w:rsid w:val="0015318E"/>
    <w:rsid w:val="0015331D"/>
    <w:rsid w:val="001538EF"/>
    <w:rsid w:val="00154122"/>
    <w:rsid w:val="001541DE"/>
    <w:rsid w:val="00154296"/>
    <w:rsid w:val="0015445B"/>
    <w:rsid w:val="001545C0"/>
    <w:rsid w:val="00154A1A"/>
    <w:rsid w:val="001552A0"/>
    <w:rsid w:val="00155382"/>
    <w:rsid w:val="00155468"/>
    <w:rsid w:val="001555C2"/>
    <w:rsid w:val="00155712"/>
    <w:rsid w:val="00155DF8"/>
    <w:rsid w:val="00155F90"/>
    <w:rsid w:val="001563E8"/>
    <w:rsid w:val="00156720"/>
    <w:rsid w:val="00156B70"/>
    <w:rsid w:val="00157993"/>
    <w:rsid w:val="00157C9F"/>
    <w:rsid w:val="0016006D"/>
    <w:rsid w:val="00160600"/>
    <w:rsid w:val="00160882"/>
    <w:rsid w:val="00160CAB"/>
    <w:rsid w:val="00161201"/>
    <w:rsid w:val="00161375"/>
    <w:rsid w:val="001616B6"/>
    <w:rsid w:val="00161B84"/>
    <w:rsid w:val="00161C8F"/>
    <w:rsid w:val="001625EC"/>
    <w:rsid w:val="00162610"/>
    <w:rsid w:val="00162947"/>
    <w:rsid w:val="00162C7E"/>
    <w:rsid w:val="00162D8F"/>
    <w:rsid w:val="00163890"/>
    <w:rsid w:val="00163AA0"/>
    <w:rsid w:val="00163C18"/>
    <w:rsid w:val="00163D92"/>
    <w:rsid w:val="00164144"/>
    <w:rsid w:val="001641A3"/>
    <w:rsid w:val="0016423F"/>
    <w:rsid w:val="00164278"/>
    <w:rsid w:val="001642FE"/>
    <w:rsid w:val="00164F4A"/>
    <w:rsid w:val="00165287"/>
    <w:rsid w:val="00165689"/>
    <w:rsid w:val="0016620A"/>
    <w:rsid w:val="001664DD"/>
    <w:rsid w:val="00166C2C"/>
    <w:rsid w:val="001670B3"/>
    <w:rsid w:val="00167614"/>
    <w:rsid w:val="0016764E"/>
    <w:rsid w:val="001676A0"/>
    <w:rsid w:val="00167941"/>
    <w:rsid w:val="001701AC"/>
    <w:rsid w:val="00170847"/>
    <w:rsid w:val="00170ACF"/>
    <w:rsid w:val="00170C6A"/>
    <w:rsid w:val="001710BD"/>
    <w:rsid w:val="00171208"/>
    <w:rsid w:val="00171804"/>
    <w:rsid w:val="00172056"/>
    <w:rsid w:val="001721EC"/>
    <w:rsid w:val="00172424"/>
    <w:rsid w:val="001724E9"/>
    <w:rsid w:val="00172602"/>
    <w:rsid w:val="00172705"/>
    <w:rsid w:val="0017270A"/>
    <w:rsid w:val="00172939"/>
    <w:rsid w:val="0017299F"/>
    <w:rsid w:val="00172ADE"/>
    <w:rsid w:val="001731D2"/>
    <w:rsid w:val="00173958"/>
    <w:rsid w:val="00173A5B"/>
    <w:rsid w:val="00173D93"/>
    <w:rsid w:val="001742E0"/>
    <w:rsid w:val="0017461A"/>
    <w:rsid w:val="001746DF"/>
    <w:rsid w:val="00174BA7"/>
    <w:rsid w:val="00174F13"/>
    <w:rsid w:val="00174F33"/>
    <w:rsid w:val="0017534D"/>
    <w:rsid w:val="00175562"/>
    <w:rsid w:val="00175703"/>
    <w:rsid w:val="001758DE"/>
    <w:rsid w:val="00175A67"/>
    <w:rsid w:val="0017638E"/>
    <w:rsid w:val="00176452"/>
    <w:rsid w:val="0017652A"/>
    <w:rsid w:val="001766BB"/>
    <w:rsid w:val="00176AD3"/>
    <w:rsid w:val="00176B5C"/>
    <w:rsid w:val="00176BBE"/>
    <w:rsid w:val="00176CBC"/>
    <w:rsid w:val="00176D25"/>
    <w:rsid w:val="00177A78"/>
    <w:rsid w:val="00177BEE"/>
    <w:rsid w:val="0018014B"/>
    <w:rsid w:val="0018028F"/>
    <w:rsid w:val="00180369"/>
    <w:rsid w:val="0018036E"/>
    <w:rsid w:val="00180DB9"/>
    <w:rsid w:val="00181895"/>
    <w:rsid w:val="0018217B"/>
    <w:rsid w:val="0018342E"/>
    <w:rsid w:val="001835BD"/>
    <w:rsid w:val="00183772"/>
    <w:rsid w:val="00183CD3"/>
    <w:rsid w:val="001840C2"/>
    <w:rsid w:val="001840CA"/>
    <w:rsid w:val="001843E5"/>
    <w:rsid w:val="00184B46"/>
    <w:rsid w:val="00184BA7"/>
    <w:rsid w:val="001855CE"/>
    <w:rsid w:val="00185939"/>
    <w:rsid w:val="00185B47"/>
    <w:rsid w:val="00185BD4"/>
    <w:rsid w:val="00185BDE"/>
    <w:rsid w:val="00185D5E"/>
    <w:rsid w:val="00185FA3"/>
    <w:rsid w:val="00185FA7"/>
    <w:rsid w:val="00186491"/>
    <w:rsid w:val="0018661D"/>
    <w:rsid w:val="00186993"/>
    <w:rsid w:val="00186BAC"/>
    <w:rsid w:val="00186CDB"/>
    <w:rsid w:val="00186E7C"/>
    <w:rsid w:val="001876F6"/>
    <w:rsid w:val="00187A05"/>
    <w:rsid w:val="00187F9B"/>
    <w:rsid w:val="00190055"/>
    <w:rsid w:val="001903F1"/>
    <w:rsid w:val="00190429"/>
    <w:rsid w:val="00190570"/>
    <w:rsid w:val="00191528"/>
    <w:rsid w:val="00191DF6"/>
    <w:rsid w:val="00191E23"/>
    <w:rsid w:val="00191F81"/>
    <w:rsid w:val="001921B1"/>
    <w:rsid w:val="0019263B"/>
    <w:rsid w:val="00192D71"/>
    <w:rsid w:val="0019333A"/>
    <w:rsid w:val="0019345F"/>
    <w:rsid w:val="00193701"/>
    <w:rsid w:val="00194257"/>
    <w:rsid w:val="00194435"/>
    <w:rsid w:val="0019474B"/>
    <w:rsid w:val="00194926"/>
    <w:rsid w:val="001953B1"/>
    <w:rsid w:val="00195C83"/>
    <w:rsid w:val="00196149"/>
    <w:rsid w:val="001963C0"/>
    <w:rsid w:val="0019664F"/>
    <w:rsid w:val="00197024"/>
    <w:rsid w:val="001970EA"/>
    <w:rsid w:val="0019725D"/>
    <w:rsid w:val="0019749C"/>
    <w:rsid w:val="001976BB"/>
    <w:rsid w:val="00197956"/>
    <w:rsid w:val="00197BF0"/>
    <w:rsid w:val="00197FDC"/>
    <w:rsid w:val="001A0338"/>
    <w:rsid w:val="001A0389"/>
    <w:rsid w:val="001A0940"/>
    <w:rsid w:val="001A0F6C"/>
    <w:rsid w:val="001A0FA2"/>
    <w:rsid w:val="001A13A5"/>
    <w:rsid w:val="001A145E"/>
    <w:rsid w:val="001A16C9"/>
    <w:rsid w:val="001A1947"/>
    <w:rsid w:val="001A1E54"/>
    <w:rsid w:val="001A1EC2"/>
    <w:rsid w:val="001A1F67"/>
    <w:rsid w:val="001A2147"/>
    <w:rsid w:val="001A25B0"/>
    <w:rsid w:val="001A2BC6"/>
    <w:rsid w:val="001A2D70"/>
    <w:rsid w:val="001A2FC4"/>
    <w:rsid w:val="001A3A8E"/>
    <w:rsid w:val="001A446E"/>
    <w:rsid w:val="001A4510"/>
    <w:rsid w:val="001A49BC"/>
    <w:rsid w:val="001A4C12"/>
    <w:rsid w:val="001A4DAE"/>
    <w:rsid w:val="001A5070"/>
    <w:rsid w:val="001A5109"/>
    <w:rsid w:val="001A513C"/>
    <w:rsid w:val="001A54C5"/>
    <w:rsid w:val="001A5CDE"/>
    <w:rsid w:val="001A5D74"/>
    <w:rsid w:val="001A6971"/>
    <w:rsid w:val="001A6BF8"/>
    <w:rsid w:val="001A6FA7"/>
    <w:rsid w:val="001A7021"/>
    <w:rsid w:val="001A7131"/>
    <w:rsid w:val="001A75CD"/>
    <w:rsid w:val="001A7766"/>
    <w:rsid w:val="001A7F03"/>
    <w:rsid w:val="001B0624"/>
    <w:rsid w:val="001B09AC"/>
    <w:rsid w:val="001B09E6"/>
    <w:rsid w:val="001B09FC"/>
    <w:rsid w:val="001B0AA4"/>
    <w:rsid w:val="001B0F63"/>
    <w:rsid w:val="001B146F"/>
    <w:rsid w:val="001B17A8"/>
    <w:rsid w:val="001B1E68"/>
    <w:rsid w:val="001B2431"/>
    <w:rsid w:val="001B357D"/>
    <w:rsid w:val="001B4659"/>
    <w:rsid w:val="001B4EFA"/>
    <w:rsid w:val="001B5B17"/>
    <w:rsid w:val="001B5B6F"/>
    <w:rsid w:val="001B5C3F"/>
    <w:rsid w:val="001B62E5"/>
    <w:rsid w:val="001B63BF"/>
    <w:rsid w:val="001B63C6"/>
    <w:rsid w:val="001B64A9"/>
    <w:rsid w:val="001B6777"/>
    <w:rsid w:val="001B68E6"/>
    <w:rsid w:val="001B6AF8"/>
    <w:rsid w:val="001B7C1D"/>
    <w:rsid w:val="001B7F30"/>
    <w:rsid w:val="001C0B6C"/>
    <w:rsid w:val="001C0D67"/>
    <w:rsid w:val="001C0EBE"/>
    <w:rsid w:val="001C1A3F"/>
    <w:rsid w:val="001C2470"/>
    <w:rsid w:val="001C2A21"/>
    <w:rsid w:val="001C2A62"/>
    <w:rsid w:val="001C2C43"/>
    <w:rsid w:val="001C3469"/>
    <w:rsid w:val="001C3997"/>
    <w:rsid w:val="001C39AB"/>
    <w:rsid w:val="001C3A67"/>
    <w:rsid w:val="001C3CEA"/>
    <w:rsid w:val="001C3D7A"/>
    <w:rsid w:val="001C3FB6"/>
    <w:rsid w:val="001C43D9"/>
    <w:rsid w:val="001C441D"/>
    <w:rsid w:val="001C47FE"/>
    <w:rsid w:val="001C48D4"/>
    <w:rsid w:val="001C4E07"/>
    <w:rsid w:val="001C5755"/>
    <w:rsid w:val="001C5780"/>
    <w:rsid w:val="001C618B"/>
    <w:rsid w:val="001C6D59"/>
    <w:rsid w:val="001C6DA3"/>
    <w:rsid w:val="001C78B3"/>
    <w:rsid w:val="001C7C93"/>
    <w:rsid w:val="001C7D56"/>
    <w:rsid w:val="001C7E6E"/>
    <w:rsid w:val="001D012A"/>
    <w:rsid w:val="001D08D3"/>
    <w:rsid w:val="001D0BF5"/>
    <w:rsid w:val="001D0D0C"/>
    <w:rsid w:val="001D0F5D"/>
    <w:rsid w:val="001D10F9"/>
    <w:rsid w:val="001D11C9"/>
    <w:rsid w:val="001D1C74"/>
    <w:rsid w:val="001D27FA"/>
    <w:rsid w:val="001D28CE"/>
    <w:rsid w:val="001D2A60"/>
    <w:rsid w:val="001D2F51"/>
    <w:rsid w:val="001D322E"/>
    <w:rsid w:val="001D3515"/>
    <w:rsid w:val="001D363F"/>
    <w:rsid w:val="001D36CD"/>
    <w:rsid w:val="001D3856"/>
    <w:rsid w:val="001D3B51"/>
    <w:rsid w:val="001D3DE4"/>
    <w:rsid w:val="001D421A"/>
    <w:rsid w:val="001D42AF"/>
    <w:rsid w:val="001D45E5"/>
    <w:rsid w:val="001D4629"/>
    <w:rsid w:val="001D4AD4"/>
    <w:rsid w:val="001D4E94"/>
    <w:rsid w:val="001D4F49"/>
    <w:rsid w:val="001D5A66"/>
    <w:rsid w:val="001D5A9E"/>
    <w:rsid w:val="001D5E33"/>
    <w:rsid w:val="001D5F5F"/>
    <w:rsid w:val="001D6025"/>
    <w:rsid w:val="001D6C15"/>
    <w:rsid w:val="001D6E9A"/>
    <w:rsid w:val="001D71DB"/>
    <w:rsid w:val="001D7564"/>
    <w:rsid w:val="001D7982"/>
    <w:rsid w:val="001D7A1D"/>
    <w:rsid w:val="001D7CCD"/>
    <w:rsid w:val="001D7FBF"/>
    <w:rsid w:val="001E005A"/>
    <w:rsid w:val="001E03AC"/>
    <w:rsid w:val="001E059D"/>
    <w:rsid w:val="001E05C0"/>
    <w:rsid w:val="001E0654"/>
    <w:rsid w:val="001E06A5"/>
    <w:rsid w:val="001E0BD1"/>
    <w:rsid w:val="001E0C7F"/>
    <w:rsid w:val="001E14A3"/>
    <w:rsid w:val="001E1549"/>
    <w:rsid w:val="001E15E6"/>
    <w:rsid w:val="001E1720"/>
    <w:rsid w:val="001E1D3D"/>
    <w:rsid w:val="001E2612"/>
    <w:rsid w:val="001E2A4E"/>
    <w:rsid w:val="001E2A8B"/>
    <w:rsid w:val="001E30FA"/>
    <w:rsid w:val="001E311C"/>
    <w:rsid w:val="001E37B6"/>
    <w:rsid w:val="001E39C2"/>
    <w:rsid w:val="001E3A8B"/>
    <w:rsid w:val="001E3BFD"/>
    <w:rsid w:val="001E3F8E"/>
    <w:rsid w:val="001E45D9"/>
    <w:rsid w:val="001E47D1"/>
    <w:rsid w:val="001E4A9C"/>
    <w:rsid w:val="001E53DC"/>
    <w:rsid w:val="001E6181"/>
    <w:rsid w:val="001E61F4"/>
    <w:rsid w:val="001E6358"/>
    <w:rsid w:val="001E692E"/>
    <w:rsid w:val="001E6A64"/>
    <w:rsid w:val="001E6D69"/>
    <w:rsid w:val="001E6D79"/>
    <w:rsid w:val="001E6F32"/>
    <w:rsid w:val="001E6F86"/>
    <w:rsid w:val="001E75C5"/>
    <w:rsid w:val="001E7739"/>
    <w:rsid w:val="001E776D"/>
    <w:rsid w:val="001E7C7E"/>
    <w:rsid w:val="001F023A"/>
    <w:rsid w:val="001F0D6C"/>
    <w:rsid w:val="001F12CE"/>
    <w:rsid w:val="001F1EC7"/>
    <w:rsid w:val="001F2111"/>
    <w:rsid w:val="001F224D"/>
    <w:rsid w:val="001F22AE"/>
    <w:rsid w:val="001F2729"/>
    <w:rsid w:val="001F28CC"/>
    <w:rsid w:val="001F2BD8"/>
    <w:rsid w:val="001F2DE6"/>
    <w:rsid w:val="001F33DE"/>
    <w:rsid w:val="001F381F"/>
    <w:rsid w:val="001F3E7D"/>
    <w:rsid w:val="001F3F2A"/>
    <w:rsid w:val="001F42FC"/>
    <w:rsid w:val="001F44F1"/>
    <w:rsid w:val="001F4DC8"/>
    <w:rsid w:val="001F4E4B"/>
    <w:rsid w:val="001F5127"/>
    <w:rsid w:val="001F52A1"/>
    <w:rsid w:val="001F5406"/>
    <w:rsid w:val="001F553C"/>
    <w:rsid w:val="001F5AF4"/>
    <w:rsid w:val="001F63DC"/>
    <w:rsid w:val="001F68C1"/>
    <w:rsid w:val="001F69C2"/>
    <w:rsid w:val="001F6A6F"/>
    <w:rsid w:val="001F6C8C"/>
    <w:rsid w:val="00200049"/>
    <w:rsid w:val="0020030A"/>
    <w:rsid w:val="00201638"/>
    <w:rsid w:val="00201AC8"/>
    <w:rsid w:val="00201F76"/>
    <w:rsid w:val="0020225B"/>
    <w:rsid w:val="002023F1"/>
    <w:rsid w:val="0020291E"/>
    <w:rsid w:val="002036FD"/>
    <w:rsid w:val="00203973"/>
    <w:rsid w:val="00203E07"/>
    <w:rsid w:val="00204129"/>
    <w:rsid w:val="0020469A"/>
    <w:rsid w:val="002048D1"/>
    <w:rsid w:val="00204AFE"/>
    <w:rsid w:val="00204E7E"/>
    <w:rsid w:val="0020501E"/>
    <w:rsid w:val="002051D4"/>
    <w:rsid w:val="002054F8"/>
    <w:rsid w:val="00205864"/>
    <w:rsid w:val="00205C51"/>
    <w:rsid w:val="00205D5F"/>
    <w:rsid w:val="00206820"/>
    <w:rsid w:val="0020700B"/>
    <w:rsid w:val="00207301"/>
    <w:rsid w:val="002076E4"/>
    <w:rsid w:val="002077DD"/>
    <w:rsid w:val="002079CB"/>
    <w:rsid w:val="00207D36"/>
    <w:rsid w:val="00207F01"/>
    <w:rsid w:val="00210341"/>
    <w:rsid w:val="002103E4"/>
    <w:rsid w:val="0021096E"/>
    <w:rsid w:val="002109CB"/>
    <w:rsid w:val="00210DE8"/>
    <w:rsid w:val="00210E11"/>
    <w:rsid w:val="00210F8F"/>
    <w:rsid w:val="00211436"/>
    <w:rsid w:val="00211D73"/>
    <w:rsid w:val="00212A3E"/>
    <w:rsid w:val="00212B32"/>
    <w:rsid w:val="00212BF9"/>
    <w:rsid w:val="0021361C"/>
    <w:rsid w:val="0021393D"/>
    <w:rsid w:val="00213DFA"/>
    <w:rsid w:val="00214534"/>
    <w:rsid w:val="0021458D"/>
    <w:rsid w:val="002145C3"/>
    <w:rsid w:val="00214BF2"/>
    <w:rsid w:val="00215164"/>
    <w:rsid w:val="00215190"/>
    <w:rsid w:val="002159B5"/>
    <w:rsid w:val="00215A7F"/>
    <w:rsid w:val="00215B5D"/>
    <w:rsid w:val="00215DD4"/>
    <w:rsid w:val="00216522"/>
    <w:rsid w:val="002166F7"/>
    <w:rsid w:val="0021684B"/>
    <w:rsid w:val="00216F5C"/>
    <w:rsid w:val="00217340"/>
    <w:rsid w:val="00217774"/>
    <w:rsid w:val="00217798"/>
    <w:rsid w:val="00220678"/>
    <w:rsid w:val="00220791"/>
    <w:rsid w:val="00220F11"/>
    <w:rsid w:val="00221198"/>
    <w:rsid w:val="002211E8"/>
    <w:rsid w:val="002215A6"/>
    <w:rsid w:val="00221D19"/>
    <w:rsid w:val="00221E73"/>
    <w:rsid w:val="0022203A"/>
    <w:rsid w:val="00222F51"/>
    <w:rsid w:val="0022312B"/>
    <w:rsid w:val="002239C8"/>
    <w:rsid w:val="00223AEE"/>
    <w:rsid w:val="00223BE9"/>
    <w:rsid w:val="0022401A"/>
    <w:rsid w:val="002241A9"/>
    <w:rsid w:val="0022426B"/>
    <w:rsid w:val="002247D5"/>
    <w:rsid w:val="00224E35"/>
    <w:rsid w:val="00225408"/>
    <w:rsid w:val="0022551B"/>
    <w:rsid w:val="002257D3"/>
    <w:rsid w:val="00225FF1"/>
    <w:rsid w:val="0022615A"/>
    <w:rsid w:val="0022637F"/>
    <w:rsid w:val="0022666B"/>
    <w:rsid w:val="002266A3"/>
    <w:rsid w:val="00226A6D"/>
    <w:rsid w:val="0022734D"/>
    <w:rsid w:val="0022781A"/>
    <w:rsid w:val="00227B25"/>
    <w:rsid w:val="00227F0F"/>
    <w:rsid w:val="002306B2"/>
    <w:rsid w:val="002306CD"/>
    <w:rsid w:val="00230E19"/>
    <w:rsid w:val="00230EA9"/>
    <w:rsid w:val="00230EC0"/>
    <w:rsid w:val="00230FBC"/>
    <w:rsid w:val="00231367"/>
    <w:rsid w:val="00231640"/>
    <w:rsid w:val="00232074"/>
    <w:rsid w:val="00232544"/>
    <w:rsid w:val="00232B43"/>
    <w:rsid w:val="00232F42"/>
    <w:rsid w:val="0023382F"/>
    <w:rsid w:val="002339C5"/>
    <w:rsid w:val="00233B97"/>
    <w:rsid w:val="00233E9E"/>
    <w:rsid w:val="00233F97"/>
    <w:rsid w:val="00233FF0"/>
    <w:rsid w:val="0023426F"/>
    <w:rsid w:val="002343B9"/>
    <w:rsid w:val="0023447F"/>
    <w:rsid w:val="0023472F"/>
    <w:rsid w:val="002350B3"/>
    <w:rsid w:val="002352AA"/>
    <w:rsid w:val="002356C6"/>
    <w:rsid w:val="00235A65"/>
    <w:rsid w:val="00235F2A"/>
    <w:rsid w:val="00236268"/>
    <w:rsid w:val="0023639E"/>
    <w:rsid w:val="0023667E"/>
    <w:rsid w:val="0023689F"/>
    <w:rsid w:val="002370AF"/>
    <w:rsid w:val="002371B2"/>
    <w:rsid w:val="002371CB"/>
    <w:rsid w:val="002371F0"/>
    <w:rsid w:val="002372F8"/>
    <w:rsid w:val="0023735A"/>
    <w:rsid w:val="0023798E"/>
    <w:rsid w:val="002379A5"/>
    <w:rsid w:val="00237A7D"/>
    <w:rsid w:val="00240129"/>
    <w:rsid w:val="00240392"/>
    <w:rsid w:val="002404CC"/>
    <w:rsid w:val="00240D95"/>
    <w:rsid w:val="00240E5B"/>
    <w:rsid w:val="00240EEF"/>
    <w:rsid w:val="00241144"/>
    <w:rsid w:val="002412C1"/>
    <w:rsid w:val="00241441"/>
    <w:rsid w:val="0024147E"/>
    <w:rsid w:val="00241C73"/>
    <w:rsid w:val="00241DBF"/>
    <w:rsid w:val="00242698"/>
    <w:rsid w:val="00242952"/>
    <w:rsid w:val="00242B17"/>
    <w:rsid w:val="00242EDB"/>
    <w:rsid w:val="00242EE4"/>
    <w:rsid w:val="00243107"/>
    <w:rsid w:val="00243501"/>
    <w:rsid w:val="00243A70"/>
    <w:rsid w:val="00243CCA"/>
    <w:rsid w:val="00243D4B"/>
    <w:rsid w:val="00243F78"/>
    <w:rsid w:val="00244590"/>
    <w:rsid w:val="0024462E"/>
    <w:rsid w:val="00244DB7"/>
    <w:rsid w:val="002456B0"/>
    <w:rsid w:val="0024571D"/>
    <w:rsid w:val="002457D3"/>
    <w:rsid w:val="00245BD4"/>
    <w:rsid w:val="00245C40"/>
    <w:rsid w:val="00245D75"/>
    <w:rsid w:val="00245E4D"/>
    <w:rsid w:val="00245EF5"/>
    <w:rsid w:val="002462F4"/>
    <w:rsid w:val="002464BD"/>
    <w:rsid w:val="00246C2B"/>
    <w:rsid w:val="002471D2"/>
    <w:rsid w:val="0024730A"/>
    <w:rsid w:val="002474FA"/>
    <w:rsid w:val="00247527"/>
    <w:rsid w:val="00247687"/>
    <w:rsid w:val="002478BC"/>
    <w:rsid w:val="00247F26"/>
    <w:rsid w:val="00247F2A"/>
    <w:rsid w:val="00250271"/>
    <w:rsid w:val="0025036E"/>
    <w:rsid w:val="00250DB5"/>
    <w:rsid w:val="00250E2E"/>
    <w:rsid w:val="00250F2E"/>
    <w:rsid w:val="00250F4E"/>
    <w:rsid w:val="0025133E"/>
    <w:rsid w:val="002519CE"/>
    <w:rsid w:val="002519F9"/>
    <w:rsid w:val="00251C0E"/>
    <w:rsid w:val="00251CE0"/>
    <w:rsid w:val="00251DE0"/>
    <w:rsid w:val="00251F20"/>
    <w:rsid w:val="002520E6"/>
    <w:rsid w:val="002520ED"/>
    <w:rsid w:val="002522BA"/>
    <w:rsid w:val="002529A1"/>
    <w:rsid w:val="00252E80"/>
    <w:rsid w:val="002532C4"/>
    <w:rsid w:val="00253493"/>
    <w:rsid w:val="0025378C"/>
    <w:rsid w:val="00253C7B"/>
    <w:rsid w:val="002543DF"/>
    <w:rsid w:val="002546EE"/>
    <w:rsid w:val="002549A3"/>
    <w:rsid w:val="00254C84"/>
    <w:rsid w:val="0025557E"/>
    <w:rsid w:val="002555BA"/>
    <w:rsid w:val="00255F2E"/>
    <w:rsid w:val="002563D4"/>
    <w:rsid w:val="002568F1"/>
    <w:rsid w:val="00256E24"/>
    <w:rsid w:val="00256ECE"/>
    <w:rsid w:val="002571F0"/>
    <w:rsid w:val="002574BA"/>
    <w:rsid w:val="00257AFB"/>
    <w:rsid w:val="00257B54"/>
    <w:rsid w:val="00257C97"/>
    <w:rsid w:val="00257E73"/>
    <w:rsid w:val="00260D69"/>
    <w:rsid w:val="00260F37"/>
    <w:rsid w:val="00261604"/>
    <w:rsid w:val="00261D31"/>
    <w:rsid w:val="00261E9B"/>
    <w:rsid w:val="00261EC4"/>
    <w:rsid w:val="0026205A"/>
    <w:rsid w:val="002623A6"/>
    <w:rsid w:val="0026293D"/>
    <w:rsid w:val="00262DF4"/>
    <w:rsid w:val="002631AC"/>
    <w:rsid w:val="002639E7"/>
    <w:rsid w:val="00263CD6"/>
    <w:rsid w:val="0026416F"/>
    <w:rsid w:val="002641AC"/>
    <w:rsid w:val="002643DB"/>
    <w:rsid w:val="00264993"/>
    <w:rsid w:val="00264CD4"/>
    <w:rsid w:val="00265561"/>
    <w:rsid w:val="00265574"/>
    <w:rsid w:val="00265862"/>
    <w:rsid w:val="002658A7"/>
    <w:rsid w:val="00265982"/>
    <w:rsid w:val="00265C83"/>
    <w:rsid w:val="00266675"/>
    <w:rsid w:val="00266759"/>
    <w:rsid w:val="00266F2E"/>
    <w:rsid w:val="00267ADD"/>
    <w:rsid w:val="00267B85"/>
    <w:rsid w:val="00267CCB"/>
    <w:rsid w:val="00267DC8"/>
    <w:rsid w:val="00270154"/>
    <w:rsid w:val="00270324"/>
    <w:rsid w:val="002703E9"/>
    <w:rsid w:val="002703FC"/>
    <w:rsid w:val="002705EC"/>
    <w:rsid w:val="002708A3"/>
    <w:rsid w:val="00270935"/>
    <w:rsid w:val="00271282"/>
    <w:rsid w:val="0027134F"/>
    <w:rsid w:val="0027146B"/>
    <w:rsid w:val="00271AD4"/>
    <w:rsid w:val="00271F70"/>
    <w:rsid w:val="00272415"/>
    <w:rsid w:val="00272B6C"/>
    <w:rsid w:val="00272C77"/>
    <w:rsid w:val="00273D05"/>
    <w:rsid w:val="00273F3A"/>
    <w:rsid w:val="0027408B"/>
    <w:rsid w:val="0027439B"/>
    <w:rsid w:val="00274781"/>
    <w:rsid w:val="00274AB8"/>
    <w:rsid w:val="00275662"/>
    <w:rsid w:val="00275A7A"/>
    <w:rsid w:val="002766D7"/>
    <w:rsid w:val="002767A2"/>
    <w:rsid w:val="00276869"/>
    <w:rsid w:val="00276B56"/>
    <w:rsid w:val="002774FD"/>
    <w:rsid w:val="00277A09"/>
    <w:rsid w:val="002802F6"/>
    <w:rsid w:val="00280A6C"/>
    <w:rsid w:val="00280C3F"/>
    <w:rsid w:val="00280F46"/>
    <w:rsid w:val="00281999"/>
    <w:rsid w:val="002819FD"/>
    <w:rsid w:val="002821D7"/>
    <w:rsid w:val="00282623"/>
    <w:rsid w:val="00282D5A"/>
    <w:rsid w:val="002831D2"/>
    <w:rsid w:val="00283646"/>
    <w:rsid w:val="00283C8E"/>
    <w:rsid w:val="00283D74"/>
    <w:rsid w:val="0028474D"/>
    <w:rsid w:val="00284BF9"/>
    <w:rsid w:val="00284FD3"/>
    <w:rsid w:val="0028504D"/>
    <w:rsid w:val="0028536B"/>
    <w:rsid w:val="002855AD"/>
    <w:rsid w:val="0028583A"/>
    <w:rsid w:val="00285D99"/>
    <w:rsid w:val="00285EEB"/>
    <w:rsid w:val="00286068"/>
    <w:rsid w:val="002865AF"/>
    <w:rsid w:val="0028720D"/>
    <w:rsid w:val="00287368"/>
    <w:rsid w:val="00287407"/>
    <w:rsid w:val="00287474"/>
    <w:rsid w:val="002876A5"/>
    <w:rsid w:val="00287873"/>
    <w:rsid w:val="00287E11"/>
    <w:rsid w:val="00290124"/>
    <w:rsid w:val="0029036F"/>
    <w:rsid w:val="00290AC0"/>
    <w:rsid w:val="002910F1"/>
    <w:rsid w:val="00291265"/>
    <w:rsid w:val="002912FB"/>
    <w:rsid w:val="002913DD"/>
    <w:rsid w:val="002916CC"/>
    <w:rsid w:val="00291ABC"/>
    <w:rsid w:val="00291E47"/>
    <w:rsid w:val="0029278C"/>
    <w:rsid w:val="00292D69"/>
    <w:rsid w:val="00292E65"/>
    <w:rsid w:val="00293509"/>
    <w:rsid w:val="0029365A"/>
    <w:rsid w:val="00293808"/>
    <w:rsid w:val="00293950"/>
    <w:rsid w:val="00294206"/>
    <w:rsid w:val="002946F2"/>
    <w:rsid w:val="002948A4"/>
    <w:rsid w:val="0029558C"/>
    <w:rsid w:val="002960D3"/>
    <w:rsid w:val="002961E2"/>
    <w:rsid w:val="00296873"/>
    <w:rsid w:val="00296898"/>
    <w:rsid w:val="0029697C"/>
    <w:rsid w:val="00296C4B"/>
    <w:rsid w:val="0029717D"/>
    <w:rsid w:val="0029725B"/>
    <w:rsid w:val="002979F1"/>
    <w:rsid w:val="00297D01"/>
    <w:rsid w:val="00297E42"/>
    <w:rsid w:val="002A00E4"/>
    <w:rsid w:val="002A10B6"/>
    <w:rsid w:val="002A1229"/>
    <w:rsid w:val="002A13E1"/>
    <w:rsid w:val="002A15B0"/>
    <w:rsid w:val="002A1AC5"/>
    <w:rsid w:val="002A1BF5"/>
    <w:rsid w:val="002A20F6"/>
    <w:rsid w:val="002A271A"/>
    <w:rsid w:val="002A290A"/>
    <w:rsid w:val="002A2B11"/>
    <w:rsid w:val="002A2F31"/>
    <w:rsid w:val="002A3220"/>
    <w:rsid w:val="002A3248"/>
    <w:rsid w:val="002A330C"/>
    <w:rsid w:val="002A382B"/>
    <w:rsid w:val="002A3CEA"/>
    <w:rsid w:val="002A431F"/>
    <w:rsid w:val="002A4976"/>
    <w:rsid w:val="002A5223"/>
    <w:rsid w:val="002A5257"/>
    <w:rsid w:val="002A588E"/>
    <w:rsid w:val="002A6469"/>
    <w:rsid w:val="002A6532"/>
    <w:rsid w:val="002A6AB2"/>
    <w:rsid w:val="002A6C02"/>
    <w:rsid w:val="002A6C5D"/>
    <w:rsid w:val="002A6C6E"/>
    <w:rsid w:val="002A762D"/>
    <w:rsid w:val="002A768D"/>
    <w:rsid w:val="002A795D"/>
    <w:rsid w:val="002B035B"/>
    <w:rsid w:val="002B0441"/>
    <w:rsid w:val="002B0546"/>
    <w:rsid w:val="002B0846"/>
    <w:rsid w:val="002B12CE"/>
    <w:rsid w:val="002B1304"/>
    <w:rsid w:val="002B175C"/>
    <w:rsid w:val="002B1EB1"/>
    <w:rsid w:val="002B2669"/>
    <w:rsid w:val="002B2795"/>
    <w:rsid w:val="002B2834"/>
    <w:rsid w:val="002B2DD3"/>
    <w:rsid w:val="002B3295"/>
    <w:rsid w:val="002B32F5"/>
    <w:rsid w:val="002B3B82"/>
    <w:rsid w:val="002B3CBA"/>
    <w:rsid w:val="002B4275"/>
    <w:rsid w:val="002B42BA"/>
    <w:rsid w:val="002B44B9"/>
    <w:rsid w:val="002B4826"/>
    <w:rsid w:val="002B4B20"/>
    <w:rsid w:val="002B5067"/>
    <w:rsid w:val="002B5198"/>
    <w:rsid w:val="002B532C"/>
    <w:rsid w:val="002B55E6"/>
    <w:rsid w:val="002B5C55"/>
    <w:rsid w:val="002B6075"/>
    <w:rsid w:val="002B607F"/>
    <w:rsid w:val="002B6092"/>
    <w:rsid w:val="002B60BF"/>
    <w:rsid w:val="002B616F"/>
    <w:rsid w:val="002B6924"/>
    <w:rsid w:val="002B6F31"/>
    <w:rsid w:val="002B7115"/>
    <w:rsid w:val="002B74DD"/>
    <w:rsid w:val="002B7818"/>
    <w:rsid w:val="002B7DE1"/>
    <w:rsid w:val="002C042D"/>
    <w:rsid w:val="002C0660"/>
    <w:rsid w:val="002C08AB"/>
    <w:rsid w:val="002C0AAA"/>
    <w:rsid w:val="002C0E01"/>
    <w:rsid w:val="002C10E0"/>
    <w:rsid w:val="002C13B0"/>
    <w:rsid w:val="002C182B"/>
    <w:rsid w:val="002C1D94"/>
    <w:rsid w:val="002C2237"/>
    <w:rsid w:val="002C2F7A"/>
    <w:rsid w:val="002C2FC5"/>
    <w:rsid w:val="002C32A1"/>
    <w:rsid w:val="002C37CF"/>
    <w:rsid w:val="002C38C0"/>
    <w:rsid w:val="002C3BC7"/>
    <w:rsid w:val="002C3E60"/>
    <w:rsid w:val="002C40BD"/>
    <w:rsid w:val="002C45AB"/>
    <w:rsid w:val="002C481E"/>
    <w:rsid w:val="002C49C1"/>
    <w:rsid w:val="002C4FBE"/>
    <w:rsid w:val="002C5571"/>
    <w:rsid w:val="002C5981"/>
    <w:rsid w:val="002C5C54"/>
    <w:rsid w:val="002C6043"/>
    <w:rsid w:val="002C61DE"/>
    <w:rsid w:val="002C66EF"/>
    <w:rsid w:val="002C67BE"/>
    <w:rsid w:val="002C67E5"/>
    <w:rsid w:val="002C69C5"/>
    <w:rsid w:val="002C7437"/>
    <w:rsid w:val="002C74B6"/>
    <w:rsid w:val="002C79F6"/>
    <w:rsid w:val="002C7C47"/>
    <w:rsid w:val="002C7D24"/>
    <w:rsid w:val="002C7F4F"/>
    <w:rsid w:val="002D023A"/>
    <w:rsid w:val="002D0241"/>
    <w:rsid w:val="002D0410"/>
    <w:rsid w:val="002D0745"/>
    <w:rsid w:val="002D0899"/>
    <w:rsid w:val="002D0AD2"/>
    <w:rsid w:val="002D0B36"/>
    <w:rsid w:val="002D148D"/>
    <w:rsid w:val="002D1707"/>
    <w:rsid w:val="002D17E2"/>
    <w:rsid w:val="002D1F70"/>
    <w:rsid w:val="002D2443"/>
    <w:rsid w:val="002D2760"/>
    <w:rsid w:val="002D2844"/>
    <w:rsid w:val="002D294E"/>
    <w:rsid w:val="002D2C47"/>
    <w:rsid w:val="002D340F"/>
    <w:rsid w:val="002D3808"/>
    <w:rsid w:val="002D3EFB"/>
    <w:rsid w:val="002D3F5B"/>
    <w:rsid w:val="002D438C"/>
    <w:rsid w:val="002D438D"/>
    <w:rsid w:val="002D43F3"/>
    <w:rsid w:val="002D46A1"/>
    <w:rsid w:val="002D4E60"/>
    <w:rsid w:val="002D4FB3"/>
    <w:rsid w:val="002D5025"/>
    <w:rsid w:val="002D53DC"/>
    <w:rsid w:val="002D5E21"/>
    <w:rsid w:val="002D69BB"/>
    <w:rsid w:val="002D7667"/>
    <w:rsid w:val="002E0115"/>
    <w:rsid w:val="002E02E2"/>
    <w:rsid w:val="002E034E"/>
    <w:rsid w:val="002E03C1"/>
    <w:rsid w:val="002E08AC"/>
    <w:rsid w:val="002E0B40"/>
    <w:rsid w:val="002E0EC8"/>
    <w:rsid w:val="002E1097"/>
    <w:rsid w:val="002E167F"/>
    <w:rsid w:val="002E25D7"/>
    <w:rsid w:val="002E2704"/>
    <w:rsid w:val="002E278F"/>
    <w:rsid w:val="002E2917"/>
    <w:rsid w:val="002E3300"/>
    <w:rsid w:val="002E3423"/>
    <w:rsid w:val="002E3A1E"/>
    <w:rsid w:val="002E3B4D"/>
    <w:rsid w:val="002E3E97"/>
    <w:rsid w:val="002E44C3"/>
    <w:rsid w:val="002E470E"/>
    <w:rsid w:val="002E4BA1"/>
    <w:rsid w:val="002E50DE"/>
    <w:rsid w:val="002E5521"/>
    <w:rsid w:val="002E66B3"/>
    <w:rsid w:val="002E6DFE"/>
    <w:rsid w:val="002E769E"/>
    <w:rsid w:val="002E7A45"/>
    <w:rsid w:val="002E7A87"/>
    <w:rsid w:val="002F0042"/>
    <w:rsid w:val="002F03CE"/>
    <w:rsid w:val="002F0522"/>
    <w:rsid w:val="002F0734"/>
    <w:rsid w:val="002F12DA"/>
    <w:rsid w:val="002F1D8F"/>
    <w:rsid w:val="002F204E"/>
    <w:rsid w:val="002F21CD"/>
    <w:rsid w:val="002F2261"/>
    <w:rsid w:val="002F2615"/>
    <w:rsid w:val="002F2A4E"/>
    <w:rsid w:val="002F2C0F"/>
    <w:rsid w:val="002F39FE"/>
    <w:rsid w:val="002F3B61"/>
    <w:rsid w:val="002F42BA"/>
    <w:rsid w:val="002F58D1"/>
    <w:rsid w:val="002F5B34"/>
    <w:rsid w:val="002F5C9C"/>
    <w:rsid w:val="002F6941"/>
    <w:rsid w:val="002F6957"/>
    <w:rsid w:val="002F6B98"/>
    <w:rsid w:val="002F6E4B"/>
    <w:rsid w:val="002F6F5B"/>
    <w:rsid w:val="002F6F74"/>
    <w:rsid w:val="002F6F8B"/>
    <w:rsid w:val="00300655"/>
    <w:rsid w:val="00300AA7"/>
    <w:rsid w:val="00300DC2"/>
    <w:rsid w:val="00300F66"/>
    <w:rsid w:val="00301560"/>
    <w:rsid w:val="003018E7"/>
    <w:rsid w:val="00301975"/>
    <w:rsid w:val="00301E21"/>
    <w:rsid w:val="00302133"/>
    <w:rsid w:val="00302B39"/>
    <w:rsid w:val="003032D5"/>
    <w:rsid w:val="00303427"/>
    <w:rsid w:val="003037C6"/>
    <w:rsid w:val="00303B3A"/>
    <w:rsid w:val="0030422F"/>
    <w:rsid w:val="003042B7"/>
    <w:rsid w:val="003046BE"/>
    <w:rsid w:val="00304D10"/>
    <w:rsid w:val="00305053"/>
    <w:rsid w:val="0030542C"/>
    <w:rsid w:val="00305553"/>
    <w:rsid w:val="0030570B"/>
    <w:rsid w:val="00305A6B"/>
    <w:rsid w:val="00306368"/>
    <w:rsid w:val="00306F7F"/>
    <w:rsid w:val="00307385"/>
    <w:rsid w:val="003073E5"/>
    <w:rsid w:val="00307D88"/>
    <w:rsid w:val="00307FBC"/>
    <w:rsid w:val="00310418"/>
    <w:rsid w:val="00310729"/>
    <w:rsid w:val="0031079F"/>
    <w:rsid w:val="00310A29"/>
    <w:rsid w:val="00310E1F"/>
    <w:rsid w:val="00311207"/>
    <w:rsid w:val="00311388"/>
    <w:rsid w:val="003115D2"/>
    <w:rsid w:val="00312567"/>
    <w:rsid w:val="00312809"/>
    <w:rsid w:val="003128C3"/>
    <w:rsid w:val="00312D5A"/>
    <w:rsid w:val="00312FFC"/>
    <w:rsid w:val="0031310D"/>
    <w:rsid w:val="0031325E"/>
    <w:rsid w:val="0031433C"/>
    <w:rsid w:val="003143AF"/>
    <w:rsid w:val="003143F2"/>
    <w:rsid w:val="00314714"/>
    <w:rsid w:val="0031502C"/>
    <w:rsid w:val="003150BF"/>
    <w:rsid w:val="003150CE"/>
    <w:rsid w:val="003152F9"/>
    <w:rsid w:val="003159C7"/>
    <w:rsid w:val="00315CF5"/>
    <w:rsid w:val="00315E1F"/>
    <w:rsid w:val="00315E92"/>
    <w:rsid w:val="003169D5"/>
    <w:rsid w:val="00316AA4"/>
    <w:rsid w:val="00316CC7"/>
    <w:rsid w:val="00316D64"/>
    <w:rsid w:val="00316DB7"/>
    <w:rsid w:val="00316EE6"/>
    <w:rsid w:val="003176C5"/>
    <w:rsid w:val="00317DA1"/>
    <w:rsid w:val="00320473"/>
    <w:rsid w:val="00320488"/>
    <w:rsid w:val="00320AA5"/>
    <w:rsid w:val="00320EB9"/>
    <w:rsid w:val="003212C9"/>
    <w:rsid w:val="0032174A"/>
    <w:rsid w:val="00321AB5"/>
    <w:rsid w:val="00321B78"/>
    <w:rsid w:val="003223DC"/>
    <w:rsid w:val="00322542"/>
    <w:rsid w:val="00322B52"/>
    <w:rsid w:val="00322BA7"/>
    <w:rsid w:val="00323B9E"/>
    <w:rsid w:val="00323FE5"/>
    <w:rsid w:val="0032425E"/>
    <w:rsid w:val="00324479"/>
    <w:rsid w:val="003244C6"/>
    <w:rsid w:val="003244F7"/>
    <w:rsid w:val="00324C5B"/>
    <w:rsid w:val="00324F48"/>
    <w:rsid w:val="00325A9A"/>
    <w:rsid w:val="00325C84"/>
    <w:rsid w:val="0032627D"/>
    <w:rsid w:val="00326305"/>
    <w:rsid w:val="00326497"/>
    <w:rsid w:val="003266AF"/>
    <w:rsid w:val="00326EF1"/>
    <w:rsid w:val="0032721C"/>
    <w:rsid w:val="00327592"/>
    <w:rsid w:val="003275EA"/>
    <w:rsid w:val="00327633"/>
    <w:rsid w:val="00327866"/>
    <w:rsid w:val="00327B0D"/>
    <w:rsid w:val="00327CFC"/>
    <w:rsid w:val="00327F36"/>
    <w:rsid w:val="00330013"/>
    <w:rsid w:val="00330286"/>
    <w:rsid w:val="0033040E"/>
    <w:rsid w:val="00330804"/>
    <w:rsid w:val="00330C98"/>
    <w:rsid w:val="00330FA1"/>
    <w:rsid w:val="003313C9"/>
    <w:rsid w:val="00331A85"/>
    <w:rsid w:val="00331B35"/>
    <w:rsid w:val="00332360"/>
    <w:rsid w:val="00332BBA"/>
    <w:rsid w:val="00332CC1"/>
    <w:rsid w:val="00332CFB"/>
    <w:rsid w:val="00332E96"/>
    <w:rsid w:val="003334F3"/>
    <w:rsid w:val="003336BC"/>
    <w:rsid w:val="00333785"/>
    <w:rsid w:val="00333BE5"/>
    <w:rsid w:val="00333CF4"/>
    <w:rsid w:val="00333F96"/>
    <w:rsid w:val="003344E7"/>
    <w:rsid w:val="00334A6B"/>
    <w:rsid w:val="00335C8E"/>
    <w:rsid w:val="00335D59"/>
    <w:rsid w:val="00336208"/>
    <w:rsid w:val="003362B2"/>
    <w:rsid w:val="003363FF"/>
    <w:rsid w:val="0033654E"/>
    <w:rsid w:val="003366B2"/>
    <w:rsid w:val="00336802"/>
    <w:rsid w:val="00337272"/>
    <w:rsid w:val="0033789A"/>
    <w:rsid w:val="00337957"/>
    <w:rsid w:val="00337F6B"/>
    <w:rsid w:val="00340066"/>
    <w:rsid w:val="00340A88"/>
    <w:rsid w:val="00340DD1"/>
    <w:rsid w:val="0034100E"/>
    <w:rsid w:val="0034163B"/>
    <w:rsid w:val="0034177F"/>
    <w:rsid w:val="00341ED8"/>
    <w:rsid w:val="00341EFE"/>
    <w:rsid w:val="00341FAB"/>
    <w:rsid w:val="00342057"/>
    <w:rsid w:val="0034223A"/>
    <w:rsid w:val="003423F1"/>
    <w:rsid w:val="003425C8"/>
    <w:rsid w:val="0034288B"/>
    <w:rsid w:val="0034296A"/>
    <w:rsid w:val="00342BA8"/>
    <w:rsid w:val="00342F86"/>
    <w:rsid w:val="003430C1"/>
    <w:rsid w:val="003432CF"/>
    <w:rsid w:val="0034332B"/>
    <w:rsid w:val="0034354E"/>
    <w:rsid w:val="00343572"/>
    <w:rsid w:val="003435B6"/>
    <w:rsid w:val="00343B9C"/>
    <w:rsid w:val="00344070"/>
    <w:rsid w:val="003445E1"/>
    <w:rsid w:val="003449B1"/>
    <w:rsid w:val="00344C67"/>
    <w:rsid w:val="00344FA5"/>
    <w:rsid w:val="00345074"/>
    <w:rsid w:val="00345102"/>
    <w:rsid w:val="00345142"/>
    <w:rsid w:val="003455D3"/>
    <w:rsid w:val="003457B8"/>
    <w:rsid w:val="003457CE"/>
    <w:rsid w:val="00345887"/>
    <w:rsid w:val="00345E22"/>
    <w:rsid w:val="00346067"/>
    <w:rsid w:val="00346304"/>
    <w:rsid w:val="003463D5"/>
    <w:rsid w:val="0034673D"/>
    <w:rsid w:val="0034681C"/>
    <w:rsid w:val="003469BB"/>
    <w:rsid w:val="003470B8"/>
    <w:rsid w:val="003471CE"/>
    <w:rsid w:val="003473B2"/>
    <w:rsid w:val="00347FA7"/>
    <w:rsid w:val="00350498"/>
    <w:rsid w:val="00350549"/>
    <w:rsid w:val="003513F9"/>
    <w:rsid w:val="003516B6"/>
    <w:rsid w:val="00351F1E"/>
    <w:rsid w:val="00351FD8"/>
    <w:rsid w:val="003521BB"/>
    <w:rsid w:val="0035279A"/>
    <w:rsid w:val="00352A9E"/>
    <w:rsid w:val="00352F88"/>
    <w:rsid w:val="003533A8"/>
    <w:rsid w:val="00353E2F"/>
    <w:rsid w:val="0035437A"/>
    <w:rsid w:val="00354608"/>
    <w:rsid w:val="00355164"/>
    <w:rsid w:val="003554AC"/>
    <w:rsid w:val="00355BAF"/>
    <w:rsid w:val="00355BF1"/>
    <w:rsid w:val="00355E31"/>
    <w:rsid w:val="00355EF0"/>
    <w:rsid w:val="00356217"/>
    <w:rsid w:val="0035638D"/>
    <w:rsid w:val="00356773"/>
    <w:rsid w:val="00356791"/>
    <w:rsid w:val="00357134"/>
    <w:rsid w:val="003572A2"/>
    <w:rsid w:val="00357788"/>
    <w:rsid w:val="003600A8"/>
    <w:rsid w:val="00360659"/>
    <w:rsid w:val="0036089F"/>
    <w:rsid w:val="00362B67"/>
    <w:rsid w:val="00363257"/>
    <w:rsid w:val="00363289"/>
    <w:rsid w:val="00363389"/>
    <w:rsid w:val="003635D7"/>
    <w:rsid w:val="0036394F"/>
    <w:rsid w:val="00363E24"/>
    <w:rsid w:val="00363E82"/>
    <w:rsid w:val="00363FDD"/>
    <w:rsid w:val="0036438D"/>
    <w:rsid w:val="00364453"/>
    <w:rsid w:val="00364CFE"/>
    <w:rsid w:val="00364F24"/>
    <w:rsid w:val="00365042"/>
    <w:rsid w:val="0036548A"/>
    <w:rsid w:val="003659B4"/>
    <w:rsid w:val="003663DC"/>
    <w:rsid w:val="00366524"/>
    <w:rsid w:val="00366B5D"/>
    <w:rsid w:val="0036700C"/>
    <w:rsid w:val="003670DF"/>
    <w:rsid w:val="00367644"/>
    <w:rsid w:val="003708CE"/>
    <w:rsid w:val="00370B63"/>
    <w:rsid w:val="00370D2F"/>
    <w:rsid w:val="003713E6"/>
    <w:rsid w:val="00371584"/>
    <w:rsid w:val="00371D75"/>
    <w:rsid w:val="0037201E"/>
    <w:rsid w:val="00372078"/>
    <w:rsid w:val="00372416"/>
    <w:rsid w:val="0037246D"/>
    <w:rsid w:val="00373624"/>
    <w:rsid w:val="003737D8"/>
    <w:rsid w:val="00373CB6"/>
    <w:rsid w:val="00373E58"/>
    <w:rsid w:val="00373F99"/>
    <w:rsid w:val="00374017"/>
    <w:rsid w:val="003743F5"/>
    <w:rsid w:val="003746BC"/>
    <w:rsid w:val="003752C6"/>
    <w:rsid w:val="003754FD"/>
    <w:rsid w:val="00375DF8"/>
    <w:rsid w:val="00375F33"/>
    <w:rsid w:val="00376073"/>
    <w:rsid w:val="00376076"/>
    <w:rsid w:val="0037620D"/>
    <w:rsid w:val="00376776"/>
    <w:rsid w:val="00376780"/>
    <w:rsid w:val="00376A8D"/>
    <w:rsid w:val="00376D75"/>
    <w:rsid w:val="00376EAF"/>
    <w:rsid w:val="00376FFE"/>
    <w:rsid w:val="00377353"/>
    <w:rsid w:val="00377452"/>
    <w:rsid w:val="0037772B"/>
    <w:rsid w:val="003778C9"/>
    <w:rsid w:val="00377904"/>
    <w:rsid w:val="00377B7E"/>
    <w:rsid w:val="00377BDC"/>
    <w:rsid w:val="00377CBC"/>
    <w:rsid w:val="00377CD3"/>
    <w:rsid w:val="003804FE"/>
    <w:rsid w:val="003808BA"/>
    <w:rsid w:val="0038095F"/>
    <w:rsid w:val="00380D62"/>
    <w:rsid w:val="00380F2A"/>
    <w:rsid w:val="00380F82"/>
    <w:rsid w:val="00380FD8"/>
    <w:rsid w:val="0038100D"/>
    <w:rsid w:val="00381223"/>
    <w:rsid w:val="0038148A"/>
    <w:rsid w:val="00381793"/>
    <w:rsid w:val="00381849"/>
    <w:rsid w:val="00381B1B"/>
    <w:rsid w:val="00381F57"/>
    <w:rsid w:val="00382240"/>
    <w:rsid w:val="00382270"/>
    <w:rsid w:val="0038238E"/>
    <w:rsid w:val="003823A0"/>
    <w:rsid w:val="003826B0"/>
    <w:rsid w:val="00383770"/>
    <w:rsid w:val="00383F72"/>
    <w:rsid w:val="00384706"/>
    <w:rsid w:val="00384DFA"/>
    <w:rsid w:val="00384F36"/>
    <w:rsid w:val="00385271"/>
    <w:rsid w:val="0038540B"/>
    <w:rsid w:val="00385589"/>
    <w:rsid w:val="00385684"/>
    <w:rsid w:val="0038603E"/>
    <w:rsid w:val="003866F9"/>
    <w:rsid w:val="003866FC"/>
    <w:rsid w:val="00386B4C"/>
    <w:rsid w:val="00386C68"/>
    <w:rsid w:val="003872D4"/>
    <w:rsid w:val="0038734A"/>
    <w:rsid w:val="0038756D"/>
    <w:rsid w:val="00387B66"/>
    <w:rsid w:val="00390100"/>
    <w:rsid w:val="00390BAD"/>
    <w:rsid w:val="00390CB9"/>
    <w:rsid w:val="00391450"/>
    <w:rsid w:val="003916FD"/>
    <w:rsid w:val="00391B86"/>
    <w:rsid w:val="00391F05"/>
    <w:rsid w:val="00391F50"/>
    <w:rsid w:val="003921B8"/>
    <w:rsid w:val="0039226E"/>
    <w:rsid w:val="0039236E"/>
    <w:rsid w:val="00392394"/>
    <w:rsid w:val="00392C6D"/>
    <w:rsid w:val="00392CC8"/>
    <w:rsid w:val="00392CD8"/>
    <w:rsid w:val="00392FD4"/>
    <w:rsid w:val="003937AF"/>
    <w:rsid w:val="003937E7"/>
    <w:rsid w:val="0039386C"/>
    <w:rsid w:val="0039474B"/>
    <w:rsid w:val="003947A9"/>
    <w:rsid w:val="003947FF"/>
    <w:rsid w:val="00394BA8"/>
    <w:rsid w:val="00394E29"/>
    <w:rsid w:val="00394E93"/>
    <w:rsid w:val="00394F4E"/>
    <w:rsid w:val="003957C3"/>
    <w:rsid w:val="00395DD1"/>
    <w:rsid w:val="003963B3"/>
    <w:rsid w:val="003964AB"/>
    <w:rsid w:val="00396AAB"/>
    <w:rsid w:val="00396CAD"/>
    <w:rsid w:val="00397398"/>
    <w:rsid w:val="00397836"/>
    <w:rsid w:val="00397A31"/>
    <w:rsid w:val="003A12C1"/>
    <w:rsid w:val="003A13CA"/>
    <w:rsid w:val="003A1A7F"/>
    <w:rsid w:val="003A1E68"/>
    <w:rsid w:val="003A2017"/>
    <w:rsid w:val="003A2703"/>
    <w:rsid w:val="003A2CEA"/>
    <w:rsid w:val="003A315D"/>
    <w:rsid w:val="003A31AF"/>
    <w:rsid w:val="003A3B2E"/>
    <w:rsid w:val="003A3FBF"/>
    <w:rsid w:val="003A460A"/>
    <w:rsid w:val="003A48CC"/>
    <w:rsid w:val="003A4933"/>
    <w:rsid w:val="003A4D86"/>
    <w:rsid w:val="003A5072"/>
    <w:rsid w:val="003A5E05"/>
    <w:rsid w:val="003A6413"/>
    <w:rsid w:val="003A6B75"/>
    <w:rsid w:val="003A72EF"/>
    <w:rsid w:val="003A7601"/>
    <w:rsid w:val="003A787A"/>
    <w:rsid w:val="003A7E2D"/>
    <w:rsid w:val="003A7EFF"/>
    <w:rsid w:val="003B062D"/>
    <w:rsid w:val="003B0962"/>
    <w:rsid w:val="003B0B3F"/>
    <w:rsid w:val="003B10F9"/>
    <w:rsid w:val="003B1134"/>
    <w:rsid w:val="003B11F8"/>
    <w:rsid w:val="003B1493"/>
    <w:rsid w:val="003B1BF4"/>
    <w:rsid w:val="003B1CA1"/>
    <w:rsid w:val="003B201B"/>
    <w:rsid w:val="003B2242"/>
    <w:rsid w:val="003B25D2"/>
    <w:rsid w:val="003B273E"/>
    <w:rsid w:val="003B2DF5"/>
    <w:rsid w:val="003B3320"/>
    <w:rsid w:val="003B3AF0"/>
    <w:rsid w:val="003B3BDB"/>
    <w:rsid w:val="003B3CEF"/>
    <w:rsid w:val="003B3D0F"/>
    <w:rsid w:val="003B406F"/>
    <w:rsid w:val="003B4070"/>
    <w:rsid w:val="003B43C6"/>
    <w:rsid w:val="003B43DB"/>
    <w:rsid w:val="003B46E8"/>
    <w:rsid w:val="003B4814"/>
    <w:rsid w:val="003B496A"/>
    <w:rsid w:val="003B4EED"/>
    <w:rsid w:val="003B5232"/>
    <w:rsid w:val="003B55D8"/>
    <w:rsid w:val="003B5B09"/>
    <w:rsid w:val="003B6249"/>
    <w:rsid w:val="003B62CA"/>
    <w:rsid w:val="003B6413"/>
    <w:rsid w:val="003B6481"/>
    <w:rsid w:val="003B6B2C"/>
    <w:rsid w:val="003B72C8"/>
    <w:rsid w:val="003B7B82"/>
    <w:rsid w:val="003B7CEF"/>
    <w:rsid w:val="003B7CF1"/>
    <w:rsid w:val="003C01F9"/>
    <w:rsid w:val="003C05AB"/>
    <w:rsid w:val="003C099C"/>
    <w:rsid w:val="003C0EC4"/>
    <w:rsid w:val="003C10EA"/>
    <w:rsid w:val="003C11D1"/>
    <w:rsid w:val="003C1732"/>
    <w:rsid w:val="003C1BDA"/>
    <w:rsid w:val="003C1D08"/>
    <w:rsid w:val="003C1DA5"/>
    <w:rsid w:val="003C1E20"/>
    <w:rsid w:val="003C2392"/>
    <w:rsid w:val="003C2419"/>
    <w:rsid w:val="003C24B1"/>
    <w:rsid w:val="003C266A"/>
    <w:rsid w:val="003C2DF0"/>
    <w:rsid w:val="003C2E0D"/>
    <w:rsid w:val="003C2E15"/>
    <w:rsid w:val="003C43D0"/>
    <w:rsid w:val="003C4548"/>
    <w:rsid w:val="003C5462"/>
    <w:rsid w:val="003C5E5B"/>
    <w:rsid w:val="003C602A"/>
    <w:rsid w:val="003C61DF"/>
    <w:rsid w:val="003C7378"/>
    <w:rsid w:val="003C7423"/>
    <w:rsid w:val="003C7C46"/>
    <w:rsid w:val="003C7CFE"/>
    <w:rsid w:val="003C7D79"/>
    <w:rsid w:val="003C7E91"/>
    <w:rsid w:val="003C7F1E"/>
    <w:rsid w:val="003D019E"/>
    <w:rsid w:val="003D0516"/>
    <w:rsid w:val="003D07CD"/>
    <w:rsid w:val="003D0997"/>
    <w:rsid w:val="003D0CB8"/>
    <w:rsid w:val="003D15FA"/>
    <w:rsid w:val="003D1759"/>
    <w:rsid w:val="003D1896"/>
    <w:rsid w:val="003D1DAD"/>
    <w:rsid w:val="003D255E"/>
    <w:rsid w:val="003D2F58"/>
    <w:rsid w:val="003D3134"/>
    <w:rsid w:val="003D3855"/>
    <w:rsid w:val="003D3862"/>
    <w:rsid w:val="003D3AF5"/>
    <w:rsid w:val="003D3B14"/>
    <w:rsid w:val="003D48F2"/>
    <w:rsid w:val="003D4ED0"/>
    <w:rsid w:val="003D5834"/>
    <w:rsid w:val="003D5BB0"/>
    <w:rsid w:val="003D5C59"/>
    <w:rsid w:val="003D6134"/>
    <w:rsid w:val="003D62F7"/>
    <w:rsid w:val="003D6FEF"/>
    <w:rsid w:val="003D70BC"/>
    <w:rsid w:val="003D72EC"/>
    <w:rsid w:val="003D73D4"/>
    <w:rsid w:val="003D7667"/>
    <w:rsid w:val="003D76B5"/>
    <w:rsid w:val="003D79C8"/>
    <w:rsid w:val="003D7A0C"/>
    <w:rsid w:val="003D7B37"/>
    <w:rsid w:val="003D7BF0"/>
    <w:rsid w:val="003E02AE"/>
    <w:rsid w:val="003E0968"/>
    <w:rsid w:val="003E1035"/>
    <w:rsid w:val="003E1253"/>
    <w:rsid w:val="003E1322"/>
    <w:rsid w:val="003E155B"/>
    <w:rsid w:val="003E15E9"/>
    <w:rsid w:val="003E17F2"/>
    <w:rsid w:val="003E1877"/>
    <w:rsid w:val="003E19F7"/>
    <w:rsid w:val="003E1EB2"/>
    <w:rsid w:val="003E1F00"/>
    <w:rsid w:val="003E1FAA"/>
    <w:rsid w:val="003E2C8A"/>
    <w:rsid w:val="003E2C94"/>
    <w:rsid w:val="003E310A"/>
    <w:rsid w:val="003E3451"/>
    <w:rsid w:val="003E355B"/>
    <w:rsid w:val="003E4064"/>
    <w:rsid w:val="003E4256"/>
    <w:rsid w:val="003E44A1"/>
    <w:rsid w:val="003E47DC"/>
    <w:rsid w:val="003E492C"/>
    <w:rsid w:val="003E4B56"/>
    <w:rsid w:val="003E5061"/>
    <w:rsid w:val="003E521B"/>
    <w:rsid w:val="003E537A"/>
    <w:rsid w:val="003E5611"/>
    <w:rsid w:val="003E5867"/>
    <w:rsid w:val="003E5FCD"/>
    <w:rsid w:val="003E6E4E"/>
    <w:rsid w:val="003E710D"/>
    <w:rsid w:val="003E761F"/>
    <w:rsid w:val="003E7A9C"/>
    <w:rsid w:val="003F0251"/>
    <w:rsid w:val="003F0B8C"/>
    <w:rsid w:val="003F0DF9"/>
    <w:rsid w:val="003F1192"/>
    <w:rsid w:val="003F13A6"/>
    <w:rsid w:val="003F15E1"/>
    <w:rsid w:val="003F1658"/>
    <w:rsid w:val="003F1769"/>
    <w:rsid w:val="003F1939"/>
    <w:rsid w:val="003F2368"/>
    <w:rsid w:val="003F241B"/>
    <w:rsid w:val="003F2D34"/>
    <w:rsid w:val="003F3237"/>
    <w:rsid w:val="003F328F"/>
    <w:rsid w:val="003F364D"/>
    <w:rsid w:val="003F3C7D"/>
    <w:rsid w:val="003F4601"/>
    <w:rsid w:val="003F481E"/>
    <w:rsid w:val="003F49A8"/>
    <w:rsid w:val="003F4DA9"/>
    <w:rsid w:val="003F5066"/>
    <w:rsid w:val="003F51E0"/>
    <w:rsid w:val="003F531A"/>
    <w:rsid w:val="003F53EB"/>
    <w:rsid w:val="003F5414"/>
    <w:rsid w:val="003F6448"/>
    <w:rsid w:val="003F66CB"/>
    <w:rsid w:val="003F6E98"/>
    <w:rsid w:val="003F7164"/>
    <w:rsid w:val="003F7412"/>
    <w:rsid w:val="003F76FA"/>
    <w:rsid w:val="003F7C9E"/>
    <w:rsid w:val="003F7E0A"/>
    <w:rsid w:val="0040019B"/>
    <w:rsid w:val="004009ED"/>
    <w:rsid w:val="00400CF2"/>
    <w:rsid w:val="00401467"/>
    <w:rsid w:val="00401835"/>
    <w:rsid w:val="00401B0F"/>
    <w:rsid w:val="004025E8"/>
    <w:rsid w:val="00402768"/>
    <w:rsid w:val="00402DCF"/>
    <w:rsid w:val="00402F1E"/>
    <w:rsid w:val="004030CA"/>
    <w:rsid w:val="00403525"/>
    <w:rsid w:val="0040368D"/>
    <w:rsid w:val="004037B1"/>
    <w:rsid w:val="004038E6"/>
    <w:rsid w:val="00403C43"/>
    <w:rsid w:val="00404344"/>
    <w:rsid w:val="00404464"/>
    <w:rsid w:val="00404C36"/>
    <w:rsid w:val="00404F31"/>
    <w:rsid w:val="00405284"/>
    <w:rsid w:val="004053E8"/>
    <w:rsid w:val="00405B71"/>
    <w:rsid w:val="00405B8A"/>
    <w:rsid w:val="00406125"/>
    <w:rsid w:val="0040636B"/>
    <w:rsid w:val="004068C6"/>
    <w:rsid w:val="00406A62"/>
    <w:rsid w:val="00406F38"/>
    <w:rsid w:val="00407022"/>
    <w:rsid w:val="0040779B"/>
    <w:rsid w:val="0040790B"/>
    <w:rsid w:val="00407BDE"/>
    <w:rsid w:val="00407C2F"/>
    <w:rsid w:val="004107CA"/>
    <w:rsid w:val="004108CB"/>
    <w:rsid w:val="00410F7A"/>
    <w:rsid w:val="004111BC"/>
    <w:rsid w:val="004113DA"/>
    <w:rsid w:val="004114CB"/>
    <w:rsid w:val="0041166C"/>
    <w:rsid w:val="00411789"/>
    <w:rsid w:val="00411B0B"/>
    <w:rsid w:val="00411F69"/>
    <w:rsid w:val="004125F4"/>
    <w:rsid w:val="004126CD"/>
    <w:rsid w:val="004126D4"/>
    <w:rsid w:val="00412952"/>
    <w:rsid w:val="00412E82"/>
    <w:rsid w:val="00413259"/>
    <w:rsid w:val="00413507"/>
    <w:rsid w:val="00413823"/>
    <w:rsid w:val="00413895"/>
    <w:rsid w:val="004139AE"/>
    <w:rsid w:val="00413C81"/>
    <w:rsid w:val="00414546"/>
    <w:rsid w:val="0041459B"/>
    <w:rsid w:val="00414703"/>
    <w:rsid w:val="00414725"/>
    <w:rsid w:val="004149A6"/>
    <w:rsid w:val="00414A52"/>
    <w:rsid w:val="00414E98"/>
    <w:rsid w:val="00415088"/>
    <w:rsid w:val="0041598E"/>
    <w:rsid w:val="00415D2B"/>
    <w:rsid w:val="00416229"/>
    <w:rsid w:val="004163D4"/>
    <w:rsid w:val="00416461"/>
    <w:rsid w:val="004164E7"/>
    <w:rsid w:val="00416946"/>
    <w:rsid w:val="00416C0A"/>
    <w:rsid w:val="0041715C"/>
    <w:rsid w:val="00417372"/>
    <w:rsid w:val="004173AF"/>
    <w:rsid w:val="004178B7"/>
    <w:rsid w:val="00417C92"/>
    <w:rsid w:val="004207B3"/>
    <w:rsid w:val="0042092D"/>
    <w:rsid w:val="00420A55"/>
    <w:rsid w:val="00420DF9"/>
    <w:rsid w:val="00421206"/>
    <w:rsid w:val="0042142E"/>
    <w:rsid w:val="00421917"/>
    <w:rsid w:val="00421940"/>
    <w:rsid w:val="00421941"/>
    <w:rsid w:val="00421DB2"/>
    <w:rsid w:val="00421F4D"/>
    <w:rsid w:val="004220AD"/>
    <w:rsid w:val="004221C8"/>
    <w:rsid w:val="004221E2"/>
    <w:rsid w:val="0042233F"/>
    <w:rsid w:val="004227AB"/>
    <w:rsid w:val="004228EB"/>
    <w:rsid w:val="004233A0"/>
    <w:rsid w:val="00423DCF"/>
    <w:rsid w:val="004246C4"/>
    <w:rsid w:val="00424999"/>
    <w:rsid w:val="00424DE2"/>
    <w:rsid w:val="00425393"/>
    <w:rsid w:val="00425FBD"/>
    <w:rsid w:val="00426274"/>
    <w:rsid w:val="00426B70"/>
    <w:rsid w:val="00426CBB"/>
    <w:rsid w:val="0042754F"/>
    <w:rsid w:val="00427CA0"/>
    <w:rsid w:val="00427FE2"/>
    <w:rsid w:val="00430107"/>
    <w:rsid w:val="0043016E"/>
    <w:rsid w:val="00430B0B"/>
    <w:rsid w:val="0043122B"/>
    <w:rsid w:val="00431494"/>
    <w:rsid w:val="00431715"/>
    <w:rsid w:val="0043175B"/>
    <w:rsid w:val="00431787"/>
    <w:rsid w:val="00431D9B"/>
    <w:rsid w:val="00432528"/>
    <w:rsid w:val="00432836"/>
    <w:rsid w:val="004329B8"/>
    <w:rsid w:val="00433027"/>
    <w:rsid w:val="004330E7"/>
    <w:rsid w:val="004331C3"/>
    <w:rsid w:val="00433220"/>
    <w:rsid w:val="00433277"/>
    <w:rsid w:val="00433460"/>
    <w:rsid w:val="00433531"/>
    <w:rsid w:val="00433539"/>
    <w:rsid w:val="00433629"/>
    <w:rsid w:val="00433866"/>
    <w:rsid w:val="00433AC6"/>
    <w:rsid w:val="00433B72"/>
    <w:rsid w:val="00433FF6"/>
    <w:rsid w:val="004345DE"/>
    <w:rsid w:val="00434ACD"/>
    <w:rsid w:val="00434EEE"/>
    <w:rsid w:val="00435182"/>
    <w:rsid w:val="004359D5"/>
    <w:rsid w:val="00435AF0"/>
    <w:rsid w:val="00435E8E"/>
    <w:rsid w:val="0043614F"/>
    <w:rsid w:val="00436175"/>
    <w:rsid w:val="00436524"/>
    <w:rsid w:val="00436D98"/>
    <w:rsid w:val="00437034"/>
    <w:rsid w:val="004373D1"/>
    <w:rsid w:val="0043778D"/>
    <w:rsid w:val="00437805"/>
    <w:rsid w:val="00437A31"/>
    <w:rsid w:val="00437AC0"/>
    <w:rsid w:val="00437EC2"/>
    <w:rsid w:val="00440BDA"/>
    <w:rsid w:val="00441A9F"/>
    <w:rsid w:val="00441B40"/>
    <w:rsid w:val="00441C05"/>
    <w:rsid w:val="00441E9B"/>
    <w:rsid w:val="00442102"/>
    <w:rsid w:val="0044256C"/>
    <w:rsid w:val="004428CC"/>
    <w:rsid w:val="004430EE"/>
    <w:rsid w:val="0044311B"/>
    <w:rsid w:val="004434A5"/>
    <w:rsid w:val="00443979"/>
    <w:rsid w:val="00443A94"/>
    <w:rsid w:val="00444475"/>
    <w:rsid w:val="00444A3A"/>
    <w:rsid w:val="00445497"/>
    <w:rsid w:val="004454C2"/>
    <w:rsid w:val="00445610"/>
    <w:rsid w:val="00445879"/>
    <w:rsid w:val="00445ACA"/>
    <w:rsid w:val="00445EC4"/>
    <w:rsid w:val="004469DA"/>
    <w:rsid w:val="00446D25"/>
    <w:rsid w:val="00447347"/>
    <w:rsid w:val="00447B51"/>
    <w:rsid w:val="00447DB3"/>
    <w:rsid w:val="00447E18"/>
    <w:rsid w:val="00447ECA"/>
    <w:rsid w:val="00447F33"/>
    <w:rsid w:val="00450029"/>
    <w:rsid w:val="004502BD"/>
    <w:rsid w:val="00450A27"/>
    <w:rsid w:val="00450EB0"/>
    <w:rsid w:val="00450FB0"/>
    <w:rsid w:val="00451249"/>
    <w:rsid w:val="0045133A"/>
    <w:rsid w:val="00451547"/>
    <w:rsid w:val="0045154D"/>
    <w:rsid w:val="00451632"/>
    <w:rsid w:val="00451768"/>
    <w:rsid w:val="00451EC2"/>
    <w:rsid w:val="00451EF0"/>
    <w:rsid w:val="00451F8B"/>
    <w:rsid w:val="00451FA2"/>
    <w:rsid w:val="004520DF"/>
    <w:rsid w:val="00452471"/>
    <w:rsid w:val="004528E4"/>
    <w:rsid w:val="00452A23"/>
    <w:rsid w:val="00452BA3"/>
    <w:rsid w:val="004534EB"/>
    <w:rsid w:val="00453BE5"/>
    <w:rsid w:val="00454C09"/>
    <w:rsid w:val="0045518F"/>
    <w:rsid w:val="00455371"/>
    <w:rsid w:val="004555E3"/>
    <w:rsid w:val="0045599F"/>
    <w:rsid w:val="00455AD5"/>
    <w:rsid w:val="00455B3E"/>
    <w:rsid w:val="00455FDE"/>
    <w:rsid w:val="00455FFC"/>
    <w:rsid w:val="004561DC"/>
    <w:rsid w:val="00456287"/>
    <w:rsid w:val="004562DD"/>
    <w:rsid w:val="0045729B"/>
    <w:rsid w:val="00457311"/>
    <w:rsid w:val="00457314"/>
    <w:rsid w:val="004575C4"/>
    <w:rsid w:val="00457E61"/>
    <w:rsid w:val="00460707"/>
    <w:rsid w:val="00460725"/>
    <w:rsid w:val="004609DC"/>
    <w:rsid w:val="00460B77"/>
    <w:rsid w:val="00460E01"/>
    <w:rsid w:val="00460FED"/>
    <w:rsid w:val="00461CE9"/>
    <w:rsid w:val="00461E31"/>
    <w:rsid w:val="0046205C"/>
    <w:rsid w:val="004625AE"/>
    <w:rsid w:val="00462E6E"/>
    <w:rsid w:val="004631FD"/>
    <w:rsid w:val="00463331"/>
    <w:rsid w:val="00463357"/>
    <w:rsid w:val="0046385F"/>
    <w:rsid w:val="004638D7"/>
    <w:rsid w:val="00463A04"/>
    <w:rsid w:val="00464254"/>
    <w:rsid w:val="004645B2"/>
    <w:rsid w:val="00464604"/>
    <w:rsid w:val="00464CA9"/>
    <w:rsid w:val="00464EEC"/>
    <w:rsid w:val="004651D8"/>
    <w:rsid w:val="00465255"/>
    <w:rsid w:val="00465346"/>
    <w:rsid w:val="00465527"/>
    <w:rsid w:val="004655E0"/>
    <w:rsid w:val="00465C81"/>
    <w:rsid w:val="0046659A"/>
    <w:rsid w:val="00466676"/>
    <w:rsid w:val="00467035"/>
    <w:rsid w:val="004672A0"/>
    <w:rsid w:val="00467F63"/>
    <w:rsid w:val="004700C1"/>
    <w:rsid w:val="004700FA"/>
    <w:rsid w:val="00470181"/>
    <w:rsid w:val="00470D34"/>
    <w:rsid w:val="0047141B"/>
    <w:rsid w:val="00471438"/>
    <w:rsid w:val="0047187E"/>
    <w:rsid w:val="00471C02"/>
    <w:rsid w:val="00471FC6"/>
    <w:rsid w:val="0047211A"/>
    <w:rsid w:val="0047224B"/>
    <w:rsid w:val="0047273B"/>
    <w:rsid w:val="00473485"/>
    <w:rsid w:val="00473495"/>
    <w:rsid w:val="0047367C"/>
    <w:rsid w:val="004736A6"/>
    <w:rsid w:val="00473718"/>
    <w:rsid w:val="00473869"/>
    <w:rsid w:val="00473FC8"/>
    <w:rsid w:val="0047410E"/>
    <w:rsid w:val="00474440"/>
    <w:rsid w:val="00474B35"/>
    <w:rsid w:val="00474C30"/>
    <w:rsid w:val="00474CE8"/>
    <w:rsid w:val="00475087"/>
    <w:rsid w:val="0047596F"/>
    <w:rsid w:val="00475B9B"/>
    <w:rsid w:val="00475EB1"/>
    <w:rsid w:val="00475ED4"/>
    <w:rsid w:val="00476719"/>
    <w:rsid w:val="00476A9E"/>
    <w:rsid w:val="00476EE0"/>
    <w:rsid w:val="004773BA"/>
    <w:rsid w:val="00477699"/>
    <w:rsid w:val="004778D5"/>
    <w:rsid w:val="00477B10"/>
    <w:rsid w:val="00477D33"/>
    <w:rsid w:val="00477E51"/>
    <w:rsid w:val="00477EC2"/>
    <w:rsid w:val="00480023"/>
    <w:rsid w:val="004803B1"/>
    <w:rsid w:val="0048054A"/>
    <w:rsid w:val="004818E8"/>
    <w:rsid w:val="00481A1B"/>
    <w:rsid w:val="00481B91"/>
    <w:rsid w:val="00481DFD"/>
    <w:rsid w:val="004820D1"/>
    <w:rsid w:val="0048215C"/>
    <w:rsid w:val="004822AC"/>
    <w:rsid w:val="0048262E"/>
    <w:rsid w:val="00482B46"/>
    <w:rsid w:val="00482C65"/>
    <w:rsid w:val="00482D4D"/>
    <w:rsid w:val="00482F67"/>
    <w:rsid w:val="00483006"/>
    <w:rsid w:val="004831CC"/>
    <w:rsid w:val="00483B8E"/>
    <w:rsid w:val="004842CA"/>
    <w:rsid w:val="004846C9"/>
    <w:rsid w:val="00484915"/>
    <w:rsid w:val="00484CFB"/>
    <w:rsid w:val="00485961"/>
    <w:rsid w:val="00485C8C"/>
    <w:rsid w:val="00485E2E"/>
    <w:rsid w:val="00485F19"/>
    <w:rsid w:val="00486104"/>
    <w:rsid w:val="0048619B"/>
    <w:rsid w:val="004863A0"/>
    <w:rsid w:val="00486827"/>
    <w:rsid w:val="00486C38"/>
    <w:rsid w:val="00486FAB"/>
    <w:rsid w:val="00487387"/>
    <w:rsid w:val="00487941"/>
    <w:rsid w:val="00487B4B"/>
    <w:rsid w:val="00487FA0"/>
    <w:rsid w:val="004907AC"/>
    <w:rsid w:val="004908DA"/>
    <w:rsid w:val="004909FE"/>
    <w:rsid w:val="004919FD"/>
    <w:rsid w:val="00491BEA"/>
    <w:rsid w:val="00491C1E"/>
    <w:rsid w:val="00492539"/>
    <w:rsid w:val="004925F0"/>
    <w:rsid w:val="00492A3F"/>
    <w:rsid w:val="00492BA7"/>
    <w:rsid w:val="004930B8"/>
    <w:rsid w:val="004933FE"/>
    <w:rsid w:val="00493547"/>
    <w:rsid w:val="00493554"/>
    <w:rsid w:val="00493715"/>
    <w:rsid w:val="004949D7"/>
    <w:rsid w:val="00494C33"/>
    <w:rsid w:val="00495271"/>
    <w:rsid w:val="00495311"/>
    <w:rsid w:val="004953D1"/>
    <w:rsid w:val="00495868"/>
    <w:rsid w:val="004965FF"/>
    <w:rsid w:val="00496928"/>
    <w:rsid w:val="00496A2B"/>
    <w:rsid w:val="00496D62"/>
    <w:rsid w:val="00496EA8"/>
    <w:rsid w:val="0049753D"/>
    <w:rsid w:val="00497665"/>
    <w:rsid w:val="00497E91"/>
    <w:rsid w:val="00497F4A"/>
    <w:rsid w:val="004A0099"/>
    <w:rsid w:val="004A05CB"/>
    <w:rsid w:val="004A06B6"/>
    <w:rsid w:val="004A0A9D"/>
    <w:rsid w:val="004A0AC6"/>
    <w:rsid w:val="004A114B"/>
    <w:rsid w:val="004A11F0"/>
    <w:rsid w:val="004A132C"/>
    <w:rsid w:val="004A28B5"/>
    <w:rsid w:val="004A2AFC"/>
    <w:rsid w:val="004A3845"/>
    <w:rsid w:val="004A3AEC"/>
    <w:rsid w:val="004A47EF"/>
    <w:rsid w:val="004A4ACA"/>
    <w:rsid w:val="004A4C53"/>
    <w:rsid w:val="004A4FEF"/>
    <w:rsid w:val="004A52A4"/>
    <w:rsid w:val="004A5A70"/>
    <w:rsid w:val="004A61C0"/>
    <w:rsid w:val="004A634E"/>
    <w:rsid w:val="004A782F"/>
    <w:rsid w:val="004A793A"/>
    <w:rsid w:val="004B00A9"/>
    <w:rsid w:val="004B0AEE"/>
    <w:rsid w:val="004B0B11"/>
    <w:rsid w:val="004B163B"/>
    <w:rsid w:val="004B17DC"/>
    <w:rsid w:val="004B1E28"/>
    <w:rsid w:val="004B1F78"/>
    <w:rsid w:val="004B2045"/>
    <w:rsid w:val="004B2058"/>
    <w:rsid w:val="004B26D9"/>
    <w:rsid w:val="004B2B3B"/>
    <w:rsid w:val="004B2C5E"/>
    <w:rsid w:val="004B2D59"/>
    <w:rsid w:val="004B3699"/>
    <w:rsid w:val="004B375F"/>
    <w:rsid w:val="004B3AA4"/>
    <w:rsid w:val="004B4658"/>
    <w:rsid w:val="004B51F3"/>
    <w:rsid w:val="004B5CAF"/>
    <w:rsid w:val="004B620F"/>
    <w:rsid w:val="004B653C"/>
    <w:rsid w:val="004B66A0"/>
    <w:rsid w:val="004B68AE"/>
    <w:rsid w:val="004B6B6C"/>
    <w:rsid w:val="004B6F2F"/>
    <w:rsid w:val="004B702E"/>
    <w:rsid w:val="004B774B"/>
    <w:rsid w:val="004B781E"/>
    <w:rsid w:val="004C0088"/>
    <w:rsid w:val="004C0432"/>
    <w:rsid w:val="004C05B6"/>
    <w:rsid w:val="004C0D1A"/>
    <w:rsid w:val="004C123A"/>
    <w:rsid w:val="004C134F"/>
    <w:rsid w:val="004C18E7"/>
    <w:rsid w:val="004C19C3"/>
    <w:rsid w:val="004C1C81"/>
    <w:rsid w:val="004C213E"/>
    <w:rsid w:val="004C22A6"/>
    <w:rsid w:val="004C2368"/>
    <w:rsid w:val="004C2660"/>
    <w:rsid w:val="004C29DA"/>
    <w:rsid w:val="004C3369"/>
    <w:rsid w:val="004C33BD"/>
    <w:rsid w:val="004C3471"/>
    <w:rsid w:val="004C3B5B"/>
    <w:rsid w:val="004C3CD1"/>
    <w:rsid w:val="004C4257"/>
    <w:rsid w:val="004C4629"/>
    <w:rsid w:val="004C4B71"/>
    <w:rsid w:val="004C4DC8"/>
    <w:rsid w:val="004C4ED5"/>
    <w:rsid w:val="004C57F8"/>
    <w:rsid w:val="004C5D38"/>
    <w:rsid w:val="004C5DAB"/>
    <w:rsid w:val="004C65BC"/>
    <w:rsid w:val="004C667A"/>
    <w:rsid w:val="004C67EA"/>
    <w:rsid w:val="004C6F34"/>
    <w:rsid w:val="004C71A4"/>
    <w:rsid w:val="004C76B2"/>
    <w:rsid w:val="004C7B8F"/>
    <w:rsid w:val="004C7BC9"/>
    <w:rsid w:val="004C7C63"/>
    <w:rsid w:val="004C7D53"/>
    <w:rsid w:val="004D0145"/>
    <w:rsid w:val="004D05C0"/>
    <w:rsid w:val="004D087E"/>
    <w:rsid w:val="004D0CFC"/>
    <w:rsid w:val="004D0F40"/>
    <w:rsid w:val="004D145C"/>
    <w:rsid w:val="004D15C4"/>
    <w:rsid w:val="004D15E7"/>
    <w:rsid w:val="004D1649"/>
    <w:rsid w:val="004D19DB"/>
    <w:rsid w:val="004D1A40"/>
    <w:rsid w:val="004D1AF9"/>
    <w:rsid w:val="004D1C52"/>
    <w:rsid w:val="004D1E88"/>
    <w:rsid w:val="004D2256"/>
    <w:rsid w:val="004D2A07"/>
    <w:rsid w:val="004D2F16"/>
    <w:rsid w:val="004D35C9"/>
    <w:rsid w:val="004D361A"/>
    <w:rsid w:val="004D3917"/>
    <w:rsid w:val="004D3C8D"/>
    <w:rsid w:val="004D3CA2"/>
    <w:rsid w:val="004D3CD7"/>
    <w:rsid w:val="004D4089"/>
    <w:rsid w:val="004D40EC"/>
    <w:rsid w:val="004D41A4"/>
    <w:rsid w:val="004D474D"/>
    <w:rsid w:val="004D58DE"/>
    <w:rsid w:val="004D5929"/>
    <w:rsid w:val="004D5C88"/>
    <w:rsid w:val="004D5ED8"/>
    <w:rsid w:val="004D5F15"/>
    <w:rsid w:val="004D63E2"/>
    <w:rsid w:val="004D647C"/>
    <w:rsid w:val="004D64B9"/>
    <w:rsid w:val="004D6683"/>
    <w:rsid w:val="004D72BC"/>
    <w:rsid w:val="004D7384"/>
    <w:rsid w:val="004D7FBB"/>
    <w:rsid w:val="004E00B9"/>
    <w:rsid w:val="004E012E"/>
    <w:rsid w:val="004E0A35"/>
    <w:rsid w:val="004E1394"/>
    <w:rsid w:val="004E158E"/>
    <w:rsid w:val="004E1B30"/>
    <w:rsid w:val="004E222F"/>
    <w:rsid w:val="004E28F7"/>
    <w:rsid w:val="004E2EA9"/>
    <w:rsid w:val="004E2FD5"/>
    <w:rsid w:val="004E314C"/>
    <w:rsid w:val="004E33FF"/>
    <w:rsid w:val="004E3B71"/>
    <w:rsid w:val="004E3F30"/>
    <w:rsid w:val="004E3F4E"/>
    <w:rsid w:val="004E4032"/>
    <w:rsid w:val="004E45F6"/>
    <w:rsid w:val="004E46F8"/>
    <w:rsid w:val="004E4A07"/>
    <w:rsid w:val="004E50C8"/>
    <w:rsid w:val="004E5E26"/>
    <w:rsid w:val="004E6519"/>
    <w:rsid w:val="004E653E"/>
    <w:rsid w:val="004E65DE"/>
    <w:rsid w:val="004E65F5"/>
    <w:rsid w:val="004E665F"/>
    <w:rsid w:val="004E6728"/>
    <w:rsid w:val="004E6FFF"/>
    <w:rsid w:val="004E72EA"/>
    <w:rsid w:val="004E7515"/>
    <w:rsid w:val="004E7DAA"/>
    <w:rsid w:val="004F00B0"/>
    <w:rsid w:val="004F02A3"/>
    <w:rsid w:val="004F09EF"/>
    <w:rsid w:val="004F09F2"/>
    <w:rsid w:val="004F0A75"/>
    <w:rsid w:val="004F0FC8"/>
    <w:rsid w:val="004F135E"/>
    <w:rsid w:val="004F1484"/>
    <w:rsid w:val="004F18B1"/>
    <w:rsid w:val="004F1AB6"/>
    <w:rsid w:val="004F1BF7"/>
    <w:rsid w:val="004F1EBA"/>
    <w:rsid w:val="004F2339"/>
    <w:rsid w:val="004F2586"/>
    <w:rsid w:val="004F26F6"/>
    <w:rsid w:val="004F2855"/>
    <w:rsid w:val="004F28B2"/>
    <w:rsid w:val="004F2962"/>
    <w:rsid w:val="004F2D77"/>
    <w:rsid w:val="004F368A"/>
    <w:rsid w:val="004F3A80"/>
    <w:rsid w:val="004F3A8F"/>
    <w:rsid w:val="004F3E28"/>
    <w:rsid w:val="004F453F"/>
    <w:rsid w:val="004F45FF"/>
    <w:rsid w:val="004F4CA2"/>
    <w:rsid w:val="004F4EAF"/>
    <w:rsid w:val="004F52EC"/>
    <w:rsid w:val="004F580F"/>
    <w:rsid w:val="004F5816"/>
    <w:rsid w:val="004F59BA"/>
    <w:rsid w:val="004F5D78"/>
    <w:rsid w:val="004F5E55"/>
    <w:rsid w:val="004F621F"/>
    <w:rsid w:val="004F630B"/>
    <w:rsid w:val="004F6BC6"/>
    <w:rsid w:val="004F6C6A"/>
    <w:rsid w:val="004F79A6"/>
    <w:rsid w:val="004F7CD5"/>
    <w:rsid w:val="00500AFE"/>
    <w:rsid w:val="00500ECB"/>
    <w:rsid w:val="005010A5"/>
    <w:rsid w:val="0050190C"/>
    <w:rsid w:val="0050246C"/>
    <w:rsid w:val="0050249D"/>
    <w:rsid w:val="00502E23"/>
    <w:rsid w:val="00502EAE"/>
    <w:rsid w:val="005032AD"/>
    <w:rsid w:val="0050330E"/>
    <w:rsid w:val="0050354C"/>
    <w:rsid w:val="00503697"/>
    <w:rsid w:val="00503A1B"/>
    <w:rsid w:val="00504057"/>
    <w:rsid w:val="005041F6"/>
    <w:rsid w:val="00504470"/>
    <w:rsid w:val="0050476A"/>
    <w:rsid w:val="00504D3D"/>
    <w:rsid w:val="00504D7B"/>
    <w:rsid w:val="00504F7F"/>
    <w:rsid w:val="0050500F"/>
    <w:rsid w:val="00505279"/>
    <w:rsid w:val="005063E1"/>
    <w:rsid w:val="00506487"/>
    <w:rsid w:val="00506673"/>
    <w:rsid w:val="00506A53"/>
    <w:rsid w:val="00506EA3"/>
    <w:rsid w:val="005078FF"/>
    <w:rsid w:val="00507CC5"/>
    <w:rsid w:val="00507EB3"/>
    <w:rsid w:val="0051001C"/>
    <w:rsid w:val="00510080"/>
    <w:rsid w:val="005100FB"/>
    <w:rsid w:val="00510850"/>
    <w:rsid w:val="00510B5B"/>
    <w:rsid w:val="005110C1"/>
    <w:rsid w:val="005111BC"/>
    <w:rsid w:val="00511949"/>
    <w:rsid w:val="00511DD6"/>
    <w:rsid w:val="005121B3"/>
    <w:rsid w:val="0051282C"/>
    <w:rsid w:val="00512A4A"/>
    <w:rsid w:val="00512AE3"/>
    <w:rsid w:val="00513633"/>
    <w:rsid w:val="005136AB"/>
    <w:rsid w:val="005141DD"/>
    <w:rsid w:val="00514BE9"/>
    <w:rsid w:val="00514F04"/>
    <w:rsid w:val="00514F77"/>
    <w:rsid w:val="00514FEB"/>
    <w:rsid w:val="005153F4"/>
    <w:rsid w:val="00515604"/>
    <w:rsid w:val="00515BEB"/>
    <w:rsid w:val="00515FF3"/>
    <w:rsid w:val="00516AC8"/>
    <w:rsid w:val="00516BBB"/>
    <w:rsid w:val="00517222"/>
    <w:rsid w:val="00517D46"/>
    <w:rsid w:val="00517DBB"/>
    <w:rsid w:val="00517E08"/>
    <w:rsid w:val="005204E1"/>
    <w:rsid w:val="00520650"/>
    <w:rsid w:val="005208D6"/>
    <w:rsid w:val="00520D70"/>
    <w:rsid w:val="00520FF4"/>
    <w:rsid w:val="005213D9"/>
    <w:rsid w:val="0052168D"/>
    <w:rsid w:val="005218BA"/>
    <w:rsid w:val="0052194A"/>
    <w:rsid w:val="00521AEF"/>
    <w:rsid w:val="00521E07"/>
    <w:rsid w:val="005229E8"/>
    <w:rsid w:val="00523496"/>
    <w:rsid w:val="00523CCB"/>
    <w:rsid w:val="00523E83"/>
    <w:rsid w:val="00523F2A"/>
    <w:rsid w:val="00523FC2"/>
    <w:rsid w:val="00523FFB"/>
    <w:rsid w:val="005240F7"/>
    <w:rsid w:val="00524157"/>
    <w:rsid w:val="0052458E"/>
    <w:rsid w:val="005248BB"/>
    <w:rsid w:val="00524A79"/>
    <w:rsid w:val="00524D13"/>
    <w:rsid w:val="00524EB7"/>
    <w:rsid w:val="00525114"/>
    <w:rsid w:val="00525B4B"/>
    <w:rsid w:val="00525D8A"/>
    <w:rsid w:val="00526682"/>
    <w:rsid w:val="00526739"/>
    <w:rsid w:val="00526A43"/>
    <w:rsid w:val="00526BBB"/>
    <w:rsid w:val="00526D7B"/>
    <w:rsid w:val="00526E39"/>
    <w:rsid w:val="00526FCE"/>
    <w:rsid w:val="0052767F"/>
    <w:rsid w:val="005278B7"/>
    <w:rsid w:val="00527BC7"/>
    <w:rsid w:val="00527D1C"/>
    <w:rsid w:val="00527EA0"/>
    <w:rsid w:val="005305AD"/>
    <w:rsid w:val="005308A5"/>
    <w:rsid w:val="00530EB1"/>
    <w:rsid w:val="00530FF9"/>
    <w:rsid w:val="005314BD"/>
    <w:rsid w:val="005314E9"/>
    <w:rsid w:val="00531723"/>
    <w:rsid w:val="00531836"/>
    <w:rsid w:val="00531D47"/>
    <w:rsid w:val="00531E2F"/>
    <w:rsid w:val="00531F99"/>
    <w:rsid w:val="00532022"/>
    <w:rsid w:val="005321DC"/>
    <w:rsid w:val="00532217"/>
    <w:rsid w:val="0053275E"/>
    <w:rsid w:val="00532A0C"/>
    <w:rsid w:val="00532C62"/>
    <w:rsid w:val="0053324F"/>
    <w:rsid w:val="005332F6"/>
    <w:rsid w:val="005334B2"/>
    <w:rsid w:val="0053359C"/>
    <w:rsid w:val="005335CF"/>
    <w:rsid w:val="00533714"/>
    <w:rsid w:val="00533F7C"/>
    <w:rsid w:val="005342E8"/>
    <w:rsid w:val="005343E5"/>
    <w:rsid w:val="00534488"/>
    <w:rsid w:val="0053531B"/>
    <w:rsid w:val="0053551A"/>
    <w:rsid w:val="005369A4"/>
    <w:rsid w:val="00536FBC"/>
    <w:rsid w:val="00537153"/>
    <w:rsid w:val="00537370"/>
    <w:rsid w:val="00537B55"/>
    <w:rsid w:val="00540B8D"/>
    <w:rsid w:val="00540BBC"/>
    <w:rsid w:val="005411D6"/>
    <w:rsid w:val="005417FE"/>
    <w:rsid w:val="00541930"/>
    <w:rsid w:val="00541EF9"/>
    <w:rsid w:val="0054318A"/>
    <w:rsid w:val="005431CF"/>
    <w:rsid w:val="0054368D"/>
    <w:rsid w:val="0054375D"/>
    <w:rsid w:val="00543D0A"/>
    <w:rsid w:val="00544470"/>
    <w:rsid w:val="00544974"/>
    <w:rsid w:val="005449A4"/>
    <w:rsid w:val="00544FB9"/>
    <w:rsid w:val="005450C6"/>
    <w:rsid w:val="005454F3"/>
    <w:rsid w:val="00545568"/>
    <w:rsid w:val="005455E5"/>
    <w:rsid w:val="005456DB"/>
    <w:rsid w:val="0054602D"/>
    <w:rsid w:val="0054679E"/>
    <w:rsid w:val="0054681B"/>
    <w:rsid w:val="005469CB"/>
    <w:rsid w:val="00546DA2"/>
    <w:rsid w:val="00546FBF"/>
    <w:rsid w:val="005473F1"/>
    <w:rsid w:val="0054779A"/>
    <w:rsid w:val="00547893"/>
    <w:rsid w:val="00547B71"/>
    <w:rsid w:val="00547BA1"/>
    <w:rsid w:val="00547C19"/>
    <w:rsid w:val="00550594"/>
    <w:rsid w:val="005506C9"/>
    <w:rsid w:val="00551585"/>
    <w:rsid w:val="00551756"/>
    <w:rsid w:val="00551DDF"/>
    <w:rsid w:val="00552C0B"/>
    <w:rsid w:val="00552F1B"/>
    <w:rsid w:val="00553704"/>
    <w:rsid w:val="00553A40"/>
    <w:rsid w:val="00553F3F"/>
    <w:rsid w:val="00554080"/>
    <w:rsid w:val="005542BD"/>
    <w:rsid w:val="0055440E"/>
    <w:rsid w:val="00554650"/>
    <w:rsid w:val="00554690"/>
    <w:rsid w:val="005556CE"/>
    <w:rsid w:val="00555B5A"/>
    <w:rsid w:val="00556101"/>
    <w:rsid w:val="005561A5"/>
    <w:rsid w:val="0055671C"/>
    <w:rsid w:val="00556BF5"/>
    <w:rsid w:val="00556F74"/>
    <w:rsid w:val="0055703D"/>
    <w:rsid w:val="00557C90"/>
    <w:rsid w:val="00557CB1"/>
    <w:rsid w:val="0056011F"/>
    <w:rsid w:val="0056086A"/>
    <w:rsid w:val="0056091E"/>
    <w:rsid w:val="00560A14"/>
    <w:rsid w:val="0056105A"/>
    <w:rsid w:val="00561371"/>
    <w:rsid w:val="005614A3"/>
    <w:rsid w:val="00561575"/>
    <w:rsid w:val="0056172D"/>
    <w:rsid w:val="005622B2"/>
    <w:rsid w:val="0056239F"/>
    <w:rsid w:val="005625B8"/>
    <w:rsid w:val="00562921"/>
    <w:rsid w:val="00562937"/>
    <w:rsid w:val="00562EB8"/>
    <w:rsid w:val="005631EB"/>
    <w:rsid w:val="0056320A"/>
    <w:rsid w:val="005632AA"/>
    <w:rsid w:val="005635F3"/>
    <w:rsid w:val="00563634"/>
    <w:rsid w:val="00563792"/>
    <w:rsid w:val="00563818"/>
    <w:rsid w:val="00563D80"/>
    <w:rsid w:val="00564073"/>
    <w:rsid w:val="0056411C"/>
    <w:rsid w:val="005645B1"/>
    <w:rsid w:val="00564968"/>
    <w:rsid w:val="00564C51"/>
    <w:rsid w:val="00564C92"/>
    <w:rsid w:val="00564DA4"/>
    <w:rsid w:val="005650A4"/>
    <w:rsid w:val="005650B6"/>
    <w:rsid w:val="005651D7"/>
    <w:rsid w:val="00565B4C"/>
    <w:rsid w:val="005663FF"/>
    <w:rsid w:val="0056644F"/>
    <w:rsid w:val="00566704"/>
    <w:rsid w:val="00566D76"/>
    <w:rsid w:val="00567100"/>
    <w:rsid w:val="005677E5"/>
    <w:rsid w:val="00567B1B"/>
    <w:rsid w:val="00567B8B"/>
    <w:rsid w:val="00567D4C"/>
    <w:rsid w:val="00570082"/>
    <w:rsid w:val="0057010A"/>
    <w:rsid w:val="005708F4"/>
    <w:rsid w:val="00570D24"/>
    <w:rsid w:val="00570D6D"/>
    <w:rsid w:val="00570F1F"/>
    <w:rsid w:val="005713DB"/>
    <w:rsid w:val="0057158C"/>
    <w:rsid w:val="005719E3"/>
    <w:rsid w:val="00571A24"/>
    <w:rsid w:val="00571A53"/>
    <w:rsid w:val="00571ECF"/>
    <w:rsid w:val="00571FC8"/>
    <w:rsid w:val="00572379"/>
    <w:rsid w:val="00572428"/>
    <w:rsid w:val="00572620"/>
    <w:rsid w:val="00572646"/>
    <w:rsid w:val="00572956"/>
    <w:rsid w:val="00572A60"/>
    <w:rsid w:val="00572AD0"/>
    <w:rsid w:val="00572EAB"/>
    <w:rsid w:val="00572FF8"/>
    <w:rsid w:val="00573126"/>
    <w:rsid w:val="00573485"/>
    <w:rsid w:val="0057349C"/>
    <w:rsid w:val="00573E19"/>
    <w:rsid w:val="00574359"/>
    <w:rsid w:val="00574C1A"/>
    <w:rsid w:val="00575574"/>
    <w:rsid w:val="00575731"/>
    <w:rsid w:val="00575A2F"/>
    <w:rsid w:val="00575C20"/>
    <w:rsid w:val="005760A9"/>
    <w:rsid w:val="005760B2"/>
    <w:rsid w:val="0057630C"/>
    <w:rsid w:val="00576673"/>
    <w:rsid w:val="005769B0"/>
    <w:rsid w:val="00576ACF"/>
    <w:rsid w:val="00576ADA"/>
    <w:rsid w:val="005773FC"/>
    <w:rsid w:val="00577A3E"/>
    <w:rsid w:val="00577AC7"/>
    <w:rsid w:val="005801FE"/>
    <w:rsid w:val="005808F1"/>
    <w:rsid w:val="00580EEB"/>
    <w:rsid w:val="00580FCF"/>
    <w:rsid w:val="005812EB"/>
    <w:rsid w:val="0058166F"/>
    <w:rsid w:val="0058187C"/>
    <w:rsid w:val="0058195A"/>
    <w:rsid w:val="00581BAF"/>
    <w:rsid w:val="00581EF9"/>
    <w:rsid w:val="0058235A"/>
    <w:rsid w:val="005825F7"/>
    <w:rsid w:val="005828CE"/>
    <w:rsid w:val="005829F7"/>
    <w:rsid w:val="00582C22"/>
    <w:rsid w:val="0058365F"/>
    <w:rsid w:val="00583673"/>
    <w:rsid w:val="00583B34"/>
    <w:rsid w:val="00583C0D"/>
    <w:rsid w:val="00583D08"/>
    <w:rsid w:val="00583E39"/>
    <w:rsid w:val="00583F11"/>
    <w:rsid w:val="00584380"/>
    <w:rsid w:val="00584867"/>
    <w:rsid w:val="00584E74"/>
    <w:rsid w:val="005854AD"/>
    <w:rsid w:val="005857CC"/>
    <w:rsid w:val="00585887"/>
    <w:rsid w:val="00585DAB"/>
    <w:rsid w:val="00585DBB"/>
    <w:rsid w:val="00585FE0"/>
    <w:rsid w:val="005860B2"/>
    <w:rsid w:val="0058619C"/>
    <w:rsid w:val="00586437"/>
    <w:rsid w:val="005864E7"/>
    <w:rsid w:val="00586EC9"/>
    <w:rsid w:val="00587039"/>
    <w:rsid w:val="005872B0"/>
    <w:rsid w:val="00587309"/>
    <w:rsid w:val="00587357"/>
    <w:rsid w:val="0058777C"/>
    <w:rsid w:val="00587BE7"/>
    <w:rsid w:val="00587CBC"/>
    <w:rsid w:val="00587F92"/>
    <w:rsid w:val="005900D7"/>
    <w:rsid w:val="005902D3"/>
    <w:rsid w:val="0059055A"/>
    <w:rsid w:val="005909DC"/>
    <w:rsid w:val="00590ACC"/>
    <w:rsid w:val="00590C8D"/>
    <w:rsid w:val="005910EE"/>
    <w:rsid w:val="005912EA"/>
    <w:rsid w:val="00591FBE"/>
    <w:rsid w:val="0059237F"/>
    <w:rsid w:val="00592E83"/>
    <w:rsid w:val="00593263"/>
    <w:rsid w:val="005934D8"/>
    <w:rsid w:val="005938E1"/>
    <w:rsid w:val="00593AA2"/>
    <w:rsid w:val="00593B76"/>
    <w:rsid w:val="00594198"/>
    <w:rsid w:val="00594369"/>
    <w:rsid w:val="005945B1"/>
    <w:rsid w:val="005947E4"/>
    <w:rsid w:val="0059486E"/>
    <w:rsid w:val="00594941"/>
    <w:rsid w:val="00594A73"/>
    <w:rsid w:val="00594B20"/>
    <w:rsid w:val="00595A44"/>
    <w:rsid w:val="00595DF1"/>
    <w:rsid w:val="00595E3A"/>
    <w:rsid w:val="00595EB2"/>
    <w:rsid w:val="00596524"/>
    <w:rsid w:val="005965A5"/>
    <w:rsid w:val="005966F5"/>
    <w:rsid w:val="00596767"/>
    <w:rsid w:val="00596AC4"/>
    <w:rsid w:val="00596AFD"/>
    <w:rsid w:val="00597034"/>
    <w:rsid w:val="00597178"/>
    <w:rsid w:val="0059790F"/>
    <w:rsid w:val="00597C22"/>
    <w:rsid w:val="00597D33"/>
    <w:rsid w:val="00597D35"/>
    <w:rsid w:val="005A0B75"/>
    <w:rsid w:val="005A0C4A"/>
    <w:rsid w:val="005A0E92"/>
    <w:rsid w:val="005A1DAB"/>
    <w:rsid w:val="005A1EE4"/>
    <w:rsid w:val="005A24F3"/>
    <w:rsid w:val="005A2511"/>
    <w:rsid w:val="005A33B8"/>
    <w:rsid w:val="005A35EB"/>
    <w:rsid w:val="005A3E87"/>
    <w:rsid w:val="005A40EC"/>
    <w:rsid w:val="005A4114"/>
    <w:rsid w:val="005A44C5"/>
    <w:rsid w:val="005A4603"/>
    <w:rsid w:val="005A4A36"/>
    <w:rsid w:val="005A4AAB"/>
    <w:rsid w:val="005A4FBA"/>
    <w:rsid w:val="005A508F"/>
    <w:rsid w:val="005A5375"/>
    <w:rsid w:val="005A53BD"/>
    <w:rsid w:val="005A563D"/>
    <w:rsid w:val="005A67CB"/>
    <w:rsid w:val="005A6864"/>
    <w:rsid w:val="005A6D6D"/>
    <w:rsid w:val="005A714E"/>
    <w:rsid w:val="005A7264"/>
    <w:rsid w:val="005A7977"/>
    <w:rsid w:val="005A7DB6"/>
    <w:rsid w:val="005A7F0C"/>
    <w:rsid w:val="005B0011"/>
    <w:rsid w:val="005B029D"/>
    <w:rsid w:val="005B063A"/>
    <w:rsid w:val="005B09A1"/>
    <w:rsid w:val="005B0C9D"/>
    <w:rsid w:val="005B0CB5"/>
    <w:rsid w:val="005B0FEB"/>
    <w:rsid w:val="005B1601"/>
    <w:rsid w:val="005B1C04"/>
    <w:rsid w:val="005B1E1B"/>
    <w:rsid w:val="005B1FD9"/>
    <w:rsid w:val="005B211E"/>
    <w:rsid w:val="005B2390"/>
    <w:rsid w:val="005B2417"/>
    <w:rsid w:val="005B2D94"/>
    <w:rsid w:val="005B32AC"/>
    <w:rsid w:val="005B359C"/>
    <w:rsid w:val="005B370B"/>
    <w:rsid w:val="005B416D"/>
    <w:rsid w:val="005B41F5"/>
    <w:rsid w:val="005B426C"/>
    <w:rsid w:val="005B4CB4"/>
    <w:rsid w:val="005B4CEC"/>
    <w:rsid w:val="005B4CFC"/>
    <w:rsid w:val="005B4EE3"/>
    <w:rsid w:val="005B58B0"/>
    <w:rsid w:val="005B58E0"/>
    <w:rsid w:val="005B5CBC"/>
    <w:rsid w:val="005B6374"/>
    <w:rsid w:val="005B6476"/>
    <w:rsid w:val="005B6566"/>
    <w:rsid w:val="005B7654"/>
    <w:rsid w:val="005B7708"/>
    <w:rsid w:val="005B7979"/>
    <w:rsid w:val="005B7AFE"/>
    <w:rsid w:val="005C0298"/>
    <w:rsid w:val="005C0769"/>
    <w:rsid w:val="005C07E8"/>
    <w:rsid w:val="005C083F"/>
    <w:rsid w:val="005C1039"/>
    <w:rsid w:val="005C1587"/>
    <w:rsid w:val="005C161C"/>
    <w:rsid w:val="005C1C7F"/>
    <w:rsid w:val="005C1DB2"/>
    <w:rsid w:val="005C1E96"/>
    <w:rsid w:val="005C21DC"/>
    <w:rsid w:val="005C2DB8"/>
    <w:rsid w:val="005C300F"/>
    <w:rsid w:val="005C30CD"/>
    <w:rsid w:val="005C3277"/>
    <w:rsid w:val="005C360A"/>
    <w:rsid w:val="005C36F1"/>
    <w:rsid w:val="005C38D7"/>
    <w:rsid w:val="005C3D17"/>
    <w:rsid w:val="005C3F69"/>
    <w:rsid w:val="005C416E"/>
    <w:rsid w:val="005C42C9"/>
    <w:rsid w:val="005C48F5"/>
    <w:rsid w:val="005C4BA6"/>
    <w:rsid w:val="005C4E15"/>
    <w:rsid w:val="005C5393"/>
    <w:rsid w:val="005C5634"/>
    <w:rsid w:val="005C5668"/>
    <w:rsid w:val="005C5718"/>
    <w:rsid w:val="005C591E"/>
    <w:rsid w:val="005C5A3E"/>
    <w:rsid w:val="005C6236"/>
    <w:rsid w:val="005C6246"/>
    <w:rsid w:val="005C6C79"/>
    <w:rsid w:val="005C6ECA"/>
    <w:rsid w:val="005C70A5"/>
    <w:rsid w:val="005C738A"/>
    <w:rsid w:val="005C741B"/>
    <w:rsid w:val="005C756A"/>
    <w:rsid w:val="005C7FFC"/>
    <w:rsid w:val="005D0254"/>
    <w:rsid w:val="005D03A1"/>
    <w:rsid w:val="005D054F"/>
    <w:rsid w:val="005D089E"/>
    <w:rsid w:val="005D0959"/>
    <w:rsid w:val="005D0B86"/>
    <w:rsid w:val="005D0CA8"/>
    <w:rsid w:val="005D143F"/>
    <w:rsid w:val="005D1578"/>
    <w:rsid w:val="005D1DC3"/>
    <w:rsid w:val="005D221C"/>
    <w:rsid w:val="005D289F"/>
    <w:rsid w:val="005D28B2"/>
    <w:rsid w:val="005D2A43"/>
    <w:rsid w:val="005D2B27"/>
    <w:rsid w:val="005D3900"/>
    <w:rsid w:val="005D394E"/>
    <w:rsid w:val="005D3B39"/>
    <w:rsid w:val="005D4162"/>
    <w:rsid w:val="005D4267"/>
    <w:rsid w:val="005D4FD5"/>
    <w:rsid w:val="005D5A2E"/>
    <w:rsid w:val="005D6307"/>
    <w:rsid w:val="005D6559"/>
    <w:rsid w:val="005D6820"/>
    <w:rsid w:val="005D6DED"/>
    <w:rsid w:val="005D6EA0"/>
    <w:rsid w:val="005D74CE"/>
    <w:rsid w:val="005D7652"/>
    <w:rsid w:val="005D79C3"/>
    <w:rsid w:val="005D7B40"/>
    <w:rsid w:val="005D7CA4"/>
    <w:rsid w:val="005D7D3B"/>
    <w:rsid w:val="005D7FA9"/>
    <w:rsid w:val="005E0C52"/>
    <w:rsid w:val="005E18CD"/>
    <w:rsid w:val="005E1F6C"/>
    <w:rsid w:val="005E205B"/>
    <w:rsid w:val="005E3287"/>
    <w:rsid w:val="005E347D"/>
    <w:rsid w:val="005E3D48"/>
    <w:rsid w:val="005E4298"/>
    <w:rsid w:val="005E4740"/>
    <w:rsid w:val="005E4993"/>
    <w:rsid w:val="005E4999"/>
    <w:rsid w:val="005E4E76"/>
    <w:rsid w:val="005E551E"/>
    <w:rsid w:val="005E58A5"/>
    <w:rsid w:val="005E5A4E"/>
    <w:rsid w:val="005E5C2A"/>
    <w:rsid w:val="005E5D4B"/>
    <w:rsid w:val="005E6D2A"/>
    <w:rsid w:val="005E700A"/>
    <w:rsid w:val="005E7947"/>
    <w:rsid w:val="005E7B36"/>
    <w:rsid w:val="005E7C6B"/>
    <w:rsid w:val="005E7CE6"/>
    <w:rsid w:val="005F02E6"/>
    <w:rsid w:val="005F0474"/>
    <w:rsid w:val="005F06C4"/>
    <w:rsid w:val="005F0B74"/>
    <w:rsid w:val="005F100A"/>
    <w:rsid w:val="005F10F1"/>
    <w:rsid w:val="005F1911"/>
    <w:rsid w:val="005F1E62"/>
    <w:rsid w:val="005F224C"/>
    <w:rsid w:val="005F26C0"/>
    <w:rsid w:val="005F28B3"/>
    <w:rsid w:val="005F2CBA"/>
    <w:rsid w:val="005F3216"/>
    <w:rsid w:val="005F349F"/>
    <w:rsid w:val="005F3785"/>
    <w:rsid w:val="005F3C3F"/>
    <w:rsid w:val="005F413E"/>
    <w:rsid w:val="005F41F1"/>
    <w:rsid w:val="005F439C"/>
    <w:rsid w:val="005F48EF"/>
    <w:rsid w:val="005F4969"/>
    <w:rsid w:val="005F49BB"/>
    <w:rsid w:val="005F4A45"/>
    <w:rsid w:val="005F4B5B"/>
    <w:rsid w:val="005F4C5A"/>
    <w:rsid w:val="005F4CD0"/>
    <w:rsid w:val="005F4DFE"/>
    <w:rsid w:val="005F4EF9"/>
    <w:rsid w:val="005F4F1E"/>
    <w:rsid w:val="005F513B"/>
    <w:rsid w:val="005F546E"/>
    <w:rsid w:val="005F61FC"/>
    <w:rsid w:val="005F63CA"/>
    <w:rsid w:val="005F6456"/>
    <w:rsid w:val="005F6A6F"/>
    <w:rsid w:val="005F7665"/>
    <w:rsid w:val="00600145"/>
    <w:rsid w:val="0060025D"/>
    <w:rsid w:val="0060026A"/>
    <w:rsid w:val="006003CD"/>
    <w:rsid w:val="0060076E"/>
    <w:rsid w:val="00600B21"/>
    <w:rsid w:val="0060148C"/>
    <w:rsid w:val="006015AE"/>
    <w:rsid w:val="006017B1"/>
    <w:rsid w:val="00601AD2"/>
    <w:rsid w:val="00601CAB"/>
    <w:rsid w:val="00601FAB"/>
    <w:rsid w:val="006026AA"/>
    <w:rsid w:val="00602DF2"/>
    <w:rsid w:val="00603022"/>
    <w:rsid w:val="0060353E"/>
    <w:rsid w:val="00603733"/>
    <w:rsid w:val="00603A82"/>
    <w:rsid w:val="0060460E"/>
    <w:rsid w:val="00604F9D"/>
    <w:rsid w:val="006055BD"/>
    <w:rsid w:val="00606562"/>
    <w:rsid w:val="0060685F"/>
    <w:rsid w:val="00606959"/>
    <w:rsid w:val="00607066"/>
    <w:rsid w:val="00607197"/>
    <w:rsid w:val="00607972"/>
    <w:rsid w:val="00607A16"/>
    <w:rsid w:val="00607DF4"/>
    <w:rsid w:val="006100BC"/>
    <w:rsid w:val="006103D2"/>
    <w:rsid w:val="006109F8"/>
    <w:rsid w:val="00610A84"/>
    <w:rsid w:val="00612A3D"/>
    <w:rsid w:val="00612AF4"/>
    <w:rsid w:val="00612F08"/>
    <w:rsid w:val="00612F2A"/>
    <w:rsid w:val="006131C9"/>
    <w:rsid w:val="0061384A"/>
    <w:rsid w:val="00613A9E"/>
    <w:rsid w:val="00613BC4"/>
    <w:rsid w:val="00613DDA"/>
    <w:rsid w:val="00613DE4"/>
    <w:rsid w:val="006147EA"/>
    <w:rsid w:val="006148E5"/>
    <w:rsid w:val="006149C8"/>
    <w:rsid w:val="0061551C"/>
    <w:rsid w:val="006155EA"/>
    <w:rsid w:val="006157F8"/>
    <w:rsid w:val="0061582F"/>
    <w:rsid w:val="006163C3"/>
    <w:rsid w:val="0061692C"/>
    <w:rsid w:val="0061699D"/>
    <w:rsid w:val="00616B1F"/>
    <w:rsid w:val="00616D6C"/>
    <w:rsid w:val="00616DF5"/>
    <w:rsid w:val="00616DFC"/>
    <w:rsid w:val="0061713A"/>
    <w:rsid w:val="006174DA"/>
    <w:rsid w:val="0062029F"/>
    <w:rsid w:val="00620387"/>
    <w:rsid w:val="006209AC"/>
    <w:rsid w:val="00620CAA"/>
    <w:rsid w:val="00620EC7"/>
    <w:rsid w:val="00621128"/>
    <w:rsid w:val="00621CE9"/>
    <w:rsid w:val="006221A9"/>
    <w:rsid w:val="006223EE"/>
    <w:rsid w:val="0062249A"/>
    <w:rsid w:val="0062249B"/>
    <w:rsid w:val="00622B77"/>
    <w:rsid w:val="00622D46"/>
    <w:rsid w:val="00623075"/>
    <w:rsid w:val="00623582"/>
    <w:rsid w:val="00623728"/>
    <w:rsid w:val="00623910"/>
    <w:rsid w:val="00623AF2"/>
    <w:rsid w:val="00623DEE"/>
    <w:rsid w:val="00623E3C"/>
    <w:rsid w:val="00624000"/>
    <w:rsid w:val="00624058"/>
    <w:rsid w:val="006247DC"/>
    <w:rsid w:val="00624A27"/>
    <w:rsid w:val="00624D74"/>
    <w:rsid w:val="006253AB"/>
    <w:rsid w:val="00625CFE"/>
    <w:rsid w:val="00625E16"/>
    <w:rsid w:val="00626327"/>
    <w:rsid w:val="00626837"/>
    <w:rsid w:val="0062716D"/>
    <w:rsid w:val="006271B1"/>
    <w:rsid w:val="00627AF2"/>
    <w:rsid w:val="00627C19"/>
    <w:rsid w:val="006308CF"/>
    <w:rsid w:val="00630E11"/>
    <w:rsid w:val="00631523"/>
    <w:rsid w:val="006315B1"/>
    <w:rsid w:val="00631658"/>
    <w:rsid w:val="006317E5"/>
    <w:rsid w:val="00631DD6"/>
    <w:rsid w:val="006322CC"/>
    <w:rsid w:val="00632348"/>
    <w:rsid w:val="00632824"/>
    <w:rsid w:val="006328A8"/>
    <w:rsid w:val="00632ACC"/>
    <w:rsid w:val="00632F94"/>
    <w:rsid w:val="006335CE"/>
    <w:rsid w:val="006336A2"/>
    <w:rsid w:val="00633799"/>
    <w:rsid w:val="00633A74"/>
    <w:rsid w:val="00633BDE"/>
    <w:rsid w:val="00634267"/>
    <w:rsid w:val="0063448B"/>
    <w:rsid w:val="006347C2"/>
    <w:rsid w:val="006348DC"/>
    <w:rsid w:val="00634FB5"/>
    <w:rsid w:val="0063524E"/>
    <w:rsid w:val="00635445"/>
    <w:rsid w:val="006354BE"/>
    <w:rsid w:val="0063632F"/>
    <w:rsid w:val="0063647B"/>
    <w:rsid w:val="00636493"/>
    <w:rsid w:val="006364DF"/>
    <w:rsid w:val="00637294"/>
    <w:rsid w:val="0063796F"/>
    <w:rsid w:val="00640127"/>
    <w:rsid w:val="006402EC"/>
    <w:rsid w:val="00640A01"/>
    <w:rsid w:val="0064125F"/>
    <w:rsid w:val="00641533"/>
    <w:rsid w:val="00641633"/>
    <w:rsid w:val="006416A2"/>
    <w:rsid w:val="006419A8"/>
    <w:rsid w:val="00641D07"/>
    <w:rsid w:val="00641D0D"/>
    <w:rsid w:val="00641D39"/>
    <w:rsid w:val="00641F44"/>
    <w:rsid w:val="006426D3"/>
    <w:rsid w:val="006429C2"/>
    <w:rsid w:val="006434AD"/>
    <w:rsid w:val="00643788"/>
    <w:rsid w:val="00643B82"/>
    <w:rsid w:val="00643F47"/>
    <w:rsid w:val="0064410A"/>
    <w:rsid w:val="006444DD"/>
    <w:rsid w:val="00644569"/>
    <w:rsid w:val="00644BF6"/>
    <w:rsid w:val="00644D41"/>
    <w:rsid w:val="00645031"/>
    <w:rsid w:val="006454C8"/>
    <w:rsid w:val="00645B8B"/>
    <w:rsid w:val="00646483"/>
    <w:rsid w:val="00646535"/>
    <w:rsid w:val="006467D6"/>
    <w:rsid w:val="00647018"/>
    <w:rsid w:val="006470FF"/>
    <w:rsid w:val="00647A25"/>
    <w:rsid w:val="0065044A"/>
    <w:rsid w:val="0065046B"/>
    <w:rsid w:val="006507CB"/>
    <w:rsid w:val="00650987"/>
    <w:rsid w:val="00650BB7"/>
    <w:rsid w:val="00650C56"/>
    <w:rsid w:val="00650D46"/>
    <w:rsid w:val="00651459"/>
    <w:rsid w:val="006519A5"/>
    <w:rsid w:val="00651E47"/>
    <w:rsid w:val="006520E9"/>
    <w:rsid w:val="00652858"/>
    <w:rsid w:val="0065291A"/>
    <w:rsid w:val="00652C39"/>
    <w:rsid w:val="0065340F"/>
    <w:rsid w:val="006534C8"/>
    <w:rsid w:val="00653627"/>
    <w:rsid w:val="00653801"/>
    <w:rsid w:val="00653DA4"/>
    <w:rsid w:val="00653DB5"/>
    <w:rsid w:val="006547EA"/>
    <w:rsid w:val="006558DC"/>
    <w:rsid w:val="00655F44"/>
    <w:rsid w:val="00656B27"/>
    <w:rsid w:val="00656D97"/>
    <w:rsid w:val="006577AF"/>
    <w:rsid w:val="00657A3A"/>
    <w:rsid w:val="00657AFC"/>
    <w:rsid w:val="00657B70"/>
    <w:rsid w:val="00657F8B"/>
    <w:rsid w:val="00660401"/>
    <w:rsid w:val="006607B6"/>
    <w:rsid w:val="006618FC"/>
    <w:rsid w:val="006619BF"/>
    <w:rsid w:val="00662BBD"/>
    <w:rsid w:val="0066346B"/>
    <w:rsid w:val="00663565"/>
    <w:rsid w:val="0066394D"/>
    <w:rsid w:val="00663D00"/>
    <w:rsid w:val="00663E86"/>
    <w:rsid w:val="00663F95"/>
    <w:rsid w:val="00663FA0"/>
    <w:rsid w:val="0066410F"/>
    <w:rsid w:val="0066423C"/>
    <w:rsid w:val="00664C51"/>
    <w:rsid w:val="00664D9A"/>
    <w:rsid w:val="006650E6"/>
    <w:rsid w:val="00665BFB"/>
    <w:rsid w:val="00666148"/>
    <w:rsid w:val="00666206"/>
    <w:rsid w:val="00667134"/>
    <w:rsid w:val="00667181"/>
    <w:rsid w:val="0066744E"/>
    <w:rsid w:val="00667460"/>
    <w:rsid w:val="006679D6"/>
    <w:rsid w:val="00670877"/>
    <w:rsid w:val="00670A8C"/>
    <w:rsid w:val="0067140D"/>
    <w:rsid w:val="00671715"/>
    <w:rsid w:val="00671B7E"/>
    <w:rsid w:val="00672347"/>
    <w:rsid w:val="0067239A"/>
    <w:rsid w:val="00672791"/>
    <w:rsid w:val="00673086"/>
    <w:rsid w:val="00673630"/>
    <w:rsid w:val="00674458"/>
    <w:rsid w:val="006745C6"/>
    <w:rsid w:val="006746F9"/>
    <w:rsid w:val="00674719"/>
    <w:rsid w:val="006752DC"/>
    <w:rsid w:val="0067592E"/>
    <w:rsid w:val="00676199"/>
    <w:rsid w:val="006767BC"/>
    <w:rsid w:val="00676E1D"/>
    <w:rsid w:val="00677427"/>
    <w:rsid w:val="006779B2"/>
    <w:rsid w:val="00677BD7"/>
    <w:rsid w:val="00677ECC"/>
    <w:rsid w:val="006808FC"/>
    <w:rsid w:val="00681025"/>
    <w:rsid w:val="00681123"/>
    <w:rsid w:val="00681456"/>
    <w:rsid w:val="006816C7"/>
    <w:rsid w:val="006819C7"/>
    <w:rsid w:val="006819DB"/>
    <w:rsid w:val="00681D75"/>
    <w:rsid w:val="006820EA"/>
    <w:rsid w:val="0068242E"/>
    <w:rsid w:val="006826CE"/>
    <w:rsid w:val="006827B9"/>
    <w:rsid w:val="00682E86"/>
    <w:rsid w:val="00682FD5"/>
    <w:rsid w:val="00683058"/>
    <w:rsid w:val="0068334B"/>
    <w:rsid w:val="00684123"/>
    <w:rsid w:val="006841C3"/>
    <w:rsid w:val="00684BAF"/>
    <w:rsid w:val="00684C84"/>
    <w:rsid w:val="00684E30"/>
    <w:rsid w:val="00684E41"/>
    <w:rsid w:val="00684E6C"/>
    <w:rsid w:val="0068534B"/>
    <w:rsid w:val="006854CF"/>
    <w:rsid w:val="006856A4"/>
    <w:rsid w:val="00685AAD"/>
    <w:rsid w:val="00685DAC"/>
    <w:rsid w:val="00686203"/>
    <w:rsid w:val="006862D6"/>
    <w:rsid w:val="00686393"/>
    <w:rsid w:val="00686535"/>
    <w:rsid w:val="00686967"/>
    <w:rsid w:val="00686F49"/>
    <w:rsid w:val="006901FD"/>
    <w:rsid w:val="00690D1C"/>
    <w:rsid w:val="00691311"/>
    <w:rsid w:val="0069151E"/>
    <w:rsid w:val="0069182C"/>
    <w:rsid w:val="0069193D"/>
    <w:rsid w:val="00691F51"/>
    <w:rsid w:val="0069219D"/>
    <w:rsid w:val="00692646"/>
    <w:rsid w:val="00692B3F"/>
    <w:rsid w:val="00692C8E"/>
    <w:rsid w:val="006931BF"/>
    <w:rsid w:val="00693289"/>
    <w:rsid w:val="006938C6"/>
    <w:rsid w:val="00693B01"/>
    <w:rsid w:val="00693B0E"/>
    <w:rsid w:val="00693C79"/>
    <w:rsid w:val="00693CEB"/>
    <w:rsid w:val="00693F41"/>
    <w:rsid w:val="00694B1F"/>
    <w:rsid w:val="00694B33"/>
    <w:rsid w:val="006955D9"/>
    <w:rsid w:val="006957B5"/>
    <w:rsid w:val="00696083"/>
    <w:rsid w:val="006961F1"/>
    <w:rsid w:val="00696EBB"/>
    <w:rsid w:val="006970DE"/>
    <w:rsid w:val="006971B1"/>
    <w:rsid w:val="006973BE"/>
    <w:rsid w:val="006973F4"/>
    <w:rsid w:val="006975F5"/>
    <w:rsid w:val="00697EA4"/>
    <w:rsid w:val="00697F2E"/>
    <w:rsid w:val="006A09EA"/>
    <w:rsid w:val="006A10F2"/>
    <w:rsid w:val="006A12DF"/>
    <w:rsid w:val="006A143B"/>
    <w:rsid w:val="006A15AF"/>
    <w:rsid w:val="006A18A2"/>
    <w:rsid w:val="006A1928"/>
    <w:rsid w:val="006A1F10"/>
    <w:rsid w:val="006A2BB3"/>
    <w:rsid w:val="006A34C5"/>
    <w:rsid w:val="006A3504"/>
    <w:rsid w:val="006A3D45"/>
    <w:rsid w:val="006A46FD"/>
    <w:rsid w:val="006A4BEA"/>
    <w:rsid w:val="006A4D4E"/>
    <w:rsid w:val="006A53ED"/>
    <w:rsid w:val="006A548E"/>
    <w:rsid w:val="006A587C"/>
    <w:rsid w:val="006A588D"/>
    <w:rsid w:val="006A5E51"/>
    <w:rsid w:val="006A6233"/>
    <w:rsid w:val="006A62AA"/>
    <w:rsid w:val="006A6AFE"/>
    <w:rsid w:val="006A7405"/>
    <w:rsid w:val="006A74EB"/>
    <w:rsid w:val="006A7B0F"/>
    <w:rsid w:val="006B00BA"/>
    <w:rsid w:val="006B0267"/>
    <w:rsid w:val="006B15B5"/>
    <w:rsid w:val="006B182C"/>
    <w:rsid w:val="006B1967"/>
    <w:rsid w:val="006B21D9"/>
    <w:rsid w:val="006B24D3"/>
    <w:rsid w:val="006B3438"/>
    <w:rsid w:val="006B34B5"/>
    <w:rsid w:val="006B3AE2"/>
    <w:rsid w:val="006B3B6D"/>
    <w:rsid w:val="006B3C39"/>
    <w:rsid w:val="006B4052"/>
    <w:rsid w:val="006B4590"/>
    <w:rsid w:val="006B490C"/>
    <w:rsid w:val="006B4910"/>
    <w:rsid w:val="006B5024"/>
    <w:rsid w:val="006B519E"/>
    <w:rsid w:val="006B559A"/>
    <w:rsid w:val="006B5B25"/>
    <w:rsid w:val="006B5F87"/>
    <w:rsid w:val="006B610E"/>
    <w:rsid w:val="006B62D1"/>
    <w:rsid w:val="006B630A"/>
    <w:rsid w:val="006B6550"/>
    <w:rsid w:val="006B6A90"/>
    <w:rsid w:val="006B70A3"/>
    <w:rsid w:val="006B7F8A"/>
    <w:rsid w:val="006C0127"/>
    <w:rsid w:val="006C039F"/>
    <w:rsid w:val="006C13A2"/>
    <w:rsid w:val="006C1577"/>
    <w:rsid w:val="006C1719"/>
    <w:rsid w:val="006C1992"/>
    <w:rsid w:val="006C1D7F"/>
    <w:rsid w:val="006C20ED"/>
    <w:rsid w:val="006C2524"/>
    <w:rsid w:val="006C34E7"/>
    <w:rsid w:val="006C391F"/>
    <w:rsid w:val="006C3A3C"/>
    <w:rsid w:val="006C483F"/>
    <w:rsid w:val="006C4857"/>
    <w:rsid w:val="006C4BF0"/>
    <w:rsid w:val="006C4D29"/>
    <w:rsid w:val="006C5176"/>
    <w:rsid w:val="006C52FE"/>
    <w:rsid w:val="006C547D"/>
    <w:rsid w:val="006C58FB"/>
    <w:rsid w:val="006C5ACD"/>
    <w:rsid w:val="006C5CFE"/>
    <w:rsid w:val="006C5D21"/>
    <w:rsid w:val="006C6300"/>
    <w:rsid w:val="006C63B8"/>
    <w:rsid w:val="006C648E"/>
    <w:rsid w:val="006C6B90"/>
    <w:rsid w:val="006C6C9F"/>
    <w:rsid w:val="006C6F56"/>
    <w:rsid w:val="006C7287"/>
    <w:rsid w:val="006C779E"/>
    <w:rsid w:val="006C7A04"/>
    <w:rsid w:val="006C7B5A"/>
    <w:rsid w:val="006C7F3F"/>
    <w:rsid w:val="006D0154"/>
    <w:rsid w:val="006D112A"/>
    <w:rsid w:val="006D12B2"/>
    <w:rsid w:val="006D13A4"/>
    <w:rsid w:val="006D143B"/>
    <w:rsid w:val="006D1544"/>
    <w:rsid w:val="006D1903"/>
    <w:rsid w:val="006D1C04"/>
    <w:rsid w:val="006D1CD9"/>
    <w:rsid w:val="006D1E65"/>
    <w:rsid w:val="006D2265"/>
    <w:rsid w:val="006D23A3"/>
    <w:rsid w:val="006D2503"/>
    <w:rsid w:val="006D2CB2"/>
    <w:rsid w:val="006D30F9"/>
    <w:rsid w:val="006D3632"/>
    <w:rsid w:val="006D36B7"/>
    <w:rsid w:val="006D3954"/>
    <w:rsid w:val="006D3A49"/>
    <w:rsid w:val="006D3F3B"/>
    <w:rsid w:val="006D46E6"/>
    <w:rsid w:val="006D46E8"/>
    <w:rsid w:val="006D500E"/>
    <w:rsid w:val="006D58C4"/>
    <w:rsid w:val="006D60CC"/>
    <w:rsid w:val="006D6143"/>
    <w:rsid w:val="006D6232"/>
    <w:rsid w:val="006D7717"/>
    <w:rsid w:val="006E0495"/>
    <w:rsid w:val="006E0843"/>
    <w:rsid w:val="006E0C27"/>
    <w:rsid w:val="006E0EDB"/>
    <w:rsid w:val="006E12B0"/>
    <w:rsid w:val="006E16F1"/>
    <w:rsid w:val="006E19B7"/>
    <w:rsid w:val="006E1C53"/>
    <w:rsid w:val="006E1CC2"/>
    <w:rsid w:val="006E22F6"/>
    <w:rsid w:val="006E2B78"/>
    <w:rsid w:val="006E2DB3"/>
    <w:rsid w:val="006E2DC8"/>
    <w:rsid w:val="006E2F6D"/>
    <w:rsid w:val="006E300C"/>
    <w:rsid w:val="006E301E"/>
    <w:rsid w:val="006E322F"/>
    <w:rsid w:val="006E359B"/>
    <w:rsid w:val="006E36D3"/>
    <w:rsid w:val="006E43F2"/>
    <w:rsid w:val="006E4602"/>
    <w:rsid w:val="006E46D9"/>
    <w:rsid w:val="006E4D6E"/>
    <w:rsid w:val="006E52F1"/>
    <w:rsid w:val="006E55A8"/>
    <w:rsid w:val="006E5600"/>
    <w:rsid w:val="006E63FE"/>
    <w:rsid w:val="006E6427"/>
    <w:rsid w:val="006E6798"/>
    <w:rsid w:val="006E67A1"/>
    <w:rsid w:val="006E75BF"/>
    <w:rsid w:val="006E78F1"/>
    <w:rsid w:val="006E79E2"/>
    <w:rsid w:val="006E7E90"/>
    <w:rsid w:val="006F0999"/>
    <w:rsid w:val="006F09B5"/>
    <w:rsid w:val="006F1271"/>
    <w:rsid w:val="006F1349"/>
    <w:rsid w:val="006F14D1"/>
    <w:rsid w:val="006F1C27"/>
    <w:rsid w:val="006F1DEB"/>
    <w:rsid w:val="006F1EAA"/>
    <w:rsid w:val="006F1ED6"/>
    <w:rsid w:val="006F201F"/>
    <w:rsid w:val="006F25A7"/>
    <w:rsid w:val="006F28A8"/>
    <w:rsid w:val="006F2A3F"/>
    <w:rsid w:val="006F2C03"/>
    <w:rsid w:val="006F2C15"/>
    <w:rsid w:val="006F2E02"/>
    <w:rsid w:val="006F2E61"/>
    <w:rsid w:val="006F2EC8"/>
    <w:rsid w:val="006F2F30"/>
    <w:rsid w:val="006F35DC"/>
    <w:rsid w:val="006F3619"/>
    <w:rsid w:val="006F36EC"/>
    <w:rsid w:val="006F412C"/>
    <w:rsid w:val="006F4800"/>
    <w:rsid w:val="006F48B3"/>
    <w:rsid w:val="006F48B8"/>
    <w:rsid w:val="006F4D86"/>
    <w:rsid w:val="006F52C9"/>
    <w:rsid w:val="006F553C"/>
    <w:rsid w:val="006F5656"/>
    <w:rsid w:val="006F56CF"/>
    <w:rsid w:val="006F5924"/>
    <w:rsid w:val="006F5B0E"/>
    <w:rsid w:val="006F6013"/>
    <w:rsid w:val="006F6258"/>
    <w:rsid w:val="006F65E1"/>
    <w:rsid w:val="006F6697"/>
    <w:rsid w:val="006F6959"/>
    <w:rsid w:val="006F69A9"/>
    <w:rsid w:val="006F70B2"/>
    <w:rsid w:val="006F70F2"/>
    <w:rsid w:val="006F7267"/>
    <w:rsid w:val="006F72D2"/>
    <w:rsid w:val="006F731C"/>
    <w:rsid w:val="006F7F14"/>
    <w:rsid w:val="006F7F8E"/>
    <w:rsid w:val="006F7FAE"/>
    <w:rsid w:val="00700678"/>
    <w:rsid w:val="007006F3"/>
    <w:rsid w:val="00700722"/>
    <w:rsid w:val="00700A0D"/>
    <w:rsid w:val="00700D50"/>
    <w:rsid w:val="00700FE5"/>
    <w:rsid w:val="00701324"/>
    <w:rsid w:val="007013A0"/>
    <w:rsid w:val="007014A1"/>
    <w:rsid w:val="00701552"/>
    <w:rsid w:val="00701FC9"/>
    <w:rsid w:val="0070234F"/>
    <w:rsid w:val="00702712"/>
    <w:rsid w:val="00702CC7"/>
    <w:rsid w:val="00702E04"/>
    <w:rsid w:val="00703270"/>
    <w:rsid w:val="007033DA"/>
    <w:rsid w:val="007034D2"/>
    <w:rsid w:val="00703574"/>
    <w:rsid w:val="007040B6"/>
    <w:rsid w:val="00704FDE"/>
    <w:rsid w:val="0070536E"/>
    <w:rsid w:val="00705433"/>
    <w:rsid w:val="00705448"/>
    <w:rsid w:val="007058F5"/>
    <w:rsid w:val="00705BC3"/>
    <w:rsid w:val="00705DA6"/>
    <w:rsid w:val="00706409"/>
    <w:rsid w:val="007064E6"/>
    <w:rsid w:val="00706623"/>
    <w:rsid w:val="00706B3E"/>
    <w:rsid w:val="00707AAB"/>
    <w:rsid w:val="00710058"/>
    <w:rsid w:val="007101A3"/>
    <w:rsid w:val="0071056F"/>
    <w:rsid w:val="0071068D"/>
    <w:rsid w:val="00710729"/>
    <w:rsid w:val="0071085F"/>
    <w:rsid w:val="00710BFD"/>
    <w:rsid w:val="00711101"/>
    <w:rsid w:val="00711319"/>
    <w:rsid w:val="0071166E"/>
    <w:rsid w:val="00711BBA"/>
    <w:rsid w:val="00712278"/>
    <w:rsid w:val="007122EC"/>
    <w:rsid w:val="00712644"/>
    <w:rsid w:val="007126A9"/>
    <w:rsid w:val="007126AC"/>
    <w:rsid w:val="007128BF"/>
    <w:rsid w:val="00712D1A"/>
    <w:rsid w:val="00712DE1"/>
    <w:rsid w:val="00712EA6"/>
    <w:rsid w:val="00713006"/>
    <w:rsid w:val="007133B7"/>
    <w:rsid w:val="0071387F"/>
    <w:rsid w:val="00713FB1"/>
    <w:rsid w:val="00714237"/>
    <w:rsid w:val="00714347"/>
    <w:rsid w:val="0071440F"/>
    <w:rsid w:val="00714504"/>
    <w:rsid w:val="00714AE5"/>
    <w:rsid w:val="00714B4A"/>
    <w:rsid w:val="00714D02"/>
    <w:rsid w:val="00714ECC"/>
    <w:rsid w:val="00714F34"/>
    <w:rsid w:val="00715D83"/>
    <w:rsid w:val="00715E37"/>
    <w:rsid w:val="00715E6E"/>
    <w:rsid w:val="00715F86"/>
    <w:rsid w:val="00715FE5"/>
    <w:rsid w:val="007163F1"/>
    <w:rsid w:val="00716925"/>
    <w:rsid w:val="00716E0E"/>
    <w:rsid w:val="0071731E"/>
    <w:rsid w:val="00717323"/>
    <w:rsid w:val="0071733F"/>
    <w:rsid w:val="0071742A"/>
    <w:rsid w:val="00717C5E"/>
    <w:rsid w:val="00717E7D"/>
    <w:rsid w:val="007202F8"/>
    <w:rsid w:val="0072035C"/>
    <w:rsid w:val="007205C7"/>
    <w:rsid w:val="00720B75"/>
    <w:rsid w:val="0072195D"/>
    <w:rsid w:val="00722486"/>
    <w:rsid w:val="007227EA"/>
    <w:rsid w:val="0072285E"/>
    <w:rsid w:val="00722B2C"/>
    <w:rsid w:val="0072316A"/>
    <w:rsid w:val="007232EA"/>
    <w:rsid w:val="007234CA"/>
    <w:rsid w:val="00723A8E"/>
    <w:rsid w:val="00724203"/>
    <w:rsid w:val="007257C8"/>
    <w:rsid w:val="007264A6"/>
    <w:rsid w:val="007265A0"/>
    <w:rsid w:val="00726673"/>
    <w:rsid w:val="0072682F"/>
    <w:rsid w:val="0072707D"/>
    <w:rsid w:val="00727786"/>
    <w:rsid w:val="007303C6"/>
    <w:rsid w:val="0073063B"/>
    <w:rsid w:val="00730808"/>
    <w:rsid w:val="00730E11"/>
    <w:rsid w:val="00730E8F"/>
    <w:rsid w:val="007311AE"/>
    <w:rsid w:val="00731A9E"/>
    <w:rsid w:val="00731ADF"/>
    <w:rsid w:val="00731D48"/>
    <w:rsid w:val="00732179"/>
    <w:rsid w:val="00732455"/>
    <w:rsid w:val="0073250E"/>
    <w:rsid w:val="00732965"/>
    <w:rsid w:val="00732DD8"/>
    <w:rsid w:val="00732EE2"/>
    <w:rsid w:val="00733689"/>
    <w:rsid w:val="007336A9"/>
    <w:rsid w:val="00734484"/>
    <w:rsid w:val="00734559"/>
    <w:rsid w:val="00734AB1"/>
    <w:rsid w:val="00734D7D"/>
    <w:rsid w:val="00735160"/>
    <w:rsid w:val="00735289"/>
    <w:rsid w:val="0073555B"/>
    <w:rsid w:val="0073564F"/>
    <w:rsid w:val="00735D15"/>
    <w:rsid w:val="00735F07"/>
    <w:rsid w:val="00735FB3"/>
    <w:rsid w:val="00736E51"/>
    <w:rsid w:val="00736F08"/>
    <w:rsid w:val="00737167"/>
    <w:rsid w:val="0073728C"/>
    <w:rsid w:val="00737340"/>
    <w:rsid w:val="00737360"/>
    <w:rsid w:val="0073738A"/>
    <w:rsid w:val="00737A1F"/>
    <w:rsid w:val="00737A39"/>
    <w:rsid w:val="00740292"/>
    <w:rsid w:val="007402DD"/>
    <w:rsid w:val="0074040F"/>
    <w:rsid w:val="0074051B"/>
    <w:rsid w:val="00740586"/>
    <w:rsid w:val="00740A30"/>
    <w:rsid w:val="007412EC"/>
    <w:rsid w:val="0074134E"/>
    <w:rsid w:val="007419E0"/>
    <w:rsid w:val="00741BEC"/>
    <w:rsid w:val="00742076"/>
    <w:rsid w:val="007425A3"/>
    <w:rsid w:val="00742887"/>
    <w:rsid w:val="00742C41"/>
    <w:rsid w:val="00743413"/>
    <w:rsid w:val="00743614"/>
    <w:rsid w:val="007437F9"/>
    <w:rsid w:val="007439FA"/>
    <w:rsid w:val="0074495C"/>
    <w:rsid w:val="00744B52"/>
    <w:rsid w:val="00744BEF"/>
    <w:rsid w:val="00745136"/>
    <w:rsid w:val="00745A15"/>
    <w:rsid w:val="00745D50"/>
    <w:rsid w:val="00745DD2"/>
    <w:rsid w:val="007462CF"/>
    <w:rsid w:val="007464E9"/>
    <w:rsid w:val="00746B5F"/>
    <w:rsid w:val="00746C51"/>
    <w:rsid w:val="00747338"/>
    <w:rsid w:val="00747BB0"/>
    <w:rsid w:val="00747C32"/>
    <w:rsid w:val="0075006C"/>
    <w:rsid w:val="007506FA"/>
    <w:rsid w:val="00750821"/>
    <w:rsid w:val="00750B97"/>
    <w:rsid w:val="00750D0C"/>
    <w:rsid w:val="00750D18"/>
    <w:rsid w:val="00750EE6"/>
    <w:rsid w:val="0075116A"/>
    <w:rsid w:val="0075132F"/>
    <w:rsid w:val="00751354"/>
    <w:rsid w:val="0075142C"/>
    <w:rsid w:val="00751C0B"/>
    <w:rsid w:val="0075204A"/>
    <w:rsid w:val="0075232E"/>
    <w:rsid w:val="00752379"/>
    <w:rsid w:val="00752587"/>
    <w:rsid w:val="007527B7"/>
    <w:rsid w:val="007527CF"/>
    <w:rsid w:val="00752860"/>
    <w:rsid w:val="00752A14"/>
    <w:rsid w:val="007531D8"/>
    <w:rsid w:val="007533DB"/>
    <w:rsid w:val="007535DC"/>
    <w:rsid w:val="00753A66"/>
    <w:rsid w:val="00753D15"/>
    <w:rsid w:val="00753E66"/>
    <w:rsid w:val="00753F19"/>
    <w:rsid w:val="007547A1"/>
    <w:rsid w:val="0075480C"/>
    <w:rsid w:val="00754CF5"/>
    <w:rsid w:val="007550C5"/>
    <w:rsid w:val="007552F4"/>
    <w:rsid w:val="00755683"/>
    <w:rsid w:val="007557B0"/>
    <w:rsid w:val="00755AC8"/>
    <w:rsid w:val="00755D9A"/>
    <w:rsid w:val="00755E35"/>
    <w:rsid w:val="00755F8B"/>
    <w:rsid w:val="00755FC6"/>
    <w:rsid w:val="00756909"/>
    <w:rsid w:val="00756A79"/>
    <w:rsid w:val="00756E3B"/>
    <w:rsid w:val="00756F65"/>
    <w:rsid w:val="007572C2"/>
    <w:rsid w:val="007576C3"/>
    <w:rsid w:val="0075778F"/>
    <w:rsid w:val="00757862"/>
    <w:rsid w:val="00757B43"/>
    <w:rsid w:val="00757CA2"/>
    <w:rsid w:val="007602F6"/>
    <w:rsid w:val="007603A7"/>
    <w:rsid w:val="007603BD"/>
    <w:rsid w:val="00760501"/>
    <w:rsid w:val="0076062D"/>
    <w:rsid w:val="00760799"/>
    <w:rsid w:val="00760D10"/>
    <w:rsid w:val="0076107E"/>
    <w:rsid w:val="00761283"/>
    <w:rsid w:val="00761405"/>
    <w:rsid w:val="0076175D"/>
    <w:rsid w:val="00761A74"/>
    <w:rsid w:val="00761E12"/>
    <w:rsid w:val="00761F45"/>
    <w:rsid w:val="007620DB"/>
    <w:rsid w:val="00762108"/>
    <w:rsid w:val="00762407"/>
    <w:rsid w:val="0076270D"/>
    <w:rsid w:val="00763143"/>
    <w:rsid w:val="0076336F"/>
    <w:rsid w:val="00763371"/>
    <w:rsid w:val="00763600"/>
    <w:rsid w:val="007638AA"/>
    <w:rsid w:val="00763979"/>
    <w:rsid w:val="00763A71"/>
    <w:rsid w:val="00763AC3"/>
    <w:rsid w:val="00763AC7"/>
    <w:rsid w:val="00763C6D"/>
    <w:rsid w:val="007641BC"/>
    <w:rsid w:val="00764FC3"/>
    <w:rsid w:val="0076510F"/>
    <w:rsid w:val="0076530C"/>
    <w:rsid w:val="0076578B"/>
    <w:rsid w:val="00765B38"/>
    <w:rsid w:val="00765C64"/>
    <w:rsid w:val="007662E7"/>
    <w:rsid w:val="00766772"/>
    <w:rsid w:val="0076686D"/>
    <w:rsid w:val="00766ACD"/>
    <w:rsid w:val="00766D4D"/>
    <w:rsid w:val="00766DF1"/>
    <w:rsid w:val="007674B4"/>
    <w:rsid w:val="007700A9"/>
    <w:rsid w:val="00770C35"/>
    <w:rsid w:val="00770E23"/>
    <w:rsid w:val="00770E38"/>
    <w:rsid w:val="00770EFF"/>
    <w:rsid w:val="007717D3"/>
    <w:rsid w:val="00771DDD"/>
    <w:rsid w:val="0077208E"/>
    <w:rsid w:val="0077254E"/>
    <w:rsid w:val="007731FD"/>
    <w:rsid w:val="0077487E"/>
    <w:rsid w:val="00774DE0"/>
    <w:rsid w:val="007751DE"/>
    <w:rsid w:val="00775239"/>
    <w:rsid w:val="00775377"/>
    <w:rsid w:val="00775B35"/>
    <w:rsid w:val="00776410"/>
    <w:rsid w:val="00776CB8"/>
    <w:rsid w:val="0077702C"/>
    <w:rsid w:val="0077712F"/>
    <w:rsid w:val="00777553"/>
    <w:rsid w:val="00777B22"/>
    <w:rsid w:val="00777BB9"/>
    <w:rsid w:val="00780A69"/>
    <w:rsid w:val="00780FAF"/>
    <w:rsid w:val="007811CB"/>
    <w:rsid w:val="0078133D"/>
    <w:rsid w:val="00781686"/>
    <w:rsid w:val="0078169E"/>
    <w:rsid w:val="0078193A"/>
    <w:rsid w:val="00781E34"/>
    <w:rsid w:val="00782257"/>
    <w:rsid w:val="007822E7"/>
    <w:rsid w:val="00782318"/>
    <w:rsid w:val="00782EE2"/>
    <w:rsid w:val="007830E8"/>
    <w:rsid w:val="007830FA"/>
    <w:rsid w:val="007831EA"/>
    <w:rsid w:val="00783295"/>
    <w:rsid w:val="007834CA"/>
    <w:rsid w:val="007839C1"/>
    <w:rsid w:val="00783A02"/>
    <w:rsid w:val="00784205"/>
    <w:rsid w:val="0078494F"/>
    <w:rsid w:val="00785059"/>
    <w:rsid w:val="00785106"/>
    <w:rsid w:val="00785785"/>
    <w:rsid w:val="00785FDE"/>
    <w:rsid w:val="00786638"/>
    <w:rsid w:val="007867DD"/>
    <w:rsid w:val="00786CCA"/>
    <w:rsid w:val="00786F50"/>
    <w:rsid w:val="00787201"/>
    <w:rsid w:val="007873D1"/>
    <w:rsid w:val="00787702"/>
    <w:rsid w:val="00787728"/>
    <w:rsid w:val="00787B10"/>
    <w:rsid w:val="00787DAE"/>
    <w:rsid w:val="00790192"/>
    <w:rsid w:val="007904ED"/>
    <w:rsid w:val="00790F21"/>
    <w:rsid w:val="007915AF"/>
    <w:rsid w:val="00791DED"/>
    <w:rsid w:val="00791DFC"/>
    <w:rsid w:val="00791F03"/>
    <w:rsid w:val="00792828"/>
    <w:rsid w:val="00792873"/>
    <w:rsid w:val="00792AA8"/>
    <w:rsid w:val="00792B85"/>
    <w:rsid w:val="00792EE0"/>
    <w:rsid w:val="00792F6D"/>
    <w:rsid w:val="00793264"/>
    <w:rsid w:val="00793295"/>
    <w:rsid w:val="00793436"/>
    <w:rsid w:val="0079398E"/>
    <w:rsid w:val="007939F3"/>
    <w:rsid w:val="00793AAE"/>
    <w:rsid w:val="00793B00"/>
    <w:rsid w:val="00793D68"/>
    <w:rsid w:val="00793DA3"/>
    <w:rsid w:val="00793E9F"/>
    <w:rsid w:val="00793F5B"/>
    <w:rsid w:val="00793FE3"/>
    <w:rsid w:val="00794972"/>
    <w:rsid w:val="00794C7F"/>
    <w:rsid w:val="007952FA"/>
    <w:rsid w:val="00795D40"/>
    <w:rsid w:val="00796248"/>
    <w:rsid w:val="007966D8"/>
    <w:rsid w:val="00796DF2"/>
    <w:rsid w:val="00796EE7"/>
    <w:rsid w:val="00797022"/>
    <w:rsid w:val="0079741F"/>
    <w:rsid w:val="0079790E"/>
    <w:rsid w:val="007979FE"/>
    <w:rsid w:val="00797E2C"/>
    <w:rsid w:val="00797E83"/>
    <w:rsid w:val="007A02BA"/>
    <w:rsid w:val="007A05DF"/>
    <w:rsid w:val="007A0643"/>
    <w:rsid w:val="007A0D11"/>
    <w:rsid w:val="007A1365"/>
    <w:rsid w:val="007A15BE"/>
    <w:rsid w:val="007A1A53"/>
    <w:rsid w:val="007A1EF4"/>
    <w:rsid w:val="007A2073"/>
    <w:rsid w:val="007A2080"/>
    <w:rsid w:val="007A23E7"/>
    <w:rsid w:val="007A262D"/>
    <w:rsid w:val="007A28DF"/>
    <w:rsid w:val="007A2E86"/>
    <w:rsid w:val="007A3268"/>
    <w:rsid w:val="007A38E3"/>
    <w:rsid w:val="007A3ABE"/>
    <w:rsid w:val="007A3C67"/>
    <w:rsid w:val="007A3E60"/>
    <w:rsid w:val="007A42E6"/>
    <w:rsid w:val="007A481A"/>
    <w:rsid w:val="007A4A41"/>
    <w:rsid w:val="007A4CB0"/>
    <w:rsid w:val="007A541B"/>
    <w:rsid w:val="007A5B52"/>
    <w:rsid w:val="007A602F"/>
    <w:rsid w:val="007A6263"/>
    <w:rsid w:val="007A62C3"/>
    <w:rsid w:val="007A62FE"/>
    <w:rsid w:val="007A6FBA"/>
    <w:rsid w:val="007A7241"/>
    <w:rsid w:val="007B0012"/>
    <w:rsid w:val="007B046F"/>
    <w:rsid w:val="007B0821"/>
    <w:rsid w:val="007B0C97"/>
    <w:rsid w:val="007B1306"/>
    <w:rsid w:val="007B17B0"/>
    <w:rsid w:val="007B1D85"/>
    <w:rsid w:val="007B1F5A"/>
    <w:rsid w:val="007B24C5"/>
    <w:rsid w:val="007B2806"/>
    <w:rsid w:val="007B2857"/>
    <w:rsid w:val="007B30B4"/>
    <w:rsid w:val="007B323A"/>
    <w:rsid w:val="007B385E"/>
    <w:rsid w:val="007B3A98"/>
    <w:rsid w:val="007B3E27"/>
    <w:rsid w:val="007B3F0A"/>
    <w:rsid w:val="007B4102"/>
    <w:rsid w:val="007B4BC8"/>
    <w:rsid w:val="007B51C9"/>
    <w:rsid w:val="007B542E"/>
    <w:rsid w:val="007B5502"/>
    <w:rsid w:val="007B5516"/>
    <w:rsid w:val="007B558D"/>
    <w:rsid w:val="007B64D2"/>
    <w:rsid w:val="007B651A"/>
    <w:rsid w:val="007B6648"/>
    <w:rsid w:val="007B6669"/>
    <w:rsid w:val="007B695B"/>
    <w:rsid w:val="007B6AB5"/>
    <w:rsid w:val="007B6D6D"/>
    <w:rsid w:val="007B6E0F"/>
    <w:rsid w:val="007B6F31"/>
    <w:rsid w:val="007B6FA2"/>
    <w:rsid w:val="007B7038"/>
    <w:rsid w:val="007B73AE"/>
    <w:rsid w:val="007B7814"/>
    <w:rsid w:val="007B78DC"/>
    <w:rsid w:val="007B79A3"/>
    <w:rsid w:val="007C0022"/>
    <w:rsid w:val="007C07D0"/>
    <w:rsid w:val="007C087F"/>
    <w:rsid w:val="007C090E"/>
    <w:rsid w:val="007C0F8B"/>
    <w:rsid w:val="007C19A4"/>
    <w:rsid w:val="007C19CC"/>
    <w:rsid w:val="007C1CA7"/>
    <w:rsid w:val="007C2108"/>
    <w:rsid w:val="007C228B"/>
    <w:rsid w:val="007C2857"/>
    <w:rsid w:val="007C2A36"/>
    <w:rsid w:val="007C2FAD"/>
    <w:rsid w:val="007C311B"/>
    <w:rsid w:val="007C316C"/>
    <w:rsid w:val="007C34D9"/>
    <w:rsid w:val="007C3BBB"/>
    <w:rsid w:val="007C409F"/>
    <w:rsid w:val="007C43C4"/>
    <w:rsid w:val="007C4910"/>
    <w:rsid w:val="007C4A41"/>
    <w:rsid w:val="007C4AF5"/>
    <w:rsid w:val="007C506B"/>
    <w:rsid w:val="007C5907"/>
    <w:rsid w:val="007C5957"/>
    <w:rsid w:val="007C597D"/>
    <w:rsid w:val="007C5D49"/>
    <w:rsid w:val="007C6D53"/>
    <w:rsid w:val="007C7440"/>
    <w:rsid w:val="007C747F"/>
    <w:rsid w:val="007C74BA"/>
    <w:rsid w:val="007C75C8"/>
    <w:rsid w:val="007C78ED"/>
    <w:rsid w:val="007C7986"/>
    <w:rsid w:val="007C79A4"/>
    <w:rsid w:val="007D06A7"/>
    <w:rsid w:val="007D0986"/>
    <w:rsid w:val="007D114F"/>
    <w:rsid w:val="007D1511"/>
    <w:rsid w:val="007D1A23"/>
    <w:rsid w:val="007D1B5F"/>
    <w:rsid w:val="007D1B9E"/>
    <w:rsid w:val="007D1DEB"/>
    <w:rsid w:val="007D1F5E"/>
    <w:rsid w:val="007D1F7E"/>
    <w:rsid w:val="007D2353"/>
    <w:rsid w:val="007D26D2"/>
    <w:rsid w:val="007D2774"/>
    <w:rsid w:val="007D2EEC"/>
    <w:rsid w:val="007D393B"/>
    <w:rsid w:val="007D395D"/>
    <w:rsid w:val="007D3EDD"/>
    <w:rsid w:val="007D414E"/>
    <w:rsid w:val="007D4175"/>
    <w:rsid w:val="007D435A"/>
    <w:rsid w:val="007D4ACD"/>
    <w:rsid w:val="007D51DD"/>
    <w:rsid w:val="007D59A7"/>
    <w:rsid w:val="007D6134"/>
    <w:rsid w:val="007D617A"/>
    <w:rsid w:val="007D61FA"/>
    <w:rsid w:val="007D63E1"/>
    <w:rsid w:val="007D698B"/>
    <w:rsid w:val="007D740C"/>
    <w:rsid w:val="007D76BB"/>
    <w:rsid w:val="007D78FB"/>
    <w:rsid w:val="007D7A1F"/>
    <w:rsid w:val="007D7BB6"/>
    <w:rsid w:val="007D7C6B"/>
    <w:rsid w:val="007E0216"/>
    <w:rsid w:val="007E0566"/>
    <w:rsid w:val="007E0CB2"/>
    <w:rsid w:val="007E0EA2"/>
    <w:rsid w:val="007E1461"/>
    <w:rsid w:val="007E1A3E"/>
    <w:rsid w:val="007E1B14"/>
    <w:rsid w:val="007E1D8E"/>
    <w:rsid w:val="007E215F"/>
    <w:rsid w:val="007E216D"/>
    <w:rsid w:val="007E21AC"/>
    <w:rsid w:val="007E24E5"/>
    <w:rsid w:val="007E2960"/>
    <w:rsid w:val="007E2BEC"/>
    <w:rsid w:val="007E2F8B"/>
    <w:rsid w:val="007E32A0"/>
    <w:rsid w:val="007E35CF"/>
    <w:rsid w:val="007E4D63"/>
    <w:rsid w:val="007E50BB"/>
    <w:rsid w:val="007E5427"/>
    <w:rsid w:val="007E5792"/>
    <w:rsid w:val="007E5928"/>
    <w:rsid w:val="007E592E"/>
    <w:rsid w:val="007E5A04"/>
    <w:rsid w:val="007E5C06"/>
    <w:rsid w:val="007E5D35"/>
    <w:rsid w:val="007E648E"/>
    <w:rsid w:val="007E6674"/>
    <w:rsid w:val="007E67D6"/>
    <w:rsid w:val="007E6AAC"/>
    <w:rsid w:val="007E6B85"/>
    <w:rsid w:val="007E7E58"/>
    <w:rsid w:val="007F0114"/>
    <w:rsid w:val="007F0676"/>
    <w:rsid w:val="007F0D53"/>
    <w:rsid w:val="007F15C5"/>
    <w:rsid w:val="007F1991"/>
    <w:rsid w:val="007F1C30"/>
    <w:rsid w:val="007F1C49"/>
    <w:rsid w:val="007F1DBD"/>
    <w:rsid w:val="007F200F"/>
    <w:rsid w:val="007F26D2"/>
    <w:rsid w:val="007F28C0"/>
    <w:rsid w:val="007F2E41"/>
    <w:rsid w:val="007F2F66"/>
    <w:rsid w:val="007F347F"/>
    <w:rsid w:val="007F387A"/>
    <w:rsid w:val="007F429D"/>
    <w:rsid w:val="007F4A95"/>
    <w:rsid w:val="007F4C50"/>
    <w:rsid w:val="007F4F86"/>
    <w:rsid w:val="007F52A6"/>
    <w:rsid w:val="007F5675"/>
    <w:rsid w:val="007F5758"/>
    <w:rsid w:val="007F5789"/>
    <w:rsid w:val="007F58EB"/>
    <w:rsid w:val="007F5A69"/>
    <w:rsid w:val="007F5AEB"/>
    <w:rsid w:val="007F5BB2"/>
    <w:rsid w:val="007F5E79"/>
    <w:rsid w:val="007F5E8F"/>
    <w:rsid w:val="007F60C5"/>
    <w:rsid w:val="007F621D"/>
    <w:rsid w:val="007F66A9"/>
    <w:rsid w:val="007F68DA"/>
    <w:rsid w:val="007F6C5D"/>
    <w:rsid w:val="007F6F69"/>
    <w:rsid w:val="007F70AC"/>
    <w:rsid w:val="007F727E"/>
    <w:rsid w:val="007F72FD"/>
    <w:rsid w:val="007F7895"/>
    <w:rsid w:val="008004E7"/>
    <w:rsid w:val="00800573"/>
    <w:rsid w:val="008007D0"/>
    <w:rsid w:val="00800B4D"/>
    <w:rsid w:val="00800CC1"/>
    <w:rsid w:val="00800FE4"/>
    <w:rsid w:val="008010F5"/>
    <w:rsid w:val="00801879"/>
    <w:rsid w:val="00801D09"/>
    <w:rsid w:val="0080248E"/>
    <w:rsid w:val="0080276C"/>
    <w:rsid w:val="0080289F"/>
    <w:rsid w:val="00802C46"/>
    <w:rsid w:val="00802E04"/>
    <w:rsid w:val="00803119"/>
    <w:rsid w:val="0080348C"/>
    <w:rsid w:val="0080367B"/>
    <w:rsid w:val="00803834"/>
    <w:rsid w:val="00803C4B"/>
    <w:rsid w:val="008045F1"/>
    <w:rsid w:val="00804690"/>
    <w:rsid w:val="008046ED"/>
    <w:rsid w:val="008047A8"/>
    <w:rsid w:val="00804819"/>
    <w:rsid w:val="00805000"/>
    <w:rsid w:val="00805158"/>
    <w:rsid w:val="00805211"/>
    <w:rsid w:val="00805665"/>
    <w:rsid w:val="008057D6"/>
    <w:rsid w:val="008060C8"/>
    <w:rsid w:val="00806444"/>
    <w:rsid w:val="00806510"/>
    <w:rsid w:val="00806550"/>
    <w:rsid w:val="00806B01"/>
    <w:rsid w:val="00806C3A"/>
    <w:rsid w:val="00806DF6"/>
    <w:rsid w:val="00807772"/>
    <w:rsid w:val="008078C6"/>
    <w:rsid w:val="008078CF"/>
    <w:rsid w:val="008078E9"/>
    <w:rsid w:val="00807982"/>
    <w:rsid w:val="00807CF5"/>
    <w:rsid w:val="00807F3B"/>
    <w:rsid w:val="00810B51"/>
    <w:rsid w:val="00810D46"/>
    <w:rsid w:val="00810F5C"/>
    <w:rsid w:val="008114F8"/>
    <w:rsid w:val="00811536"/>
    <w:rsid w:val="00811585"/>
    <w:rsid w:val="0081199E"/>
    <w:rsid w:val="0081201C"/>
    <w:rsid w:val="00812723"/>
    <w:rsid w:val="00812F44"/>
    <w:rsid w:val="00812FA6"/>
    <w:rsid w:val="008132DC"/>
    <w:rsid w:val="008134BA"/>
    <w:rsid w:val="00814897"/>
    <w:rsid w:val="00814A6A"/>
    <w:rsid w:val="00814C19"/>
    <w:rsid w:val="00814ED4"/>
    <w:rsid w:val="008151EE"/>
    <w:rsid w:val="008152E3"/>
    <w:rsid w:val="00815506"/>
    <w:rsid w:val="0081557C"/>
    <w:rsid w:val="008157F6"/>
    <w:rsid w:val="008159B1"/>
    <w:rsid w:val="00815A41"/>
    <w:rsid w:val="00815E00"/>
    <w:rsid w:val="0081616B"/>
    <w:rsid w:val="00816993"/>
    <w:rsid w:val="0081741B"/>
    <w:rsid w:val="0081769E"/>
    <w:rsid w:val="00820282"/>
    <w:rsid w:val="00820322"/>
    <w:rsid w:val="008203A1"/>
    <w:rsid w:val="008205F4"/>
    <w:rsid w:val="00820AF6"/>
    <w:rsid w:val="00820FF1"/>
    <w:rsid w:val="0082109B"/>
    <w:rsid w:val="0082117F"/>
    <w:rsid w:val="008213F2"/>
    <w:rsid w:val="00821523"/>
    <w:rsid w:val="008215D2"/>
    <w:rsid w:val="00821B34"/>
    <w:rsid w:val="00821E89"/>
    <w:rsid w:val="008221DE"/>
    <w:rsid w:val="00822277"/>
    <w:rsid w:val="008222A1"/>
    <w:rsid w:val="0082247E"/>
    <w:rsid w:val="0082296C"/>
    <w:rsid w:val="00822A57"/>
    <w:rsid w:val="00822C34"/>
    <w:rsid w:val="00822CEC"/>
    <w:rsid w:val="00822E25"/>
    <w:rsid w:val="00823031"/>
    <w:rsid w:val="008230D3"/>
    <w:rsid w:val="008232A1"/>
    <w:rsid w:val="00823862"/>
    <w:rsid w:val="00823DE5"/>
    <w:rsid w:val="00823FC0"/>
    <w:rsid w:val="00824AB3"/>
    <w:rsid w:val="00824BF3"/>
    <w:rsid w:val="00825116"/>
    <w:rsid w:val="00825ABD"/>
    <w:rsid w:val="00826053"/>
    <w:rsid w:val="0082619C"/>
    <w:rsid w:val="00827215"/>
    <w:rsid w:val="008273FF"/>
    <w:rsid w:val="008279FA"/>
    <w:rsid w:val="00827BFE"/>
    <w:rsid w:val="00827CBD"/>
    <w:rsid w:val="00830031"/>
    <w:rsid w:val="00830282"/>
    <w:rsid w:val="00830AF5"/>
    <w:rsid w:val="00831247"/>
    <w:rsid w:val="00831A0D"/>
    <w:rsid w:val="00831AA3"/>
    <w:rsid w:val="00831EB0"/>
    <w:rsid w:val="00831FBC"/>
    <w:rsid w:val="008324D9"/>
    <w:rsid w:val="008328E0"/>
    <w:rsid w:val="00832DE6"/>
    <w:rsid w:val="00832E70"/>
    <w:rsid w:val="00833452"/>
    <w:rsid w:val="00833602"/>
    <w:rsid w:val="00833654"/>
    <w:rsid w:val="008337CF"/>
    <w:rsid w:val="00833CB3"/>
    <w:rsid w:val="0083472C"/>
    <w:rsid w:val="0083539C"/>
    <w:rsid w:val="008354D2"/>
    <w:rsid w:val="008355CB"/>
    <w:rsid w:val="0083563B"/>
    <w:rsid w:val="00835EBF"/>
    <w:rsid w:val="0083634A"/>
    <w:rsid w:val="008364BA"/>
    <w:rsid w:val="00836938"/>
    <w:rsid w:val="00836AD2"/>
    <w:rsid w:val="00836B5D"/>
    <w:rsid w:val="00836D54"/>
    <w:rsid w:val="00836D92"/>
    <w:rsid w:val="00836FA4"/>
    <w:rsid w:val="00837002"/>
    <w:rsid w:val="00837346"/>
    <w:rsid w:val="008375CC"/>
    <w:rsid w:val="0083773D"/>
    <w:rsid w:val="00837FAD"/>
    <w:rsid w:val="00840CFE"/>
    <w:rsid w:val="008410DC"/>
    <w:rsid w:val="0084116E"/>
    <w:rsid w:val="008414C1"/>
    <w:rsid w:val="008415CC"/>
    <w:rsid w:val="00841820"/>
    <w:rsid w:val="00841AF4"/>
    <w:rsid w:val="00841B56"/>
    <w:rsid w:val="00841CBC"/>
    <w:rsid w:val="00842023"/>
    <w:rsid w:val="008422DB"/>
    <w:rsid w:val="008427B4"/>
    <w:rsid w:val="00842815"/>
    <w:rsid w:val="00842862"/>
    <w:rsid w:val="0084289E"/>
    <w:rsid w:val="00842B81"/>
    <w:rsid w:val="00842BF0"/>
    <w:rsid w:val="00843083"/>
    <w:rsid w:val="0084345C"/>
    <w:rsid w:val="00843ED8"/>
    <w:rsid w:val="00844320"/>
    <w:rsid w:val="008446B0"/>
    <w:rsid w:val="00844A37"/>
    <w:rsid w:val="00845199"/>
    <w:rsid w:val="008453B2"/>
    <w:rsid w:val="008454F5"/>
    <w:rsid w:val="008459CE"/>
    <w:rsid w:val="00846026"/>
    <w:rsid w:val="0084606A"/>
    <w:rsid w:val="008461D4"/>
    <w:rsid w:val="00846791"/>
    <w:rsid w:val="00846F48"/>
    <w:rsid w:val="00847ACE"/>
    <w:rsid w:val="00847C9A"/>
    <w:rsid w:val="00847DFE"/>
    <w:rsid w:val="00850835"/>
    <w:rsid w:val="00850FBD"/>
    <w:rsid w:val="00851065"/>
    <w:rsid w:val="00851111"/>
    <w:rsid w:val="00851344"/>
    <w:rsid w:val="008516C0"/>
    <w:rsid w:val="008519D3"/>
    <w:rsid w:val="00851C4C"/>
    <w:rsid w:val="008520B8"/>
    <w:rsid w:val="0085230C"/>
    <w:rsid w:val="008523D2"/>
    <w:rsid w:val="008525CF"/>
    <w:rsid w:val="008537EB"/>
    <w:rsid w:val="00853D72"/>
    <w:rsid w:val="008542CC"/>
    <w:rsid w:val="00854A11"/>
    <w:rsid w:val="00855201"/>
    <w:rsid w:val="00855E1E"/>
    <w:rsid w:val="00855E77"/>
    <w:rsid w:val="00856A03"/>
    <w:rsid w:val="00856BCF"/>
    <w:rsid w:val="00856F01"/>
    <w:rsid w:val="0085729E"/>
    <w:rsid w:val="00857815"/>
    <w:rsid w:val="008605AE"/>
    <w:rsid w:val="0086082F"/>
    <w:rsid w:val="00860973"/>
    <w:rsid w:val="00860A89"/>
    <w:rsid w:val="00860B77"/>
    <w:rsid w:val="00860FCB"/>
    <w:rsid w:val="00860FDD"/>
    <w:rsid w:val="008610C2"/>
    <w:rsid w:val="0086156F"/>
    <w:rsid w:val="00861728"/>
    <w:rsid w:val="0086183E"/>
    <w:rsid w:val="00861A39"/>
    <w:rsid w:val="00861BDD"/>
    <w:rsid w:val="0086212B"/>
    <w:rsid w:val="0086232F"/>
    <w:rsid w:val="008627FB"/>
    <w:rsid w:val="008628EA"/>
    <w:rsid w:val="00862BFC"/>
    <w:rsid w:val="00863439"/>
    <w:rsid w:val="00864272"/>
    <w:rsid w:val="00864621"/>
    <w:rsid w:val="00864629"/>
    <w:rsid w:val="008647B5"/>
    <w:rsid w:val="0086489A"/>
    <w:rsid w:val="008648B5"/>
    <w:rsid w:val="00864CDB"/>
    <w:rsid w:val="00865677"/>
    <w:rsid w:val="008657F9"/>
    <w:rsid w:val="008659F4"/>
    <w:rsid w:val="0086641A"/>
    <w:rsid w:val="00866426"/>
    <w:rsid w:val="00866A37"/>
    <w:rsid w:val="00866BD9"/>
    <w:rsid w:val="00866D65"/>
    <w:rsid w:val="00866FC1"/>
    <w:rsid w:val="008672BE"/>
    <w:rsid w:val="00867A52"/>
    <w:rsid w:val="00867F68"/>
    <w:rsid w:val="00870207"/>
    <w:rsid w:val="008702B3"/>
    <w:rsid w:val="008706C2"/>
    <w:rsid w:val="00870743"/>
    <w:rsid w:val="00870BCC"/>
    <w:rsid w:val="00870F08"/>
    <w:rsid w:val="00871F40"/>
    <w:rsid w:val="008723B6"/>
    <w:rsid w:val="0087294D"/>
    <w:rsid w:val="00872BC3"/>
    <w:rsid w:val="00872C44"/>
    <w:rsid w:val="00872F19"/>
    <w:rsid w:val="0087308D"/>
    <w:rsid w:val="00873295"/>
    <w:rsid w:val="008732EE"/>
    <w:rsid w:val="008737D3"/>
    <w:rsid w:val="0087393D"/>
    <w:rsid w:val="00873F6A"/>
    <w:rsid w:val="008745A1"/>
    <w:rsid w:val="00874CE6"/>
    <w:rsid w:val="008753AE"/>
    <w:rsid w:val="0087566B"/>
    <w:rsid w:val="008758A5"/>
    <w:rsid w:val="0087595B"/>
    <w:rsid w:val="00875E5D"/>
    <w:rsid w:val="00876201"/>
    <w:rsid w:val="00876636"/>
    <w:rsid w:val="00876731"/>
    <w:rsid w:val="00876840"/>
    <w:rsid w:val="00876AC3"/>
    <w:rsid w:val="00877261"/>
    <w:rsid w:val="0087753C"/>
    <w:rsid w:val="008775C7"/>
    <w:rsid w:val="00877A93"/>
    <w:rsid w:val="00877ACF"/>
    <w:rsid w:val="00877CBF"/>
    <w:rsid w:val="00877CDF"/>
    <w:rsid w:val="00877EDF"/>
    <w:rsid w:val="00877FA9"/>
    <w:rsid w:val="008806EA"/>
    <w:rsid w:val="00880CA8"/>
    <w:rsid w:val="00880DFB"/>
    <w:rsid w:val="0088114E"/>
    <w:rsid w:val="00881CF6"/>
    <w:rsid w:val="00882303"/>
    <w:rsid w:val="0088258E"/>
    <w:rsid w:val="008827DB"/>
    <w:rsid w:val="00882A53"/>
    <w:rsid w:val="00882B3C"/>
    <w:rsid w:val="00882C52"/>
    <w:rsid w:val="00882D53"/>
    <w:rsid w:val="00883437"/>
    <w:rsid w:val="008834C5"/>
    <w:rsid w:val="00883C24"/>
    <w:rsid w:val="00883EE0"/>
    <w:rsid w:val="0088446D"/>
    <w:rsid w:val="008845F4"/>
    <w:rsid w:val="00884CCB"/>
    <w:rsid w:val="00884DB4"/>
    <w:rsid w:val="008850F0"/>
    <w:rsid w:val="00885189"/>
    <w:rsid w:val="008853F8"/>
    <w:rsid w:val="00886396"/>
    <w:rsid w:val="0088663D"/>
    <w:rsid w:val="00886806"/>
    <w:rsid w:val="00886A0E"/>
    <w:rsid w:val="008870D7"/>
    <w:rsid w:val="008878E8"/>
    <w:rsid w:val="008879D3"/>
    <w:rsid w:val="008900E6"/>
    <w:rsid w:val="0089108F"/>
    <w:rsid w:val="0089117A"/>
    <w:rsid w:val="008911F9"/>
    <w:rsid w:val="00891722"/>
    <w:rsid w:val="0089180E"/>
    <w:rsid w:val="00891899"/>
    <w:rsid w:val="008918A1"/>
    <w:rsid w:val="00891ACF"/>
    <w:rsid w:val="00892196"/>
    <w:rsid w:val="0089228B"/>
    <w:rsid w:val="00892556"/>
    <w:rsid w:val="00892A31"/>
    <w:rsid w:val="00892F5C"/>
    <w:rsid w:val="00893BFB"/>
    <w:rsid w:val="00893DAF"/>
    <w:rsid w:val="00893EC4"/>
    <w:rsid w:val="008942DE"/>
    <w:rsid w:val="00894536"/>
    <w:rsid w:val="008945BF"/>
    <w:rsid w:val="00895315"/>
    <w:rsid w:val="008953BD"/>
    <w:rsid w:val="00895836"/>
    <w:rsid w:val="008958F6"/>
    <w:rsid w:val="00895A93"/>
    <w:rsid w:val="00895D89"/>
    <w:rsid w:val="00896118"/>
    <w:rsid w:val="008969E6"/>
    <w:rsid w:val="0089702E"/>
    <w:rsid w:val="008970B0"/>
    <w:rsid w:val="008970FF"/>
    <w:rsid w:val="00897426"/>
    <w:rsid w:val="00897750"/>
    <w:rsid w:val="0089775D"/>
    <w:rsid w:val="008978A1"/>
    <w:rsid w:val="00897A7F"/>
    <w:rsid w:val="00897D91"/>
    <w:rsid w:val="008A0024"/>
    <w:rsid w:val="008A0151"/>
    <w:rsid w:val="008A0890"/>
    <w:rsid w:val="008A0C7F"/>
    <w:rsid w:val="008A12B0"/>
    <w:rsid w:val="008A1831"/>
    <w:rsid w:val="008A1A0F"/>
    <w:rsid w:val="008A1B2D"/>
    <w:rsid w:val="008A1D38"/>
    <w:rsid w:val="008A231A"/>
    <w:rsid w:val="008A23FA"/>
    <w:rsid w:val="008A27D6"/>
    <w:rsid w:val="008A2F63"/>
    <w:rsid w:val="008A306F"/>
    <w:rsid w:val="008A3425"/>
    <w:rsid w:val="008A3BC1"/>
    <w:rsid w:val="008A3FD2"/>
    <w:rsid w:val="008A41B5"/>
    <w:rsid w:val="008A41DD"/>
    <w:rsid w:val="008A440D"/>
    <w:rsid w:val="008A44CD"/>
    <w:rsid w:val="008A4628"/>
    <w:rsid w:val="008A4708"/>
    <w:rsid w:val="008A485C"/>
    <w:rsid w:val="008A491A"/>
    <w:rsid w:val="008A55B4"/>
    <w:rsid w:val="008A5B62"/>
    <w:rsid w:val="008A6362"/>
    <w:rsid w:val="008A6607"/>
    <w:rsid w:val="008A6F62"/>
    <w:rsid w:val="008A7423"/>
    <w:rsid w:val="008A79F7"/>
    <w:rsid w:val="008A7BFF"/>
    <w:rsid w:val="008A7C23"/>
    <w:rsid w:val="008A7C8A"/>
    <w:rsid w:val="008A7F60"/>
    <w:rsid w:val="008B005B"/>
    <w:rsid w:val="008B0ADC"/>
    <w:rsid w:val="008B1385"/>
    <w:rsid w:val="008B1705"/>
    <w:rsid w:val="008B1CFF"/>
    <w:rsid w:val="008B1DBA"/>
    <w:rsid w:val="008B214D"/>
    <w:rsid w:val="008B2360"/>
    <w:rsid w:val="008B2BC0"/>
    <w:rsid w:val="008B2CAC"/>
    <w:rsid w:val="008B2D9D"/>
    <w:rsid w:val="008B33E0"/>
    <w:rsid w:val="008B3453"/>
    <w:rsid w:val="008B3DDF"/>
    <w:rsid w:val="008B3E95"/>
    <w:rsid w:val="008B4601"/>
    <w:rsid w:val="008B47CB"/>
    <w:rsid w:val="008B4827"/>
    <w:rsid w:val="008B4A16"/>
    <w:rsid w:val="008B5348"/>
    <w:rsid w:val="008B5478"/>
    <w:rsid w:val="008B5ED0"/>
    <w:rsid w:val="008B6A6C"/>
    <w:rsid w:val="008B6FA1"/>
    <w:rsid w:val="008B70E6"/>
    <w:rsid w:val="008B73AF"/>
    <w:rsid w:val="008B76F7"/>
    <w:rsid w:val="008B7718"/>
    <w:rsid w:val="008B7A8D"/>
    <w:rsid w:val="008B7B75"/>
    <w:rsid w:val="008B7CD2"/>
    <w:rsid w:val="008B7FAE"/>
    <w:rsid w:val="008C03BF"/>
    <w:rsid w:val="008C063D"/>
    <w:rsid w:val="008C0C7A"/>
    <w:rsid w:val="008C10EA"/>
    <w:rsid w:val="008C113C"/>
    <w:rsid w:val="008C136F"/>
    <w:rsid w:val="008C15BB"/>
    <w:rsid w:val="008C1881"/>
    <w:rsid w:val="008C19A7"/>
    <w:rsid w:val="008C1AD1"/>
    <w:rsid w:val="008C1B3F"/>
    <w:rsid w:val="008C2677"/>
    <w:rsid w:val="008C2743"/>
    <w:rsid w:val="008C28E5"/>
    <w:rsid w:val="008C2F86"/>
    <w:rsid w:val="008C3CC2"/>
    <w:rsid w:val="008C4083"/>
    <w:rsid w:val="008C40BF"/>
    <w:rsid w:val="008C4375"/>
    <w:rsid w:val="008C444E"/>
    <w:rsid w:val="008C4E5F"/>
    <w:rsid w:val="008C530A"/>
    <w:rsid w:val="008C6307"/>
    <w:rsid w:val="008C6452"/>
    <w:rsid w:val="008C6542"/>
    <w:rsid w:val="008C67C5"/>
    <w:rsid w:val="008C6A15"/>
    <w:rsid w:val="008C6B83"/>
    <w:rsid w:val="008C6C82"/>
    <w:rsid w:val="008C6D59"/>
    <w:rsid w:val="008C6E04"/>
    <w:rsid w:val="008C7202"/>
    <w:rsid w:val="008C74A8"/>
    <w:rsid w:val="008C74DA"/>
    <w:rsid w:val="008C7886"/>
    <w:rsid w:val="008C7D64"/>
    <w:rsid w:val="008D04F7"/>
    <w:rsid w:val="008D05BC"/>
    <w:rsid w:val="008D088A"/>
    <w:rsid w:val="008D0F79"/>
    <w:rsid w:val="008D10BB"/>
    <w:rsid w:val="008D15B7"/>
    <w:rsid w:val="008D15F7"/>
    <w:rsid w:val="008D1778"/>
    <w:rsid w:val="008D190E"/>
    <w:rsid w:val="008D1C4B"/>
    <w:rsid w:val="008D1CC6"/>
    <w:rsid w:val="008D1FDE"/>
    <w:rsid w:val="008D22ED"/>
    <w:rsid w:val="008D2323"/>
    <w:rsid w:val="008D265D"/>
    <w:rsid w:val="008D30D0"/>
    <w:rsid w:val="008D3118"/>
    <w:rsid w:val="008D315D"/>
    <w:rsid w:val="008D3266"/>
    <w:rsid w:val="008D351D"/>
    <w:rsid w:val="008D3849"/>
    <w:rsid w:val="008D3F06"/>
    <w:rsid w:val="008D424A"/>
    <w:rsid w:val="008D4299"/>
    <w:rsid w:val="008D517D"/>
    <w:rsid w:val="008D5849"/>
    <w:rsid w:val="008D58D7"/>
    <w:rsid w:val="008D5A21"/>
    <w:rsid w:val="008D5DD4"/>
    <w:rsid w:val="008D614A"/>
    <w:rsid w:val="008D6257"/>
    <w:rsid w:val="008D68FC"/>
    <w:rsid w:val="008D6C55"/>
    <w:rsid w:val="008D6F5E"/>
    <w:rsid w:val="008D71A0"/>
    <w:rsid w:val="008D7451"/>
    <w:rsid w:val="008E0062"/>
    <w:rsid w:val="008E0696"/>
    <w:rsid w:val="008E0D51"/>
    <w:rsid w:val="008E1521"/>
    <w:rsid w:val="008E16AB"/>
    <w:rsid w:val="008E17D1"/>
    <w:rsid w:val="008E194C"/>
    <w:rsid w:val="008E1A0E"/>
    <w:rsid w:val="008E1BB4"/>
    <w:rsid w:val="008E1C45"/>
    <w:rsid w:val="008E1CEE"/>
    <w:rsid w:val="008E1E3A"/>
    <w:rsid w:val="008E1ED8"/>
    <w:rsid w:val="008E242E"/>
    <w:rsid w:val="008E2485"/>
    <w:rsid w:val="008E2B93"/>
    <w:rsid w:val="008E2DBF"/>
    <w:rsid w:val="008E3227"/>
    <w:rsid w:val="008E3303"/>
    <w:rsid w:val="008E39FE"/>
    <w:rsid w:val="008E3B7A"/>
    <w:rsid w:val="008E41CE"/>
    <w:rsid w:val="008E481C"/>
    <w:rsid w:val="008E4922"/>
    <w:rsid w:val="008E4C08"/>
    <w:rsid w:val="008E4D08"/>
    <w:rsid w:val="008E52B2"/>
    <w:rsid w:val="008E5641"/>
    <w:rsid w:val="008E647B"/>
    <w:rsid w:val="008E7152"/>
    <w:rsid w:val="008E721E"/>
    <w:rsid w:val="008E78BC"/>
    <w:rsid w:val="008E7A89"/>
    <w:rsid w:val="008E7B61"/>
    <w:rsid w:val="008F0038"/>
    <w:rsid w:val="008F084D"/>
    <w:rsid w:val="008F0DE5"/>
    <w:rsid w:val="008F14A4"/>
    <w:rsid w:val="008F16E1"/>
    <w:rsid w:val="008F1A53"/>
    <w:rsid w:val="008F29AB"/>
    <w:rsid w:val="008F2AD1"/>
    <w:rsid w:val="008F2B5F"/>
    <w:rsid w:val="008F2CEB"/>
    <w:rsid w:val="008F33FE"/>
    <w:rsid w:val="008F3A5B"/>
    <w:rsid w:val="008F3AE2"/>
    <w:rsid w:val="008F3DC7"/>
    <w:rsid w:val="008F4241"/>
    <w:rsid w:val="008F4B31"/>
    <w:rsid w:val="008F503F"/>
    <w:rsid w:val="008F5C51"/>
    <w:rsid w:val="008F6221"/>
    <w:rsid w:val="008F63AA"/>
    <w:rsid w:val="008F640F"/>
    <w:rsid w:val="008F6761"/>
    <w:rsid w:val="008F67F2"/>
    <w:rsid w:val="008F722B"/>
    <w:rsid w:val="008F731C"/>
    <w:rsid w:val="008F73D9"/>
    <w:rsid w:val="008F777B"/>
    <w:rsid w:val="008F7CCE"/>
    <w:rsid w:val="008F7FFE"/>
    <w:rsid w:val="0090031A"/>
    <w:rsid w:val="009008BF"/>
    <w:rsid w:val="00900943"/>
    <w:rsid w:val="009009DD"/>
    <w:rsid w:val="009012B0"/>
    <w:rsid w:val="00901500"/>
    <w:rsid w:val="00901799"/>
    <w:rsid w:val="009020B5"/>
    <w:rsid w:val="0090244E"/>
    <w:rsid w:val="0090298F"/>
    <w:rsid w:val="00902F54"/>
    <w:rsid w:val="0090301F"/>
    <w:rsid w:val="009032E8"/>
    <w:rsid w:val="0090363A"/>
    <w:rsid w:val="009037FF"/>
    <w:rsid w:val="00903D46"/>
    <w:rsid w:val="00903D75"/>
    <w:rsid w:val="00904114"/>
    <w:rsid w:val="0090427E"/>
    <w:rsid w:val="0090467D"/>
    <w:rsid w:val="00904BF3"/>
    <w:rsid w:val="00905BF0"/>
    <w:rsid w:val="00905EC9"/>
    <w:rsid w:val="009064E2"/>
    <w:rsid w:val="009066F5"/>
    <w:rsid w:val="009068E5"/>
    <w:rsid w:val="00906922"/>
    <w:rsid w:val="009069A5"/>
    <w:rsid w:val="00906ECE"/>
    <w:rsid w:val="009074E3"/>
    <w:rsid w:val="0090765A"/>
    <w:rsid w:val="009077C7"/>
    <w:rsid w:val="0091084C"/>
    <w:rsid w:val="00910B76"/>
    <w:rsid w:val="00910D9F"/>
    <w:rsid w:val="00910EA2"/>
    <w:rsid w:val="00911040"/>
    <w:rsid w:val="009120D9"/>
    <w:rsid w:val="0091220E"/>
    <w:rsid w:val="009123BA"/>
    <w:rsid w:val="009123C5"/>
    <w:rsid w:val="00912957"/>
    <w:rsid w:val="00912970"/>
    <w:rsid w:val="00912A19"/>
    <w:rsid w:val="00913293"/>
    <w:rsid w:val="00913616"/>
    <w:rsid w:val="00913640"/>
    <w:rsid w:val="009138E5"/>
    <w:rsid w:val="0091390D"/>
    <w:rsid w:val="00913EC2"/>
    <w:rsid w:val="00914583"/>
    <w:rsid w:val="0091465A"/>
    <w:rsid w:val="00914A29"/>
    <w:rsid w:val="00914C45"/>
    <w:rsid w:val="009154AE"/>
    <w:rsid w:val="00915A25"/>
    <w:rsid w:val="00915B3D"/>
    <w:rsid w:val="00915C58"/>
    <w:rsid w:val="00915D5F"/>
    <w:rsid w:val="00916285"/>
    <w:rsid w:val="009164A6"/>
    <w:rsid w:val="00916856"/>
    <w:rsid w:val="009169B4"/>
    <w:rsid w:val="00916A67"/>
    <w:rsid w:val="009171E5"/>
    <w:rsid w:val="009172B1"/>
    <w:rsid w:val="00917376"/>
    <w:rsid w:val="00917652"/>
    <w:rsid w:val="00917989"/>
    <w:rsid w:val="00920216"/>
    <w:rsid w:val="00920462"/>
    <w:rsid w:val="00920463"/>
    <w:rsid w:val="009207F5"/>
    <w:rsid w:val="00920A46"/>
    <w:rsid w:val="00920D4A"/>
    <w:rsid w:val="00920F06"/>
    <w:rsid w:val="00921042"/>
    <w:rsid w:val="00921414"/>
    <w:rsid w:val="00921662"/>
    <w:rsid w:val="009218D6"/>
    <w:rsid w:val="00921BCA"/>
    <w:rsid w:val="00921D4D"/>
    <w:rsid w:val="00922053"/>
    <w:rsid w:val="009228EC"/>
    <w:rsid w:val="00922E32"/>
    <w:rsid w:val="009231E5"/>
    <w:rsid w:val="00923829"/>
    <w:rsid w:val="009238C7"/>
    <w:rsid w:val="00923B73"/>
    <w:rsid w:val="00923D15"/>
    <w:rsid w:val="00923D68"/>
    <w:rsid w:val="009240BD"/>
    <w:rsid w:val="009243B9"/>
    <w:rsid w:val="009245CA"/>
    <w:rsid w:val="009248A4"/>
    <w:rsid w:val="00924D37"/>
    <w:rsid w:val="009256AF"/>
    <w:rsid w:val="009256DF"/>
    <w:rsid w:val="00925D7D"/>
    <w:rsid w:val="00925FE4"/>
    <w:rsid w:val="0092600C"/>
    <w:rsid w:val="00926347"/>
    <w:rsid w:val="009268F7"/>
    <w:rsid w:val="00926A32"/>
    <w:rsid w:val="00926E48"/>
    <w:rsid w:val="00926E4D"/>
    <w:rsid w:val="00926E4F"/>
    <w:rsid w:val="00927463"/>
    <w:rsid w:val="0092792E"/>
    <w:rsid w:val="00927A46"/>
    <w:rsid w:val="0093016D"/>
    <w:rsid w:val="00930452"/>
    <w:rsid w:val="00930657"/>
    <w:rsid w:val="009307A0"/>
    <w:rsid w:val="00931020"/>
    <w:rsid w:val="0093124F"/>
    <w:rsid w:val="009312C2"/>
    <w:rsid w:val="0093157D"/>
    <w:rsid w:val="009318AF"/>
    <w:rsid w:val="00931B51"/>
    <w:rsid w:val="009326DD"/>
    <w:rsid w:val="00932C53"/>
    <w:rsid w:val="0093347E"/>
    <w:rsid w:val="0093352D"/>
    <w:rsid w:val="009335D4"/>
    <w:rsid w:val="00934759"/>
    <w:rsid w:val="009348EF"/>
    <w:rsid w:val="00934924"/>
    <w:rsid w:val="0093495F"/>
    <w:rsid w:val="00934B96"/>
    <w:rsid w:val="00934D3C"/>
    <w:rsid w:val="0093504D"/>
    <w:rsid w:val="00935259"/>
    <w:rsid w:val="009352F7"/>
    <w:rsid w:val="009352FB"/>
    <w:rsid w:val="0093559F"/>
    <w:rsid w:val="009356E9"/>
    <w:rsid w:val="00935C0D"/>
    <w:rsid w:val="00935F99"/>
    <w:rsid w:val="00936682"/>
    <w:rsid w:val="00936A06"/>
    <w:rsid w:val="00936AD6"/>
    <w:rsid w:val="009371A9"/>
    <w:rsid w:val="009376E6"/>
    <w:rsid w:val="009376FF"/>
    <w:rsid w:val="00937FA1"/>
    <w:rsid w:val="00940185"/>
    <w:rsid w:val="00940339"/>
    <w:rsid w:val="00940BCD"/>
    <w:rsid w:val="00940C4D"/>
    <w:rsid w:val="00940D60"/>
    <w:rsid w:val="00941279"/>
    <w:rsid w:val="00941827"/>
    <w:rsid w:val="009419C8"/>
    <w:rsid w:val="009422F9"/>
    <w:rsid w:val="00942506"/>
    <w:rsid w:val="00942771"/>
    <w:rsid w:val="00943AD5"/>
    <w:rsid w:val="00943F20"/>
    <w:rsid w:val="009445D5"/>
    <w:rsid w:val="00944747"/>
    <w:rsid w:val="00944B79"/>
    <w:rsid w:val="00944D18"/>
    <w:rsid w:val="00944EC1"/>
    <w:rsid w:val="00944FD9"/>
    <w:rsid w:val="00945171"/>
    <w:rsid w:val="00945B67"/>
    <w:rsid w:val="00945D79"/>
    <w:rsid w:val="0094603F"/>
    <w:rsid w:val="009462AD"/>
    <w:rsid w:val="009462D5"/>
    <w:rsid w:val="0094730D"/>
    <w:rsid w:val="0094756F"/>
    <w:rsid w:val="0094777E"/>
    <w:rsid w:val="00947B50"/>
    <w:rsid w:val="00947CAA"/>
    <w:rsid w:val="009500E3"/>
    <w:rsid w:val="009503D2"/>
    <w:rsid w:val="009507CF"/>
    <w:rsid w:val="00950896"/>
    <w:rsid w:val="0095098D"/>
    <w:rsid w:val="00950C8A"/>
    <w:rsid w:val="009511FE"/>
    <w:rsid w:val="009512EE"/>
    <w:rsid w:val="00952A04"/>
    <w:rsid w:val="00952D10"/>
    <w:rsid w:val="0095317A"/>
    <w:rsid w:val="00953239"/>
    <w:rsid w:val="00953391"/>
    <w:rsid w:val="0095386D"/>
    <w:rsid w:val="00953D06"/>
    <w:rsid w:val="0095456C"/>
    <w:rsid w:val="0095460F"/>
    <w:rsid w:val="009547B3"/>
    <w:rsid w:val="00954BE6"/>
    <w:rsid w:val="00954D22"/>
    <w:rsid w:val="00954D27"/>
    <w:rsid w:val="00954D9E"/>
    <w:rsid w:val="00954FAF"/>
    <w:rsid w:val="00955490"/>
    <w:rsid w:val="009559C7"/>
    <w:rsid w:val="00955A06"/>
    <w:rsid w:val="00955AD5"/>
    <w:rsid w:val="00955F31"/>
    <w:rsid w:val="009561D6"/>
    <w:rsid w:val="0095621A"/>
    <w:rsid w:val="0095628A"/>
    <w:rsid w:val="009562B2"/>
    <w:rsid w:val="009566E9"/>
    <w:rsid w:val="00956905"/>
    <w:rsid w:val="00956A9E"/>
    <w:rsid w:val="00957002"/>
    <w:rsid w:val="009571D3"/>
    <w:rsid w:val="009573BD"/>
    <w:rsid w:val="00957997"/>
    <w:rsid w:val="00957B14"/>
    <w:rsid w:val="00957CE0"/>
    <w:rsid w:val="0096021D"/>
    <w:rsid w:val="009605E6"/>
    <w:rsid w:val="0096086E"/>
    <w:rsid w:val="00960C37"/>
    <w:rsid w:val="00960C40"/>
    <w:rsid w:val="00961254"/>
    <w:rsid w:val="009614C6"/>
    <w:rsid w:val="00961972"/>
    <w:rsid w:val="009619CD"/>
    <w:rsid w:val="00961F93"/>
    <w:rsid w:val="0096234B"/>
    <w:rsid w:val="0096259F"/>
    <w:rsid w:val="009627FC"/>
    <w:rsid w:val="00962BFB"/>
    <w:rsid w:val="00962E1C"/>
    <w:rsid w:val="009631B6"/>
    <w:rsid w:val="0096349D"/>
    <w:rsid w:val="00963D25"/>
    <w:rsid w:val="00964103"/>
    <w:rsid w:val="00964954"/>
    <w:rsid w:val="00964AFA"/>
    <w:rsid w:val="00964F21"/>
    <w:rsid w:val="00965498"/>
    <w:rsid w:val="009656F8"/>
    <w:rsid w:val="00965867"/>
    <w:rsid w:val="009659F5"/>
    <w:rsid w:val="00965A54"/>
    <w:rsid w:val="00965ABB"/>
    <w:rsid w:val="00965B58"/>
    <w:rsid w:val="00965CEF"/>
    <w:rsid w:val="00966486"/>
    <w:rsid w:val="00966D57"/>
    <w:rsid w:val="00966DEC"/>
    <w:rsid w:val="00967208"/>
    <w:rsid w:val="00967233"/>
    <w:rsid w:val="00967451"/>
    <w:rsid w:val="0096752C"/>
    <w:rsid w:val="00967630"/>
    <w:rsid w:val="009678E9"/>
    <w:rsid w:val="00967FEC"/>
    <w:rsid w:val="00970507"/>
    <w:rsid w:val="00970A2D"/>
    <w:rsid w:val="00970C1B"/>
    <w:rsid w:val="00971224"/>
    <w:rsid w:val="00971714"/>
    <w:rsid w:val="00971AA9"/>
    <w:rsid w:val="00971BBC"/>
    <w:rsid w:val="00971CA1"/>
    <w:rsid w:val="0097237A"/>
    <w:rsid w:val="00972904"/>
    <w:rsid w:val="0097298D"/>
    <w:rsid w:val="00972997"/>
    <w:rsid w:val="00972CB4"/>
    <w:rsid w:val="00972CC8"/>
    <w:rsid w:val="009732F4"/>
    <w:rsid w:val="00973654"/>
    <w:rsid w:val="00973836"/>
    <w:rsid w:val="00973B43"/>
    <w:rsid w:val="00973F33"/>
    <w:rsid w:val="009746FA"/>
    <w:rsid w:val="0097485C"/>
    <w:rsid w:val="009748B0"/>
    <w:rsid w:val="00975063"/>
    <w:rsid w:val="00975F46"/>
    <w:rsid w:val="009762F8"/>
    <w:rsid w:val="0097673B"/>
    <w:rsid w:val="00976F57"/>
    <w:rsid w:val="009772AF"/>
    <w:rsid w:val="009776B6"/>
    <w:rsid w:val="009776FA"/>
    <w:rsid w:val="00977A0D"/>
    <w:rsid w:val="00977CE1"/>
    <w:rsid w:val="00977DAF"/>
    <w:rsid w:val="009800B5"/>
    <w:rsid w:val="009800F9"/>
    <w:rsid w:val="009806A3"/>
    <w:rsid w:val="00980C75"/>
    <w:rsid w:val="0098101C"/>
    <w:rsid w:val="00981A84"/>
    <w:rsid w:val="00981D27"/>
    <w:rsid w:val="00982063"/>
    <w:rsid w:val="0098223D"/>
    <w:rsid w:val="0098279A"/>
    <w:rsid w:val="00982E4E"/>
    <w:rsid w:val="00982FEA"/>
    <w:rsid w:val="00983485"/>
    <w:rsid w:val="00983E81"/>
    <w:rsid w:val="0098421F"/>
    <w:rsid w:val="009849E3"/>
    <w:rsid w:val="00984E6B"/>
    <w:rsid w:val="00985387"/>
    <w:rsid w:val="00985880"/>
    <w:rsid w:val="00985E5A"/>
    <w:rsid w:val="00986265"/>
    <w:rsid w:val="00986D22"/>
    <w:rsid w:val="00986F61"/>
    <w:rsid w:val="00987048"/>
    <w:rsid w:val="00987954"/>
    <w:rsid w:val="00987B68"/>
    <w:rsid w:val="00987C1A"/>
    <w:rsid w:val="00987C7D"/>
    <w:rsid w:val="00987D9A"/>
    <w:rsid w:val="00987E84"/>
    <w:rsid w:val="00987F13"/>
    <w:rsid w:val="00990380"/>
    <w:rsid w:val="009904B2"/>
    <w:rsid w:val="009906A8"/>
    <w:rsid w:val="0099088B"/>
    <w:rsid w:val="00990AD0"/>
    <w:rsid w:val="0099131C"/>
    <w:rsid w:val="00991C98"/>
    <w:rsid w:val="00991E93"/>
    <w:rsid w:val="009921DB"/>
    <w:rsid w:val="0099265C"/>
    <w:rsid w:val="00992793"/>
    <w:rsid w:val="00992ABE"/>
    <w:rsid w:val="00992CEE"/>
    <w:rsid w:val="0099356E"/>
    <w:rsid w:val="00993591"/>
    <w:rsid w:val="009939DA"/>
    <w:rsid w:val="00993AF6"/>
    <w:rsid w:val="00993E43"/>
    <w:rsid w:val="00993E67"/>
    <w:rsid w:val="009940EF"/>
    <w:rsid w:val="00994A8D"/>
    <w:rsid w:val="00994D06"/>
    <w:rsid w:val="00994EFE"/>
    <w:rsid w:val="00994F9F"/>
    <w:rsid w:val="00995248"/>
    <w:rsid w:val="009953D1"/>
    <w:rsid w:val="0099596B"/>
    <w:rsid w:val="00995AA4"/>
    <w:rsid w:val="00995AA6"/>
    <w:rsid w:val="00995CE7"/>
    <w:rsid w:val="00996074"/>
    <w:rsid w:val="009960F0"/>
    <w:rsid w:val="009961A2"/>
    <w:rsid w:val="00996327"/>
    <w:rsid w:val="0099666A"/>
    <w:rsid w:val="009966D8"/>
    <w:rsid w:val="009967C4"/>
    <w:rsid w:val="009968A2"/>
    <w:rsid w:val="00996BDA"/>
    <w:rsid w:val="00996EFC"/>
    <w:rsid w:val="0099705A"/>
    <w:rsid w:val="00997712"/>
    <w:rsid w:val="00997A87"/>
    <w:rsid w:val="00997C0F"/>
    <w:rsid w:val="00997CF0"/>
    <w:rsid w:val="00997D2F"/>
    <w:rsid w:val="009A0073"/>
    <w:rsid w:val="009A03BD"/>
    <w:rsid w:val="009A0779"/>
    <w:rsid w:val="009A0A99"/>
    <w:rsid w:val="009A0B55"/>
    <w:rsid w:val="009A0BBC"/>
    <w:rsid w:val="009A0C4E"/>
    <w:rsid w:val="009A0CFC"/>
    <w:rsid w:val="009A0F50"/>
    <w:rsid w:val="009A124E"/>
    <w:rsid w:val="009A1260"/>
    <w:rsid w:val="009A1F5E"/>
    <w:rsid w:val="009A1F63"/>
    <w:rsid w:val="009A26FD"/>
    <w:rsid w:val="009A2DD8"/>
    <w:rsid w:val="009A3280"/>
    <w:rsid w:val="009A3367"/>
    <w:rsid w:val="009A3927"/>
    <w:rsid w:val="009A3EBF"/>
    <w:rsid w:val="009A4538"/>
    <w:rsid w:val="009A4D90"/>
    <w:rsid w:val="009A50EE"/>
    <w:rsid w:val="009A513E"/>
    <w:rsid w:val="009A5967"/>
    <w:rsid w:val="009A5AFD"/>
    <w:rsid w:val="009A5C72"/>
    <w:rsid w:val="009A5D6D"/>
    <w:rsid w:val="009A681D"/>
    <w:rsid w:val="009A687C"/>
    <w:rsid w:val="009A6AF4"/>
    <w:rsid w:val="009A6E4A"/>
    <w:rsid w:val="009A6E7D"/>
    <w:rsid w:val="009A6EFD"/>
    <w:rsid w:val="009A71A3"/>
    <w:rsid w:val="009A7297"/>
    <w:rsid w:val="009A7847"/>
    <w:rsid w:val="009A7B50"/>
    <w:rsid w:val="009B14DF"/>
    <w:rsid w:val="009B1518"/>
    <w:rsid w:val="009B1BF1"/>
    <w:rsid w:val="009B1C98"/>
    <w:rsid w:val="009B2399"/>
    <w:rsid w:val="009B255E"/>
    <w:rsid w:val="009B27E7"/>
    <w:rsid w:val="009B2AF3"/>
    <w:rsid w:val="009B3420"/>
    <w:rsid w:val="009B39DC"/>
    <w:rsid w:val="009B3BC4"/>
    <w:rsid w:val="009B4483"/>
    <w:rsid w:val="009B527E"/>
    <w:rsid w:val="009B532A"/>
    <w:rsid w:val="009B5488"/>
    <w:rsid w:val="009B54A6"/>
    <w:rsid w:val="009B54DD"/>
    <w:rsid w:val="009B5692"/>
    <w:rsid w:val="009B5DEC"/>
    <w:rsid w:val="009B61E7"/>
    <w:rsid w:val="009B62B6"/>
    <w:rsid w:val="009B63A1"/>
    <w:rsid w:val="009B652A"/>
    <w:rsid w:val="009B6579"/>
    <w:rsid w:val="009B697F"/>
    <w:rsid w:val="009B6C08"/>
    <w:rsid w:val="009B6D74"/>
    <w:rsid w:val="009B6E20"/>
    <w:rsid w:val="009B6E53"/>
    <w:rsid w:val="009B70EE"/>
    <w:rsid w:val="009B79BB"/>
    <w:rsid w:val="009C0055"/>
    <w:rsid w:val="009C044D"/>
    <w:rsid w:val="009C0972"/>
    <w:rsid w:val="009C1049"/>
    <w:rsid w:val="009C14DA"/>
    <w:rsid w:val="009C1538"/>
    <w:rsid w:val="009C1678"/>
    <w:rsid w:val="009C17C2"/>
    <w:rsid w:val="009C1BC1"/>
    <w:rsid w:val="009C1BDB"/>
    <w:rsid w:val="009C1F7F"/>
    <w:rsid w:val="009C1FB2"/>
    <w:rsid w:val="009C2703"/>
    <w:rsid w:val="009C319C"/>
    <w:rsid w:val="009C3936"/>
    <w:rsid w:val="009C3F03"/>
    <w:rsid w:val="009C49A2"/>
    <w:rsid w:val="009C4A02"/>
    <w:rsid w:val="009C51BD"/>
    <w:rsid w:val="009C544B"/>
    <w:rsid w:val="009C5600"/>
    <w:rsid w:val="009C5D88"/>
    <w:rsid w:val="009C627A"/>
    <w:rsid w:val="009C6400"/>
    <w:rsid w:val="009C64F2"/>
    <w:rsid w:val="009C6666"/>
    <w:rsid w:val="009C6797"/>
    <w:rsid w:val="009C67AA"/>
    <w:rsid w:val="009C6882"/>
    <w:rsid w:val="009C6E72"/>
    <w:rsid w:val="009C6F7A"/>
    <w:rsid w:val="009C7434"/>
    <w:rsid w:val="009C7D7C"/>
    <w:rsid w:val="009C7E3B"/>
    <w:rsid w:val="009D0089"/>
    <w:rsid w:val="009D0199"/>
    <w:rsid w:val="009D0382"/>
    <w:rsid w:val="009D046F"/>
    <w:rsid w:val="009D04EC"/>
    <w:rsid w:val="009D0C40"/>
    <w:rsid w:val="009D0F7C"/>
    <w:rsid w:val="009D1651"/>
    <w:rsid w:val="009D190B"/>
    <w:rsid w:val="009D22F5"/>
    <w:rsid w:val="009D25FA"/>
    <w:rsid w:val="009D2817"/>
    <w:rsid w:val="009D3BC1"/>
    <w:rsid w:val="009D3C3F"/>
    <w:rsid w:val="009D3C88"/>
    <w:rsid w:val="009D3C8B"/>
    <w:rsid w:val="009D3F31"/>
    <w:rsid w:val="009D41E7"/>
    <w:rsid w:val="009D4533"/>
    <w:rsid w:val="009D4D67"/>
    <w:rsid w:val="009D61A6"/>
    <w:rsid w:val="009D635B"/>
    <w:rsid w:val="009D66DC"/>
    <w:rsid w:val="009D6822"/>
    <w:rsid w:val="009D6A00"/>
    <w:rsid w:val="009D6BBA"/>
    <w:rsid w:val="009D73CC"/>
    <w:rsid w:val="009D7534"/>
    <w:rsid w:val="009D79F8"/>
    <w:rsid w:val="009D7D7F"/>
    <w:rsid w:val="009D7E06"/>
    <w:rsid w:val="009D7F6F"/>
    <w:rsid w:val="009E0096"/>
    <w:rsid w:val="009E0393"/>
    <w:rsid w:val="009E07D3"/>
    <w:rsid w:val="009E07E5"/>
    <w:rsid w:val="009E0C01"/>
    <w:rsid w:val="009E0D95"/>
    <w:rsid w:val="009E1721"/>
    <w:rsid w:val="009E1A5D"/>
    <w:rsid w:val="009E1BBB"/>
    <w:rsid w:val="009E1C3C"/>
    <w:rsid w:val="009E1CB5"/>
    <w:rsid w:val="009E25A0"/>
    <w:rsid w:val="009E2659"/>
    <w:rsid w:val="009E2660"/>
    <w:rsid w:val="009E2C8C"/>
    <w:rsid w:val="009E2FD2"/>
    <w:rsid w:val="009E30D2"/>
    <w:rsid w:val="009E30E0"/>
    <w:rsid w:val="009E35EB"/>
    <w:rsid w:val="009E37FB"/>
    <w:rsid w:val="009E39F2"/>
    <w:rsid w:val="009E3DBA"/>
    <w:rsid w:val="009E3FD5"/>
    <w:rsid w:val="009E44E8"/>
    <w:rsid w:val="009E464C"/>
    <w:rsid w:val="009E48F2"/>
    <w:rsid w:val="009E4E33"/>
    <w:rsid w:val="009E4FC3"/>
    <w:rsid w:val="009E5600"/>
    <w:rsid w:val="009E56B4"/>
    <w:rsid w:val="009E5726"/>
    <w:rsid w:val="009E5AB3"/>
    <w:rsid w:val="009E5BC2"/>
    <w:rsid w:val="009E65BE"/>
    <w:rsid w:val="009E6721"/>
    <w:rsid w:val="009E6A42"/>
    <w:rsid w:val="009E6AC4"/>
    <w:rsid w:val="009E74A4"/>
    <w:rsid w:val="009E7FE5"/>
    <w:rsid w:val="009E7FF0"/>
    <w:rsid w:val="009F00E7"/>
    <w:rsid w:val="009F0117"/>
    <w:rsid w:val="009F0692"/>
    <w:rsid w:val="009F06F2"/>
    <w:rsid w:val="009F0D1E"/>
    <w:rsid w:val="009F1409"/>
    <w:rsid w:val="009F160E"/>
    <w:rsid w:val="009F1C5D"/>
    <w:rsid w:val="009F1CF1"/>
    <w:rsid w:val="009F2305"/>
    <w:rsid w:val="009F2E22"/>
    <w:rsid w:val="009F2F79"/>
    <w:rsid w:val="009F3147"/>
    <w:rsid w:val="009F3328"/>
    <w:rsid w:val="009F38D2"/>
    <w:rsid w:val="009F3BAD"/>
    <w:rsid w:val="009F3BF8"/>
    <w:rsid w:val="009F486B"/>
    <w:rsid w:val="009F4EC9"/>
    <w:rsid w:val="009F5371"/>
    <w:rsid w:val="009F5505"/>
    <w:rsid w:val="009F58FB"/>
    <w:rsid w:val="009F5943"/>
    <w:rsid w:val="009F5F5D"/>
    <w:rsid w:val="009F635E"/>
    <w:rsid w:val="009F6AF8"/>
    <w:rsid w:val="009F6BBF"/>
    <w:rsid w:val="009F6C12"/>
    <w:rsid w:val="009F6CD6"/>
    <w:rsid w:val="009F6D07"/>
    <w:rsid w:val="009F6F93"/>
    <w:rsid w:val="009F7524"/>
    <w:rsid w:val="009F7815"/>
    <w:rsid w:val="009F7D6B"/>
    <w:rsid w:val="00A001D3"/>
    <w:rsid w:val="00A0029D"/>
    <w:rsid w:val="00A0031A"/>
    <w:rsid w:val="00A00C43"/>
    <w:rsid w:val="00A00D0F"/>
    <w:rsid w:val="00A01303"/>
    <w:rsid w:val="00A01330"/>
    <w:rsid w:val="00A01AC4"/>
    <w:rsid w:val="00A01BCB"/>
    <w:rsid w:val="00A020C3"/>
    <w:rsid w:val="00A02C5D"/>
    <w:rsid w:val="00A031E6"/>
    <w:rsid w:val="00A036F5"/>
    <w:rsid w:val="00A03862"/>
    <w:rsid w:val="00A039A8"/>
    <w:rsid w:val="00A04056"/>
    <w:rsid w:val="00A040EE"/>
    <w:rsid w:val="00A04332"/>
    <w:rsid w:val="00A0447F"/>
    <w:rsid w:val="00A0459C"/>
    <w:rsid w:val="00A0463F"/>
    <w:rsid w:val="00A04803"/>
    <w:rsid w:val="00A04E98"/>
    <w:rsid w:val="00A04FCB"/>
    <w:rsid w:val="00A05D2B"/>
    <w:rsid w:val="00A05E65"/>
    <w:rsid w:val="00A05F2D"/>
    <w:rsid w:val="00A06561"/>
    <w:rsid w:val="00A06C59"/>
    <w:rsid w:val="00A06DB8"/>
    <w:rsid w:val="00A07020"/>
    <w:rsid w:val="00A07331"/>
    <w:rsid w:val="00A07603"/>
    <w:rsid w:val="00A07C70"/>
    <w:rsid w:val="00A07F21"/>
    <w:rsid w:val="00A10338"/>
    <w:rsid w:val="00A10512"/>
    <w:rsid w:val="00A11021"/>
    <w:rsid w:val="00A11164"/>
    <w:rsid w:val="00A11472"/>
    <w:rsid w:val="00A11F1D"/>
    <w:rsid w:val="00A1236D"/>
    <w:rsid w:val="00A1244A"/>
    <w:rsid w:val="00A12481"/>
    <w:rsid w:val="00A1261C"/>
    <w:rsid w:val="00A12679"/>
    <w:rsid w:val="00A128ED"/>
    <w:rsid w:val="00A129CE"/>
    <w:rsid w:val="00A12C6F"/>
    <w:rsid w:val="00A12E52"/>
    <w:rsid w:val="00A12EE4"/>
    <w:rsid w:val="00A13250"/>
    <w:rsid w:val="00A13743"/>
    <w:rsid w:val="00A1375B"/>
    <w:rsid w:val="00A13885"/>
    <w:rsid w:val="00A138B1"/>
    <w:rsid w:val="00A13DB4"/>
    <w:rsid w:val="00A140D3"/>
    <w:rsid w:val="00A1446B"/>
    <w:rsid w:val="00A14AD8"/>
    <w:rsid w:val="00A151FD"/>
    <w:rsid w:val="00A15595"/>
    <w:rsid w:val="00A15E35"/>
    <w:rsid w:val="00A1655F"/>
    <w:rsid w:val="00A167F2"/>
    <w:rsid w:val="00A169CA"/>
    <w:rsid w:val="00A16B64"/>
    <w:rsid w:val="00A171C9"/>
    <w:rsid w:val="00A17459"/>
    <w:rsid w:val="00A17621"/>
    <w:rsid w:val="00A17691"/>
    <w:rsid w:val="00A17816"/>
    <w:rsid w:val="00A1789F"/>
    <w:rsid w:val="00A17AA4"/>
    <w:rsid w:val="00A17D02"/>
    <w:rsid w:val="00A17D09"/>
    <w:rsid w:val="00A17EFE"/>
    <w:rsid w:val="00A20186"/>
    <w:rsid w:val="00A202A3"/>
    <w:rsid w:val="00A20679"/>
    <w:rsid w:val="00A206C7"/>
    <w:rsid w:val="00A20753"/>
    <w:rsid w:val="00A20C78"/>
    <w:rsid w:val="00A21382"/>
    <w:rsid w:val="00A21D01"/>
    <w:rsid w:val="00A21D6D"/>
    <w:rsid w:val="00A21E4A"/>
    <w:rsid w:val="00A220B5"/>
    <w:rsid w:val="00A22C81"/>
    <w:rsid w:val="00A22DF0"/>
    <w:rsid w:val="00A22F89"/>
    <w:rsid w:val="00A2303F"/>
    <w:rsid w:val="00A230C3"/>
    <w:rsid w:val="00A2312E"/>
    <w:rsid w:val="00A2321B"/>
    <w:rsid w:val="00A237EB"/>
    <w:rsid w:val="00A2399A"/>
    <w:rsid w:val="00A24323"/>
    <w:rsid w:val="00A24C77"/>
    <w:rsid w:val="00A24E60"/>
    <w:rsid w:val="00A24EA9"/>
    <w:rsid w:val="00A2512C"/>
    <w:rsid w:val="00A2515B"/>
    <w:rsid w:val="00A25331"/>
    <w:rsid w:val="00A2588E"/>
    <w:rsid w:val="00A259F8"/>
    <w:rsid w:val="00A25B7E"/>
    <w:rsid w:val="00A26036"/>
    <w:rsid w:val="00A2615E"/>
    <w:rsid w:val="00A2640E"/>
    <w:rsid w:val="00A265AC"/>
    <w:rsid w:val="00A2665B"/>
    <w:rsid w:val="00A26D35"/>
    <w:rsid w:val="00A26EDF"/>
    <w:rsid w:val="00A275AE"/>
    <w:rsid w:val="00A27806"/>
    <w:rsid w:val="00A27A08"/>
    <w:rsid w:val="00A27E6F"/>
    <w:rsid w:val="00A27F9E"/>
    <w:rsid w:val="00A30007"/>
    <w:rsid w:val="00A3048F"/>
    <w:rsid w:val="00A30B9B"/>
    <w:rsid w:val="00A31354"/>
    <w:rsid w:val="00A317E8"/>
    <w:rsid w:val="00A319E2"/>
    <w:rsid w:val="00A31E46"/>
    <w:rsid w:val="00A31E6F"/>
    <w:rsid w:val="00A31E8D"/>
    <w:rsid w:val="00A32338"/>
    <w:rsid w:val="00A327F2"/>
    <w:rsid w:val="00A32B60"/>
    <w:rsid w:val="00A32E08"/>
    <w:rsid w:val="00A33101"/>
    <w:rsid w:val="00A33E02"/>
    <w:rsid w:val="00A34789"/>
    <w:rsid w:val="00A3483E"/>
    <w:rsid w:val="00A34D52"/>
    <w:rsid w:val="00A35125"/>
    <w:rsid w:val="00A35242"/>
    <w:rsid w:val="00A352C7"/>
    <w:rsid w:val="00A35525"/>
    <w:rsid w:val="00A35ED8"/>
    <w:rsid w:val="00A3629A"/>
    <w:rsid w:val="00A3630E"/>
    <w:rsid w:val="00A367FC"/>
    <w:rsid w:val="00A370F7"/>
    <w:rsid w:val="00A374F9"/>
    <w:rsid w:val="00A375F1"/>
    <w:rsid w:val="00A37658"/>
    <w:rsid w:val="00A37BB8"/>
    <w:rsid w:val="00A37DBD"/>
    <w:rsid w:val="00A37E29"/>
    <w:rsid w:val="00A37FDC"/>
    <w:rsid w:val="00A40010"/>
    <w:rsid w:val="00A400FC"/>
    <w:rsid w:val="00A40A73"/>
    <w:rsid w:val="00A40C31"/>
    <w:rsid w:val="00A40D48"/>
    <w:rsid w:val="00A40F90"/>
    <w:rsid w:val="00A41028"/>
    <w:rsid w:val="00A41934"/>
    <w:rsid w:val="00A41A8C"/>
    <w:rsid w:val="00A41C2F"/>
    <w:rsid w:val="00A41EC0"/>
    <w:rsid w:val="00A41FF8"/>
    <w:rsid w:val="00A4214B"/>
    <w:rsid w:val="00A424A3"/>
    <w:rsid w:val="00A4280E"/>
    <w:rsid w:val="00A42D87"/>
    <w:rsid w:val="00A4362B"/>
    <w:rsid w:val="00A43722"/>
    <w:rsid w:val="00A43786"/>
    <w:rsid w:val="00A446B0"/>
    <w:rsid w:val="00A44BD3"/>
    <w:rsid w:val="00A44DCF"/>
    <w:rsid w:val="00A4521D"/>
    <w:rsid w:val="00A453BD"/>
    <w:rsid w:val="00A45E7F"/>
    <w:rsid w:val="00A45FC0"/>
    <w:rsid w:val="00A45FFE"/>
    <w:rsid w:val="00A4603B"/>
    <w:rsid w:val="00A4636D"/>
    <w:rsid w:val="00A464B9"/>
    <w:rsid w:val="00A46776"/>
    <w:rsid w:val="00A46953"/>
    <w:rsid w:val="00A46D6F"/>
    <w:rsid w:val="00A474D7"/>
    <w:rsid w:val="00A4782C"/>
    <w:rsid w:val="00A4784B"/>
    <w:rsid w:val="00A501DC"/>
    <w:rsid w:val="00A50268"/>
    <w:rsid w:val="00A505AB"/>
    <w:rsid w:val="00A50654"/>
    <w:rsid w:val="00A507C3"/>
    <w:rsid w:val="00A50D47"/>
    <w:rsid w:val="00A50D81"/>
    <w:rsid w:val="00A51056"/>
    <w:rsid w:val="00A51DB8"/>
    <w:rsid w:val="00A51F0A"/>
    <w:rsid w:val="00A52337"/>
    <w:rsid w:val="00A524D2"/>
    <w:rsid w:val="00A52EC0"/>
    <w:rsid w:val="00A52F42"/>
    <w:rsid w:val="00A531A6"/>
    <w:rsid w:val="00A53556"/>
    <w:rsid w:val="00A53719"/>
    <w:rsid w:val="00A54547"/>
    <w:rsid w:val="00A54682"/>
    <w:rsid w:val="00A54BE0"/>
    <w:rsid w:val="00A54EF2"/>
    <w:rsid w:val="00A551B1"/>
    <w:rsid w:val="00A55603"/>
    <w:rsid w:val="00A55644"/>
    <w:rsid w:val="00A55B74"/>
    <w:rsid w:val="00A55C2B"/>
    <w:rsid w:val="00A55D48"/>
    <w:rsid w:val="00A55F8D"/>
    <w:rsid w:val="00A563F9"/>
    <w:rsid w:val="00A56434"/>
    <w:rsid w:val="00A564A6"/>
    <w:rsid w:val="00A5663F"/>
    <w:rsid w:val="00A5675B"/>
    <w:rsid w:val="00A56916"/>
    <w:rsid w:val="00A56E92"/>
    <w:rsid w:val="00A5729E"/>
    <w:rsid w:val="00A577E7"/>
    <w:rsid w:val="00A57BEB"/>
    <w:rsid w:val="00A57C73"/>
    <w:rsid w:val="00A600F5"/>
    <w:rsid w:val="00A60AF3"/>
    <w:rsid w:val="00A61170"/>
    <w:rsid w:val="00A61206"/>
    <w:rsid w:val="00A6133D"/>
    <w:rsid w:val="00A61673"/>
    <w:rsid w:val="00A61977"/>
    <w:rsid w:val="00A61F02"/>
    <w:rsid w:val="00A6213C"/>
    <w:rsid w:val="00A624DB"/>
    <w:rsid w:val="00A627EC"/>
    <w:rsid w:val="00A62D08"/>
    <w:rsid w:val="00A62FA5"/>
    <w:rsid w:val="00A630C8"/>
    <w:rsid w:val="00A63811"/>
    <w:rsid w:val="00A64926"/>
    <w:rsid w:val="00A64987"/>
    <w:rsid w:val="00A64AAE"/>
    <w:rsid w:val="00A64C8E"/>
    <w:rsid w:val="00A656AF"/>
    <w:rsid w:val="00A65BAD"/>
    <w:rsid w:val="00A65EFF"/>
    <w:rsid w:val="00A665CF"/>
    <w:rsid w:val="00A66CB2"/>
    <w:rsid w:val="00A66E9B"/>
    <w:rsid w:val="00A6757D"/>
    <w:rsid w:val="00A676D4"/>
    <w:rsid w:val="00A676FD"/>
    <w:rsid w:val="00A67CA7"/>
    <w:rsid w:val="00A67DF0"/>
    <w:rsid w:val="00A70E51"/>
    <w:rsid w:val="00A71720"/>
    <w:rsid w:val="00A7174C"/>
    <w:rsid w:val="00A71BF6"/>
    <w:rsid w:val="00A71E18"/>
    <w:rsid w:val="00A723A3"/>
    <w:rsid w:val="00A72655"/>
    <w:rsid w:val="00A726C3"/>
    <w:rsid w:val="00A7273F"/>
    <w:rsid w:val="00A72ABD"/>
    <w:rsid w:val="00A72CDE"/>
    <w:rsid w:val="00A72D83"/>
    <w:rsid w:val="00A73186"/>
    <w:rsid w:val="00A73989"/>
    <w:rsid w:val="00A73DCD"/>
    <w:rsid w:val="00A743F4"/>
    <w:rsid w:val="00A74619"/>
    <w:rsid w:val="00A74794"/>
    <w:rsid w:val="00A74E8D"/>
    <w:rsid w:val="00A75148"/>
    <w:rsid w:val="00A75381"/>
    <w:rsid w:val="00A7542B"/>
    <w:rsid w:val="00A75A85"/>
    <w:rsid w:val="00A76014"/>
    <w:rsid w:val="00A7621F"/>
    <w:rsid w:val="00A7752F"/>
    <w:rsid w:val="00A77CA0"/>
    <w:rsid w:val="00A77EE6"/>
    <w:rsid w:val="00A77F5D"/>
    <w:rsid w:val="00A80460"/>
    <w:rsid w:val="00A8046F"/>
    <w:rsid w:val="00A80756"/>
    <w:rsid w:val="00A8088C"/>
    <w:rsid w:val="00A80A45"/>
    <w:rsid w:val="00A80B17"/>
    <w:rsid w:val="00A813D5"/>
    <w:rsid w:val="00A81707"/>
    <w:rsid w:val="00A81799"/>
    <w:rsid w:val="00A81922"/>
    <w:rsid w:val="00A819CF"/>
    <w:rsid w:val="00A81C55"/>
    <w:rsid w:val="00A82014"/>
    <w:rsid w:val="00A823CD"/>
    <w:rsid w:val="00A82607"/>
    <w:rsid w:val="00A82BE1"/>
    <w:rsid w:val="00A8304B"/>
    <w:rsid w:val="00A833EC"/>
    <w:rsid w:val="00A8357F"/>
    <w:rsid w:val="00A83AE2"/>
    <w:rsid w:val="00A83C58"/>
    <w:rsid w:val="00A8410F"/>
    <w:rsid w:val="00A8447D"/>
    <w:rsid w:val="00A84C1E"/>
    <w:rsid w:val="00A84C2E"/>
    <w:rsid w:val="00A8557E"/>
    <w:rsid w:val="00A856A5"/>
    <w:rsid w:val="00A85737"/>
    <w:rsid w:val="00A85BE1"/>
    <w:rsid w:val="00A85C35"/>
    <w:rsid w:val="00A85D9E"/>
    <w:rsid w:val="00A8619F"/>
    <w:rsid w:val="00A863A6"/>
    <w:rsid w:val="00A8666E"/>
    <w:rsid w:val="00A8682A"/>
    <w:rsid w:val="00A86883"/>
    <w:rsid w:val="00A86ADC"/>
    <w:rsid w:val="00A874F1"/>
    <w:rsid w:val="00A8773C"/>
    <w:rsid w:val="00A87787"/>
    <w:rsid w:val="00A87873"/>
    <w:rsid w:val="00A87925"/>
    <w:rsid w:val="00A87978"/>
    <w:rsid w:val="00A87BFD"/>
    <w:rsid w:val="00A87C03"/>
    <w:rsid w:val="00A87C54"/>
    <w:rsid w:val="00A87DE6"/>
    <w:rsid w:val="00A90120"/>
    <w:rsid w:val="00A901C7"/>
    <w:rsid w:val="00A90572"/>
    <w:rsid w:val="00A9099B"/>
    <w:rsid w:val="00A90CC4"/>
    <w:rsid w:val="00A90E0E"/>
    <w:rsid w:val="00A90E17"/>
    <w:rsid w:val="00A9142B"/>
    <w:rsid w:val="00A914E6"/>
    <w:rsid w:val="00A918B9"/>
    <w:rsid w:val="00A91B4B"/>
    <w:rsid w:val="00A91B8D"/>
    <w:rsid w:val="00A92061"/>
    <w:rsid w:val="00A9221D"/>
    <w:rsid w:val="00A92228"/>
    <w:rsid w:val="00A92598"/>
    <w:rsid w:val="00A92624"/>
    <w:rsid w:val="00A9266F"/>
    <w:rsid w:val="00A9359F"/>
    <w:rsid w:val="00A93665"/>
    <w:rsid w:val="00A936B9"/>
    <w:rsid w:val="00A937C6"/>
    <w:rsid w:val="00A94249"/>
    <w:rsid w:val="00A9494C"/>
    <w:rsid w:val="00A94BC9"/>
    <w:rsid w:val="00A94E46"/>
    <w:rsid w:val="00A94EEC"/>
    <w:rsid w:val="00A95630"/>
    <w:rsid w:val="00A95653"/>
    <w:rsid w:val="00A9579F"/>
    <w:rsid w:val="00A959BC"/>
    <w:rsid w:val="00A95B13"/>
    <w:rsid w:val="00A95C22"/>
    <w:rsid w:val="00A95E7D"/>
    <w:rsid w:val="00A962CC"/>
    <w:rsid w:val="00A96939"/>
    <w:rsid w:val="00A96C6C"/>
    <w:rsid w:val="00A96C8D"/>
    <w:rsid w:val="00A96D09"/>
    <w:rsid w:val="00A96E4F"/>
    <w:rsid w:val="00A97B7B"/>
    <w:rsid w:val="00AA063B"/>
    <w:rsid w:val="00AA0732"/>
    <w:rsid w:val="00AA0BF9"/>
    <w:rsid w:val="00AA0D84"/>
    <w:rsid w:val="00AA0ED6"/>
    <w:rsid w:val="00AA0FF0"/>
    <w:rsid w:val="00AA10CF"/>
    <w:rsid w:val="00AA11D1"/>
    <w:rsid w:val="00AA2835"/>
    <w:rsid w:val="00AA33C0"/>
    <w:rsid w:val="00AA37AC"/>
    <w:rsid w:val="00AA3C60"/>
    <w:rsid w:val="00AA3C8B"/>
    <w:rsid w:val="00AA3FC9"/>
    <w:rsid w:val="00AA4260"/>
    <w:rsid w:val="00AA431B"/>
    <w:rsid w:val="00AA4913"/>
    <w:rsid w:val="00AA4A74"/>
    <w:rsid w:val="00AA5866"/>
    <w:rsid w:val="00AA60B2"/>
    <w:rsid w:val="00AA6426"/>
    <w:rsid w:val="00AA651E"/>
    <w:rsid w:val="00AA671A"/>
    <w:rsid w:val="00AA67BC"/>
    <w:rsid w:val="00AA6813"/>
    <w:rsid w:val="00AA6A85"/>
    <w:rsid w:val="00AA6D0B"/>
    <w:rsid w:val="00AA7004"/>
    <w:rsid w:val="00AA76E9"/>
    <w:rsid w:val="00AA784E"/>
    <w:rsid w:val="00AA7E5C"/>
    <w:rsid w:val="00AA7F81"/>
    <w:rsid w:val="00AB090E"/>
    <w:rsid w:val="00AB0C14"/>
    <w:rsid w:val="00AB0FA0"/>
    <w:rsid w:val="00AB1BC2"/>
    <w:rsid w:val="00AB1CE0"/>
    <w:rsid w:val="00AB2DA7"/>
    <w:rsid w:val="00AB2FF4"/>
    <w:rsid w:val="00AB3313"/>
    <w:rsid w:val="00AB39B8"/>
    <w:rsid w:val="00AB3C29"/>
    <w:rsid w:val="00AB3D9A"/>
    <w:rsid w:val="00AB4017"/>
    <w:rsid w:val="00AB465E"/>
    <w:rsid w:val="00AB46E4"/>
    <w:rsid w:val="00AB4D8E"/>
    <w:rsid w:val="00AB5769"/>
    <w:rsid w:val="00AB5A63"/>
    <w:rsid w:val="00AB5F9C"/>
    <w:rsid w:val="00AB6028"/>
    <w:rsid w:val="00AB6199"/>
    <w:rsid w:val="00AB647E"/>
    <w:rsid w:val="00AB6575"/>
    <w:rsid w:val="00AB6776"/>
    <w:rsid w:val="00AB6A53"/>
    <w:rsid w:val="00AB6EF8"/>
    <w:rsid w:val="00AB7CC9"/>
    <w:rsid w:val="00AB7D7E"/>
    <w:rsid w:val="00AC0181"/>
    <w:rsid w:val="00AC0267"/>
    <w:rsid w:val="00AC02E7"/>
    <w:rsid w:val="00AC079E"/>
    <w:rsid w:val="00AC132E"/>
    <w:rsid w:val="00AC134F"/>
    <w:rsid w:val="00AC1AD6"/>
    <w:rsid w:val="00AC1BA0"/>
    <w:rsid w:val="00AC1C91"/>
    <w:rsid w:val="00AC1E71"/>
    <w:rsid w:val="00AC1FB7"/>
    <w:rsid w:val="00AC22EF"/>
    <w:rsid w:val="00AC245D"/>
    <w:rsid w:val="00AC2765"/>
    <w:rsid w:val="00AC27BD"/>
    <w:rsid w:val="00AC293A"/>
    <w:rsid w:val="00AC294D"/>
    <w:rsid w:val="00AC2FFE"/>
    <w:rsid w:val="00AC361F"/>
    <w:rsid w:val="00AC38D7"/>
    <w:rsid w:val="00AC43D7"/>
    <w:rsid w:val="00AC44F9"/>
    <w:rsid w:val="00AC4AFB"/>
    <w:rsid w:val="00AC4E99"/>
    <w:rsid w:val="00AC4EBF"/>
    <w:rsid w:val="00AC4F0E"/>
    <w:rsid w:val="00AC57AA"/>
    <w:rsid w:val="00AC5841"/>
    <w:rsid w:val="00AC5949"/>
    <w:rsid w:val="00AC5977"/>
    <w:rsid w:val="00AC5A40"/>
    <w:rsid w:val="00AC5B55"/>
    <w:rsid w:val="00AC5B7D"/>
    <w:rsid w:val="00AC6177"/>
    <w:rsid w:val="00AC622E"/>
    <w:rsid w:val="00AC64C2"/>
    <w:rsid w:val="00AC64DD"/>
    <w:rsid w:val="00AC6A25"/>
    <w:rsid w:val="00AC6A42"/>
    <w:rsid w:val="00AC6BC1"/>
    <w:rsid w:val="00AC6C0E"/>
    <w:rsid w:val="00AC717E"/>
    <w:rsid w:val="00AC7273"/>
    <w:rsid w:val="00AC768C"/>
    <w:rsid w:val="00AD018F"/>
    <w:rsid w:val="00AD0C02"/>
    <w:rsid w:val="00AD0CF0"/>
    <w:rsid w:val="00AD1015"/>
    <w:rsid w:val="00AD144B"/>
    <w:rsid w:val="00AD187C"/>
    <w:rsid w:val="00AD194B"/>
    <w:rsid w:val="00AD1AE1"/>
    <w:rsid w:val="00AD1AEC"/>
    <w:rsid w:val="00AD1C27"/>
    <w:rsid w:val="00AD2AFA"/>
    <w:rsid w:val="00AD2DB4"/>
    <w:rsid w:val="00AD325F"/>
    <w:rsid w:val="00AD3372"/>
    <w:rsid w:val="00AD356F"/>
    <w:rsid w:val="00AD36D6"/>
    <w:rsid w:val="00AD393D"/>
    <w:rsid w:val="00AD3964"/>
    <w:rsid w:val="00AD3F52"/>
    <w:rsid w:val="00AD40E2"/>
    <w:rsid w:val="00AD436A"/>
    <w:rsid w:val="00AD437A"/>
    <w:rsid w:val="00AD4A1E"/>
    <w:rsid w:val="00AD4D61"/>
    <w:rsid w:val="00AD4FA5"/>
    <w:rsid w:val="00AD5FE6"/>
    <w:rsid w:val="00AD64DF"/>
    <w:rsid w:val="00AD68A0"/>
    <w:rsid w:val="00AD6A53"/>
    <w:rsid w:val="00AD6AAC"/>
    <w:rsid w:val="00AD6CE0"/>
    <w:rsid w:val="00AD6D90"/>
    <w:rsid w:val="00AD6E12"/>
    <w:rsid w:val="00AD72F2"/>
    <w:rsid w:val="00AD7612"/>
    <w:rsid w:val="00AD766B"/>
    <w:rsid w:val="00AD7851"/>
    <w:rsid w:val="00AD7C71"/>
    <w:rsid w:val="00AD7E5C"/>
    <w:rsid w:val="00AD7F08"/>
    <w:rsid w:val="00AE0000"/>
    <w:rsid w:val="00AE0328"/>
    <w:rsid w:val="00AE085C"/>
    <w:rsid w:val="00AE0F04"/>
    <w:rsid w:val="00AE0F06"/>
    <w:rsid w:val="00AE1025"/>
    <w:rsid w:val="00AE1225"/>
    <w:rsid w:val="00AE128D"/>
    <w:rsid w:val="00AE1BBF"/>
    <w:rsid w:val="00AE2833"/>
    <w:rsid w:val="00AE2C9D"/>
    <w:rsid w:val="00AE2E98"/>
    <w:rsid w:val="00AE30D6"/>
    <w:rsid w:val="00AE3163"/>
    <w:rsid w:val="00AE31DC"/>
    <w:rsid w:val="00AE392F"/>
    <w:rsid w:val="00AE393E"/>
    <w:rsid w:val="00AE3F03"/>
    <w:rsid w:val="00AE3F76"/>
    <w:rsid w:val="00AE413A"/>
    <w:rsid w:val="00AE42C6"/>
    <w:rsid w:val="00AE43C7"/>
    <w:rsid w:val="00AE4618"/>
    <w:rsid w:val="00AE4B3E"/>
    <w:rsid w:val="00AE4BB7"/>
    <w:rsid w:val="00AE4C83"/>
    <w:rsid w:val="00AE4CF8"/>
    <w:rsid w:val="00AE5D23"/>
    <w:rsid w:val="00AE5DA1"/>
    <w:rsid w:val="00AE5F22"/>
    <w:rsid w:val="00AE61AC"/>
    <w:rsid w:val="00AE6206"/>
    <w:rsid w:val="00AE638D"/>
    <w:rsid w:val="00AE64F0"/>
    <w:rsid w:val="00AE6A55"/>
    <w:rsid w:val="00AE6EF9"/>
    <w:rsid w:val="00AE7779"/>
    <w:rsid w:val="00AE7B17"/>
    <w:rsid w:val="00AE7E8E"/>
    <w:rsid w:val="00AF0327"/>
    <w:rsid w:val="00AF05F9"/>
    <w:rsid w:val="00AF0910"/>
    <w:rsid w:val="00AF0942"/>
    <w:rsid w:val="00AF0A84"/>
    <w:rsid w:val="00AF155B"/>
    <w:rsid w:val="00AF236C"/>
    <w:rsid w:val="00AF23C8"/>
    <w:rsid w:val="00AF2839"/>
    <w:rsid w:val="00AF2AE2"/>
    <w:rsid w:val="00AF2B55"/>
    <w:rsid w:val="00AF30C9"/>
    <w:rsid w:val="00AF30E3"/>
    <w:rsid w:val="00AF32BE"/>
    <w:rsid w:val="00AF33C1"/>
    <w:rsid w:val="00AF4613"/>
    <w:rsid w:val="00AF4868"/>
    <w:rsid w:val="00AF4A6F"/>
    <w:rsid w:val="00AF4ACF"/>
    <w:rsid w:val="00AF4F18"/>
    <w:rsid w:val="00AF56AB"/>
    <w:rsid w:val="00AF56B2"/>
    <w:rsid w:val="00AF57CC"/>
    <w:rsid w:val="00AF595E"/>
    <w:rsid w:val="00AF59E5"/>
    <w:rsid w:val="00AF5F10"/>
    <w:rsid w:val="00AF6338"/>
    <w:rsid w:val="00AF675D"/>
    <w:rsid w:val="00AF6B96"/>
    <w:rsid w:val="00AF6C08"/>
    <w:rsid w:val="00AF6E89"/>
    <w:rsid w:val="00AF72CB"/>
    <w:rsid w:val="00AF73A6"/>
    <w:rsid w:val="00AF7922"/>
    <w:rsid w:val="00AF7D30"/>
    <w:rsid w:val="00B008F5"/>
    <w:rsid w:val="00B00F77"/>
    <w:rsid w:val="00B0161E"/>
    <w:rsid w:val="00B017D0"/>
    <w:rsid w:val="00B018EB"/>
    <w:rsid w:val="00B01A2A"/>
    <w:rsid w:val="00B0214D"/>
    <w:rsid w:val="00B0231E"/>
    <w:rsid w:val="00B0245F"/>
    <w:rsid w:val="00B024D5"/>
    <w:rsid w:val="00B02F55"/>
    <w:rsid w:val="00B03464"/>
    <w:rsid w:val="00B03540"/>
    <w:rsid w:val="00B0377E"/>
    <w:rsid w:val="00B03864"/>
    <w:rsid w:val="00B03C4B"/>
    <w:rsid w:val="00B041E4"/>
    <w:rsid w:val="00B04324"/>
    <w:rsid w:val="00B04D03"/>
    <w:rsid w:val="00B05227"/>
    <w:rsid w:val="00B053A8"/>
    <w:rsid w:val="00B058F0"/>
    <w:rsid w:val="00B05BD4"/>
    <w:rsid w:val="00B05E48"/>
    <w:rsid w:val="00B0618F"/>
    <w:rsid w:val="00B06D2D"/>
    <w:rsid w:val="00B06E81"/>
    <w:rsid w:val="00B070C1"/>
    <w:rsid w:val="00B07A21"/>
    <w:rsid w:val="00B07BA9"/>
    <w:rsid w:val="00B10055"/>
    <w:rsid w:val="00B101F7"/>
    <w:rsid w:val="00B102D6"/>
    <w:rsid w:val="00B106A2"/>
    <w:rsid w:val="00B1099B"/>
    <w:rsid w:val="00B11156"/>
    <w:rsid w:val="00B1141E"/>
    <w:rsid w:val="00B11BD0"/>
    <w:rsid w:val="00B12005"/>
    <w:rsid w:val="00B1225F"/>
    <w:rsid w:val="00B12367"/>
    <w:rsid w:val="00B1278B"/>
    <w:rsid w:val="00B12B76"/>
    <w:rsid w:val="00B12EED"/>
    <w:rsid w:val="00B138AE"/>
    <w:rsid w:val="00B13D09"/>
    <w:rsid w:val="00B143B6"/>
    <w:rsid w:val="00B14730"/>
    <w:rsid w:val="00B149BF"/>
    <w:rsid w:val="00B14CBE"/>
    <w:rsid w:val="00B14F91"/>
    <w:rsid w:val="00B154BA"/>
    <w:rsid w:val="00B15F56"/>
    <w:rsid w:val="00B16055"/>
    <w:rsid w:val="00B16267"/>
    <w:rsid w:val="00B168F2"/>
    <w:rsid w:val="00B1690A"/>
    <w:rsid w:val="00B16C7F"/>
    <w:rsid w:val="00B16C96"/>
    <w:rsid w:val="00B16D01"/>
    <w:rsid w:val="00B16D09"/>
    <w:rsid w:val="00B16EF8"/>
    <w:rsid w:val="00B17295"/>
    <w:rsid w:val="00B17379"/>
    <w:rsid w:val="00B17885"/>
    <w:rsid w:val="00B179C9"/>
    <w:rsid w:val="00B17E4D"/>
    <w:rsid w:val="00B17F39"/>
    <w:rsid w:val="00B20307"/>
    <w:rsid w:val="00B203A4"/>
    <w:rsid w:val="00B20463"/>
    <w:rsid w:val="00B20798"/>
    <w:rsid w:val="00B207EF"/>
    <w:rsid w:val="00B20B6A"/>
    <w:rsid w:val="00B20BFD"/>
    <w:rsid w:val="00B20D7D"/>
    <w:rsid w:val="00B21397"/>
    <w:rsid w:val="00B21423"/>
    <w:rsid w:val="00B215F5"/>
    <w:rsid w:val="00B21659"/>
    <w:rsid w:val="00B21782"/>
    <w:rsid w:val="00B21971"/>
    <w:rsid w:val="00B22427"/>
    <w:rsid w:val="00B22649"/>
    <w:rsid w:val="00B22B6B"/>
    <w:rsid w:val="00B231D7"/>
    <w:rsid w:val="00B2388D"/>
    <w:rsid w:val="00B23B5A"/>
    <w:rsid w:val="00B246DD"/>
    <w:rsid w:val="00B24BC3"/>
    <w:rsid w:val="00B24BE4"/>
    <w:rsid w:val="00B24CE5"/>
    <w:rsid w:val="00B24FA1"/>
    <w:rsid w:val="00B25056"/>
    <w:rsid w:val="00B2506A"/>
    <w:rsid w:val="00B254B9"/>
    <w:rsid w:val="00B256FA"/>
    <w:rsid w:val="00B256FE"/>
    <w:rsid w:val="00B25767"/>
    <w:rsid w:val="00B2580F"/>
    <w:rsid w:val="00B265F5"/>
    <w:rsid w:val="00B27059"/>
    <w:rsid w:val="00B273AB"/>
    <w:rsid w:val="00B276AB"/>
    <w:rsid w:val="00B27A54"/>
    <w:rsid w:val="00B27B89"/>
    <w:rsid w:val="00B300DC"/>
    <w:rsid w:val="00B30138"/>
    <w:rsid w:val="00B30783"/>
    <w:rsid w:val="00B3100F"/>
    <w:rsid w:val="00B3130F"/>
    <w:rsid w:val="00B317C0"/>
    <w:rsid w:val="00B3212D"/>
    <w:rsid w:val="00B327E2"/>
    <w:rsid w:val="00B3325D"/>
    <w:rsid w:val="00B332E8"/>
    <w:rsid w:val="00B337B3"/>
    <w:rsid w:val="00B338DB"/>
    <w:rsid w:val="00B33B30"/>
    <w:rsid w:val="00B33C12"/>
    <w:rsid w:val="00B342FC"/>
    <w:rsid w:val="00B3435B"/>
    <w:rsid w:val="00B3483B"/>
    <w:rsid w:val="00B34C6E"/>
    <w:rsid w:val="00B34CC7"/>
    <w:rsid w:val="00B35491"/>
    <w:rsid w:val="00B3579B"/>
    <w:rsid w:val="00B368E5"/>
    <w:rsid w:val="00B36A80"/>
    <w:rsid w:val="00B37C8E"/>
    <w:rsid w:val="00B37E57"/>
    <w:rsid w:val="00B37F93"/>
    <w:rsid w:val="00B40A18"/>
    <w:rsid w:val="00B40F33"/>
    <w:rsid w:val="00B411E4"/>
    <w:rsid w:val="00B41246"/>
    <w:rsid w:val="00B41485"/>
    <w:rsid w:val="00B41776"/>
    <w:rsid w:val="00B41E08"/>
    <w:rsid w:val="00B41EF5"/>
    <w:rsid w:val="00B41F0F"/>
    <w:rsid w:val="00B4238D"/>
    <w:rsid w:val="00B42560"/>
    <w:rsid w:val="00B425B6"/>
    <w:rsid w:val="00B42952"/>
    <w:rsid w:val="00B4326C"/>
    <w:rsid w:val="00B43F08"/>
    <w:rsid w:val="00B441C2"/>
    <w:rsid w:val="00B44598"/>
    <w:rsid w:val="00B4478D"/>
    <w:rsid w:val="00B44840"/>
    <w:rsid w:val="00B44F01"/>
    <w:rsid w:val="00B45277"/>
    <w:rsid w:val="00B455AA"/>
    <w:rsid w:val="00B45778"/>
    <w:rsid w:val="00B457A1"/>
    <w:rsid w:val="00B460AD"/>
    <w:rsid w:val="00B4630F"/>
    <w:rsid w:val="00B464B1"/>
    <w:rsid w:val="00B46A16"/>
    <w:rsid w:val="00B46B9E"/>
    <w:rsid w:val="00B46E1F"/>
    <w:rsid w:val="00B475DB"/>
    <w:rsid w:val="00B47762"/>
    <w:rsid w:val="00B47882"/>
    <w:rsid w:val="00B478E1"/>
    <w:rsid w:val="00B47A4A"/>
    <w:rsid w:val="00B47B99"/>
    <w:rsid w:val="00B50435"/>
    <w:rsid w:val="00B5062C"/>
    <w:rsid w:val="00B506F2"/>
    <w:rsid w:val="00B50D04"/>
    <w:rsid w:val="00B5103D"/>
    <w:rsid w:val="00B510E3"/>
    <w:rsid w:val="00B5141D"/>
    <w:rsid w:val="00B5148E"/>
    <w:rsid w:val="00B51756"/>
    <w:rsid w:val="00B5177D"/>
    <w:rsid w:val="00B51DE3"/>
    <w:rsid w:val="00B51F85"/>
    <w:rsid w:val="00B521AC"/>
    <w:rsid w:val="00B525FF"/>
    <w:rsid w:val="00B526F1"/>
    <w:rsid w:val="00B52702"/>
    <w:rsid w:val="00B528CA"/>
    <w:rsid w:val="00B52D37"/>
    <w:rsid w:val="00B53411"/>
    <w:rsid w:val="00B53EF4"/>
    <w:rsid w:val="00B540B5"/>
    <w:rsid w:val="00B54100"/>
    <w:rsid w:val="00B543B8"/>
    <w:rsid w:val="00B54942"/>
    <w:rsid w:val="00B5498D"/>
    <w:rsid w:val="00B54B96"/>
    <w:rsid w:val="00B54BCF"/>
    <w:rsid w:val="00B54C2F"/>
    <w:rsid w:val="00B5501D"/>
    <w:rsid w:val="00B550D8"/>
    <w:rsid w:val="00B55116"/>
    <w:rsid w:val="00B551F5"/>
    <w:rsid w:val="00B553CA"/>
    <w:rsid w:val="00B55A72"/>
    <w:rsid w:val="00B560CA"/>
    <w:rsid w:val="00B561FB"/>
    <w:rsid w:val="00B568A4"/>
    <w:rsid w:val="00B5694B"/>
    <w:rsid w:val="00B56BBA"/>
    <w:rsid w:val="00B5752A"/>
    <w:rsid w:val="00B5777D"/>
    <w:rsid w:val="00B577AB"/>
    <w:rsid w:val="00B60037"/>
    <w:rsid w:val="00B60863"/>
    <w:rsid w:val="00B60AE5"/>
    <w:rsid w:val="00B60C40"/>
    <w:rsid w:val="00B6151E"/>
    <w:rsid w:val="00B617DE"/>
    <w:rsid w:val="00B61932"/>
    <w:rsid w:val="00B61EBF"/>
    <w:rsid w:val="00B625DD"/>
    <w:rsid w:val="00B63388"/>
    <w:rsid w:val="00B63A98"/>
    <w:rsid w:val="00B63B18"/>
    <w:rsid w:val="00B63C3D"/>
    <w:rsid w:val="00B6456F"/>
    <w:rsid w:val="00B64962"/>
    <w:rsid w:val="00B65196"/>
    <w:rsid w:val="00B651E6"/>
    <w:rsid w:val="00B65275"/>
    <w:rsid w:val="00B66355"/>
    <w:rsid w:val="00B66488"/>
    <w:rsid w:val="00B66984"/>
    <w:rsid w:val="00B66FE4"/>
    <w:rsid w:val="00B673EF"/>
    <w:rsid w:val="00B674C4"/>
    <w:rsid w:val="00B676EC"/>
    <w:rsid w:val="00B67E1B"/>
    <w:rsid w:val="00B7016C"/>
    <w:rsid w:val="00B7027C"/>
    <w:rsid w:val="00B7039B"/>
    <w:rsid w:val="00B70648"/>
    <w:rsid w:val="00B70B3D"/>
    <w:rsid w:val="00B70E5F"/>
    <w:rsid w:val="00B70F18"/>
    <w:rsid w:val="00B71682"/>
    <w:rsid w:val="00B71A5C"/>
    <w:rsid w:val="00B72131"/>
    <w:rsid w:val="00B72283"/>
    <w:rsid w:val="00B7228E"/>
    <w:rsid w:val="00B72B21"/>
    <w:rsid w:val="00B7302E"/>
    <w:rsid w:val="00B73156"/>
    <w:rsid w:val="00B73380"/>
    <w:rsid w:val="00B739BA"/>
    <w:rsid w:val="00B739CB"/>
    <w:rsid w:val="00B741E0"/>
    <w:rsid w:val="00B748F8"/>
    <w:rsid w:val="00B74D1E"/>
    <w:rsid w:val="00B74FDA"/>
    <w:rsid w:val="00B75624"/>
    <w:rsid w:val="00B75AEF"/>
    <w:rsid w:val="00B75BA9"/>
    <w:rsid w:val="00B75E61"/>
    <w:rsid w:val="00B761B1"/>
    <w:rsid w:val="00B765F4"/>
    <w:rsid w:val="00B76625"/>
    <w:rsid w:val="00B76A18"/>
    <w:rsid w:val="00B76E66"/>
    <w:rsid w:val="00B76F37"/>
    <w:rsid w:val="00B77E6F"/>
    <w:rsid w:val="00B77F7A"/>
    <w:rsid w:val="00B80246"/>
    <w:rsid w:val="00B80328"/>
    <w:rsid w:val="00B80736"/>
    <w:rsid w:val="00B80C88"/>
    <w:rsid w:val="00B81532"/>
    <w:rsid w:val="00B818E9"/>
    <w:rsid w:val="00B8196B"/>
    <w:rsid w:val="00B81D55"/>
    <w:rsid w:val="00B81D6B"/>
    <w:rsid w:val="00B81EE0"/>
    <w:rsid w:val="00B82D8A"/>
    <w:rsid w:val="00B82E5E"/>
    <w:rsid w:val="00B83044"/>
    <w:rsid w:val="00B831ED"/>
    <w:rsid w:val="00B831FC"/>
    <w:rsid w:val="00B83AEF"/>
    <w:rsid w:val="00B83F36"/>
    <w:rsid w:val="00B84400"/>
    <w:rsid w:val="00B847EC"/>
    <w:rsid w:val="00B84AA4"/>
    <w:rsid w:val="00B84B0B"/>
    <w:rsid w:val="00B84C6C"/>
    <w:rsid w:val="00B8565C"/>
    <w:rsid w:val="00B85747"/>
    <w:rsid w:val="00B859D3"/>
    <w:rsid w:val="00B8603A"/>
    <w:rsid w:val="00B8604A"/>
    <w:rsid w:val="00B86D39"/>
    <w:rsid w:val="00B87228"/>
    <w:rsid w:val="00B87AE2"/>
    <w:rsid w:val="00B87B77"/>
    <w:rsid w:val="00B87EEA"/>
    <w:rsid w:val="00B903A3"/>
    <w:rsid w:val="00B903B5"/>
    <w:rsid w:val="00B907BC"/>
    <w:rsid w:val="00B90B3A"/>
    <w:rsid w:val="00B90E32"/>
    <w:rsid w:val="00B9103D"/>
    <w:rsid w:val="00B912FF"/>
    <w:rsid w:val="00B91329"/>
    <w:rsid w:val="00B91E53"/>
    <w:rsid w:val="00B92030"/>
    <w:rsid w:val="00B92204"/>
    <w:rsid w:val="00B92506"/>
    <w:rsid w:val="00B92552"/>
    <w:rsid w:val="00B92687"/>
    <w:rsid w:val="00B928A5"/>
    <w:rsid w:val="00B930AB"/>
    <w:rsid w:val="00B934E1"/>
    <w:rsid w:val="00B93545"/>
    <w:rsid w:val="00B93562"/>
    <w:rsid w:val="00B93B6F"/>
    <w:rsid w:val="00B93B76"/>
    <w:rsid w:val="00B93B93"/>
    <w:rsid w:val="00B93FF1"/>
    <w:rsid w:val="00B94248"/>
    <w:rsid w:val="00B942A1"/>
    <w:rsid w:val="00B945F8"/>
    <w:rsid w:val="00B9467E"/>
    <w:rsid w:val="00B94B4F"/>
    <w:rsid w:val="00B94BD1"/>
    <w:rsid w:val="00B9525E"/>
    <w:rsid w:val="00B953D1"/>
    <w:rsid w:val="00B953E4"/>
    <w:rsid w:val="00B95826"/>
    <w:rsid w:val="00B95AF8"/>
    <w:rsid w:val="00B96567"/>
    <w:rsid w:val="00B965BE"/>
    <w:rsid w:val="00B965D6"/>
    <w:rsid w:val="00B966F6"/>
    <w:rsid w:val="00B96736"/>
    <w:rsid w:val="00B96F36"/>
    <w:rsid w:val="00B9712E"/>
    <w:rsid w:val="00B9731B"/>
    <w:rsid w:val="00B974E5"/>
    <w:rsid w:val="00B976F6"/>
    <w:rsid w:val="00BA03C2"/>
    <w:rsid w:val="00BA08B1"/>
    <w:rsid w:val="00BA0D7D"/>
    <w:rsid w:val="00BA0E3E"/>
    <w:rsid w:val="00BA1F71"/>
    <w:rsid w:val="00BA2116"/>
    <w:rsid w:val="00BA215C"/>
    <w:rsid w:val="00BA29D0"/>
    <w:rsid w:val="00BA2A05"/>
    <w:rsid w:val="00BA33EE"/>
    <w:rsid w:val="00BA3755"/>
    <w:rsid w:val="00BA3DD2"/>
    <w:rsid w:val="00BA3E0B"/>
    <w:rsid w:val="00BA433C"/>
    <w:rsid w:val="00BA465E"/>
    <w:rsid w:val="00BA483E"/>
    <w:rsid w:val="00BA52B9"/>
    <w:rsid w:val="00BA5405"/>
    <w:rsid w:val="00BA54C2"/>
    <w:rsid w:val="00BA5D6C"/>
    <w:rsid w:val="00BA5F41"/>
    <w:rsid w:val="00BA70CC"/>
    <w:rsid w:val="00BA7385"/>
    <w:rsid w:val="00BA7524"/>
    <w:rsid w:val="00BA7733"/>
    <w:rsid w:val="00BA7A00"/>
    <w:rsid w:val="00BA7EEC"/>
    <w:rsid w:val="00BB0166"/>
    <w:rsid w:val="00BB066B"/>
    <w:rsid w:val="00BB0F79"/>
    <w:rsid w:val="00BB1529"/>
    <w:rsid w:val="00BB16A2"/>
    <w:rsid w:val="00BB187C"/>
    <w:rsid w:val="00BB1DC9"/>
    <w:rsid w:val="00BB1E9E"/>
    <w:rsid w:val="00BB1ED2"/>
    <w:rsid w:val="00BB21CE"/>
    <w:rsid w:val="00BB24CF"/>
    <w:rsid w:val="00BB254F"/>
    <w:rsid w:val="00BB260F"/>
    <w:rsid w:val="00BB28D7"/>
    <w:rsid w:val="00BB296B"/>
    <w:rsid w:val="00BB2B8D"/>
    <w:rsid w:val="00BB3622"/>
    <w:rsid w:val="00BB39B3"/>
    <w:rsid w:val="00BB3D4D"/>
    <w:rsid w:val="00BB487A"/>
    <w:rsid w:val="00BB4E44"/>
    <w:rsid w:val="00BB4E8E"/>
    <w:rsid w:val="00BB500D"/>
    <w:rsid w:val="00BB5553"/>
    <w:rsid w:val="00BB5967"/>
    <w:rsid w:val="00BB5B06"/>
    <w:rsid w:val="00BB5CD5"/>
    <w:rsid w:val="00BB5D1C"/>
    <w:rsid w:val="00BB682C"/>
    <w:rsid w:val="00BB6AF5"/>
    <w:rsid w:val="00BB6BD6"/>
    <w:rsid w:val="00BB6FAD"/>
    <w:rsid w:val="00BB709B"/>
    <w:rsid w:val="00BB7106"/>
    <w:rsid w:val="00BB7572"/>
    <w:rsid w:val="00BB7687"/>
    <w:rsid w:val="00BB7CA9"/>
    <w:rsid w:val="00BC067C"/>
    <w:rsid w:val="00BC0798"/>
    <w:rsid w:val="00BC0EF5"/>
    <w:rsid w:val="00BC13A7"/>
    <w:rsid w:val="00BC22D0"/>
    <w:rsid w:val="00BC22D4"/>
    <w:rsid w:val="00BC236B"/>
    <w:rsid w:val="00BC27FF"/>
    <w:rsid w:val="00BC2B0D"/>
    <w:rsid w:val="00BC2BB4"/>
    <w:rsid w:val="00BC308D"/>
    <w:rsid w:val="00BC30DF"/>
    <w:rsid w:val="00BC33F1"/>
    <w:rsid w:val="00BC3520"/>
    <w:rsid w:val="00BC3C21"/>
    <w:rsid w:val="00BC3C30"/>
    <w:rsid w:val="00BC406F"/>
    <w:rsid w:val="00BC4398"/>
    <w:rsid w:val="00BC4599"/>
    <w:rsid w:val="00BC484C"/>
    <w:rsid w:val="00BC495A"/>
    <w:rsid w:val="00BC49F3"/>
    <w:rsid w:val="00BC4E74"/>
    <w:rsid w:val="00BC5F94"/>
    <w:rsid w:val="00BC65D9"/>
    <w:rsid w:val="00BC67EA"/>
    <w:rsid w:val="00BC683F"/>
    <w:rsid w:val="00BC6955"/>
    <w:rsid w:val="00BC6B51"/>
    <w:rsid w:val="00BC72DE"/>
    <w:rsid w:val="00BC73ED"/>
    <w:rsid w:val="00BC7C52"/>
    <w:rsid w:val="00BD0161"/>
    <w:rsid w:val="00BD0551"/>
    <w:rsid w:val="00BD0B8F"/>
    <w:rsid w:val="00BD0CF6"/>
    <w:rsid w:val="00BD0EFA"/>
    <w:rsid w:val="00BD0FB5"/>
    <w:rsid w:val="00BD1471"/>
    <w:rsid w:val="00BD14C5"/>
    <w:rsid w:val="00BD15F6"/>
    <w:rsid w:val="00BD196A"/>
    <w:rsid w:val="00BD2081"/>
    <w:rsid w:val="00BD2311"/>
    <w:rsid w:val="00BD2978"/>
    <w:rsid w:val="00BD2B08"/>
    <w:rsid w:val="00BD31B9"/>
    <w:rsid w:val="00BD34C5"/>
    <w:rsid w:val="00BD38C0"/>
    <w:rsid w:val="00BD39CF"/>
    <w:rsid w:val="00BD3B83"/>
    <w:rsid w:val="00BD4207"/>
    <w:rsid w:val="00BD475F"/>
    <w:rsid w:val="00BD4DC6"/>
    <w:rsid w:val="00BD5098"/>
    <w:rsid w:val="00BD577C"/>
    <w:rsid w:val="00BD5B4C"/>
    <w:rsid w:val="00BD5FE2"/>
    <w:rsid w:val="00BD6262"/>
    <w:rsid w:val="00BD62BB"/>
    <w:rsid w:val="00BD6371"/>
    <w:rsid w:val="00BD64AF"/>
    <w:rsid w:val="00BD6E5F"/>
    <w:rsid w:val="00BD6E87"/>
    <w:rsid w:val="00BD72BF"/>
    <w:rsid w:val="00BD7328"/>
    <w:rsid w:val="00BD73F7"/>
    <w:rsid w:val="00BD7474"/>
    <w:rsid w:val="00BD74EA"/>
    <w:rsid w:val="00BD762D"/>
    <w:rsid w:val="00BD76F9"/>
    <w:rsid w:val="00BD7A30"/>
    <w:rsid w:val="00BD7DD1"/>
    <w:rsid w:val="00BE0906"/>
    <w:rsid w:val="00BE09AC"/>
    <w:rsid w:val="00BE0E85"/>
    <w:rsid w:val="00BE0F46"/>
    <w:rsid w:val="00BE1238"/>
    <w:rsid w:val="00BE19C1"/>
    <w:rsid w:val="00BE1B34"/>
    <w:rsid w:val="00BE1D93"/>
    <w:rsid w:val="00BE2510"/>
    <w:rsid w:val="00BE26FA"/>
    <w:rsid w:val="00BE28A4"/>
    <w:rsid w:val="00BE2AD6"/>
    <w:rsid w:val="00BE2B79"/>
    <w:rsid w:val="00BE2E35"/>
    <w:rsid w:val="00BE2EFE"/>
    <w:rsid w:val="00BE319E"/>
    <w:rsid w:val="00BE39F9"/>
    <w:rsid w:val="00BE3B01"/>
    <w:rsid w:val="00BE3E22"/>
    <w:rsid w:val="00BE4166"/>
    <w:rsid w:val="00BE45DD"/>
    <w:rsid w:val="00BE468E"/>
    <w:rsid w:val="00BE4696"/>
    <w:rsid w:val="00BE4952"/>
    <w:rsid w:val="00BE4B39"/>
    <w:rsid w:val="00BE4C48"/>
    <w:rsid w:val="00BE4CEB"/>
    <w:rsid w:val="00BE4F8F"/>
    <w:rsid w:val="00BE50A2"/>
    <w:rsid w:val="00BE51C1"/>
    <w:rsid w:val="00BE54C3"/>
    <w:rsid w:val="00BE5D91"/>
    <w:rsid w:val="00BE5F3F"/>
    <w:rsid w:val="00BE61C1"/>
    <w:rsid w:val="00BE6425"/>
    <w:rsid w:val="00BE64AF"/>
    <w:rsid w:val="00BE669F"/>
    <w:rsid w:val="00BE6717"/>
    <w:rsid w:val="00BE683E"/>
    <w:rsid w:val="00BE6E43"/>
    <w:rsid w:val="00BE7473"/>
    <w:rsid w:val="00BF0381"/>
    <w:rsid w:val="00BF0765"/>
    <w:rsid w:val="00BF0AAE"/>
    <w:rsid w:val="00BF0E63"/>
    <w:rsid w:val="00BF11A5"/>
    <w:rsid w:val="00BF13AA"/>
    <w:rsid w:val="00BF19D3"/>
    <w:rsid w:val="00BF1D6B"/>
    <w:rsid w:val="00BF1E45"/>
    <w:rsid w:val="00BF1FFE"/>
    <w:rsid w:val="00BF25B4"/>
    <w:rsid w:val="00BF26EC"/>
    <w:rsid w:val="00BF2770"/>
    <w:rsid w:val="00BF27A3"/>
    <w:rsid w:val="00BF2824"/>
    <w:rsid w:val="00BF2A6E"/>
    <w:rsid w:val="00BF2CF1"/>
    <w:rsid w:val="00BF347A"/>
    <w:rsid w:val="00BF3887"/>
    <w:rsid w:val="00BF3F7E"/>
    <w:rsid w:val="00BF456C"/>
    <w:rsid w:val="00BF4745"/>
    <w:rsid w:val="00BF4875"/>
    <w:rsid w:val="00BF553F"/>
    <w:rsid w:val="00BF594B"/>
    <w:rsid w:val="00BF5C3F"/>
    <w:rsid w:val="00BF5E89"/>
    <w:rsid w:val="00BF6165"/>
    <w:rsid w:val="00BF6E2A"/>
    <w:rsid w:val="00BF6E7B"/>
    <w:rsid w:val="00BF7063"/>
    <w:rsid w:val="00BF7275"/>
    <w:rsid w:val="00BF76BD"/>
    <w:rsid w:val="00C00234"/>
    <w:rsid w:val="00C00828"/>
    <w:rsid w:val="00C00966"/>
    <w:rsid w:val="00C00D30"/>
    <w:rsid w:val="00C01021"/>
    <w:rsid w:val="00C0137E"/>
    <w:rsid w:val="00C0141F"/>
    <w:rsid w:val="00C01560"/>
    <w:rsid w:val="00C016F8"/>
    <w:rsid w:val="00C02097"/>
    <w:rsid w:val="00C0274C"/>
    <w:rsid w:val="00C0284D"/>
    <w:rsid w:val="00C02C56"/>
    <w:rsid w:val="00C02FD2"/>
    <w:rsid w:val="00C0303B"/>
    <w:rsid w:val="00C0377E"/>
    <w:rsid w:val="00C03B9B"/>
    <w:rsid w:val="00C045C8"/>
    <w:rsid w:val="00C047CD"/>
    <w:rsid w:val="00C048A0"/>
    <w:rsid w:val="00C048AF"/>
    <w:rsid w:val="00C049A7"/>
    <w:rsid w:val="00C055A8"/>
    <w:rsid w:val="00C05C20"/>
    <w:rsid w:val="00C05CA8"/>
    <w:rsid w:val="00C05F7E"/>
    <w:rsid w:val="00C05F9F"/>
    <w:rsid w:val="00C06007"/>
    <w:rsid w:val="00C06173"/>
    <w:rsid w:val="00C06274"/>
    <w:rsid w:val="00C0635F"/>
    <w:rsid w:val="00C06413"/>
    <w:rsid w:val="00C064AC"/>
    <w:rsid w:val="00C06504"/>
    <w:rsid w:val="00C06849"/>
    <w:rsid w:val="00C06B35"/>
    <w:rsid w:val="00C06C80"/>
    <w:rsid w:val="00C06D8C"/>
    <w:rsid w:val="00C06EFA"/>
    <w:rsid w:val="00C07277"/>
    <w:rsid w:val="00C073D3"/>
    <w:rsid w:val="00C077E0"/>
    <w:rsid w:val="00C07D57"/>
    <w:rsid w:val="00C07DE6"/>
    <w:rsid w:val="00C10719"/>
    <w:rsid w:val="00C10AFA"/>
    <w:rsid w:val="00C10D68"/>
    <w:rsid w:val="00C10D9D"/>
    <w:rsid w:val="00C117CC"/>
    <w:rsid w:val="00C11864"/>
    <w:rsid w:val="00C11B5C"/>
    <w:rsid w:val="00C11D16"/>
    <w:rsid w:val="00C12245"/>
    <w:rsid w:val="00C13353"/>
    <w:rsid w:val="00C13554"/>
    <w:rsid w:val="00C13990"/>
    <w:rsid w:val="00C13AE8"/>
    <w:rsid w:val="00C13BB3"/>
    <w:rsid w:val="00C13BE2"/>
    <w:rsid w:val="00C13FB0"/>
    <w:rsid w:val="00C152C8"/>
    <w:rsid w:val="00C15371"/>
    <w:rsid w:val="00C153ED"/>
    <w:rsid w:val="00C154B5"/>
    <w:rsid w:val="00C15B0A"/>
    <w:rsid w:val="00C16483"/>
    <w:rsid w:val="00C16BB3"/>
    <w:rsid w:val="00C16CBE"/>
    <w:rsid w:val="00C1753D"/>
    <w:rsid w:val="00C17872"/>
    <w:rsid w:val="00C17D7F"/>
    <w:rsid w:val="00C17E2B"/>
    <w:rsid w:val="00C17ED6"/>
    <w:rsid w:val="00C20051"/>
    <w:rsid w:val="00C20099"/>
    <w:rsid w:val="00C2011B"/>
    <w:rsid w:val="00C205E9"/>
    <w:rsid w:val="00C20AF2"/>
    <w:rsid w:val="00C212FC"/>
    <w:rsid w:val="00C21679"/>
    <w:rsid w:val="00C218D1"/>
    <w:rsid w:val="00C2196D"/>
    <w:rsid w:val="00C22388"/>
    <w:rsid w:val="00C22A89"/>
    <w:rsid w:val="00C22BA7"/>
    <w:rsid w:val="00C22C02"/>
    <w:rsid w:val="00C22E7F"/>
    <w:rsid w:val="00C2316F"/>
    <w:rsid w:val="00C2319E"/>
    <w:rsid w:val="00C231B5"/>
    <w:rsid w:val="00C23248"/>
    <w:rsid w:val="00C23307"/>
    <w:rsid w:val="00C2332D"/>
    <w:rsid w:val="00C23623"/>
    <w:rsid w:val="00C2367F"/>
    <w:rsid w:val="00C23AF8"/>
    <w:rsid w:val="00C23F40"/>
    <w:rsid w:val="00C23F48"/>
    <w:rsid w:val="00C23FFF"/>
    <w:rsid w:val="00C25E10"/>
    <w:rsid w:val="00C25EEF"/>
    <w:rsid w:val="00C262BD"/>
    <w:rsid w:val="00C26660"/>
    <w:rsid w:val="00C26AAC"/>
    <w:rsid w:val="00C26F58"/>
    <w:rsid w:val="00C30040"/>
    <w:rsid w:val="00C30052"/>
    <w:rsid w:val="00C30669"/>
    <w:rsid w:val="00C30981"/>
    <w:rsid w:val="00C30C24"/>
    <w:rsid w:val="00C31034"/>
    <w:rsid w:val="00C310C2"/>
    <w:rsid w:val="00C3146E"/>
    <w:rsid w:val="00C31506"/>
    <w:rsid w:val="00C320A9"/>
    <w:rsid w:val="00C3217D"/>
    <w:rsid w:val="00C32435"/>
    <w:rsid w:val="00C3254B"/>
    <w:rsid w:val="00C32869"/>
    <w:rsid w:val="00C32EDE"/>
    <w:rsid w:val="00C331B6"/>
    <w:rsid w:val="00C33290"/>
    <w:rsid w:val="00C33691"/>
    <w:rsid w:val="00C33992"/>
    <w:rsid w:val="00C33CFC"/>
    <w:rsid w:val="00C33E10"/>
    <w:rsid w:val="00C33E87"/>
    <w:rsid w:val="00C33FA0"/>
    <w:rsid w:val="00C33FF2"/>
    <w:rsid w:val="00C343C4"/>
    <w:rsid w:val="00C347DC"/>
    <w:rsid w:val="00C348D8"/>
    <w:rsid w:val="00C34A38"/>
    <w:rsid w:val="00C3503D"/>
    <w:rsid w:val="00C3537C"/>
    <w:rsid w:val="00C35946"/>
    <w:rsid w:val="00C35F47"/>
    <w:rsid w:val="00C363B8"/>
    <w:rsid w:val="00C36510"/>
    <w:rsid w:val="00C36525"/>
    <w:rsid w:val="00C36716"/>
    <w:rsid w:val="00C367EB"/>
    <w:rsid w:val="00C36E32"/>
    <w:rsid w:val="00C36ECE"/>
    <w:rsid w:val="00C36FC2"/>
    <w:rsid w:val="00C37008"/>
    <w:rsid w:val="00C37229"/>
    <w:rsid w:val="00C37244"/>
    <w:rsid w:val="00C375C9"/>
    <w:rsid w:val="00C37AF2"/>
    <w:rsid w:val="00C400C5"/>
    <w:rsid w:val="00C40253"/>
    <w:rsid w:val="00C40383"/>
    <w:rsid w:val="00C40BAF"/>
    <w:rsid w:val="00C40E1F"/>
    <w:rsid w:val="00C40E64"/>
    <w:rsid w:val="00C40EB3"/>
    <w:rsid w:val="00C410FD"/>
    <w:rsid w:val="00C4149C"/>
    <w:rsid w:val="00C4149D"/>
    <w:rsid w:val="00C414BC"/>
    <w:rsid w:val="00C41985"/>
    <w:rsid w:val="00C41AE5"/>
    <w:rsid w:val="00C41BD9"/>
    <w:rsid w:val="00C4247A"/>
    <w:rsid w:val="00C42DEC"/>
    <w:rsid w:val="00C42F2E"/>
    <w:rsid w:val="00C434FD"/>
    <w:rsid w:val="00C43631"/>
    <w:rsid w:val="00C43D97"/>
    <w:rsid w:val="00C43E6B"/>
    <w:rsid w:val="00C440C4"/>
    <w:rsid w:val="00C44486"/>
    <w:rsid w:val="00C44572"/>
    <w:rsid w:val="00C44F3D"/>
    <w:rsid w:val="00C4572B"/>
    <w:rsid w:val="00C45B2B"/>
    <w:rsid w:val="00C45BEA"/>
    <w:rsid w:val="00C45D37"/>
    <w:rsid w:val="00C45E49"/>
    <w:rsid w:val="00C45E4A"/>
    <w:rsid w:val="00C45E59"/>
    <w:rsid w:val="00C45E7E"/>
    <w:rsid w:val="00C46279"/>
    <w:rsid w:val="00C4659D"/>
    <w:rsid w:val="00C468E7"/>
    <w:rsid w:val="00C46A46"/>
    <w:rsid w:val="00C46BCF"/>
    <w:rsid w:val="00C47055"/>
    <w:rsid w:val="00C47404"/>
    <w:rsid w:val="00C477E2"/>
    <w:rsid w:val="00C47865"/>
    <w:rsid w:val="00C47AC7"/>
    <w:rsid w:val="00C47E8F"/>
    <w:rsid w:val="00C47FFE"/>
    <w:rsid w:val="00C500DF"/>
    <w:rsid w:val="00C50415"/>
    <w:rsid w:val="00C515ED"/>
    <w:rsid w:val="00C5188B"/>
    <w:rsid w:val="00C5192E"/>
    <w:rsid w:val="00C51BF8"/>
    <w:rsid w:val="00C51C17"/>
    <w:rsid w:val="00C51C37"/>
    <w:rsid w:val="00C521AB"/>
    <w:rsid w:val="00C523A7"/>
    <w:rsid w:val="00C52768"/>
    <w:rsid w:val="00C5298F"/>
    <w:rsid w:val="00C52DE6"/>
    <w:rsid w:val="00C5341A"/>
    <w:rsid w:val="00C5351D"/>
    <w:rsid w:val="00C5364D"/>
    <w:rsid w:val="00C53696"/>
    <w:rsid w:val="00C53BD4"/>
    <w:rsid w:val="00C53CA0"/>
    <w:rsid w:val="00C53D10"/>
    <w:rsid w:val="00C53F04"/>
    <w:rsid w:val="00C5457E"/>
    <w:rsid w:val="00C5494E"/>
    <w:rsid w:val="00C55245"/>
    <w:rsid w:val="00C5545C"/>
    <w:rsid w:val="00C555BD"/>
    <w:rsid w:val="00C559BE"/>
    <w:rsid w:val="00C56973"/>
    <w:rsid w:val="00C56DE0"/>
    <w:rsid w:val="00C56FB2"/>
    <w:rsid w:val="00C57000"/>
    <w:rsid w:val="00C576E2"/>
    <w:rsid w:val="00C578F8"/>
    <w:rsid w:val="00C57C06"/>
    <w:rsid w:val="00C6006C"/>
    <w:rsid w:val="00C6016B"/>
    <w:rsid w:val="00C6072B"/>
    <w:rsid w:val="00C60AAD"/>
    <w:rsid w:val="00C61465"/>
    <w:rsid w:val="00C61497"/>
    <w:rsid w:val="00C61848"/>
    <w:rsid w:val="00C61A6A"/>
    <w:rsid w:val="00C61E33"/>
    <w:rsid w:val="00C6257C"/>
    <w:rsid w:val="00C625BE"/>
    <w:rsid w:val="00C628FC"/>
    <w:rsid w:val="00C62CE1"/>
    <w:rsid w:val="00C63149"/>
    <w:rsid w:val="00C633D5"/>
    <w:rsid w:val="00C634A7"/>
    <w:rsid w:val="00C636E3"/>
    <w:rsid w:val="00C637D9"/>
    <w:rsid w:val="00C638D1"/>
    <w:rsid w:val="00C638D7"/>
    <w:rsid w:val="00C638DF"/>
    <w:rsid w:val="00C6390B"/>
    <w:rsid w:val="00C63FE6"/>
    <w:rsid w:val="00C64414"/>
    <w:rsid w:val="00C64720"/>
    <w:rsid w:val="00C64ACF"/>
    <w:rsid w:val="00C6517F"/>
    <w:rsid w:val="00C6556B"/>
    <w:rsid w:val="00C65BC3"/>
    <w:rsid w:val="00C65E08"/>
    <w:rsid w:val="00C65F59"/>
    <w:rsid w:val="00C667CA"/>
    <w:rsid w:val="00C66ECD"/>
    <w:rsid w:val="00C67419"/>
    <w:rsid w:val="00C67BA6"/>
    <w:rsid w:val="00C70413"/>
    <w:rsid w:val="00C705D7"/>
    <w:rsid w:val="00C70BE6"/>
    <w:rsid w:val="00C70DA3"/>
    <w:rsid w:val="00C7102D"/>
    <w:rsid w:val="00C71190"/>
    <w:rsid w:val="00C713E3"/>
    <w:rsid w:val="00C714F0"/>
    <w:rsid w:val="00C71920"/>
    <w:rsid w:val="00C72A63"/>
    <w:rsid w:val="00C733C3"/>
    <w:rsid w:val="00C73698"/>
    <w:rsid w:val="00C73AFA"/>
    <w:rsid w:val="00C73B72"/>
    <w:rsid w:val="00C73EF3"/>
    <w:rsid w:val="00C73F4E"/>
    <w:rsid w:val="00C74684"/>
    <w:rsid w:val="00C74AC8"/>
    <w:rsid w:val="00C75065"/>
    <w:rsid w:val="00C7554F"/>
    <w:rsid w:val="00C75D85"/>
    <w:rsid w:val="00C75EE5"/>
    <w:rsid w:val="00C7605D"/>
    <w:rsid w:val="00C76075"/>
    <w:rsid w:val="00C76510"/>
    <w:rsid w:val="00C767EE"/>
    <w:rsid w:val="00C76B07"/>
    <w:rsid w:val="00C7772F"/>
    <w:rsid w:val="00C77B6C"/>
    <w:rsid w:val="00C80AE4"/>
    <w:rsid w:val="00C80B1B"/>
    <w:rsid w:val="00C8135A"/>
    <w:rsid w:val="00C8159D"/>
    <w:rsid w:val="00C818F5"/>
    <w:rsid w:val="00C819C7"/>
    <w:rsid w:val="00C81C59"/>
    <w:rsid w:val="00C82340"/>
    <w:rsid w:val="00C82990"/>
    <w:rsid w:val="00C83064"/>
    <w:rsid w:val="00C83F84"/>
    <w:rsid w:val="00C842C6"/>
    <w:rsid w:val="00C84C6B"/>
    <w:rsid w:val="00C84E41"/>
    <w:rsid w:val="00C85184"/>
    <w:rsid w:val="00C857F1"/>
    <w:rsid w:val="00C85998"/>
    <w:rsid w:val="00C86194"/>
    <w:rsid w:val="00C86431"/>
    <w:rsid w:val="00C867F2"/>
    <w:rsid w:val="00C86E93"/>
    <w:rsid w:val="00C871C4"/>
    <w:rsid w:val="00C87210"/>
    <w:rsid w:val="00C8752F"/>
    <w:rsid w:val="00C8755A"/>
    <w:rsid w:val="00C87722"/>
    <w:rsid w:val="00C87918"/>
    <w:rsid w:val="00C87A52"/>
    <w:rsid w:val="00C901D7"/>
    <w:rsid w:val="00C90672"/>
    <w:rsid w:val="00C90A5D"/>
    <w:rsid w:val="00C918AF"/>
    <w:rsid w:val="00C918BE"/>
    <w:rsid w:val="00C919A2"/>
    <w:rsid w:val="00C91AE0"/>
    <w:rsid w:val="00C91BB0"/>
    <w:rsid w:val="00C91BCB"/>
    <w:rsid w:val="00C923A8"/>
    <w:rsid w:val="00C92A15"/>
    <w:rsid w:val="00C92C01"/>
    <w:rsid w:val="00C92C1E"/>
    <w:rsid w:val="00C92CEB"/>
    <w:rsid w:val="00C92F07"/>
    <w:rsid w:val="00C936AA"/>
    <w:rsid w:val="00C9376E"/>
    <w:rsid w:val="00C93A36"/>
    <w:rsid w:val="00C93A3F"/>
    <w:rsid w:val="00C94099"/>
    <w:rsid w:val="00C94188"/>
    <w:rsid w:val="00C94371"/>
    <w:rsid w:val="00C9469E"/>
    <w:rsid w:val="00C94E62"/>
    <w:rsid w:val="00C95010"/>
    <w:rsid w:val="00C95079"/>
    <w:rsid w:val="00C95102"/>
    <w:rsid w:val="00C95224"/>
    <w:rsid w:val="00C953F1"/>
    <w:rsid w:val="00C955D8"/>
    <w:rsid w:val="00C95783"/>
    <w:rsid w:val="00C95F50"/>
    <w:rsid w:val="00C962E7"/>
    <w:rsid w:val="00C96330"/>
    <w:rsid w:val="00C9651A"/>
    <w:rsid w:val="00C96B45"/>
    <w:rsid w:val="00C97529"/>
    <w:rsid w:val="00C97735"/>
    <w:rsid w:val="00C97D10"/>
    <w:rsid w:val="00CA01D4"/>
    <w:rsid w:val="00CA0614"/>
    <w:rsid w:val="00CA06C0"/>
    <w:rsid w:val="00CA0FF5"/>
    <w:rsid w:val="00CA1130"/>
    <w:rsid w:val="00CA15BF"/>
    <w:rsid w:val="00CA18F9"/>
    <w:rsid w:val="00CA21D4"/>
    <w:rsid w:val="00CA24CC"/>
    <w:rsid w:val="00CA2655"/>
    <w:rsid w:val="00CA2985"/>
    <w:rsid w:val="00CA2BDE"/>
    <w:rsid w:val="00CA2EA1"/>
    <w:rsid w:val="00CA2F5A"/>
    <w:rsid w:val="00CA2FE0"/>
    <w:rsid w:val="00CA3095"/>
    <w:rsid w:val="00CA3583"/>
    <w:rsid w:val="00CA35CC"/>
    <w:rsid w:val="00CA39CB"/>
    <w:rsid w:val="00CA40BF"/>
    <w:rsid w:val="00CA415F"/>
    <w:rsid w:val="00CA4215"/>
    <w:rsid w:val="00CA4B99"/>
    <w:rsid w:val="00CA4C80"/>
    <w:rsid w:val="00CA4F20"/>
    <w:rsid w:val="00CA4FC8"/>
    <w:rsid w:val="00CA5052"/>
    <w:rsid w:val="00CA51ED"/>
    <w:rsid w:val="00CA5668"/>
    <w:rsid w:val="00CA5ACA"/>
    <w:rsid w:val="00CA5D7D"/>
    <w:rsid w:val="00CA5E78"/>
    <w:rsid w:val="00CA5EA7"/>
    <w:rsid w:val="00CA6183"/>
    <w:rsid w:val="00CA623F"/>
    <w:rsid w:val="00CA6473"/>
    <w:rsid w:val="00CA697A"/>
    <w:rsid w:val="00CA6EAB"/>
    <w:rsid w:val="00CA742D"/>
    <w:rsid w:val="00CA79D8"/>
    <w:rsid w:val="00CB026C"/>
    <w:rsid w:val="00CB037D"/>
    <w:rsid w:val="00CB0665"/>
    <w:rsid w:val="00CB098F"/>
    <w:rsid w:val="00CB09BC"/>
    <w:rsid w:val="00CB0C37"/>
    <w:rsid w:val="00CB110B"/>
    <w:rsid w:val="00CB1383"/>
    <w:rsid w:val="00CB1627"/>
    <w:rsid w:val="00CB1647"/>
    <w:rsid w:val="00CB1D17"/>
    <w:rsid w:val="00CB1D75"/>
    <w:rsid w:val="00CB1E92"/>
    <w:rsid w:val="00CB2203"/>
    <w:rsid w:val="00CB2345"/>
    <w:rsid w:val="00CB2437"/>
    <w:rsid w:val="00CB2B67"/>
    <w:rsid w:val="00CB2C14"/>
    <w:rsid w:val="00CB2C69"/>
    <w:rsid w:val="00CB2E26"/>
    <w:rsid w:val="00CB3EC6"/>
    <w:rsid w:val="00CB4323"/>
    <w:rsid w:val="00CB4366"/>
    <w:rsid w:val="00CB43AD"/>
    <w:rsid w:val="00CB461E"/>
    <w:rsid w:val="00CB490D"/>
    <w:rsid w:val="00CB5947"/>
    <w:rsid w:val="00CB5A49"/>
    <w:rsid w:val="00CB5C15"/>
    <w:rsid w:val="00CB5D89"/>
    <w:rsid w:val="00CB5E78"/>
    <w:rsid w:val="00CB60B0"/>
    <w:rsid w:val="00CB62EB"/>
    <w:rsid w:val="00CB6657"/>
    <w:rsid w:val="00CB678B"/>
    <w:rsid w:val="00CB6F09"/>
    <w:rsid w:val="00CB72D1"/>
    <w:rsid w:val="00CB731C"/>
    <w:rsid w:val="00CB7787"/>
    <w:rsid w:val="00CC011D"/>
    <w:rsid w:val="00CC012A"/>
    <w:rsid w:val="00CC0185"/>
    <w:rsid w:val="00CC0E89"/>
    <w:rsid w:val="00CC1228"/>
    <w:rsid w:val="00CC1895"/>
    <w:rsid w:val="00CC1A21"/>
    <w:rsid w:val="00CC1FD1"/>
    <w:rsid w:val="00CC274F"/>
    <w:rsid w:val="00CC3C1C"/>
    <w:rsid w:val="00CC410C"/>
    <w:rsid w:val="00CC460A"/>
    <w:rsid w:val="00CC49E1"/>
    <w:rsid w:val="00CC5446"/>
    <w:rsid w:val="00CC56A9"/>
    <w:rsid w:val="00CC66DE"/>
    <w:rsid w:val="00CC7622"/>
    <w:rsid w:val="00CC7C0C"/>
    <w:rsid w:val="00CC7C5D"/>
    <w:rsid w:val="00CD058F"/>
    <w:rsid w:val="00CD0A53"/>
    <w:rsid w:val="00CD0A76"/>
    <w:rsid w:val="00CD0E05"/>
    <w:rsid w:val="00CD1350"/>
    <w:rsid w:val="00CD15C9"/>
    <w:rsid w:val="00CD15CF"/>
    <w:rsid w:val="00CD1748"/>
    <w:rsid w:val="00CD1938"/>
    <w:rsid w:val="00CD19FA"/>
    <w:rsid w:val="00CD1D83"/>
    <w:rsid w:val="00CD24C3"/>
    <w:rsid w:val="00CD26B0"/>
    <w:rsid w:val="00CD2792"/>
    <w:rsid w:val="00CD2988"/>
    <w:rsid w:val="00CD2B71"/>
    <w:rsid w:val="00CD2EFC"/>
    <w:rsid w:val="00CD31EC"/>
    <w:rsid w:val="00CD355E"/>
    <w:rsid w:val="00CD3822"/>
    <w:rsid w:val="00CD3953"/>
    <w:rsid w:val="00CD3E82"/>
    <w:rsid w:val="00CD40C9"/>
    <w:rsid w:val="00CD42B6"/>
    <w:rsid w:val="00CD44C1"/>
    <w:rsid w:val="00CD4AC6"/>
    <w:rsid w:val="00CD4AF2"/>
    <w:rsid w:val="00CD4CCC"/>
    <w:rsid w:val="00CD55C6"/>
    <w:rsid w:val="00CD56DE"/>
    <w:rsid w:val="00CD5CC6"/>
    <w:rsid w:val="00CD60E8"/>
    <w:rsid w:val="00CD61F7"/>
    <w:rsid w:val="00CD6720"/>
    <w:rsid w:val="00CD6981"/>
    <w:rsid w:val="00CD75AE"/>
    <w:rsid w:val="00CD75E3"/>
    <w:rsid w:val="00CD75F8"/>
    <w:rsid w:val="00CD7991"/>
    <w:rsid w:val="00CD7B52"/>
    <w:rsid w:val="00CD7B66"/>
    <w:rsid w:val="00CD7F7A"/>
    <w:rsid w:val="00CE054B"/>
    <w:rsid w:val="00CE057F"/>
    <w:rsid w:val="00CE09A0"/>
    <w:rsid w:val="00CE119B"/>
    <w:rsid w:val="00CE11F4"/>
    <w:rsid w:val="00CE15EA"/>
    <w:rsid w:val="00CE163F"/>
    <w:rsid w:val="00CE1676"/>
    <w:rsid w:val="00CE19B9"/>
    <w:rsid w:val="00CE19EB"/>
    <w:rsid w:val="00CE1D8B"/>
    <w:rsid w:val="00CE2104"/>
    <w:rsid w:val="00CE213E"/>
    <w:rsid w:val="00CE223B"/>
    <w:rsid w:val="00CE2627"/>
    <w:rsid w:val="00CE2C8B"/>
    <w:rsid w:val="00CE2E18"/>
    <w:rsid w:val="00CE2EB2"/>
    <w:rsid w:val="00CE308F"/>
    <w:rsid w:val="00CE30DA"/>
    <w:rsid w:val="00CE3312"/>
    <w:rsid w:val="00CE3E91"/>
    <w:rsid w:val="00CE42B9"/>
    <w:rsid w:val="00CE44AA"/>
    <w:rsid w:val="00CE496A"/>
    <w:rsid w:val="00CE4AA4"/>
    <w:rsid w:val="00CE4DBB"/>
    <w:rsid w:val="00CE51BF"/>
    <w:rsid w:val="00CE525D"/>
    <w:rsid w:val="00CE5546"/>
    <w:rsid w:val="00CE573F"/>
    <w:rsid w:val="00CE5B8A"/>
    <w:rsid w:val="00CE5BE3"/>
    <w:rsid w:val="00CE5C99"/>
    <w:rsid w:val="00CE5E36"/>
    <w:rsid w:val="00CE6303"/>
    <w:rsid w:val="00CE6510"/>
    <w:rsid w:val="00CE6577"/>
    <w:rsid w:val="00CE677F"/>
    <w:rsid w:val="00CE6EBF"/>
    <w:rsid w:val="00CE74E6"/>
    <w:rsid w:val="00CE75CE"/>
    <w:rsid w:val="00CE7A3F"/>
    <w:rsid w:val="00CE7C4D"/>
    <w:rsid w:val="00CF030C"/>
    <w:rsid w:val="00CF06BE"/>
    <w:rsid w:val="00CF09F2"/>
    <w:rsid w:val="00CF0ED7"/>
    <w:rsid w:val="00CF1213"/>
    <w:rsid w:val="00CF159E"/>
    <w:rsid w:val="00CF16CF"/>
    <w:rsid w:val="00CF17F7"/>
    <w:rsid w:val="00CF1876"/>
    <w:rsid w:val="00CF18AF"/>
    <w:rsid w:val="00CF1B07"/>
    <w:rsid w:val="00CF1BBD"/>
    <w:rsid w:val="00CF1C18"/>
    <w:rsid w:val="00CF1EB0"/>
    <w:rsid w:val="00CF2298"/>
    <w:rsid w:val="00CF23EE"/>
    <w:rsid w:val="00CF2948"/>
    <w:rsid w:val="00CF2F47"/>
    <w:rsid w:val="00CF337E"/>
    <w:rsid w:val="00CF338F"/>
    <w:rsid w:val="00CF35FC"/>
    <w:rsid w:val="00CF37B8"/>
    <w:rsid w:val="00CF3B6B"/>
    <w:rsid w:val="00CF3F43"/>
    <w:rsid w:val="00CF46F8"/>
    <w:rsid w:val="00CF5229"/>
    <w:rsid w:val="00CF58C6"/>
    <w:rsid w:val="00CF5F98"/>
    <w:rsid w:val="00CF6081"/>
    <w:rsid w:val="00CF6536"/>
    <w:rsid w:val="00CF6578"/>
    <w:rsid w:val="00CF73C4"/>
    <w:rsid w:val="00CF770F"/>
    <w:rsid w:val="00CF77FC"/>
    <w:rsid w:val="00CF79E4"/>
    <w:rsid w:val="00CF7A30"/>
    <w:rsid w:val="00CF7DE2"/>
    <w:rsid w:val="00D00AEF"/>
    <w:rsid w:val="00D010B6"/>
    <w:rsid w:val="00D010BC"/>
    <w:rsid w:val="00D01648"/>
    <w:rsid w:val="00D0189A"/>
    <w:rsid w:val="00D01D88"/>
    <w:rsid w:val="00D01DF4"/>
    <w:rsid w:val="00D02D24"/>
    <w:rsid w:val="00D03563"/>
    <w:rsid w:val="00D036F8"/>
    <w:rsid w:val="00D0371D"/>
    <w:rsid w:val="00D03AF3"/>
    <w:rsid w:val="00D040C1"/>
    <w:rsid w:val="00D04F09"/>
    <w:rsid w:val="00D0562A"/>
    <w:rsid w:val="00D05D51"/>
    <w:rsid w:val="00D06328"/>
    <w:rsid w:val="00D0635A"/>
    <w:rsid w:val="00D0693A"/>
    <w:rsid w:val="00D0699B"/>
    <w:rsid w:val="00D06C67"/>
    <w:rsid w:val="00D0718E"/>
    <w:rsid w:val="00D07CC3"/>
    <w:rsid w:val="00D07FDF"/>
    <w:rsid w:val="00D10421"/>
    <w:rsid w:val="00D106D8"/>
    <w:rsid w:val="00D1099E"/>
    <w:rsid w:val="00D10C13"/>
    <w:rsid w:val="00D10F92"/>
    <w:rsid w:val="00D11078"/>
    <w:rsid w:val="00D11357"/>
    <w:rsid w:val="00D1213D"/>
    <w:rsid w:val="00D12180"/>
    <w:rsid w:val="00D1236A"/>
    <w:rsid w:val="00D126F7"/>
    <w:rsid w:val="00D129F5"/>
    <w:rsid w:val="00D12A04"/>
    <w:rsid w:val="00D12ED9"/>
    <w:rsid w:val="00D13713"/>
    <w:rsid w:val="00D1378D"/>
    <w:rsid w:val="00D13C66"/>
    <w:rsid w:val="00D140B7"/>
    <w:rsid w:val="00D141DD"/>
    <w:rsid w:val="00D14274"/>
    <w:rsid w:val="00D1494A"/>
    <w:rsid w:val="00D14AED"/>
    <w:rsid w:val="00D14DA8"/>
    <w:rsid w:val="00D15357"/>
    <w:rsid w:val="00D153B1"/>
    <w:rsid w:val="00D15768"/>
    <w:rsid w:val="00D15E96"/>
    <w:rsid w:val="00D16730"/>
    <w:rsid w:val="00D16A52"/>
    <w:rsid w:val="00D16C0D"/>
    <w:rsid w:val="00D16D0A"/>
    <w:rsid w:val="00D16E3D"/>
    <w:rsid w:val="00D177AD"/>
    <w:rsid w:val="00D1793D"/>
    <w:rsid w:val="00D17A8E"/>
    <w:rsid w:val="00D17B38"/>
    <w:rsid w:val="00D17B84"/>
    <w:rsid w:val="00D17C3C"/>
    <w:rsid w:val="00D17D7F"/>
    <w:rsid w:val="00D20354"/>
    <w:rsid w:val="00D2046E"/>
    <w:rsid w:val="00D204CA"/>
    <w:rsid w:val="00D20E10"/>
    <w:rsid w:val="00D21887"/>
    <w:rsid w:val="00D21B5A"/>
    <w:rsid w:val="00D21BF1"/>
    <w:rsid w:val="00D221A1"/>
    <w:rsid w:val="00D228CA"/>
    <w:rsid w:val="00D228F1"/>
    <w:rsid w:val="00D23190"/>
    <w:rsid w:val="00D234B7"/>
    <w:rsid w:val="00D23614"/>
    <w:rsid w:val="00D239CC"/>
    <w:rsid w:val="00D24217"/>
    <w:rsid w:val="00D242A8"/>
    <w:rsid w:val="00D2467B"/>
    <w:rsid w:val="00D25135"/>
    <w:rsid w:val="00D25A81"/>
    <w:rsid w:val="00D25B61"/>
    <w:rsid w:val="00D26506"/>
    <w:rsid w:val="00D266DE"/>
    <w:rsid w:val="00D27CB0"/>
    <w:rsid w:val="00D30525"/>
    <w:rsid w:val="00D30A9E"/>
    <w:rsid w:val="00D30C49"/>
    <w:rsid w:val="00D310B8"/>
    <w:rsid w:val="00D3119C"/>
    <w:rsid w:val="00D31269"/>
    <w:rsid w:val="00D31689"/>
    <w:rsid w:val="00D31692"/>
    <w:rsid w:val="00D319DC"/>
    <w:rsid w:val="00D31BAF"/>
    <w:rsid w:val="00D31EAF"/>
    <w:rsid w:val="00D32220"/>
    <w:rsid w:val="00D327AD"/>
    <w:rsid w:val="00D32A1E"/>
    <w:rsid w:val="00D33256"/>
    <w:rsid w:val="00D33B5C"/>
    <w:rsid w:val="00D33D62"/>
    <w:rsid w:val="00D34117"/>
    <w:rsid w:val="00D341C6"/>
    <w:rsid w:val="00D34563"/>
    <w:rsid w:val="00D3485A"/>
    <w:rsid w:val="00D34A8F"/>
    <w:rsid w:val="00D3501F"/>
    <w:rsid w:val="00D35273"/>
    <w:rsid w:val="00D353F5"/>
    <w:rsid w:val="00D355E8"/>
    <w:rsid w:val="00D35745"/>
    <w:rsid w:val="00D3664F"/>
    <w:rsid w:val="00D36A52"/>
    <w:rsid w:val="00D37248"/>
    <w:rsid w:val="00D37609"/>
    <w:rsid w:val="00D379BD"/>
    <w:rsid w:val="00D37CC3"/>
    <w:rsid w:val="00D37D3B"/>
    <w:rsid w:val="00D37DC0"/>
    <w:rsid w:val="00D400DE"/>
    <w:rsid w:val="00D407BE"/>
    <w:rsid w:val="00D408E8"/>
    <w:rsid w:val="00D40A3A"/>
    <w:rsid w:val="00D40F7C"/>
    <w:rsid w:val="00D4127D"/>
    <w:rsid w:val="00D41408"/>
    <w:rsid w:val="00D41816"/>
    <w:rsid w:val="00D41C8F"/>
    <w:rsid w:val="00D42040"/>
    <w:rsid w:val="00D425CB"/>
    <w:rsid w:val="00D4262A"/>
    <w:rsid w:val="00D428C7"/>
    <w:rsid w:val="00D42AF6"/>
    <w:rsid w:val="00D436CD"/>
    <w:rsid w:val="00D43DD6"/>
    <w:rsid w:val="00D43E12"/>
    <w:rsid w:val="00D44470"/>
    <w:rsid w:val="00D4461D"/>
    <w:rsid w:val="00D446E3"/>
    <w:rsid w:val="00D44DD1"/>
    <w:rsid w:val="00D44EE4"/>
    <w:rsid w:val="00D4503D"/>
    <w:rsid w:val="00D4546E"/>
    <w:rsid w:val="00D459FB"/>
    <w:rsid w:val="00D45CEE"/>
    <w:rsid w:val="00D46417"/>
    <w:rsid w:val="00D4647B"/>
    <w:rsid w:val="00D467E2"/>
    <w:rsid w:val="00D46924"/>
    <w:rsid w:val="00D469CD"/>
    <w:rsid w:val="00D46FB9"/>
    <w:rsid w:val="00D471BC"/>
    <w:rsid w:val="00D47AE6"/>
    <w:rsid w:val="00D47AFA"/>
    <w:rsid w:val="00D47B4A"/>
    <w:rsid w:val="00D47D6B"/>
    <w:rsid w:val="00D5005E"/>
    <w:rsid w:val="00D50140"/>
    <w:rsid w:val="00D50293"/>
    <w:rsid w:val="00D50BC9"/>
    <w:rsid w:val="00D50BCF"/>
    <w:rsid w:val="00D50E55"/>
    <w:rsid w:val="00D50FD5"/>
    <w:rsid w:val="00D51422"/>
    <w:rsid w:val="00D51C2C"/>
    <w:rsid w:val="00D522E4"/>
    <w:rsid w:val="00D52444"/>
    <w:rsid w:val="00D524E6"/>
    <w:rsid w:val="00D524ED"/>
    <w:rsid w:val="00D52E4A"/>
    <w:rsid w:val="00D539D0"/>
    <w:rsid w:val="00D53A67"/>
    <w:rsid w:val="00D53B8F"/>
    <w:rsid w:val="00D5484B"/>
    <w:rsid w:val="00D548D4"/>
    <w:rsid w:val="00D54AD4"/>
    <w:rsid w:val="00D54C18"/>
    <w:rsid w:val="00D552C2"/>
    <w:rsid w:val="00D552F1"/>
    <w:rsid w:val="00D5532A"/>
    <w:rsid w:val="00D55A36"/>
    <w:rsid w:val="00D55B1F"/>
    <w:rsid w:val="00D55BBE"/>
    <w:rsid w:val="00D561F5"/>
    <w:rsid w:val="00D56327"/>
    <w:rsid w:val="00D56367"/>
    <w:rsid w:val="00D563C9"/>
    <w:rsid w:val="00D567C7"/>
    <w:rsid w:val="00D5689A"/>
    <w:rsid w:val="00D56B7A"/>
    <w:rsid w:val="00D56EE8"/>
    <w:rsid w:val="00D57072"/>
    <w:rsid w:val="00D573E4"/>
    <w:rsid w:val="00D5746A"/>
    <w:rsid w:val="00D574CB"/>
    <w:rsid w:val="00D57866"/>
    <w:rsid w:val="00D57994"/>
    <w:rsid w:val="00D600E2"/>
    <w:rsid w:val="00D6016E"/>
    <w:rsid w:val="00D60240"/>
    <w:rsid w:val="00D60B58"/>
    <w:rsid w:val="00D60C86"/>
    <w:rsid w:val="00D6104D"/>
    <w:rsid w:val="00D6104F"/>
    <w:rsid w:val="00D610C3"/>
    <w:rsid w:val="00D61102"/>
    <w:rsid w:val="00D61249"/>
    <w:rsid w:val="00D61920"/>
    <w:rsid w:val="00D61AE5"/>
    <w:rsid w:val="00D61DB6"/>
    <w:rsid w:val="00D621BE"/>
    <w:rsid w:val="00D62C00"/>
    <w:rsid w:val="00D62D0D"/>
    <w:rsid w:val="00D62DE2"/>
    <w:rsid w:val="00D62F91"/>
    <w:rsid w:val="00D63133"/>
    <w:rsid w:val="00D63B3A"/>
    <w:rsid w:val="00D63DA6"/>
    <w:rsid w:val="00D64636"/>
    <w:rsid w:val="00D64669"/>
    <w:rsid w:val="00D656CB"/>
    <w:rsid w:val="00D658FE"/>
    <w:rsid w:val="00D65B1F"/>
    <w:rsid w:val="00D65C0C"/>
    <w:rsid w:val="00D65DA4"/>
    <w:rsid w:val="00D65ED4"/>
    <w:rsid w:val="00D66282"/>
    <w:rsid w:val="00D6669E"/>
    <w:rsid w:val="00D668E4"/>
    <w:rsid w:val="00D66BFD"/>
    <w:rsid w:val="00D671A6"/>
    <w:rsid w:val="00D67466"/>
    <w:rsid w:val="00D67C99"/>
    <w:rsid w:val="00D67E80"/>
    <w:rsid w:val="00D7001C"/>
    <w:rsid w:val="00D7047B"/>
    <w:rsid w:val="00D7069D"/>
    <w:rsid w:val="00D70711"/>
    <w:rsid w:val="00D70F7D"/>
    <w:rsid w:val="00D70FB1"/>
    <w:rsid w:val="00D71723"/>
    <w:rsid w:val="00D71D81"/>
    <w:rsid w:val="00D71E6B"/>
    <w:rsid w:val="00D72260"/>
    <w:rsid w:val="00D72423"/>
    <w:rsid w:val="00D7242D"/>
    <w:rsid w:val="00D724F2"/>
    <w:rsid w:val="00D7257A"/>
    <w:rsid w:val="00D72742"/>
    <w:rsid w:val="00D729A9"/>
    <w:rsid w:val="00D7302E"/>
    <w:rsid w:val="00D7382A"/>
    <w:rsid w:val="00D73A5D"/>
    <w:rsid w:val="00D73B6C"/>
    <w:rsid w:val="00D740D5"/>
    <w:rsid w:val="00D741F4"/>
    <w:rsid w:val="00D74204"/>
    <w:rsid w:val="00D74A69"/>
    <w:rsid w:val="00D74B78"/>
    <w:rsid w:val="00D74FEC"/>
    <w:rsid w:val="00D750F2"/>
    <w:rsid w:val="00D75505"/>
    <w:rsid w:val="00D7590B"/>
    <w:rsid w:val="00D75B6B"/>
    <w:rsid w:val="00D75E4E"/>
    <w:rsid w:val="00D76200"/>
    <w:rsid w:val="00D76695"/>
    <w:rsid w:val="00D76A98"/>
    <w:rsid w:val="00D7732F"/>
    <w:rsid w:val="00D77AE6"/>
    <w:rsid w:val="00D77B7F"/>
    <w:rsid w:val="00D77C66"/>
    <w:rsid w:val="00D77DAB"/>
    <w:rsid w:val="00D802BD"/>
    <w:rsid w:val="00D8044B"/>
    <w:rsid w:val="00D806A7"/>
    <w:rsid w:val="00D80ABB"/>
    <w:rsid w:val="00D80D39"/>
    <w:rsid w:val="00D80F00"/>
    <w:rsid w:val="00D8141B"/>
    <w:rsid w:val="00D81547"/>
    <w:rsid w:val="00D815CA"/>
    <w:rsid w:val="00D81C18"/>
    <w:rsid w:val="00D81DDB"/>
    <w:rsid w:val="00D81DFA"/>
    <w:rsid w:val="00D82071"/>
    <w:rsid w:val="00D8228F"/>
    <w:rsid w:val="00D826D3"/>
    <w:rsid w:val="00D831CC"/>
    <w:rsid w:val="00D8357C"/>
    <w:rsid w:val="00D835C4"/>
    <w:rsid w:val="00D8373B"/>
    <w:rsid w:val="00D83CB1"/>
    <w:rsid w:val="00D84D5F"/>
    <w:rsid w:val="00D851FA"/>
    <w:rsid w:val="00D85402"/>
    <w:rsid w:val="00D85843"/>
    <w:rsid w:val="00D85F7D"/>
    <w:rsid w:val="00D862DA"/>
    <w:rsid w:val="00D863EF"/>
    <w:rsid w:val="00D8640C"/>
    <w:rsid w:val="00D86456"/>
    <w:rsid w:val="00D86BAD"/>
    <w:rsid w:val="00D86CB1"/>
    <w:rsid w:val="00D86E0B"/>
    <w:rsid w:val="00D870BD"/>
    <w:rsid w:val="00D87481"/>
    <w:rsid w:val="00D87DF2"/>
    <w:rsid w:val="00D87EDB"/>
    <w:rsid w:val="00D9019F"/>
    <w:rsid w:val="00D9034F"/>
    <w:rsid w:val="00D90ED8"/>
    <w:rsid w:val="00D91251"/>
    <w:rsid w:val="00D91352"/>
    <w:rsid w:val="00D9196F"/>
    <w:rsid w:val="00D91D23"/>
    <w:rsid w:val="00D92533"/>
    <w:rsid w:val="00D9297B"/>
    <w:rsid w:val="00D92D4E"/>
    <w:rsid w:val="00D92D7B"/>
    <w:rsid w:val="00D92E40"/>
    <w:rsid w:val="00D934B9"/>
    <w:rsid w:val="00D934E1"/>
    <w:rsid w:val="00D9399D"/>
    <w:rsid w:val="00D93D4D"/>
    <w:rsid w:val="00D942DC"/>
    <w:rsid w:val="00D954F5"/>
    <w:rsid w:val="00D95C04"/>
    <w:rsid w:val="00D95DF2"/>
    <w:rsid w:val="00D95E9F"/>
    <w:rsid w:val="00D9605C"/>
    <w:rsid w:val="00D9624D"/>
    <w:rsid w:val="00D96BDF"/>
    <w:rsid w:val="00D96E69"/>
    <w:rsid w:val="00D97429"/>
    <w:rsid w:val="00D97710"/>
    <w:rsid w:val="00D9795D"/>
    <w:rsid w:val="00D97EBE"/>
    <w:rsid w:val="00DA063E"/>
    <w:rsid w:val="00DA0934"/>
    <w:rsid w:val="00DA0FCD"/>
    <w:rsid w:val="00DA1258"/>
    <w:rsid w:val="00DA196D"/>
    <w:rsid w:val="00DA1A30"/>
    <w:rsid w:val="00DA1B2D"/>
    <w:rsid w:val="00DA251E"/>
    <w:rsid w:val="00DA25A2"/>
    <w:rsid w:val="00DA2D61"/>
    <w:rsid w:val="00DA2F2B"/>
    <w:rsid w:val="00DA2F36"/>
    <w:rsid w:val="00DA3D7B"/>
    <w:rsid w:val="00DA4C50"/>
    <w:rsid w:val="00DA4C70"/>
    <w:rsid w:val="00DA5ADE"/>
    <w:rsid w:val="00DA6031"/>
    <w:rsid w:val="00DA6283"/>
    <w:rsid w:val="00DA62B9"/>
    <w:rsid w:val="00DA6721"/>
    <w:rsid w:val="00DA681F"/>
    <w:rsid w:val="00DA687A"/>
    <w:rsid w:val="00DA68DE"/>
    <w:rsid w:val="00DA6908"/>
    <w:rsid w:val="00DA6C1E"/>
    <w:rsid w:val="00DA7189"/>
    <w:rsid w:val="00DA728E"/>
    <w:rsid w:val="00DA72B8"/>
    <w:rsid w:val="00DA7370"/>
    <w:rsid w:val="00DA7611"/>
    <w:rsid w:val="00DA78BB"/>
    <w:rsid w:val="00DA7E87"/>
    <w:rsid w:val="00DB05E9"/>
    <w:rsid w:val="00DB06F2"/>
    <w:rsid w:val="00DB08B3"/>
    <w:rsid w:val="00DB0BA9"/>
    <w:rsid w:val="00DB0E27"/>
    <w:rsid w:val="00DB10EF"/>
    <w:rsid w:val="00DB1147"/>
    <w:rsid w:val="00DB1190"/>
    <w:rsid w:val="00DB1E43"/>
    <w:rsid w:val="00DB2121"/>
    <w:rsid w:val="00DB230D"/>
    <w:rsid w:val="00DB287D"/>
    <w:rsid w:val="00DB2FB4"/>
    <w:rsid w:val="00DB33C4"/>
    <w:rsid w:val="00DB3700"/>
    <w:rsid w:val="00DB3DAE"/>
    <w:rsid w:val="00DB3EB8"/>
    <w:rsid w:val="00DB4594"/>
    <w:rsid w:val="00DB4994"/>
    <w:rsid w:val="00DB49F3"/>
    <w:rsid w:val="00DB4AA3"/>
    <w:rsid w:val="00DB4F8A"/>
    <w:rsid w:val="00DB5AE0"/>
    <w:rsid w:val="00DB5F50"/>
    <w:rsid w:val="00DB6615"/>
    <w:rsid w:val="00DB68FF"/>
    <w:rsid w:val="00DB69C2"/>
    <w:rsid w:val="00DB6A6A"/>
    <w:rsid w:val="00DB6AA2"/>
    <w:rsid w:val="00DB6DA3"/>
    <w:rsid w:val="00DB6EC0"/>
    <w:rsid w:val="00DB7230"/>
    <w:rsid w:val="00DB757A"/>
    <w:rsid w:val="00DB757C"/>
    <w:rsid w:val="00DB75C7"/>
    <w:rsid w:val="00DB7786"/>
    <w:rsid w:val="00DB79F6"/>
    <w:rsid w:val="00DB7AC1"/>
    <w:rsid w:val="00DC0503"/>
    <w:rsid w:val="00DC0A26"/>
    <w:rsid w:val="00DC0EE8"/>
    <w:rsid w:val="00DC15CF"/>
    <w:rsid w:val="00DC1767"/>
    <w:rsid w:val="00DC1BAA"/>
    <w:rsid w:val="00DC2117"/>
    <w:rsid w:val="00DC225F"/>
    <w:rsid w:val="00DC27BA"/>
    <w:rsid w:val="00DC2A42"/>
    <w:rsid w:val="00DC2B78"/>
    <w:rsid w:val="00DC3125"/>
    <w:rsid w:val="00DC32BA"/>
    <w:rsid w:val="00DC35C2"/>
    <w:rsid w:val="00DC35F0"/>
    <w:rsid w:val="00DC35FC"/>
    <w:rsid w:val="00DC3BA0"/>
    <w:rsid w:val="00DC3EA1"/>
    <w:rsid w:val="00DC45D8"/>
    <w:rsid w:val="00DC48CF"/>
    <w:rsid w:val="00DC492B"/>
    <w:rsid w:val="00DC4974"/>
    <w:rsid w:val="00DC4C66"/>
    <w:rsid w:val="00DC4D9F"/>
    <w:rsid w:val="00DC4E5D"/>
    <w:rsid w:val="00DC4F96"/>
    <w:rsid w:val="00DC5258"/>
    <w:rsid w:val="00DC5647"/>
    <w:rsid w:val="00DC59EC"/>
    <w:rsid w:val="00DC5A6D"/>
    <w:rsid w:val="00DC5B4D"/>
    <w:rsid w:val="00DC5FD8"/>
    <w:rsid w:val="00DC6229"/>
    <w:rsid w:val="00DC654E"/>
    <w:rsid w:val="00DC6AA4"/>
    <w:rsid w:val="00DC6B65"/>
    <w:rsid w:val="00DC6BF7"/>
    <w:rsid w:val="00DC7058"/>
    <w:rsid w:val="00DC725B"/>
    <w:rsid w:val="00DC782D"/>
    <w:rsid w:val="00DC789F"/>
    <w:rsid w:val="00DC795D"/>
    <w:rsid w:val="00DD0213"/>
    <w:rsid w:val="00DD05E2"/>
    <w:rsid w:val="00DD09EE"/>
    <w:rsid w:val="00DD0A76"/>
    <w:rsid w:val="00DD0C92"/>
    <w:rsid w:val="00DD0E6F"/>
    <w:rsid w:val="00DD12FC"/>
    <w:rsid w:val="00DD183A"/>
    <w:rsid w:val="00DD1AD3"/>
    <w:rsid w:val="00DD25A3"/>
    <w:rsid w:val="00DD27C2"/>
    <w:rsid w:val="00DD28E9"/>
    <w:rsid w:val="00DD292D"/>
    <w:rsid w:val="00DD3981"/>
    <w:rsid w:val="00DD39DE"/>
    <w:rsid w:val="00DD3E71"/>
    <w:rsid w:val="00DD40E7"/>
    <w:rsid w:val="00DD4F5C"/>
    <w:rsid w:val="00DD513F"/>
    <w:rsid w:val="00DD52F5"/>
    <w:rsid w:val="00DD61A0"/>
    <w:rsid w:val="00DD630B"/>
    <w:rsid w:val="00DD6537"/>
    <w:rsid w:val="00DD6667"/>
    <w:rsid w:val="00DD686E"/>
    <w:rsid w:val="00DD68E1"/>
    <w:rsid w:val="00DD6C42"/>
    <w:rsid w:val="00DD7453"/>
    <w:rsid w:val="00DD74A2"/>
    <w:rsid w:val="00DD7CA1"/>
    <w:rsid w:val="00DD7E84"/>
    <w:rsid w:val="00DE026A"/>
    <w:rsid w:val="00DE03FB"/>
    <w:rsid w:val="00DE0455"/>
    <w:rsid w:val="00DE0491"/>
    <w:rsid w:val="00DE054F"/>
    <w:rsid w:val="00DE05A4"/>
    <w:rsid w:val="00DE05EB"/>
    <w:rsid w:val="00DE0850"/>
    <w:rsid w:val="00DE0F8D"/>
    <w:rsid w:val="00DE1341"/>
    <w:rsid w:val="00DE1805"/>
    <w:rsid w:val="00DE1D51"/>
    <w:rsid w:val="00DE1D85"/>
    <w:rsid w:val="00DE1F44"/>
    <w:rsid w:val="00DE2933"/>
    <w:rsid w:val="00DE2ECE"/>
    <w:rsid w:val="00DE2F40"/>
    <w:rsid w:val="00DE2F5C"/>
    <w:rsid w:val="00DE383B"/>
    <w:rsid w:val="00DE3C11"/>
    <w:rsid w:val="00DE3E51"/>
    <w:rsid w:val="00DE4713"/>
    <w:rsid w:val="00DE49BE"/>
    <w:rsid w:val="00DE5233"/>
    <w:rsid w:val="00DE5340"/>
    <w:rsid w:val="00DE54E2"/>
    <w:rsid w:val="00DE5C82"/>
    <w:rsid w:val="00DE6143"/>
    <w:rsid w:val="00DE6576"/>
    <w:rsid w:val="00DE65B4"/>
    <w:rsid w:val="00DE6664"/>
    <w:rsid w:val="00DE70EF"/>
    <w:rsid w:val="00DE7287"/>
    <w:rsid w:val="00DE7314"/>
    <w:rsid w:val="00DE79C8"/>
    <w:rsid w:val="00DE79EB"/>
    <w:rsid w:val="00DE7BB8"/>
    <w:rsid w:val="00DE7C77"/>
    <w:rsid w:val="00DE7C7F"/>
    <w:rsid w:val="00DF04C3"/>
    <w:rsid w:val="00DF0D6D"/>
    <w:rsid w:val="00DF0F78"/>
    <w:rsid w:val="00DF12C8"/>
    <w:rsid w:val="00DF1374"/>
    <w:rsid w:val="00DF14C4"/>
    <w:rsid w:val="00DF18FA"/>
    <w:rsid w:val="00DF1C98"/>
    <w:rsid w:val="00DF226E"/>
    <w:rsid w:val="00DF27BC"/>
    <w:rsid w:val="00DF2AEA"/>
    <w:rsid w:val="00DF33D5"/>
    <w:rsid w:val="00DF345F"/>
    <w:rsid w:val="00DF3D24"/>
    <w:rsid w:val="00DF3D6F"/>
    <w:rsid w:val="00DF417D"/>
    <w:rsid w:val="00DF41E6"/>
    <w:rsid w:val="00DF4427"/>
    <w:rsid w:val="00DF457C"/>
    <w:rsid w:val="00DF4614"/>
    <w:rsid w:val="00DF474E"/>
    <w:rsid w:val="00DF4F14"/>
    <w:rsid w:val="00DF55BA"/>
    <w:rsid w:val="00DF5A46"/>
    <w:rsid w:val="00DF6096"/>
    <w:rsid w:val="00DF60D5"/>
    <w:rsid w:val="00DF6114"/>
    <w:rsid w:val="00DF674F"/>
    <w:rsid w:val="00DF688D"/>
    <w:rsid w:val="00DF6D10"/>
    <w:rsid w:val="00DF6D7B"/>
    <w:rsid w:val="00DF716A"/>
    <w:rsid w:val="00DF71C0"/>
    <w:rsid w:val="00DF7B25"/>
    <w:rsid w:val="00E005C5"/>
    <w:rsid w:val="00E00930"/>
    <w:rsid w:val="00E00944"/>
    <w:rsid w:val="00E00B67"/>
    <w:rsid w:val="00E010EF"/>
    <w:rsid w:val="00E01128"/>
    <w:rsid w:val="00E01A58"/>
    <w:rsid w:val="00E01A8E"/>
    <w:rsid w:val="00E01E4E"/>
    <w:rsid w:val="00E01ED2"/>
    <w:rsid w:val="00E02CD0"/>
    <w:rsid w:val="00E02DE2"/>
    <w:rsid w:val="00E02EF3"/>
    <w:rsid w:val="00E03691"/>
    <w:rsid w:val="00E0375F"/>
    <w:rsid w:val="00E03CA9"/>
    <w:rsid w:val="00E03DCA"/>
    <w:rsid w:val="00E04228"/>
    <w:rsid w:val="00E045BD"/>
    <w:rsid w:val="00E04629"/>
    <w:rsid w:val="00E04730"/>
    <w:rsid w:val="00E05135"/>
    <w:rsid w:val="00E054F0"/>
    <w:rsid w:val="00E05A79"/>
    <w:rsid w:val="00E05CF9"/>
    <w:rsid w:val="00E06366"/>
    <w:rsid w:val="00E0639E"/>
    <w:rsid w:val="00E0642B"/>
    <w:rsid w:val="00E06742"/>
    <w:rsid w:val="00E06A23"/>
    <w:rsid w:val="00E07331"/>
    <w:rsid w:val="00E076DE"/>
    <w:rsid w:val="00E076F8"/>
    <w:rsid w:val="00E07BD7"/>
    <w:rsid w:val="00E10191"/>
    <w:rsid w:val="00E10399"/>
    <w:rsid w:val="00E1045F"/>
    <w:rsid w:val="00E10D1A"/>
    <w:rsid w:val="00E10DC2"/>
    <w:rsid w:val="00E10DED"/>
    <w:rsid w:val="00E10E33"/>
    <w:rsid w:val="00E110D2"/>
    <w:rsid w:val="00E11574"/>
    <w:rsid w:val="00E11EEC"/>
    <w:rsid w:val="00E1220B"/>
    <w:rsid w:val="00E129A9"/>
    <w:rsid w:val="00E12C85"/>
    <w:rsid w:val="00E13483"/>
    <w:rsid w:val="00E134E9"/>
    <w:rsid w:val="00E135A1"/>
    <w:rsid w:val="00E1398E"/>
    <w:rsid w:val="00E13C1F"/>
    <w:rsid w:val="00E13C30"/>
    <w:rsid w:val="00E13DA3"/>
    <w:rsid w:val="00E13DBA"/>
    <w:rsid w:val="00E13E2E"/>
    <w:rsid w:val="00E14422"/>
    <w:rsid w:val="00E14755"/>
    <w:rsid w:val="00E1496E"/>
    <w:rsid w:val="00E14AE9"/>
    <w:rsid w:val="00E14B83"/>
    <w:rsid w:val="00E14BE3"/>
    <w:rsid w:val="00E15168"/>
    <w:rsid w:val="00E152E2"/>
    <w:rsid w:val="00E153B3"/>
    <w:rsid w:val="00E159BC"/>
    <w:rsid w:val="00E15CAB"/>
    <w:rsid w:val="00E15E8E"/>
    <w:rsid w:val="00E1658C"/>
    <w:rsid w:val="00E16997"/>
    <w:rsid w:val="00E16EF1"/>
    <w:rsid w:val="00E1714A"/>
    <w:rsid w:val="00E171D1"/>
    <w:rsid w:val="00E173A3"/>
    <w:rsid w:val="00E177A0"/>
    <w:rsid w:val="00E17BA9"/>
    <w:rsid w:val="00E17C0F"/>
    <w:rsid w:val="00E17D4A"/>
    <w:rsid w:val="00E17F58"/>
    <w:rsid w:val="00E17F63"/>
    <w:rsid w:val="00E21E9E"/>
    <w:rsid w:val="00E220EF"/>
    <w:rsid w:val="00E2295D"/>
    <w:rsid w:val="00E2309D"/>
    <w:rsid w:val="00E23504"/>
    <w:rsid w:val="00E23CB1"/>
    <w:rsid w:val="00E24209"/>
    <w:rsid w:val="00E24B67"/>
    <w:rsid w:val="00E24F5B"/>
    <w:rsid w:val="00E25082"/>
    <w:rsid w:val="00E250F0"/>
    <w:rsid w:val="00E25A16"/>
    <w:rsid w:val="00E25CB5"/>
    <w:rsid w:val="00E267F2"/>
    <w:rsid w:val="00E268E8"/>
    <w:rsid w:val="00E269A5"/>
    <w:rsid w:val="00E269A8"/>
    <w:rsid w:val="00E26C48"/>
    <w:rsid w:val="00E2749D"/>
    <w:rsid w:val="00E27A13"/>
    <w:rsid w:val="00E27A7C"/>
    <w:rsid w:val="00E300B0"/>
    <w:rsid w:val="00E30400"/>
    <w:rsid w:val="00E3091E"/>
    <w:rsid w:val="00E30985"/>
    <w:rsid w:val="00E30AC8"/>
    <w:rsid w:val="00E30FE7"/>
    <w:rsid w:val="00E31025"/>
    <w:rsid w:val="00E31472"/>
    <w:rsid w:val="00E31C80"/>
    <w:rsid w:val="00E31C89"/>
    <w:rsid w:val="00E3218B"/>
    <w:rsid w:val="00E3273E"/>
    <w:rsid w:val="00E32883"/>
    <w:rsid w:val="00E32CF3"/>
    <w:rsid w:val="00E32D98"/>
    <w:rsid w:val="00E33492"/>
    <w:rsid w:val="00E334DA"/>
    <w:rsid w:val="00E3354F"/>
    <w:rsid w:val="00E3396F"/>
    <w:rsid w:val="00E339ED"/>
    <w:rsid w:val="00E33BED"/>
    <w:rsid w:val="00E33EA6"/>
    <w:rsid w:val="00E34107"/>
    <w:rsid w:val="00E341F3"/>
    <w:rsid w:val="00E3438F"/>
    <w:rsid w:val="00E34619"/>
    <w:rsid w:val="00E3506E"/>
    <w:rsid w:val="00E35B41"/>
    <w:rsid w:val="00E35C0F"/>
    <w:rsid w:val="00E35C65"/>
    <w:rsid w:val="00E36208"/>
    <w:rsid w:val="00E36F4C"/>
    <w:rsid w:val="00E37183"/>
    <w:rsid w:val="00E371A0"/>
    <w:rsid w:val="00E37646"/>
    <w:rsid w:val="00E3778F"/>
    <w:rsid w:val="00E37D6F"/>
    <w:rsid w:val="00E37E8C"/>
    <w:rsid w:val="00E40507"/>
    <w:rsid w:val="00E40883"/>
    <w:rsid w:val="00E409DE"/>
    <w:rsid w:val="00E40B2B"/>
    <w:rsid w:val="00E40E86"/>
    <w:rsid w:val="00E41C17"/>
    <w:rsid w:val="00E41DA5"/>
    <w:rsid w:val="00E42DFA"/>
    <w:rsid w:val="00E430F2"/>
    <w:rsid w:val="00E43474"/>
    <w:rsid w:val="00E43ABE"/>
    <w:rsid w:val="00E43C06"/>
    <w:rsid w:val="00E44372"/>
    <w:rsid w:val="00E449B1"/>
    <w:rsid w:val="00E44B38"/>
    <w:rsid w:val="00E44D6A"/>
    <w:rsid w:val="00E45136"/>
    <w:rsid w:val="00E45510"/>
    <w:rsid w:val="00E458A1"/>
    <w:rsid w:val="00E45DB6"/>
    <w:rsid w:val="00E461FC"/>
    <w:rsid w:val="00E467BF"/>
    <w:rsid w:val="00E46BA9"/>
    <w:rsid w:val="00E46CD3"/>
    <w:rsid w:val="00E46EA8"/>
    <w:rsid w:val="00E46FE1"/>
    <w:rsid w:val="00E47401"/>
    <w:rsid w:val="00E47B31"/>
    <w:rsid w:val="00E501F7"/>
    <w:rsid w:val="00E50353"/>
    <w:rsid w:val="00E5082D"/>
    <w:rsid w:val="00E50884"/>
    <w:rsid w:val="00E50EEC"/>
    <w:rsid w:val="00E50F88"/>
    <w:rsid w:val="00E50FDB"/>
    <w:rsid w:val="00E51314"/>
    <w:rsid w:val="00E519D9"/>
    <w:rsid w:val="00E52313"/>
    <w:rsid w:val="00E5266C"/>
    <w:rsid w:val="00E5268F"/>
    <w:rsid w:val="00E52BC7"/>
    <w:rsid w:val="00E52D32"/>
    <w:rsid w:val="00E53035"/>
    <w:rsid w:val="00E53053"/>
    <w:rsid w:val="00E533C8"/>
    <w:rsid w:val="00E534E8"/>
    <w:rsid w:val="00E536B3"/>
    <w:rsid w:val="00E536FB"/>
    <w:rsid w:val="00E54108"/>
    <w:rsid w:val="00E54D16"/>
    <w:rsid w:val="00E54F6B"/>
    <w:rsid w:val="00E5506A"/>
    <w:rsid w:val="00E55CAA"/>
    <w:rsid w:val="00E55EC8"/>
    <w:rsid w:val="00E56040"/>
    <w:rsid w:val="00E567C6"/>
    <w:rsid w:val="00E56ECA"/>
    <w:rsid w:val="00E574A9"/>
    <w:rsid w:val="00E579D9"/>
    <w:rsid w:val="00E602CD"/>
    <w:rsid w:val="00E60611"/>
    <w:rsid w:val="00E60689"/>
    <w:rsid w:val="00E606DC"/>
    <w:rsid w:val="00E60755"/>
    <w:rsid w:val="00E60890"/>
    <w:rsid w:val="00E60B75"/>
    <w:rsid w:val="00E60C73"/>
    <w:rsid w:val="00E60D25"/>
    <w:rsid w:val="00E60F1C"/>
    <w:rsid w:val="00E61355"/>
    <w:rsid w:val="00E613BC"/>
    <w:rsid w:val="00E61476"/>
    <w:rsid w:val="00E615EC"/>
    <w:rsid w:val="00E6190C"/>
    <w:rsid w:val="00E61A1C"/>
    <w:rsid w:val="00E61C0C"/>
    <w:rsid w:val="00E61F1E"/>
    <w:rsid w:val="00E61FA6"/>
    <w:rsid w:val="00E62116"/>
    <w:rsid w:val="00E6246F"/>
    <w:rsid w:val="00E624C8"/>
    <w:rsid w:val="00E62BED"/>
    <w:rsid w:val="00E62E4D"/>
    <w:rsid w:val="00E631E0"/>
    <w:rsid w:val="00E6349A"/>
    <w:rsid w:val="00E63981"/>
    <w:rsid w:val="00E63A09"/>
    <w:rsid w:val="00E63C5C"/>
    <w:rsid w:val="00E63D53"/>
    <w:rsid w:val="00E63D70"/>
    <w:rsid w:val="00E63E41"/>
    <w:rsid w:val="00E64208"/>
    <w:rsid w:val="00E6499D"/>
    <w:rsid w:val="00E64C69"/>
    <w:rsid w:val="00E64DDF"/>
    <w:rsid w:val="00E6540D"/>
    <w:rsid w:val="00E65A0B"/>
    <w:rsid w:val="00E65D6C"/>
    <w:rsid w:val="00E65E4B"/>
    <w:rsid w:val="00E65EA0"/>
    <w:rsid w:val="00E66861"/>
    <w:rsid w:val="00E668FE"/>
    <w:rsid w:val="00E66E21"/>
    <w:rsid w:val="00E67063"/>
    <w:rsid w:val="00E674C0"/>
    <w:rsid w:val="00E676DE"/>
    <w:rsid w:val="00E6780A"/>
    <w:rsid w:val="00E67850"/>
    <w:rsid w:val="00E67BDA"/>
    <w:rsid w:val="00E67D2A"/>
    <w:rsid w:val="00E67F9D"/>
    <w:rsid w:val="00E701D8"/>
    <w:rsid w:val="00E70347"/>
    <w:rsid w:val="00E706BB"/>
    <w:rsid w:val="00E70779"/>
    <w:rsid w:val="00E7088F"/>
    <w:rsid w:val="00E70E5E"/>
    <w:rsid w:val="00E70F38"/>
    <w:rsid w:val="00E710FC"/>
    <w:rsid w:val="00E71343"/>
    <w:rsid w:val="00E71915"/>
    <w:rsid w:val="00E71B81"/>
    <w:rsid w:val="00E72540"/>
    <w:rsid w:val="00E72552"/>
    <w:rsid w:val="00E72AB9"/>
    <w:rsid w:val="00E72EA4"/>
    <w:rsid w:val="00E73054"/>
    <w:rsid w:val="00E73138"/>
    <w:rsid w:val="00E7368E"/>
    <w:rsid w:val="00E73B48"/>
    <w:rsid w:val="00E7406F"/>
    <w:rsid w:val="00E7473B"/>
    <w:rsid w:val="00E747F3"/>
    <w:rsid w:val="00E74880"/>
    <w:rsid w:val="00E748BA"/>
    <w:rsid w:val="00E750D3"/>
    <w:rsid w:val="00E751B2"/>
    <w:rsid w:val="00E7561C"/>
    <w:rsid w:val="00E75892"/>
    <w:rsid w:val="00E75970"/>
    <w:rsid w:val="00E759BF"/>
    <w:rsid w:val="00E75DA0"/>
    <w:rsid w:val="00E76054"/>
    <w:rsid w:val="00E762E8"/>
    <w:rsid w:val="00E7636B"/>
    <w:rsid w:val="00E76987"/>
    <w:rsid w:val="00E76DCE"/>
    <w:rsid w:val="00E77314"/>
    <w:rsid w:val="00E77448"/>
    <w:rsid w:val="00E776CD"/>
    <w:rsid w:val="00E779A0"/>
    <w:rsid w:val="00E77C21"/>
    <w:rsid w:val="00E80324"/>
    <w:rsid w:val="00E80512"/>
    <w:rsid w:val="00E80690"/>
    <w:rsid w:val="00E807B3"/>
    <w:rsid w:val="00E80916"/>
    <w:rsid w:val="00E80DDD"/>
    <w:rsid w:val="00E81327"/>
    <w:rsid w:val="00E815A0"/>
    <w:rsid w:val="00E8187D"/>
    <w:rsid w:val="00E82420"/>
    <w:rsid w:val="00E82B9A"/>
    <w:rsid w:val="00E836F9"/>
    <w:rsid w:val="00E837D8"/>
    <w:rsid w:val="00E839EB"/>
    <w:rsid w:val="00E83B42"/>
    <w:rsid w:val="00E84004"/>
    <w:rsid w:val="00E840DF"/>
    <w:rsid w:val="00E8447F"/>
    <w:rsid w:val="00E848B1"/>
    <w:rsid w:val="00E84A0E"/>
    <w:rsid w:val="00E84AE5"/>
    <w:rsid w:val="00E84C9B"/>
    <w:rsid w:val="00E8560F"/>
    <w:rsid w:val="00E86153"/>
    <w:rsid w:val="00E86E7A"/>
    <w:rsid w:val="00E8780A"/>
    <w:rsid w:val="00E878EF"/>
    <w:rsid w:val="00E87B4C"/>
    <w:rsid w:val="00E90602"/>
    <w:rsid w:val="00E90E8A"/>
    <w:rsid w:val="00E9103B"/>
    <w:rsid w:val="00E91663"/>
    <w:rsid w:val="00E920EE"/>
    <w:rsid w:val="00E927A2"/>
    <w:rsid w:val="00E9298E"/>
    <w:rsid w:val="00E929A8"/>
    <w:rsid w:val="00E92C2E"/>
    <w:rsid w:val="00E92C58"/>
    <w:rsid w:val="00E930AF"/>
    <w:rsid w:val="00E931F3"/>
    <w:rsid w:val="00E93B9B"/>
    <w:rsid w:val="00E93CE5"/>
    <w:rsid w:val="00E93D64"/>
    <w:rsid w:val="00E94035"/>
    <w:rsid w:val="00E949C2"/>
    <w:rsid w:val="00E94B13"/>
    <w:rsid w:val="00E94EA2"/>
    <w:rsid w:val="00E957C9"/>
    <w:rsid w:val="00E957FC"/>
    <w:rsid w:val="00E9594E"/>
    <w:rsid w:val="00E95974"/>
    <w:rsid w:val="00E95A20"/>
    <w:rsid w:val="00E95B0D"/>
    <w:rsid w:val="00E95E9B"/>
    <w:rsid w:val="00E969B0"/>
    <w:rsid w:val="00E96F21"/>
    <w:rsid w:val="00E9713A"/>
    <w:rsid w:val="00E97311"/>
    <w:rsid w:val="00E973B1"/>
    <w:rsid w:val="00E97EA4"/>
    <w:rsid w:val="00EA0289"/>
    <w:rsid w:val="00EA07FA"/>
    <w:rsid w:val="00EA12EC"/>
    <w:rsid w:val="00EA16BF"/>
    <w:rsid w:val="00EA223C"/>
    <w:rsid w:val="00EA273C"/>
    <w:rsid w:val="00EA29A7"/>
    <w:rsid w:val="00EA2A5D"/>
    <w:rsid w:val="00EA2CA0"/>
    <w:rsid w:val="00EA2CB7"/>
    <w:rsid w:val="00EA3731"/>
    <w:rsid w:val="00EA37F1"/>
    <w:rsid w:val="00EA38C0"/>
    <w:rsid w:val="00EA3ABB"/>
    <w:rsid w:val="00EA430D"/>
    <w:rsid w:val="00EA47EF"/>
    <w:rsid w:val="00EA4C88"/>
    <w:rsid w:val="00EA51AF"/>
    <w:rsid w:val="00EA5627"/>
    <w:rsid w:val="00EA57DA"/>
    <w:rsid w:val="00EA5F1F"/>
    <w:rsid w:val="00EA6329"/>
    <w:rsid w:val="00EA6775"/>
    <w:rsid w:val="00EA6D6B"/>
    <w:rsid w:val="00EA6E1D"/>
    <w:rsid w:val="00EA6F89"/>
    <w:rsid w:val="00EA7605"/>
    <w:rsid w:val="00EA7D9D"/>
    <w:rsid w:val="00EA7E62"/>
    <w:rsid w:val="00EB00F6"/>
    <w:rsid w:val="00EB0354"/>
    <w:rsid w:val="00EB0698"/>
    <w:rsid w:val="00EB11D1"/>
    <w:rsid w:val="00EB181B"/>
    <w:rsid w:val="00EB18FC"/>
    <w:rsid w:val="00EB1CA4"/>
    <w:rsid w:val="00EB1E1F"/>
    <w:rsid w:val="00EB206B"/>
    <w:rsid w:val="00EB20F7"/>
    <w:rsid w:val="00EB215E"/>
    <w:rsid w:val="00EB22B4"/>
    <w:rsid w:val="00EB24EE"/>
    <w:rsid w:val="00EB2CCA"/>
    <w:rsid w:val="00EB2DEA"/>
    <w:rsid w:val="00EB2F86"/>
    <w:rsid w:val="00EB3B88"/>
    <w:rsid w:val="00EB3D61"/>
    <w:rsid w:val="00EB3F2F"/>
    <w:rsid w:val="00EB4094"/>
    <w:rsid w:val="00EB4361"/>
    <w:rsid w:val="00EB443F"/>
    <w:rsid w:val="00EB4AFC"/>
    <w:rsid w:val="00EB55EC"/>
    <w:rsid w:val="00EB565E"/>
    <w:rsid w:val="00EB5C36"/>
    <w:rsid w:val="00EB60F1"/>
    <w:rsid w:val="00EB6877"/>
    <w:rsid w:val="00EB693F"/>
    <w:rsid w:val="00EB6B96"/>
    <w:rsid w:val="00EB6DFB"/>
    <w:rsid w:val="00EB7065"/>
    <w:rsid w:val="00EB70AF"/>
    <w:rsid w:val="00EB7182"/>
    <w:rsid w:val="00EB72F5"/>
    <w:rsid w:val="00EB7BAA"/>
    <w:rsid w:val="00EB7D50"/>
    <w:rsid w:val="00EB7F06"/>
    <w:rsid w:val="00EC0355"/>
    <w:rsid w:val="00EC07EC"/>
    <w:rsid w:val="00EC09D2"/>
    <w:rsid w:val="00EC0C3A"/>
    <w:rsid w:val="00EC0CDF"/>
    <w:rsid w:val="00EC115B"/>
    <w:rsid w:val="00EC1206"/>
    <w:rsid w:val="00EC1580"/>
    <w:rsid w:val="00EC18C0"/>
    <w:rsid w:val="00EC1AC9"/>
    <w:rsid w:val="00EC1E7D"/>
    <w:rsid w:val="00EC1FE9"/>
    <w:rsid w:val="00EC211A"/>
    <w:rsid w:val="00EC2175"/>
    <w:rsid w:val="00EC23ED"/>
    <w:rsid w:val="00EC27D5"/>
    <w:rsid w:val="00EC2B01"/>
    <w:rsid w:val="00EC2DF4"/>
    <w:rsid w:val="00EC314A"/>
    <w:rsid w:val="00EC314D"/>
    <w:rsid w:val="00EC341C"/>
    <w:rsid w:val="00EC3537"/>
    <w:rsid w:val="00EC39D3"/>
    <w:rsid w:val="00EC3A95"/>
    <w:rsid w:val="00EC3AA8"/>
    <w:rsid w:val="00EC3FAA"/>
    <w:rsid w:val="00EC4438"/>
    <w:rsid w:val="00EC4446"/>
    <w:rsid w:val="00EC4483"/>
    <w:rsid w:val="00EC4538"/>
    <w:rsid w:val="00EC4876"/>
    <w:rsid w:val="00EC4A0B"/>
    <w:rsid w:val="00EC4DD2"/>
    <w:rsid w:val="00EC4E23"/>
    <w:rsid w:val="00EC4E32"/>
    <w:rsid w:val="00EC4F51"/>
    <w:rsid w:val="00EC5E1A"/>
    <w:rsid w:val="00EC6A29"/>
    <w:rsid w:val="00EC6D06"/>
    <w:rsid w:val="00EC708D"/>
    <w:rsid w:val="00EC7DC4"/>
    <w:rsid w:val="00ED0151"/>
    <w:rsid w:val="00ED04A2"/>
    <w:rsid w:val="00ED0585"/>
    <w:rsid w:val="00ED0D68"/>
    <w:rsid w:val="00ED0F4A"/>
    <w:rsid w:val="00ED1167"/>
    <w:rsid w:val="00ED1473"/>
    <w:rsid w:val="00ED1657"/>
    <w:rsid w:val="00ED1B34"/>
    <w:rsid w:val="00ED1CED"/>
    <w:rsid w:val="00ED1DA8"/>
    <w:rsid w:val="00ED2771"/>
    <w:rsid w:val="00ED2936"/>
    <w:rsid w:val="00ED39ED"/>
    <w:rsid w:val="00ED3C4F"/>
    <w:rsid w:val="00ED4019"/>
    <w:rsid w:val="00ED4F27"/>
    <w:rsid w:val="00ED5080"/>
    <w:rsid w:val="00ED5116"/>
    <w:rsid w:val="00ED5170"/>
    <w:rsid w:val="00ED5256"/>
    <w:rsid w:val="00ED5637"/>
    <w:rsid w:val="00ED5C48"/>
    <w:rsid w:val="00ED5E01"/>
    <w:rsid w:val="00ED6618"/>
    <w:rsid w:val="00ED6745"/>
    <w:rsid w:val="00ED6A84"/>
    <w:rsid w:val="00ED712C"/>
    <w:rsid w:val="00ED7295"/>
    <w:rsid w:val="00ED72E7"/>
    <w:rsid w:val="00ED7CAD"/>
    <w:rsid w:val="00ED7DE0"/>
    <w:rsid w:val="00EE061D"/>
    <w:rsid w:val="00EE0726"/>
    <w:rsid w:val="00EE0909"/>
    <w:rsid w:val="00EE099C"/>
    <w:rsid w:val="00EE10B8"/>
    <w:rsid w:val="00EE15B6"/>
    <w:rsid w:val="00EE18C9"/>
    <w:rsid w:val="00EE220F"/>
    <w:rsid w:val="00EE2250"/>
    <w:rsid w:val="00EE2552"/>
    <w:rsid w:val="00EE265A"/>
    <w:rsid w:val="00EE28AB"/>
    <w:rsid w:val="00EE2BE1"/>
    <w:rsid w:val="00EE37C8"/>
    <w:rsid w:val="00EE37DD"/>
    <w:rsid w:val="00EE4364"/>
    <w:rsid w:val="00EE5035"/>
    <w:rsid w:val="00EE50BC"/>
    <w:rsid w:val="00EE5285"/>
    <w:rsid w:val="00EE546B"/>
    <w:rsid w:val="00EE5F1A"/>
    <w:rsid w:val="00EE5FFE"/>
    <w:rsid w:val="00EE6E42"/>
    <w:rsid w:val="00EE6EE1"/>
    <w:rsid w:val="00EE71BC"/>
    <w:rsid w:val="00EE71C9"/>
    <w:rsid w:val="00EE77D5"/>
    <w:rsid w:val="00EE7942"/>
    <w:rsid w:val="00EE7EC2"/>
    <w:rsid w:val="00EF084A"/>
    <w:rsid w:val="00EF08FF"/>
    <w:rsid w:val="00EF1008"/>
    <w:rsid w:val="00EF17EB"/>
    <w:rsid w:val="00EF193F"/>
    <w:rsid w:val="00EF1975"/>
    <w:rsid w:val="00EF1FBD"/>
    <w:rsid w:val="00EF2482"/>
    <w:rsid w:val="00EF2E0D"/>
    <w:rsid w:val="00EF31C8"/>
    <w:rsid w:val="00EF33C8"/>
    <w:rsid w:val="00EF352D"/>
    <w:rsid w:val="00EF3580"/>
    <w:rsid w:val="00EF367C"/>
    <w:rsid w:val="00EF4113"/>
    <w:rsid w:val="00EF4AEE"/>
    <w:rsid w:val="00EF4BDE"/>
    <w:rsid w:val="00EF4D68"/>
    <w:rsid w:val="00EF4D88"/>
    <w:rsid w:val="00EF5005"/>
    <w:rsid w:val="00EF5145"/>
    <w:rsid w:val="00EF51D2"/>
    <w:rsid w:val="00EF52CE"/>
    <w:rsid w:val="00EF5833"/>
    <w:rsid w:val="00EF5E68"/>
    <w:rsid w:val="00EF603C"/>
    <w:rsid w:val="00EF6178"/>
    <w:rsid w:val="00EF62BF"/>
    <w:rsid w:val="00EF6389"/>
    <w:rsid w:val="00EF6E41"/>
    <w:rsid w:val="00EF7197"/>
    <w:rsid w:val="00EF722C"/>
    <w:rsid w:val="00EF7A34"/>
    <w:rsid w:val="00EF7D66"/>
    <w:rsid w:val="00EF7EF3"/>
    <w:rsid w:val="00F007CB"/>
    <w:rsid w:val="00F00A14"/>
    <w:rsid w:val="00F01136"/>
    <w:rsid w:val="00F01432"/>
    <w:rsid w:val="00F015D5"/>
    <w:rsid w:val="00F01856"/>
    <w:rsid w:val="00F0224B"/>
    <w:rsid w:val="00F0253F"/>
    <w:rsid w:val="00F026D1"/>
    <w:rsid w:val="00F028C4"/>
    <w:rsid w:val="00F028D4"/>
    <w:rsid w:val="00F02EDE"/>
    <w:rsid w:val="00F0303A"/>
    <w:rsid w:val="00F03538"/>
    <w:rsid w:val="00F035B3"/>
    <w:rsid w:val="00F03786"/>
    <w:rsid w:val="00F037C3"/>
    <w:rsid w:val="00F03B89"/>
    <w:rsid w:val="00F03F0B"/>
    <w:rsid w:val="00F03F3B"/>
    <w:rsid w:val="00F0408B"/>
    <w:rsid w:val="00F0469C"/>
    <w:rsid w:val="00F048DA"/>
    <w:rsid w:val="00F04B3F"/>
    <w:rsid w:val="00F04D42"/>
    <w:rsid w:val="00F050A0"/>
    <w:rsid w:val="00F050C9"/>
    <w:rsid w:val="00F050EC"/>
    <w:rsid w:val="00F05235"/>
    <w:rsid w:val="00F0549B"/>
    <w:rsid w:val="00F05713"/>
    <w:rsid w:val="00F0572B"/>
    <w:rsid w:val="00F0606D"/>
    <w:rsid w:val="00F066F6"/>
    <w:rsid w:val="00F06C0C"/>
    <w:rsid w:val="00F07356"/>
    <w:rsid w:val="00F0742F"/>
    <w:rsid w:val="00F07468"/>
    <w:rsid w:val="00F07E02"/>
    <w:rsid w:val="00F07F61"/>
    <w:rsid w:val="00F10C0B"/>
    <w:rsid w:val="00F10C93"/>
    <w:rsid w:val="00F11C9A"/>
    <w:rsid w:val="00F11D00"/>
    <w:rsid w:val="00F11DDC"/>
    <w:rsid w:val="00F12756"/>
    <w:rsid w:val="00F1280A"/>
    <w:rsid w:val="00F12AF2"/>
    <w:rsid w:val="00F12C7C"/>
    <w:rsid w:val="00F12F95"/>
    <w:rsid w:val="00F1302B"/>
    <w:rsid w:val="00F13394"/>
    <w:rsid w:val="00F13A7A"/>
    <w:rsid w:val="00F13F76"/>
    <w:rsid w:val="00F14260"/>
    <w:rsid w:val="00F145C8"/>
    <w:rsid w:val="00F148AA"/>
    <w:rsid w:val="00F14B3C"/>
    <w:rsid w:val="00F14ECF"/>
    <w:rsid w:val="00F1518E"/>
    <w:rsid w:val="00F15A8A"/>
    <w:rsid w:val="00F15AEB"/>
    <w:rsid w:val="00F15D83"/>
    <w:rsid w:val="00F15F07"/>
    <w:rsid w:val="00F160C7"/>
    <w:rsid w:val="00F1674D"/>
    <w:rsid w:val="00F16C9C"/>
    <w:rsid w:val="00F16CCB"/>
    <w:rsid w:val="00F170F4"/>
    <w:rsid w:val="00F17162"/>
    <w:rsid w:val="00F173F5"/>
    <w:rsid w:val="00F17E6E"/>
    <w:rsid w:val="00F20253"/>
    <w:rsid w:val="00F2072B"/>
    <w:rsid w:val="00F20AFC"/>
    <w:rsid w:val="00F20BB6"/>
    <w:rsid w:val="00F20C6A"/>
    <w:rsid w:val="00F20F4E"/>
    <w:rsid w:val="00F212D0"/>
    <w:rsid w:val="00F21486"/>
    <w:rsid w:val="00F2168F"/>
    <w:rsid w:val="00F2176B"/>
    <w:rsid w:val="00F21B88"/>
    <w:rsid w:val="00F21DA4"/>
    <w:rsid w:val="00F222EA"/>
    <w:rsid w:val="00F22482"/>
    <w:rsid w:val="00F227A1"/>
    <w:rsid w:val="00F22D82"/>
    <w:rsid w:val="00F22E76"/>
    <w:rsid w:val="00F2317F"/>
    <w:rsid w:val="00F232AB"/>
    <w:rsid w:val="00F235C3"/>
    <w:rsid w:val="00F236BE"/>
    <w:rsid w:val="00F2382F"/>
    <w:rsid w:val="00F23A8E"/>
    <w:rsid w:val="00F23BD8"/>
    <w:rsid w:val="00F23EAD"/>
    <w:rsid w:val="00F23EFA"/>
    <w:rsid w:val="00F24461"/>
    <w:rsid w:val="00F24B80"/>
    <w:rsid w:val="00F24D8B"/>
    <w:rsid w:val="00F25229"/>
    <w:rsid w:val="00F253ED"/>
    <w:rsid w:val="00F25D63"/>
    <w:rsid w:val="00F25DD0"/>
    <w:rsid w:val="00F26390"/>
    <w:rsid w:val="00F26407"/>
    <w:rsid w:val="00F26D40"/>
    <w:rsid w:val="00F270EA"/>
    <w:rsid w:val="00F272E1"/>
    <w:rsid w:val="00F27CDB"/>
    <w:rsid w:val="00F27F0F"/>
    <w:rsid w:val="00F300B2"/>
    <w:rsid w:val="00F312B2"/>
    <w:rsid w:val="00F3165C"/>
    <w:rsid w:val="00F317BE"/>
    <w:rsid w:val="00F319DA"/>
    <w:rsid w:val="00F31A1B"/>
    <w:rsid w:val="00F31C64"/>
    <w:rsid w:val="00F32511"/>
    <w:rsid w:val="00F32A3B"/>
    <w:rsid w:val="00F32A72"/>
    <w:rsid w:val="00F335A4"/>
    <w:rsid w:val="00F340B6"/>
    <w:rsid w:val="00F34316"/>
    <w:rsid w:val="00F3447F"/>
    <w:rsid w:val="00F3527D"/>
    <w:rsid w:val="00F3574A"/>
    <w:rsid w:val="00F35B41"/>
    <w:rsid w:val="00F35DCE"/>
    <w:rsid w:val="00F361B7"/>
    <w:rsid w:val="00F361EB"/>
    <w:rsid w:val="00F36332"/>
    <w:rsid w:val="00F36ADE"/>
    <w:rsid w:val="00F36B3F"/>
    <w:rsid w:val="00F36C3F"/>
    <w:rsid w:val="00F36DD3"/>
    <w:rsid w:val="00F36E91"/>
    <w:rsid w:val="00F36FF3"/>
    <w:rsid w:val="00F37014"/>
    <w:rsid w:val="00F372DE"/>
    <w:rsid w:val="00F372FC"/>
    <w:rsid w:val="00F37429"/>
    <w:rsid w:val="00F374E0"/>
    <w:rsid w:val="00F37522"/>
    <w:rsid w:val="00F37AC5"/>
    <w:rsid w:val="00F37F78"/>
    <w:rsid w:val="00F37FDB"/>
    <w:rsid w:val="00F40095"/>
    <w:rsid w:val="00F4021B"/>
    <w:rsid w:val="00F40ACB"/>
    <w:rsid w:val="00F40BAE"/>
    <w:rsid w:val="00F40CDC"/>
    <w:rsid w:val="00F40D55"/>
    <w:rsid w:val="00F411B9"/>
    <w:rsid w:val="00F41446"/>
    <w:rsid w:val="00F415C1"/>
    <w:rsid w:val="00F417CF"/>
    <w:rsid w:val="00F41C15"/>
    <w:rsid w:val="00F420CB"/>
    <w:rsid w:val="00F42636"/>
    <w:rsid w:val="00F42EC5"/>
    <w:rsid w:val="00F43091"/>
    <w:rsid w:val="00F4316C"/>
    <w:rsid w:val="00F4357A"/>
    <w:rsid w:val="00F43665"/>
    <w:rsid w:val="00F43853"/>
    <w:rsid w:val="00F438CD"/>
    <w:rsid w:val="00F43A62"/>
    <w:rsid w:val="00F43E3C"/>
    <w:rsid w:val="00F4403F"/>
    <w:rsid w:val="00F4411B"/>
    <w:rsid w:val="00F44E17"/>
    <w:rsid w:val="00F44ED2"/>
    <w:rsid w:val="00F45044"/>
    <w:rsid w:val="00F45130"/>
    <w:rsid w:val="00F45348"/>
    <w:rsid w:val="00F45C5B"/>
    <w:rsid w:val="00F45EE0"/>
    <w:rsid w:val="00F466AE"/>
    <w:rsid w:val="00F46C3F"/>
    <w:rsid w:val="00F46DCC"/>
    <w:rsid w:val="00F47185"/>
    <w:rsid w:val="00F477A3"/>
    <w:rsid w:val="00F47A34"/>
    <w:rsid w:val="00F47E0B"/>
    <w:rsid w:val="00F506D8"/>
    <w:rsid w:val="00F50A04"/>
    <w:rsid w:val="00F50E94"/>
    <w:rsid w:val="00F50FF6"/>
    <w:rsid w:val="00F5167E"/>
    <w:rsid w:val="00F526BD"/>
    <w:rsid w:val="00F52834"/>
    <w:rsid w:val="00F52E55"/>
    <w:rsid w:val="00F52F93"/>
    <w:rsid w:val="00F5314F"/>
    <w:rsid w:val="00F531ED"/>
    <w:rsid w:val="00F5331B"/>
    <w:rsid w:val="00F53598"/>
    <w:rsid w:val="00F53679"/>
    <w:rsid w:val="00F536B2"/>
    <w:rsid w:val="00F536BA"/>
    <w:rsid w:val="00F538EF"/>
    <w:rsid w:val="00F54018"/>
    <w:rsid w:val="00F54608"/>
    <w:rsid w:val="00F54717"/>
    <w:rsid w:val="00F54939"/>
    <w:rsid w:val="00F552F2"/>
    <w:rsid w:val="00F55A8B"/>
    <w:rsid w:val="00F55E52"/>
    <w:rsid w:val="00F55FCE"/>
    <w:rsid w:val="00F56B06"/>
    <w:rsid w:val="00F578A2"/>
    <w:rsid w:val="00F57EF0"/>
    <w:rsid w:val="00F608E3"/>
    <w:rsid w:val="00F60B4B"/>
    <w:rsid w:val="00F60BB4"/>
    <w:rsid w:val="00F60F77"/>
    <w:rsid w:val="00F60FAF"/>
    <w:rsid w:val="00F61303"/>
    <w:rsid w:val="00F616C3"/>
    <w:rsid w:val="00F61A70"/>
    <w:rsid w:val="00F61A9C"/>
    <w:rsid w:val="00F624D2"/>
    <w:rsid w:val="00F627E2"/>
    <w:rsid w:val="00F62836"/>
    <w:rsid w:val="00F62985"/>
    <w:rsid w:val="00F62EDF"/>
    <w:rsid w:val="00F6302A"/>
    <w:rsid w:val="00F6357A"/>
    <w:rsid w:val="00F63802"/>
    <w:rsid w:val="00F63D01"/>
    <w:rsid w:val="00F63F5C"/>
    <w:rsid w:val="00F64359"/>
    <w:rsid w:val="00F6447A"/>
    <w:rsid w:val="00F6497B"/>
    <w:rsid w:val="00F64A24"/>
    <w:rsid w:val="00F64AA8"/>
    <w:rsid w:val="00F6590F"/>
    <w:rsid w:val="00F65F5E"/>
    <w:rsid w:val="00F66CC9"/>
    <w:rsid w:val="00F66DFC"/>
    <w:rsid w:val="00F67400"/>
    <w:rsid w:val="00F677C5"/>
    <w:rsid w:val="00F6785B"/>
    <w:rsid w:val="00F70070"/>
    <w:rsid w:val="00F70684"/>
    <w:rsid w:val="00F706FB"/>
    <w:rsid w:val="00F70807"/>
    <w:rsid w:val="00F708AF"/>
    <w:rsid w:val="00F710FB"/>
    <w:rsid w:val="00F71520"/>
    <w:rsid w:val="00F7166D"/>
    <w:rsid w:val="00F7196F"/>
    <w:rsid w:val="00F71A12"/>
    <w:rsid w:val="00F71D12"/>
    <w:rsid w:val="00F72143"/>
    <w:rsid w:val="00F723B5"/>
    <w:rsid w:val="00F7274D"/>
    <w:rsid w:val="00F72806"/>
    <w:rsid w:val="00F7283A"/>
    <w:rsid w:val="00F72A12"/>
    <w:rsid w:val="00F7333B"/>
    <w:rsid w:val="00F73AAD"/>
    <w:rsid w:val="00F73E44"/>
    <w:rsid w:val="00F741B9"/>
    <w:rsid w:val="00F743A6"/>
    <w:rsid w:val="00F74440"/>
    <w:rsid w:val="00F74BF2"/>
    <w:rsid w:val="00F751E4"/>
    <w:rsid w:val="00F75253"/>
    <w:rsid w:val="00F75477"/>
    <w:rsid w:val="00F75495"/>
    <w:rsid w:val="00F7590F"/>
    <w:rsid w:val="00F75940"/>
    <w:rsid w:val="00F75FE2"/>
    <w:rsid w:val="00F76CD9"/>
    <w:rsid w:val="00F76DF7"/>
    <w:rsid w:val="00F76EE4"/>
    <w:rsid w:val="00F77092"/>
    <w:rsid w:val="00F77154"/>
    <w:rsid w:val="00F772CC"/>
    <w:rsid w:val="00F773C9"/>
    <w:rsid w:val="00F776E4"/>
    <w:rsid w:val="00F7781C"/>
    <w:rsid w:val="00F803E0"/>
    <w:rsid w:val="00F80846"/>
    <w:rsid w:val="00F80CC4"/>
    <w:rsid w:val="00F80CEA"/>
    <w:rsid w:val="00F80FC8"/>
    <w:rsid w:val="00F8137E"/>
    <w:rsid w:val="00F814C0"/>
    <w:rsid w:val="00F81DBF"/>
    <w:rsid w:val="00F82134"/>
    <w:rsid w:val="00F828D4"/>
    <w:rsid w:val="00F82DB2"/>
    <w:rsid w:val="00F83954"/>
    <w:rsid w:val="00F83A51"/>
    <w:rsid w:val="00F840D5"/>
    <w:rsid w:val="00F84353"/>
    <w:rsid w:val="00F8440D"/>
    <w:rsid w:val="00F84459"/>
    <w:rsid w:val="00F84AE9"/>
    <w:rsid w:val="00F84C1A"/>
    <w:rsid w:val="00F84C80"/>
    <w:rsid w:val="00F84E46"/>
    <w:rsid w:val="00F8513C"/>
    <w:rsid w:val="00F8537A"/>
    <w:rsid w:val="00F8569E"/>
    <w:rsid w:val="00F85A14"/>
    <w:rsid w:val="00F85BD6"/>
    <w:rsid w:val="00F8618A"/>
    <w:rsid w:val="00F86B24"/>
    <w:rsid w:val="00F86B63"/>
    <w:rsid w:val="00F8709D"/>
    <w:rsid w:val="00F87313"/>
    <w:rsid w:val="00F87A81"/>
    <w:rsid w:val="00F87F9F"/>
    <w:rsid w:val="00F901D1"/>
    <w:rsid w:val="00F902E8"/>
    <w:rsid w:val="00F90CB4"/>
    <w:rsid w:val="00F90EB0"/>
    <w:rsid w:val="00F9121F"/>
    <w:rsid w:val="00F913C6"/>
    <w:rsid w:val="00F9177B"/>
    <w:rsid w:val="00F924E8"/>
    <w:rsid w:val="00F92514"/>
    <w:rsid w:val="00F925BA"/>
    <w:rsid w:val="00F92654"/>
    <w:rsid w:val="00F92C3C"/>
    <w:rsid w:val="00F92F29"/>
    <w:rsid w:val="00F92F59"/>
    <w:rsid w:val="00F933A3"/>
    <w:rsid w:val="00F936E0"/>
    <w:rsid w:val="00F946C5"/>
    <w:rsid w:val="00F94864"/>
    <w:rsid w:val="00F948BC"/>
    <w:rsid w:val="00F94BE2"/>
    <w:rsid w:val="00F95A32"/>
    <w:rsid w:val="00F95BDD"/>
    <w:rsid w:val="00F96151"/>
    <w:rsid w:val="00F96418"/>
    <w:rsid w:val="00F97967"/>
    <w:rsid w:val="00F97BF2"/>
    <w:rsid w:val="00F97CBB"/>
    <w:rsid w:val="00FA002B"/>
    <w:rsid w:val="00FA017A"/>
    <w:rsid w:val="00FA01EA"/>
    <w:rsid w:val="00FA02EE"/>
    <w:rsid w:val="00FA033B"/>
    <w:rsid w:val="00FA0B6F"/>
    <w:rsid w:val="00FA0CD8"/>
    <w:rsid w:val="00FA1025"/>
    <w:rsid w:val="00FA14CE"/>
    <w:rsid w:val="00FA1D6A"/>
    <w:rsid w:val="00FA1E85"/>
    <w:rsid w:val="00FA286C"/>
    <w:rsid w:val="00FA2A43"/>
    <w:rsid w:val="00FA2A58"/>
    <w:rsid w:val="00FA2C27"/>
    <w:rsid w:val="00FA2ED2"/>
    <w:rsid w:val="00FA304A"/>
    <w:rsid w:val="00FA30B1"/>
    <w:rsid w:val="00FA33A6"/>
    <w:rsid w:val="00FA3600"/>
    <w:rsid w:val="00FA4CB0"/>
    <w:rsid w:val="00FA5C29"/>
    <w:rsid w:val="00FA5D77"/>
    <w:rsid w:val="00FA60E0"/>
    <w:rsid w:val="00FA6430"/>
    <w:rsid w:val="00FA67BE"/>
    <w:rsid w:val="00FA68CF"/>
    <w:rsid w:val="00FA697B"/>
    <w:rsid w:val="00FA6DF1"/>
    <w:rsid w:val="00FA6DF5"/>
    <w:rsid w:val="00FA719C"/>
    <w:rsid w:val="00FA7222"/>
    <w:rsid w:val="00FA7625"/>
    <w:rsid w:val="00FA7850"/>
    <w:rsid w:val="00FA7B80"/>
    <w:rsid w:val="00FB071E"/>
    <w:rsid w:val="00FB0B18"/>
    <w:rsid w:val="00FB13E3"/>
    <w:rsid w:val="00FB15CD"/>
    <w:rsid w:val="00FB1D5C"/>
    <w:rsid w:val="00FB1DFB"/>
    <w:rsid w:val="00FB2023"/>
    <w:rsid w:val="00FB2074"/>
    <w:rsid w:val="00FB2212"/>
    <w:rsid w:val="00FB234A"/>
    <w:rsid w:val="00FB23E0"/>
    <w:rsid w:val="00FB250B"/>
    <w:rsid w:val="00FB2865"/>
    <w:rsid w:val="00FB28AE"/>
    <w:rsid w:val="00FB2ACA"/>
    <w:rsid w:val="00FB2D9E"/>
    <w:rsid w:val="00FB3876"/>
    <w:rsid w:val="00FB3BD8"/>
    <w:rsid w:val="00FB4651"/>
    <w:rsid w:val="00FB4CE0"/>
    <w:rsid w:val="00FB4E58"/>
    <w:rsid w:val="00FB51F1"/>
    <w:rsid w:val="00FB52C8"/>
    <w:rsid w:val="00FB5ED3"/>
    <w:rsid w:val="00FB5F7B"/>
    <w:rsid w:val="00FB620D"/>
    <w:rsid w:val="00FB6297"/>
    <w:rsid w:val="00FB62C7"/>
    <w:rsid w:val="00FB646F"/>
    <w:rsid w:val="00FB673E"/>
    <w:rsid w:val="00FB71C0"/>
    <w:rsid w:val="00FB753B"/>
    <w:rsid w:val="00FB7CF2"/>
    <w:rsid w:val="00FC055A"/>
    <w:rsid w:val="00FC05D7"/>
    <w:rsid w:val="00FC066A"/>
    <w:rsid w:val="00FC0848"/>
    <w:rsid w:val="00FC0BF1"/>
    <w:rsid w:val="00FC0CE0"/>
    <w:rsid w:val="00FC1165"/>
    <w:rsid w:val="00FC16E2"/>
    <w:rsid w:val="00FC19B6"/>
    <w:rsid w:val="00FC1D17"/>
    <w:rsid w:val="00FC317A"/>
    <w:rsid w:val="00FC338B"/>
    <w:rsid w:val="00FC35B6"/>
    <w:rsid w:val="00FC35F9"/>
    <w:rsid w:val="00FC3C94"/>
    <w:rsid w:val="00FC3D57"/>
    <w:rsid w:val="00FC3DEC"/>
    <w:rsid w:val="00FC3EB4"/>
    <w:rsid w:val="00FC4824"/>
    <w:rsid w:val="00FC4DE2"/>
    <w:rsid w:val="00FC4EE0"/>
    <w:rsid w:val="00FC4F85"/>
    <w:rsid w:val="00FC51B8"/>
    <w:rsid w:val="00FC53A2"/>
    <w:rsid w:val="00FC5587"/>
    <w:rsid w:val="00FC5FD1"/>
    <w:rsid w:val="00FC6306"/>
    <w:rsid w:val="00FC6847"/>
    <w:rsid w:val="00FC6885"/>
    <w:rsid w:val="00FC68D6"/>
    <w:rsid w:val="00FC696D"/>
    <w:rsid w:val="00FC6C2D"/>
    <w:rsid w:val="00FC6CB6"/>
    <w:rsid w:val="00FC6EB1"/>
    <w:rsid w:val="00FC7757"/>
    <w:rsid w:val="00FC7981"/>
    <w:rsid w:val="00FC7C17"/>
    <w:rsid w:val="00FD0C78"/>
    <w:rsid w:val="00FD0FA9"/>
    <w:rsid w:val="00FD1310"/>
    <w:rsid w:val="00FD16AB"/>
    <w:rsid w:val="00FD16D9"/>
    <w:rsid w:val="00FD1726"/>
    <w:rsid w:val="00FD1832"/>
    <w:rsid w:val="00FD1A04"/>
    <w:rsid w:val="00FD1F16"/>
    <w:rsid w:val="00FD2591"/>
    <w:rsid w:val="00FD2E3A"/>
    <w:rsid w:val="00FD374F"/>
    <w:rsid w:val="00FD3784"/>
    <w:rsid w:val="00FD38DC"/>
    <w:rsid w:val="00FD3EC1"/>
    <w:rsid w:val="00FD40DD"/>
    <w:rsid w:val="00FD4201"/>
    <w:rsid w:val="00FD4EF1"/>
    <w:rsid w:val="00FD5217"/>
    <w:rsid w:val="00FD5247"/>
    <w:rsid w:val="00FD5A96"/>
    <w:rsid w:val="00FD5C42"/>
    <w:rsid w:val="00FD6018"/>
    <w:rsid w:val="00FD6344"/>
    <w:rsid w:val="00FD6457"/>
    <w:rsid w:val="00FD65A1"/>
    <w:rsid w:val="00FD73C8"/>
    <w:rsid w:val="00FD74CA"/>
    <w:rsid w:val="00FD755E"/>
    <w:rsid w:val="00FD7766"/>
    <w:rsid w:val="00FD77A4"/>
    <w:rsid w:val="00FD7AC4"/>
    <w:rsid w:val="00FD7CD3"/>
    <w:rsid w:val="00FE0A68"/>
    <w:rsid w:val="00FE0CB4"/>
    <w:rsid w:val="00FE15BF"/>
    <w:rsid w:val="00FE185C"/>
    <w:rsid w:val="00FE19AE"/>
    <w:rsid w:val="00FE2012"/>
    <w:rsid w:val="00FE2A16"/>
    <w:rsid w:val="00FE2D9E"/>
    <w:rsid w:val="00FE2DD3"/>
    <w:rsid w:val="00FE2FC2"/>
    <w:rsid w:val="00FE3621"/>
    <w:rsid w:val="00FE4369"/>
    <w:rsid w:val="00FE44C5"/>
    <w:rsid w:val="00FE5165"/>
    <w:rsid w:val="00FE52B0"/>
    <w:rsid w:val="00FE53AB"/>
    <w:rsid w:val="00FE53DE"/>
    <w:rsid w:val="00FE57FF"/>
    <w:rsid w:val="00FE5AF4"/>
    <w:rsid w:val="00FE6FF5"/>
    <w:rsid w:val="00FF03B8"/>
    <w:rsid w:val="00FF0623"/>
    <w:rsid w:val="00FF0C48"/>
    <w:rsid w:val="00FF0CAC"/>
    <w:rsid w:val="00FF0E59"/>
    <w:rsid w:val="00FF1021"/>
    <w:rsid w:val="00FF122A"/>
    <w:rsid w:val="00FF136D"/>
    <w:rsid w:val="00FF141F"/>
    <w:rsid w:val="00FF1E95"/>
    <w:rsid w:val="00FF1EF8"/>
    <w:rsid w:val="00FF212E"/>
    <w:rsid w:val="00FF2305"/>
    <w:rsid w:val="00FF2529"/>
    <w:rsid w:val="00FF267E"/>
    <w:rsid w:val="00FF2B06"/>
    <w:rsid w:val="00FF318A"/>
    <w:rsid w:val="00FF3199"/>
    <w:rsid w:val="00FF3B38"/>
    <w:rsid w:val="00FF3B9F"/>
    <w:rsid w:val="00FF406D"/>
    <w:rsid w:val="00FF4B64"/>
    <w:rsid w:val="00FF4D7D"/>
    <w:rsid w:val="00FF4DB2"/>
    <w:rsid w:val="00FF530F"/>
    <w:rsid w:val="00FF541D"/>
    <w:rsid w:val="00FF5648"/>
    <w:rsid w:val="00FF5660"/>
    <w:rsid w:val="00FF5B37"/>
    <w:rsid w:val="00FF5C32"/>
    <w:rsid w:val="00FF5CE3"/>
    <w:rsid w:val="00FF607A"/>
    <w:rsid w:val="00FF61AB"/>
    <w:rsid w:val="00FF6A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A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qFormat/>
    <w:rsid w:val="00E73B48"/>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E73B48"/>
    <w:pPr>
      <w:keepNext/>
      <w:numPr>
        <w:numId w:val="5"/>
      </w:numPr>
      <w:ind w:right="1296"/>
      <w:outlineLvl w:val="0"/>
    </w:pPr>
    <w:rPr>
      <w:u w:val="single"/>
    </w:rPr>
  </w:style>
  <w:style w:type="paragraph" w:styleId="Heading2">
    <w:name w:val="heading 2"/>
    <w:basedOn w:val="Normal"/>
    <w:next w:val="Normal"/>
    <w:uiPriority w:val="99"/>
    <w:semiHidden/>
    <w:qFormat/>
    <w:locked/>
    <w:rsid w:val="00E73B48"/>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E73B48"/>
    <w:pPr>
      <w:keepNext/>
      <w:numPr>
        <w:ilvl w:val="2"/>
        <w:numId w:val="5"/>
      </w:numPr>
      <w:spacing w:before="240" w:after="60"/>
      <w:outlineLvl w:val="2"/>
    </w:pPr>
    <w:rPr>
      <w:rFonts w:ascii="Arial" w:hAnsi="Arial"/>
      <w:sz w:val="24"/>
    </w:rPr>
  </w:style>
  <w:style w:type="paragraph" w:styleId="Heading4">
    <w:name w:val="heading 4"/>
    <w:basedOn w:val="Normal"/>
    <w:next w:val="Normal"/>
    <w:link w:val="Heading4Char"/>
    <w:uiPriority w:val="99"/>
    <w:semiHidden/>
    <w:qFormat/>
    <w:locked/>
    <w:rsid w:val="00E7605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semiHidden/>
    <w:qFormat/>
    <w:locked/>
    <w:rsid w:val="00E7605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semiHidden/>
    <w:qFormat/>
    <w:locked/>
    <w:rsid w:val="00E7605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locked/>
    <w:rsid w:val="00E7605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locked/>
    <w:rsid w:val="00E7605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locked/>
    <w:rsid w:val="00E7605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E73B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3B48"/>
  </w:style>
  <w:style w:type="paragraph" w:styleId="Footer">
    <w:name w:val="footer"/>
    <w:basedOn w:val="Normal"/>
    <w:link w:val="FooterChar"/>
    <w:uiPriority w:val="43"/>
    <w:locked/>
    <w:rsid w:val="00E73B48"/>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E73B48"/>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E73B48"/>
    <w:pPr>
      <w:spacing w:before="240" w:line="240" w:lineRule="exact"/>
      <w:ind w:left="720" w:right="794" w:firstLine="0"/>
    </w:pPr>
  </w:style>
  <w:style w:type="paragraph" w:styleId="FootnoteText">
    <w:name w:val="footnote text"/>
    <w:basedOn w:val="Normal"/>
    <w:uiPriority w:val="53"/>
    <w:locked/>
    <w:rsid w:val="00E73B48"/>
    <w:pPr>
      <w:spacing w:after="240" w:line="240" w:lineRule="exact"/>
      <w:ind w:left="510" w:hanging="510"/>
    </w:pPr>
  </w:style>
  <w:style w:type="character" w:styleId="FootnoteReference">
    <w:name w:val="footnote reference"/>
    <w:uiPriority w:val="51"/>
    <w:locked/>
    <w:rsid w:val="00E73B48"/>
    <w:rPr>
      <w:b/>
      <w:sz w:val="28"/>
      <w:vertAlign w:val="superscript"/>
    </w:rPr>
  </w:style>
  <w:style w:type="paragraph" w:customStyle="1" w:styleId="FootIndAgain">
    <w:name w:val="FootIndAgain"/>
    <w:basedOn w:val="FootnoteText"/>
    <w:uiPriority w:val="47"/>
    <w:qFormat/>
    <w:locked/>
    <w:rsid w:val="00E73B48"/>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E73B48"/>
    <w:pPr>
      <w:ind w:firstLine="0"/>
    </w:pPr>
  </w:style>
  <w:style w:type="character" w:customStyle="1" w:styleId="Heading1Char">
    <w:name w:val="Heading 1 Char"/>
    <w:uiPriority w:val="99"/>
    <w:semiHidden/>
    <w:locked/>
    <w:rsid w:val="00E73B48"/>
    <w:rPr>
      <w:rFonts w:ascii="Univers" w:hAnsi="Univers"/>
      <w:sz w:val="26"/>
      <w:u w:val="single"/>
      <w:lang w:val="en-AU"/>
    </w:rPr>
  </w:style>
  <w:style w:type="character" w:customStyle="1" w:styleId="Heading2Char">
    <w:name w:val="Heading 2 Char"/>
    <w:uiPriority w:val="99"/>
    <w:semiHidden/>
    <w:locked/>
    <w:rsid w:val="00E73B48"/>
    <w:rPr>
      <w:rFonts w:ascii="Arial" w:hAnsi="Arial"/>
      <w:b/>
      <w:i/>
      <w:sz w:val="24"/>
      <w:lang w:val="en-AU"/>
    </w:rPr>
  </w:style>
  <w:style w:type="character" w:customStyle="1" w:styleId="Heading3Char">
    <w:name w:val="Heading 3 Char"/>
    <w:uiPriority w:val="99"/>
    <w:semiHidden/>
    <w:locked/>
    <w:rsid w:val="00E73B48"/>
    <w:rPr>
      <w:rFonts w:ascii="Arial" w:hAnsi="Arial"/>
      <w:sz w:val="24"/>
      <w:lang w:val="en-AU"/>
    </w:rPr>
  </w:style>
  <w:style w:type="paragraph" w:customStyle="1" w:styleId="NormalHC">
    <w:name w:val="Normal HC"/>
    <w:basedOn w:val="Normal"/>
    <w:uiPriority w:val="27"/>
    <w:qFormat/>
    <w:locked/>
    <w:rsid w:val="00E73B48"/>
    <w:pPr>
      <w:numPr>
        <w:numId w:val="16"/>
      </w:numPr>
      <w:spacing w:after="480"/>
      <w:ind w:left="0" w:hanging="720"/>
    </w:pPr>
  </w:style>
  <w:style w:type="paragraph" w:customStyle="1" w:styleId="HeadingFirst">
    <w:name w:val="Heading First"/>
    <w:basedOn w:val="NormalHC"/>
    <w:next w:val="HeadingV"/>
    <w:uiPriority w:val="15"/>
    <w:qFormat/>
    <w:locked/>
    <w:rsid w:val="00E73B48"/>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E73B48"/>
    <w:pPr>
      <w:keepNext/>
      <w:numPr>
        <w:numId w:val="0"/>
      </w:numPr>
      <w:outlineLvl w:val="2"/>
    </w:pPr>
    <w:rPr>
      <w:b/>
      <w:szCs w:val="20"/>
    </w:rPr>
  </w:style>
  <w:style w:type="paragraph" w:customStyle="1" w:styleId="HeadingL2">
    <w:name w:val="Heading L2"/>
    <w:basedOn w:val="HeadingL1"/>
    <w:next w:val="NormalHC"/>
    <w:uiPriority w:val="23"/>
    <w:qFormat/>
    <w:locked/>
    <w:rsid w:val="00E73B48"/>
    <w:pPr>
      <w:outlineLvl w:val="3"/>
    </w:pPr>
    <w:rPr>
      <w:b w:val="0"/>
      <w:i/>
    </w:rPr>
  </w:style>
  <w:style w:type="paragraph" w:customStyle="1" w:styleId="HeadingMatter">
    <w:name w:val="Heading Matter"/>
    <w:basedOn w:val="NormalHC"/>
    <w:next w:val="HeadingFirst"/>
    <w:uiPriority w:val="13"/>
    <w:qFormat/>
    <w:locked/>
    <w:rsid w:val="00E73B48"/>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E73B48"/>
    <w:pPr>
      <w:keepNext w:val="0"/>
    </w:pPr>
  </w:style>
  <w:style w:type="paragraph" w:customStyle="1" w:styleId="HeadingV">
    <w:name w:val="Heading V"/>
    <w:basedOn w:val="HeadingFirst"/>
    <w:next w:val="HeadingSecond"/>
    <w:uiPriority w:val="17"/>
    <w:qFormat/>
    <w:locked/>
    <w:rsid w:val="00E73B48"/>
    <w:rPr>
      <w:caps w:val="0"/>
      <w:u w:val="none"/>
    </w:rPr>
  </w:style>
  <w:style w:type="paragraph" w:customStyle="1" w:styleId="LeftrightafterHC">
    <w:name w:val="Leftright after HC"/>
    <w:basedOn w:val="Normal"/>
    <w:next w:val="leftright"/>
    <w:uiPriority w:val="31"/>
    <w:qFormat/>
    <w:locked/>
    <w:rsid w:val="00E73B48"/>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73B48"/>
    <w:pPr>
      <w:ind w:firstLine="720"/>
    </w:pPr>
  </w:style>
  <w:style w:type="paragraph" w:customStyle="1" w:styleId="LeftrightHanging">
    <w:name w:val="LeftrightHanging"/>
    <w:basedOn w:val="NormalHC"/>
    <w:uiPriority w:val="35"/>
    <w:qFormat/>
    <w:locked/>
    <w:rsid w:val="00E73B48"/>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73B48"/>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73B48"/>
    <w:pPr>
      <w:spacing w:before="200"/>
      <w:ind w:left="2160"/>
    </w:pPr>
  </w:style>
  <w:style w:type="paragraph" w:customStyle="1" w:styleId="NormalafterHd2nd">
    <w:name w:val="Normal after Hd2nd"/>
    <w:basedOn w:val="NormalHC"/>
    <w:next w:val="NormalHC"/>
    <w:uiPriority w:val="29"/>
    <w:locked/>
    <w:rsid w:val="00E73B48"/>
    <w:pPr>
      <w:numPr>
        <w:numId w:val="0"/>
      </w:numPr>
      <w:spacing w:before="1000"/>
    </w:pPr>
  </w:style>
  <w:style w:type="character" w:customStyle="1" w:styleId="NormalHCChar">
    <w:name w:val="Normal HC Char"/>
    <w:uiPriority w:val="99"/>
    <w:semiHidden/>
    <w:locked/>
    <w:rsid w:val="00E73B48"/>
    <w:rPr>
      <w:rFonts w:ascii="Univers" w:hAnsi="Univers"/>
      <w:sz w:val="26"/>
      <w:szCs w:val="26"/>
    </w:rPr>
  </w:style>
  <w:style w:type="character" w:customStyle="1" w:styleId="StyleFootnoteReferenceChar">
    <w:name w:val="Style Footnote Reference Char"/>
    <w:uiPriority w:val="99"/>
    <w:semiHidden/>
    <w:locked/>
    <w:rsid w:val="00E73B48"/>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E73B48"/>
  </w:style>
  <w:style w:type="paragraph" w:customStyle="1" w:styleId="HeadingJudgment">
    <w:name w:val="Heading Judgment"/>
    <w:basedOn w:val="Normal"/>
    <w:uiPriority w:val="59"/>
    <w:qFormat/>
    <w:locked/>
    <w:rsid w:val="00E73B48"/>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E73B48"/>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E73B48"/>
    <w:pPr>
      <w:outlineLvl w:val="4"/>
    </w:pPr>
    <w:rPr>
      <w:b w:val="0"/>
    </w:rPr>
  </w:style>
  <w:style w:type="character" w:styleId="PageNumber">
    <w:name w:val="page number"/>
    <w:basedOn w:val="DefaultParagraphFont"/>
    <w:uiPriority w:val="57"/>
    <w:locked/>
    <w:rsid w:val="00E73B48"/>
  </w:style>
  <w:style w:type="paragraph" w:styleId="BalloonText">
    <w:name w:val="Balloon Text"/>
    <w:basedOn w:val="Normal"/>
    <w:link w:val="BalloonTextChar"/>
    <w:semiHidden/>
    <w:locked/>
    <w:rsid w:val="00E73B48"/>
    <w:rPr>
      <w:rFonts w:ascii="Tahoma" w:hAnsi="Tahoma" w:cs="Tahoma"/>
      <w:sz w:val="16"/>
      <w:szCs w:val="16"/>
      <w:lang w:eastAsia="en-US"/>
    </w:rPr>
  </w:style>
  <w:style w:type="character" w:customStyle="1" w:styleId="BalloonTextChar">
    <w:name w:val="Balloon Text Char"/>
    <w:basedOn w:val="DefaultParagraphFont"/>
    <w:link w:val="BalloonText"/>
    <w:semiHidden/>
    <w:rsid w:val="00E73B48"/>
    <w:rPr>
      <w:rFonts w:ascii="Tahoma" w:hAnsi="Tahoma" w:cs="Tahoma"/>
      <w:sz w:val="16"/>
      <w:szCs w:val="16"/>
      <w:lang w:eastAsia="en-US"/>
    </w:rPr>
  </w:style>
  <w:style w:type="paragraph" w:customStyle="1" w:styleId="ClosingText">
    <w:name w:val="Closing Text"/>
    <w:basedOn w:val="Normal"/>
    <w:uiPriority w:val="98"/>
    <w:semiHidden/>
    <w:qFormat/>
    <w:locked/>
    <w:rsid w:val="00E73B48"/>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E73B48"/>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E73B48"/>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E73B48"/>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E73B48"/>
    <w:rPr>
      <w:szCs w:val="20"/>
      <w:lang w:eastAsia="en-US"/>
    </w:rPr>
  </w:style>
  <w:style w:type="paragraph" w:customStyle="1" w:styleId="NormalBody">
    <w:name w:val="Normal Body"/>
    <w:basedOn w:val="NormalHC"/>
    <w:uiPriority w:val="28"/>
    <w:qFormat/>
    <w:locked/>
    <w:rsid w:val="00E73B48"/>
    <w:pPr>
      <w:numPr>
        <w:numId w:val="0"/>
      </w:numPr>
    </w:pPr>
    <w:rPr>
      <w:lang w:eastAsia="en-US"/>
    </w:rPr>
  </w:style>
  <w:style w:type="paragraph" w:customStyle="1" w:styleId="StyleFootnoteReference">
    <w:name w:val="Style Footnote Reference"/>
    <w:basedOn w:val="Normal"/>
    <w:next w:val="Normal"/>
    <w:semiHidden/>
    <w:rsid w:val="00E73B48"/>
    <w:rPr>
      <w:vertAlign w:val="superscript"/>
      <w:lang w:eastAsia="en-US"/>
    </w:rPr>
  </w:style>
  <w:style w:type="paragraph" w:styleId="ListNumber">
    <w:name w:val="List Number"/>
    <w:basedOn w:val="Normal"/>
    <w:uiPriority w:val="56"/>
    <w:locked/>
    <w:rsid w:val="00E73B48"/>
    <w:pPr>
      <w:numPr>
        <w:numId w:val="11"/>
      </w:numPr>
      <w:contextualSpacing/>
    </w:pPr>
  </w:style>
  <w:style w:type="paragraph" w:customStyle="1" w:styleId="FixListStyle">
    <w:name w:val="FixListStyle"/>
    <w:basedOn w:val="Normal"/>
    <w:uiPriority w:val="99"/>
    <w:qFormat/>
    <w:rsid w:val="00E73B48"/>
    <w:pPr>
      <w:numPr>
        <w:numId w:val="18"/>
      </w:numPr>
      <w:spacing w:after="480"/>
      <w:ind w:left="0" w:hanging="720"/>
    </w:pPr>
  </w:style>
  <w:style w:type="paragraph" w:customStyle="1" w:styleId="CatchwordsBold">
    <w:name w:val="Catchwords Bold"/>
    <w:basedOn w:val="Normal"/>
    <w:link w:val="CatchwordsBoldChar"/>
    <w:qFormat/>
    <w:rsid w:val="00E73B48"/>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E73B48"/>
    <w:rPr>
      <w:rFonts w:ascii="Times New Roman" w:hAnsi="Times New Roman"/>
      <w:b/>
      <w:szCs w:val="20"/>
    </w:rPr>
  </w:style>
  <w:style w:type="paragraph" w:customStyle="1" w:styleId="CatchwordsRight">
    <w:name w:val="Catchwords Right"/>
    <w:basedOn w:val="Normal"/>
    <w:link w:val="CatchwordsRightChar"/>
    <w:qFormat/>
    <w:rsid w:val="00E73B48"/>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E73B48"/>
    <w:rPr>
      <w:rFonts w:ascii="Times New Roman" w:hAnsi="Times New Roman"/>
      <w:szCs w:val="20"/>
    </w:rPr>
  </w:style>
  <w:style w:type="paragraph" w:customStyle="1" w:styleId="CatchwordsText">
    <w:name w:val="Catchwords Text"/>
    <w:basedOn w:val="Normal"/>
    <w:link w:val="CatchwordsTextChar"/>
    <w:qFormat/>
    <w:rsid w:val="00E73B48"/>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E73B48"/>
    <w:rPr>
      <w:rFonts w:ascii="Times New Roman" w:hAnsi="Times New Roman"/>
      <w:szCs w:val="20"/>
    </w:rPr>
  </w:style>
  <w:style w:type="paragraph" w:customStyle="1" w:styleId="CenteredBorder">
    <w:name w:val="Centered Border"/>
    <w:qFormat/>
    <w:rsid w:val="00E73B48"/>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E73B48"/>
    <w:pPr>
      <w:jc w:val="center"/>
    </w:pPr>
    <w:rPr>
      <w:rFonts w:ascii="Times New Roman" w:hAnsi="Times New Roman"/>
      <w:b/>
      <w:bCs/>
      <w:szCs w:val="20"/>
      <w:lang w:val="en-GB"/>
    </w:rPr>
  </w:style>
  <w:style w:type="character" w:customStyle="1" w:styleId="OrderCentred">
    <w:name w:val="Order Centred"/>
    <w:semiHidden/>
    <w:rsid w:val="00E73B48"/>
    <w:rPr>
      <w:b/>
      <w:bCs/>
      <w:sz w:val="26"/>
    </w:rPr>
  </w:style>
  <w:style w:type="paragraph" w:customStyle="1" w:styleId="OrdersTopLine">
    <w:name w:val="Orders TopLine"/>
    <w:qFormat/>
    <w:rsid w:val="00E73B48"/>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E73B4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E73B4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E73B48"/>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E73B48"/>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E73B48"/>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E73B48"/>
    <w:rPr>
      <w:rFonts w:ascii="Times New Roman" w:hAnsi="Times New Roman"/>
      <w:i/>
      <w:lang w:eastAsia="en-US"/>
    </w:rPr>
  </w:style>
  <w:style w:type="paragraph" w:customStyle="1" w:styleId="OrdersIndentLevel2i">
    <w:name w:val="Orders Indent Level 2 (i)"/>
    <w:basedOn w:val="Normal"/>
    <w:link w:val="OrdersIndentLevel2iChar"/>
    <w:qFormat/>
    <w:rsid w:val="00E73B48"/>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E73B48"/>
    <w:rPr>
      <w:rFonts w:ascii="Times New Roman" w:hAnsi="Times New Roman"/>
      <w:i/>
      <w:lang w:eastAsia="en-US"/>
    </w:rPr>
  </w:style>
  <w:style w:type="paragraph" w:customStyle="1" w:styleId="OrdersMatter">
    <w:name w:val="Orders Matter"/>
    <w:basedOn w:val="OrderCentreBold"/>
    <w:link w:val="OrdersMatterChar"/>
    <w:qFormat/>
    <w:rsid w:val="00E73B48"/>
  </w:style>
  <w:style w:type="character" w:customStyle="1" w:styleId="OrdersMatterChar">
    <w:name w:val="Orders Matter Char"/>
    <w:link w:val="OrdersMatter"/>
    <w:rsid w:val="00E73B48"/>
    <w:rPr>
      <w:rFonts w:ascii="Times New Roman" w:hAnsi="Times New Roman"/>
      <w:b/>
      <w:bCs/>
      <w:szCs w:val="20"/>
      <w:lang w:val="en-GB"/>
    </w:rPr>
  </w:style>
  <w:style w:type="paragraph" w:customStyle="1" w:styleId="OrdersNotice">
    <w:name w:val="Orders Notice"/>
    <w:rsid w:val="00E73B48"/>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E73B48"/>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E73B48"/>
    <w:rPr>
      <w:rFonts w:ascii="Times New Roman" w:hAnsi="Times New Roman"/>
      <w:szCs w:val="20"/>
      <w:lang w:eastAsia="en-US"/>
    </w:rPr>
  </w:style>
  <w:style w:type="paragraph" w:customStyle="1" w:styleId="OrdersText">
    <w:name w:val="Orders Text"/>
    <w:basedOn w:val="Normal"/>
    <w:link w:val="OrdersTextChar"/>
    <w:qFormat/>
    <w:rsid w:val="00E73B48"/>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E73B48"/>
    <w:rPr>
      <w:rFonts w:ascii="Times New Roman" w:hAnsi="Times New Roman"/>
      <w:i/>
      <w:lang w:eastAsia="en-US"/>
    </w:rPr>
  </w:style>
  <w:style w:type="paragraph" w:customStyle="1" w:styleId="OrdersCenteredBorder">
    <w:name w:val="Orders Centered Border"/>
    <w:qFormat/>
    <w:rsid w:val="00E73B48"/>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E73B48"/>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E73B48"/>
    <w:rPr>
      <w:rFonts w:ascii="Times New Roman" w:hAnsi="Times New Roman"/>
      <w:szCs w:val="20"/>
    </w:rPr>
  </w:style>
  <w:style w:type="paragraph" w:customStyle="1" w:styleId="LRHangingafterHC">
    <w:name w:val="LR Hanging after HC"/>
    <w:basedOn w:val="Normal"/>
    <w:next w:val="LeftrightHanging"/>
    <w:uiPriority w:val="99"/>
    <w:qFormat/>
    <w:rsid w:val="00E73B48"/>
    <w:pPr>
      <w:spacing w:before="720" w:line="240" w:lineRule="exact"/>
      <w:ind w:left="1440" w:right="794" w:hanging="720"/>
    </w:pPr>
  </w:style>
  <w:style w:type="character" w:styleId="Hyperlink">
    <w:name w:val="Hyperlink"/>
    <w:basedOn w:val="DefaultParagraphFont"/>
    <w:uiPriority w:val="99"/>
    <w:semiHidden/>
    <w:unhideWhenUsed/>
    <w:locked/>
    <w:rsid w:val="00041408"/>
    <w:rPr>
      <w:color w:val="0000FF"/>
      <w:u w:val="single"/>
    </w:rPr>
  </w:style>
  <w:style w:type="character" w:styleId="CommentReference">
    <w:name w:val="annotation reference"/>
    <w:basedOn w:val="DefaultParagraphFont"/>
    <w:uiPriority w:val="99"/>
    <w:semiHidden/>
    <w:unhideWhenUsed/>
    <w:locked/>
    <w:rsid w:val="0056239F"/>
    <w:rPr>
      <w:sz w:val="16"/>
      <w:szCs w:val="16"/>
    </w:rPr>
  </w:style>
  <w:style w:type="paragraph" w:styleId="CommentText">
    <w:name w:val="annotation text"/>
    <w:basedOn w:val="Normal"/>
    <w:link w:val="CommentTextChar"/>
    <w:uiPriority w:val="99"/>
    <w:unhideWhenUsed/>
    <w:locked/>
    <w:rsid w:val="0056239F"/>
    <w:pPr>
      <w:spacing w:line="240" w:lineRule="auto"/>
    </w:pPr>
    <w:rPr>
      <w:sz w:val="20"/>
      <w:szCs w:val="20"/>
    </w:rPr>
  </w:style>
  <w:style w:type="character" w:customStyle="1" w:styleId="CommentTextChar">
    <w:name w:val="Comment Text Char"/>
    <w:basedOn w:val="DefaultParagraphFont"/>
    <w:link w:val="CommentText"/>
    <w:uiPriority w:val="99"/>
    <w:rsid w:val="0056239F"/>
    <w:rPr>
      <w:sz w:val="20"/>
      <w:szCs w:val="20"/>
    </w:rPr>
  </w:style>
  <w:style w:type="paragraph" w:styleId="CommentSubject">
    <w:name w:val="annotation subject"/>
    <w:basedOn w:val="CommentText"/>
    <w:next w:val="CommentText"/>
    <w:link w:val="CommentSubjectChar"/>
    <w:uiPriority w:val="99"/>
    <w:semiHidden/>
    <w:unhideWhenUsed/>
    <w:locked/>
    <w:rsid w:val="0056239F"/>
    <w:rPr>
      <w:b/>
      <w:bCs/>
    </w:rPr>
  </w:style>
  <w:style w:type="character" w:customStyle="1" w:styleId="CommentSubjectChar">
    <w:name w:val="Comment Subject Char"/>
    <w:basedOn w:val="CommentTextChar"/>
    <w:link w:val="CommentSubject"/>
    <w:uiPriority w:val="99"/>
    <w:semiHidden/>
    <w:rsid w:val="0056239F"/>
    <w:rPr>
      <w:b/>
      <w:bCs/>
      <w:sz w:val="20"/>
      <w:szCs w:val="20"/>
    </w:rPr>
  </w:style>
  <w:style w:type="paragraph" w:styleId="Revision">
    <w:name w:val="Revision"/>
    <w:hidden/>
    <w:uiPriority w:val="99"/>
    <w:semiHidden/>
    <w:rsid w:val="007979FE"/>
  </w:style>
  <w:style w:type="paragraph" w:styleId="Bibliography">
    <w:name w:val="Bibliography"/>
    <w:basedOn w:val="Normal"/>
    <w:next w:val="Normal"/>
    <w:uiPriority w:val="99"/>
    <w:semiHidden/>
    <w:unhideWhenUsed/>
    <w:locked/>
    <w:rsid w:val="00E76054"/>
  </w:style>
  <w:style w:type="paragraph" w:styleId="BlockText">
    <w:name w:val="Block Text"/>
    <w:basedOn w:val="Normal"/>
    <w:uiPriority w:val="99"/>
    <w:semiHidden/>
    <w:unhideWhenUsed/>
    <w:locked/>
    <w:rsid w:val="00E7605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locked/>
    <w:rsid w:val="00E76054"/>
    <w:pPr>
      <w:spacing w:after="120"/>
    </w:pPr>
  </w:style>
  <w:style w:type="character" w:customStyle="1" w:styleId="BodyTextChar">
    <w:name w:val="Body Text Char"/>
    <w:basedOn w:val="DefaultParagraphFont"/>
    <w:link w:val="BodyText"/>
    <w:uiPriority w:val="99"/>
    <w:semiHidden/>
    <w:rsid w:val="00E76054"/>
  </w:style>
  <w:style w:type="paragraph" w:styleId="BodyText2">
    <w:name w:val="Body Text 2"/>
    <w:basedOn w:val="Normal"/>
    <w:link w:val="BodyText2Char"/>
    <w:uiPriority w:val="99"/>
    <w:semiHidden/>
    <w:unhideWhenUsed/>
    <w:locked/>
    <w:rsid w:val="00E76054"/>
    <w:pPr>
      <w:spacing w:after="120" w:line="480" w:lineRule="auto"/>
    </w:pPr>
  </w:style>
  <w:style w:type="character" w:customStyle="1" w:styleId="BodyText2Char">
    <w:name w:val="Body Text 2 Char"/>
    <w:basedOn w:val="DefaultParagraphFont"/>
    <w:link w:val="BodyText2"/>
    <w:uiPriority w:val="99"/>
    <w:semiHidden/>
    <w:rsid w:val="00E76054"/>
  </w:style>
  <w:style w:type="paragraph" w:styleId="BodyText3">
    <w:name w:val="Body Text 3"/>
    <w:basedOn w:val="Normal"/>
    <w:link w:val="BodyText3Char"/>
    <w:uiPriority w:val="99"/>
    <w:semiHidden/>
    <w:unhideWhenUsed/>
    <w:locked/>
    <w:rsid w:val="00E76054"/>
    <w:pPr>
      <w:spacing w:after="120"/>
    </w:pPr>
    <w:rPr>
      <w:sz w:val="16"/>
      <w:szCs w:val="16"/>
    </w:rPr>
  </w:style>
  <w:style w:type="character" w:customStyle="1" w:styleId="BodyText3Char">
    <w:name w:val="Body Text 3 Char"/>
    <w:basedOn w:val="DefaultParagraphFont"/>
    <w:link w:val="BodyText3"/>
    <w:uiPriority w:val="99"/>
    <w:semiHidden/>
    <w:rsid w:val="00E76054"/>
    <w:rPr>
      <w:sz w:val="16"/>
      <w:szCs w:val="16"/>
    </w:rPr>
  </w:style>
  <w:style w:type="paragraph" w:styleId="BodyTextFirstIndent">
    <w:name w:val="Body Text First Indent"/>
    <w:basedOn w:val="BodyText"/>
    <w:link w:val="BodyTextFirstIndentChar"/>
    <w:uiPriority w:val="99"/>
    <w:semiHidden/>
    <w:locked/>
    <w:rsid w:val="00E76054"/>
    <w:pPr>
      <w:spacing w:after="0"/>
      <w:ind w:firstLine="360"/>
    </w:pPr>
  </w:style>
  <w:style w:type="character" w:customStyle="1" w:styleId="BodyTextFirstIndentChar">
    <w:name w:val="Body Text First Indent Char"/>
    <w:basedOn w:val="BodyTextChar"/>
    <w:link w:val="BodyTextFirstIndent"/>
    <w:uiPriority w:val="99"/>
    <w:semiHidden/>
    <w:rsid w:val="00E76054"/>
  </w:style>
  <w:style w:type="paragraph" w:styleId="BodyTextIndent">
    <w:name w:val="Body Text Indent"/>
    <w:basedOn w:val="Normal"/>
    <w:link w:val="BodyTextIndentChar"/>
    <w:uiPriority w:val="99"/>
    <w:semiHidden/>
    <w:unhideWhenUsed/>
    <w:locked/>
    <w:rsid w:val="00E76054"/>
    <w:pPr>
      <w:spacing w:after="120"/>
      <w:ind w:left="283"/>
    </w:pPr>
  </w:style>
  <w:style w:type="character" w:customStyle="1" w:styleId="BodyTextIndentChar">
    <w:name w:val="Body Text Indent Char"/>
    <w:basedOn w:val="DefaultParagraphFont"/>
    <w:link w:val="BodyTextIndent"/>
    <w:uiPriority w:val="99"/>
    <w:semiHidden/>
    <w:rsid w:val="00E76054"/>
  </w:style>
  <w:style w:type="paragraph" w:styleId="BodyTextFirstIndent2">
    <w:name w:val="Body Text First Indent 2"/>
    <w:basedOn w:val="BodyTextIndent"/>
    <w:link w:val="BodyTextFirstIndent2Char"/>
    <w:uiPriority w:val="99"/>
    <w:semiHidden/>
    <w:unhideWhenUsed/>
    <w:locked/>
    <w:rsid w:val="00E76054"/>
    <w:pPr>
      <w:spacing w:after="0"/>
      <w:ind w:left="360" w:firstLine="360"/>
    </w:pPr>
  </w:style>
  <w:style w:type="character" w:customStyle="1" w:styleId="BodyTextFirstIndent2Char">
    <w:name w:val="Body Text First Indent 2 Char"/>
    <w:basedOn w:val="BodyTextIndentChar"/>
    <w:link w:val="BodyTextFirstIndent2"/>
    <w:uiPriority w:val="99"/>
    <w:semiHidden/>
    <w:rsid w:val="00E76054"/>
  </w:style>
  <w:style w:type="paragraph" w:styleId="BodyTextIndent2">
    <w:name w:val="Body Text Indent 2"/>
    <w:basedOn w:val="Normal"/>
    <w:link w:val="BodyTextIndent2Char"/>
    <w:uiPriority w:val="99"/>
    <w:semiHidden/>
    <w:unhideWhenUsed/>
    <w:locked/>
    <w:rsid w:val="00E76054"/>
    <w:pPr>
      <w:spacing w:after="120" w:line="480" w:lineRule="auto"/>
      <w:ind w:left="283"/>
    </w:pPr>
  </w:style>
  <w:style w:type="character" w:customStyle="1" w:styleId="BodyTextIndent2Char">
    <w:name w:val="Body Text Indent 2 Char"/>
    <w:basedOn w:val="DefaultParagraphFont"/>
    <w:link w:val="BodyTextIndent2"/>
    <w:uiPriority w:val="99"/>
    <w:semiHidden/>
    <w:rsid w:val="00E76054"/>
  </w:style>
  <w:style w:type="paragraph" w:styleId="BodyTextIndent3">
    <w:name w:val="Body Text Indent 3"/>
    <w:basedOn w:val="Normal"/>
    <w:link w:val="BodyTextIndent3Char"/>
    <w:uiPriority w:val="99"/>
    <w:semiHidden/>
    <w:unhideWhenUsed/>
    <w:locked/>
    <w:rsid w:val="00E760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76054"/>
    <w:rPr>
      <w:sz w:val="16"/>
      <w:szCs w:val="16"/>
    </w:rPr>
  </w:style>
  <w:style w:type="paragraph" w:styleId="Caption">
    <w:name w:val="caption"/>
    <w:basedOn w:val="Normal"/>
    <w:next w:val="Normal"/>
    <w:uiPriority w:val="99"/>
    <w:semiHidden/>
    <w:unhideWhenUsed/>
    <w:qFormat/>
    <w:locked/>
    <w:rsid w:val="00E76054"/>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locked/>
    <w:rsid w:val="00E76054"/>
    <w:pPr>
      <w:spacing w:line="240" w:lineRule="auto"/>
      <w:ind w:left="4252"/>
    </w:pPr>
  </w:style>
  <w:style w:type="character" w:customStyle="1" w:styleId="ClosingChar">
    <w:name w:val="Closing Char"/>
    <w:basedOn w:val="DefaultParagraphFont"/>
    <w:link w:val="Closing"/>
    <w:uiPriority w:val="99"/>
    <w:semiHidden/>
    <w:rsid w:val="00E76054"/>
  </w:style>
  <w:style w:type="paragraph" w:styleId="Date">
    <w:name w:val="Date"/>
    <w:basedOn w:val="Normal"/>
    <w:next w:val="Normal"/>
    <w:link w:val="DateChar"/>
    <w:uiPriority w:val="99"/>
    <w:semiHidden/>
    <w:locked/>
    <w:rsid w:val="00E76054"/>
  </w:style>
  <w:style w:type="character" w:customStyle="1" w:styleId="DateChar">
    <w:name w:val="Date Char"/>
    <w:basedOn w:val="DefaultParagraphFont"/>
    <w:link w:val="Date"/>
    <w:uiPriority w:val="99"/>
    <w:semiHidden/>
    <w:rsid w:val="00E76054"/>
  </w:style>
  <w:style w:type="paragraph" w:styleId="DocumentMap">
    <w:name w:val="Document Map"/>
    <w:basedOn w:val="Normal"/>
    <w:link w:val="DocumentMapChar"/>
    <w:uiPriority w:val="99"/>
    <w:semiHidden/>
    <w:unhideWhenUsed/>
    <w:locked/>
    <w:rsid w:val="00E7605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76054"/>
    <w:rPr>
      <w:rFonts w:ascii="Segoe UI" w:hAnsi="Segoe UI" w:cs="Segoe UI"/>
      <w:sz w:val="16"/>
      <w:szCs w:val="16"/>
    </w:rPr>
  </w:style>
  <w:style w:type="paragraph" w:styleId="E-mailSignature">
    <w:name w:val="E-mail Signature"/>
    <w:basedOn w:val="Normal"/>
    <w:link w:val="E-mailSignatureChar"/>
    <w:uiPriority w:val="99"/>
    <w:semiHidden/>
    <w:unhideWhenUsed/>
    <w:locked/>
    <w:rsid w:val="00E76054"/>
    <w:pPr>
      <w:spacing w:line="240" w:lineRule="auto"/>
    </w:pPr>
  </w:style>
  <w:style w:type="character" w:customStyle="1" w:styleId="E-mailSignatureChar">
    <w:name w:val="E-mail Signature Char"/>
    <w:basedOn w:val="DefaultParagraphFont"/>
    <w:link w:val="E-mailSignature"/>
    <w:uiPriority w:val="99"/>
    <w:semiHidden/>
    <w:rsid w:val="00E76054"/>
  </w:style>
  <w:style w:type="paragraph" w:styleId="EndnoteText">
    <w:name w:val="endnote text"/>
    <w:basedOn w:val="Normal"/>
    <w:link w:val="EndnoteTextChar"/>
    <w:uiPriority w:val="99"/>
    <w:semiHidden/>
    <w:unhideWhenUsed/>
    <w:locked/>
    <w:rsid w:val="00E76054"/>
    <w:pPr>
      <w:spacing w:line="240" w:lineRule="auto"/>
    </w:pPr>
    <w:rPr>
      <w:sz w:val="20"/>
      <w:szCs w:val="20"/>
    </w:rPr>
  </w:style>
  <w:style w:type="character" w:customStyle="1" w:styleId="EndnoteTextChar">
    <w:name w:val="Endnote Text Char"/>
    <w:basedOn w:val="DefaultParagraphFont"/>
    <w:link w:val="EndnoteText"/>
    <w:uiPriority w:val="99"/>
    <w:semiHidden/>
    <w:rsid w:val="00E76054"/>
    <w:rPr>
      <w:sz w:val="20"/>
      <w:szCs w:val="20"/>
    </w:rPr>
  </w:style>
  <w:style w:type="character" w:customStyle="1" w:styleId="Heading4Char">
    <w:name w:val="Heading 4 Char"/>
    <w:basedOn w:val="DefaultParagraphFont"/>
    <w:link w:val="Heading4"/>
    <w:uiPriority w:val="99"/>
    <w:semiHidden/>
    <w:rsid w:val="00E7605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9"/>
    <w:semiHidden/>
    <w:rsid w:val="00E7605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9"/>
    <w:semiHidden/>
    <w:rsid w:val="00E7605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9"/>
    <w:semiHidden/>
    <w:rsid w:val="00E7605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9"/>
    <w:semiHidden/>
    <w:rsid w:val="00E760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7605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locked/>
    <w:rsid w:val="00E76054"/>
    <w:pPr>
      <w:spacing w:line="240" w:lineRule="auto"/>
    </w:pPr>
    <w:rPr>
      <w:i/>
      <w:iCs/>
    </w:rPr>
  </w:style>
  <w:style w:type="character" w:customStyle="1" w:styleId="HTMLAddressChar">
    <w:name w:val="HTML Address Char"/>
    <w:basedOn w:val="DefaultParagraphFont"/>
    <w:link w:val="HTMLAddress"/>
    <w:uiPriority w:val="99"/>
    <w:semiHidden/>
    <w:rsid w:val="00E76054"/>
    <w:rPr>
      <w:i/>
      <w:iCs/>
    </w:rPr>
  </w:style>
  <w:style w:type="paragraph" w:styleId="HTMLPreformatted">
    <w:name w:val="HTML Preformatted"/>
    <w:basedOn w:val="Normal"/>
    <w:link w:val="HTMLPreformattedChar"/>
    <w:uiPriority w:val="99"/>
    <w:semiHidden/>
    <w:unhideWhenUsed/>
    <w:locked/>
    <w:rsid w:val="00E76054"/>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76054"/>
    <w:rPr>
      <w:rFonts w:ascii="Consolas" w:hAnsi="Consolas"/>
      <w:sz w:val="20"/>
      <w:szCs w:val="20"/>
    </w:rPr>
  </w:style>
  <w:style w:type="paragraph" w:styleId="Index1">
    <w:name w:val="index 1"/>
    <w:basedOn w:val="Normal"/>
    <w:next w:val="Normal"/>
    <w:autoRedefine/>
    <w:uiPriority w:val="99"/>
    <w:semiHidden/>
    <w:unhideWhenUsed/>
    <w:locked/>
    <w:rsid w:val="00E7605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260" w:hanging="260"/>
    </w:pPr>
  </w:style>
  <w:style w:type="paragraph" w:styleId="Index2">
    <w:name w:val="index 2"/>
    <w:basedOn w:val="Normal"/>
    <w:next w:val="Normal"/>
    <w:autoRedefine/>
    <w:uiPriority w:val="99"/>
    <w:semiHidden/>
    <w:unhideWhenUsed/>
    <w:locked/>
    <w:rsid w:val="00E7605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520" w:hanging="260"/>
    </w:pPr>
  </w:style>
  <w:style w:type="paragraph" w:styleId="Index3">
    <w:name w:val="index 3"/>
    <w:basedOn w:val="Normal"/>
    <w:next w:val="Normal"/>
    <w:autoRedefine/>
    <w:uiPriority w:val="99"/>
    <w:semiHidden/>
    <w:unhideWhenUsed/>
    <w:locked/>
    <w:rsid w:val="00E7605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780" w:hanging="260"/>
    </w:pPr>
  </w:style>
  <w:style w:type="paragraph" w:styleId="Index4">
    <w:name w:val="index 4"/>
    <w:basedOn w:val="Normal"/>
    <w:next w:val="Normal"/>
    <w:autoRedefine/>
    <w:uiPriority w:val="99"/>
    <w:semiHidden/>
    <w:unhideWhenUsed/>
    <w:locked/>
    <w:rsid w:val="00E7605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040" w:hanging="260"/>
    </w:pPr>
  </w:style>
  <w:style w:type="paragraph" w:styleId="Index5">
    <w:name w:val="index 5"/>
    <w:basedOn w:val="Normal"/>
    <w:next w:val="Normal"/>
    <w:autoRedefine/>
    <w:uiPriority w:val="99"/>
    <w:semiHidden/>
    <w:unhideWhenUsed/>
    <w:locked/>
    <w:rsid w:val="00E7605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300" w:hanging="260"/>
    </w:pPr>
  </w:style>
  <w:style w:type="paragraph" w:styleId="Index6">
    <w:name w:val="index 6"/>
    <w:basedOn w:val="Normal"/>
    <w:next w:val="Normal"/>
    <w:autoRedefine/>
    <w:uiPriority w:val="99"/>
    <w:semiHidden/>
    <w:unhideWhenUsed/>
    <w:locked/>
    <w:rsid w:val="00E7605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560" w:hanging="260"/>
    </w:pPr>
  </w:style>
  <w:style w:type="paragraph" w:styleId="Index7">
    <w:name w:val="index 7"/>
    <w:basedOn w:val="Normal"/>
    <w:next w:val="Normal"/>
    <w:autoRedefine/>
    <w:uiPriority w:val="99"/>
    <w:semiHidden/>
    <w:unhideWhenUsed/>
    <w:locked/>
    <w:rsid w:val="00E7605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820" w:hanging="260"/>
    </w:pPr>
  </w:style>
  <w:style w:type="paragraph" w:styleId="Index8">
    <w:name w:val="index 8"/>
    <w:basedOn w:val="Normal"/>
    <w:next w:val="Normal"/>
    <w:autoRedefine/>
    <w:uiPriority w:val="99"/>
    <w:semiHidden/>
    <w:unhideWhenUsed/>
    <w:locked/>
    <w:rsid w:val="00E7605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2080" w:hanging="260"/>
    </w:pPr>
  </w:style>
  <w:style w:type="paragraph" w:styleId="Index9">
    <w:name w:val="index 9"/>
    <w:basedOn w:val="Normal"/>
    <w:next w:val="Normal"/>
    <w:autoRedefine/>
    <w:uiPriority w:val="99"/>
    <w:semiHidden/>
    <w:unhideWhenUsed/>
    <w:locked/>
    <w:rsid w:val="00E7605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2340" w:hanging="260"/>
    </w:pPr>
  </w:style>
  <w:style w:type="paragraph" w:styleId="IndexHeading">
    <w:name w:val="index heading"/>
    <w:basedOn w:val="Normal"/>
    <w:next w:val="Index1"/>
    <w:uiPriority w:val="99"/>
    <w:semiHidden/>
    <w:unhideWhenUsed/>
    <w:locked/>
    <w:rsid w:val="00E76054"/>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qFormat/>
    <w:locked/>
    <w:rsid w:val="00E7605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semiHidden/>
    <w:rsid w:val="00E76054"/>
    <w:rPr>
      <w:i/>
      <w:iCs/>
      <w:color w:val="4F81BD" w:themeColor="accent1"/>
    </w:rPr>
  </w:style>
  <w:style w:type="paragraph" w:styleId="List">
    <w:name w:val="List"/>
    <w:basedOn w:val="Normal"/>
    <w:uiPriority w:val="99"/>
    <w:semiHidden/>
    <w:unhideWhenUsed/>
    <w:locked/>
    <w:rsid w:val="00E76054"/>
    <w:pPr>
      <w:ind w:left="283" w:hanging="283"/>
      <w:contextualSpacing/>
    </w:pPr>
  </w:style>
  <w:style w:type="paragraph" w:styleId="List2">
    <w:name w:val="List 2"/>
    <w:basedOn w:val="Normal"/>
    <w:uiPriority w:val="99"/>
    <w:semiHidden/>
    <w:unhideWhenUsed/>
    <w:locked/>
    <w:rsid w:val="00E76054"/>
    <w:pPr>
      <w:ind w:left="566" w:hanging="283"/>
      <w:contextualSpacing/>
    </w:pPr>
  </w:style>
  <w:style w:type="paragraph" w:styleId="List3">
    <w:name w:val="List 3"/>
    <w:basedOn w:val="Normal"/>
    <w:uiPriority w:val="99"/>
    <w:semiHidden/>
    <w:unhideWhenUsed/>
    <w:locked/>
    <w:rsid w:val="00E76054"/>
    <w:pPr>
      <w:ind w:left="849" w:hanging="283"/>
      <w:contextualSpacing/>
    </w:pPr>
  </w:style>
  <w:style w:type="paragraph" w:styleId="List4">
    <w:name w:val="List 4"/>
    <w:basedOn w:val="Normal"/>
    <w:uiPriority w:val="99"/>
    <w:semiHidden/>
    <w:locked/>
    <w:rsid w:val="00E76054"/>
    <w:pPr>
      <w:ind w:left="1132" w:hanging="283"/>
      <w:contextualSpacing/>
    </w:pPr>
  </w:style>
  <w:style w:type="paragraph" w:styleId="List5">
    <w:name w:val="List 5"/>
    <w:basedOn w:val="Normal"/>
    <w:uiPriority w:val="99"/>
    <w:semiHidden/>
    <w:locked/>
    <w:rsid w:val="00E76054"/>
    <w:pPr>
      <w:ind w:left="1415" w:hanging="283"/>
      <w:contextualSpacing/>
    </w:pPr>
  </w:style>
  <w:style w:type="paragraph" w:styleId="ListBullet">
    <w:name w:val="List Bullet"/>
    <w:basedOn w:val="Normal"/>
    <w:uiPriority w:val="99"/>
    <w:semiHidden/>
    <w:unhideWhenUsed/>
    <w:locked/>
    <w:rsid w:val="00E76054"/>
    <w:pPr>
      <w:tabs>
        <w:tab w:val="num" w:pos="360"/>
      </w:tabs>
      <w:ind w:left="360" w:hanging="360"/>
      <w:contextualSpacing/>
    </w:pPr>
  </w:style>
  <w:style w:type="paragraph" w:styleId="ListBullet2">
    <w:name w:val="List Bullet 2"/>
    <w:basedOn w:val="Normal"/>
    <w:uiPriority w:val="99"/>
    <w:semiHidden/>
    <w:unhideWhenUsed/>
    <w:locked/>
    <w:rsid w:val="00E76054"/>
    <w:pPr>
      <w:tabs>
        <w:tab w:val="num" w:pos="643"/>
      </w:tabs>
      <w:ind w:left="643" w:hanging="360"/>
      <w:contextualSpacing/>
    </w:pPr>
  </w:style>
  <w:style w:type="paragraph" w:styleId="ListBullet3">
    <w:name w:val="List Bullet 3"/>
    <w:basedOn w:val="Normal"/>
    <w:uiPriority w:val="99"/>
    <w:semiHidden/>
    <w:unhideWhenUsed/>
    <w:locked/>
    <w:rsid w:val="00E76054"/>
    <w:pPr>
      <w:tabs>
        <w:tab w:val="num" w:pos="926"/>
      </w:tabs>
      <w:ind w:left="926" w:hanging="360"/>
      <w:contextualSpacing/>
    </w:pPr>
  </w:style>
  <w:style w:type="paragraph" w:styleId="ListBullet4">
    <w:name w:val="List Bullet 4"/>
    <w:basedOn w:val="Normal"/>
    <w:uiPriority w:val="99"/>
    <w:semiHidden/>
    <w:unhideWhenUsed/>
    <w:locked/>
    <w:rsid w:val="00E76054"/>
    <w:pPr>
      <w:tabs>
        <w:tab w:val="num" w:pos="1209"/>
      </w:tabs>
      <w:ind w:left="1209" w:hanging="360"/>
      <w:contextualSpacing/>
    </w:pPr>
  </w:style>
  <w:style w:type="paragraph" w:styleId="ListBullet5">
    <w:name w:val="List Bullet 5"/>
    <w:basedOn w:val="Normal"/>
    <w:uiPriority w:val="99"/>
    <w:semiHidden/>
    <w:unhideWhenUsed/>
    <w:locked/>
    <w:rsid w:val="00E76054"/>
    <w:pPr>
      <w:tabs>
        <w:tab w:val="num" w:pos="1492"/>
      </w:tabs>
      <w:ind w:left="1492" w:hanging="360"/>
      <w:contextualSpacing/>
    </w:pPr>
  </w:style>
  <w:style w:type="paragraph" w:styleId="ListContinue">
    <w:name w:val="List Continue"/>
    <w:basedOn w:val="Normal"/>
    <w:uiPriority w:val="99"/>
    <w:semiHidden/>
    <w:unhideWhenUsed/>
    <w:locked/>
    <w:rsid w:val="00E76054"/>
    <w:pPr>
      <w:spacing w:after="120"/>
      <w:ind w:left="283"/>
      <w:contextualSpacing/>
    </w:pPr>
  </w:style>
  <w:style w:type="paragraph" w:styleId="ListContinue2">
    <w:name w:val="List Continue 2"/>
    <w:basedOn w:val="Normal"/>
    <w:uiPriority w:val="99"/>
    <w:semiHidden/>
    <w:unhideWhenUsed/>
    <w:locked/>
    <w:rsid w:val="00E76054"/>
    <w:pPr>
      <w:spacing w:after="120"/>
      <w:ind w:left="566"/>
      <w:contextualSpacing/>
    </w:pPr>
  </w:style>
  <w:style w:type="paragraph" w:styleId="ListContinue3">
    <w:name w:val="List Continue 3"/>
    <w:basedOn w:val="Normal"/>
    <w:uiPriority w:val="99"/>
    <w:semiHidden/>
    <w:unhideWhenUsed/>
    <w:locked/>
    <w:rsid w:val="00E76054"/>
    <w:pPr>
      <w:spacing w:after="120"/>
      <w:ind w:left="849"/>
      <w:contextualSpacing/>
    </w:pPr>
  </w:style>
  <w:style w:type="paragraph" w:styleId="ListContinue4">
    <w:name w:val="List Continue 4"/>
    <w:basedOn w:val="Normal"/>
    <w:uiPriority w:val="99"/>
    <w:semiHidden/>
    <w:unhideWhenUsed/>
    <w:locked/>
    <w:rsid w:val="00E76054"/>
    <w:pPr>
      <w:spacing w:after="120"/>
      <w:ind w:left="1132"/>
      <w:contextualSpacing/>
    </w:pPr>
  </w:style>
  <w:style w:type="paragraph" w:styleId="ListContinue5">
    <w:name w:val="List Continue 5"/>
    <w:basedOn w:val="Normal"/>
    <w:uiPriority w:val="99"/>
    <w:semiHidden/>
    <w:unhideWhenUsed/>
    <w:locked/>
    <w:rsid w:val="00E76054"/>
    <w:pPr>
      <w:spacing w:after="120"/>
      <w:ind w:left="1415"/>
      <w:contextualSpacing/>
    </w:pPr>
  </w:style>
  <w:style w:type="paragraph" w:styleId="ListNumber2">
    <w:name w:val="List Number 2"/>
    <w:basedOn w:val="Normal"/>
    <w:uiPriority w:val="99"/>
    <w:semiHidden/>
    <w:unhideWhenUsed/>
    <w:locked/>
    <w:rsid w:val="00E76054"/>
    <w:pPr>
      <w:tabs>
        <w:tab w:val="num" w:pos="643"/>
      </w:tabs>
      <w:ind w:left="643" w:hanging="360"/>
      <w:contextualSpacing/>
    </w:pPr>
  </w:style>
  <w:style w:type="paragraph" w:styleId="ListNumber3">
    <w:name w:val="List Number 3"/>
    <w:basedOn w:val="Normal"/>
    <w:uiPriority w:val="99"/>
    <w:semiHidden/>
    <w:unhideWhenUsed/>
    <w:locked/>
    <w:rsid w:val="00E76054"/>
    <w:pPr>
      <w:tabs>
        <w:tab w:val="num" w:pos="926"/>
      </w:tabs>
      <w:ind w:left="926" w:hanging="360"/>
      <w:contextualSpacing/>
    </w:pPr>
  </w:style>
  <w:style w:type="paragraph" w:styleId="ListNumber4">
    <w:name w:val="List Number 4"/>
    <w:basedOn w:val="Normal"/>
    <w:uiPriority w:val="99"/>
    <w:semiHidden/>
    <w:unhideWhenUsed/>
    <w:locked/>
    <w:rsid w:val="00E76054"/>
    <w:pPr>
      <w:tabs>
        <w:tab w:val="num" w:pos="1209"/>
      </w:tabs>
      <w:ind w:left="1209" w:hanging="360"/>
      <w:contextualSpacing/>
    </w:pPr>
  </w:style>
  <w:style w:type="paragraph" w:styleId="ListNumber5">
    <w:name w:val="List Number 5"/>
    <w:basedOn w:val="Normal"/>
    <w:uiPriority w:val="99"/>
    <w:semiHidden/>
    <w:unhideWhenUsed/>
    <w:locked/>
    <w:rsid w:val="00E76054"/>
    <w:pPr>
      <w:tabs>
        <w:tab w:val="num" w:pos="1492"/>
      </w:tabs>
      <w:ind w:left="1492" w:hanging="360"/>
      <w:contextualSpacing/>
    </w:pPr>
  </w:style>
  <w:style w:type="paragraph" w:styleId="ListParagraph">
    <w:name w:val="List Paragraph"/>
    <w:basedOn w:val="Normal"/>
    <w:uiPriority w:val="55"/>
    <w:qFormat/>
    <w:locked/>
    <w:rsid w:val="00E76054"/>
    <w:pPr>
      <w:ind w:left="720"/>
      <w:contextualSpacing/>
    </w:pPr>
  </w:style>
  <w:style w:type="paragraph" w:styleId="MacroText">
    <w:name w:val="macro"/>
    <w:link w:val="MacroTextChar"/>
    <w:uiPriority w:val="99"/>
    <w:semiHidden/>
    <w:unhideWhenUsed/>
    <w:locked/>
    <w:rsid w:val="00E76054"/>
    <w:pPr>
      <w:tabs>
        <w:tab w:val="left" w:pos="480"/>
        <w:tab w:val="left" w:pos="960"/>
        <w:tab w:val="left" w:pos="1440"/>
        <w:tab w:val="left" w:pos="1920"/>
        <w:tab w:val="left" w:pos="2400"/>
        <w:tab w:val="left" w:pos="2880"/>
        <w:tab w:val="left" w:pos="3360"/>
        <w:tab w:val="left" w:pos="3840"/>
        <w:tab w:val="left" w:pos="4320"/>
      </w:tabs>
      <w:spacing w:line="480" w:lineRule="exact"/>
      <w:ind w:right="130" w:firstLine="720"/>
    </w:pPr>
    <w:rPr>
      <w:rFonts w:ascii="Consolas" w:hAnsi="Consolas"/>
      <w:sz w:val="20"/>
      <w:szCs w:val="20"/>
    </w:rPr>
  </w:style>
  <w:style w:type="character" w:customStyle="1" w:styleId="MacroTextChar">
    <w:name w:val="Macro Text Char"/>
    <w:basedOn w:val="DefaultParagraphFont"/>
    <w:link w:val="MacroText"/>
    <w:uiPriority w:val="99"/>
    <w:semiHidden/>
    <w:rsid w:val="00E76054"/>
    <w:rPr>
      <w:rFonts w:ascii="Consolas" w:hAnsi="Consolas"/>
      <w:sz w:val="20"/>
      <w:szCs w:val="20"/>
    </w:rPr>
  </w:style>
  <w:style w:type="paragraph" w:styleId="MessageHeader">
    <w:name w:val="Message Header"/>
    <w:basedOn w:val="Normal"/>
    <w:link w:val="MessageHeaderChar"/>
    <w:uiPriority w:val="99"/>
    <w:semiHidden/>
    <w:unhideWhenUsed/>
    <w:locked/>
    <w:rsid w:val="00E7605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76054"/>
    <w:rPr>
      <w:rFonts w:asciiTheme="majorHAnsi" w:eastAsiaTheme="majorEastAsia" w:hAnsiTheme="majorHAnsi" w:cstheme="majorBidi"/>
      <w:sz w:val="24"/>
      <w:szCs w:val="24"/>
      <w:shd w:val="pct20" w:color="auto" w:fill="auto"/>
    </w:rPr>
  </w:style>
  <w:style w:type="paragraph" w:styleId="NoSpacing">
    <w:name w:val="No Spacing"/>
    <w:uiPriority w:val="99"/>
    <w:semiHidden/>
    <w:qFormat/>
    <w:locked/>
    <w:rsid w:val="00E76054"/>
    <w:pPr>
      <w:tabs>
        <w:tab w:val="left" w:pos="720"/>
        <w:tab w:val="left" w:pos="1440"/>
        <w:tab w:val="left" w:pos="2160"/>
        <w:tab w:val="left" w:pos="2880"/>
        <w:tab w:val="left" w:pos="3600"/>
        <w:tab w:val="left" w:pos="4320"/>
        <w:tab w:val="left" w:pos="5040"/>
        <w:tab w:val="left" w:pos="5760"/>
        <w:tab w:val="left" w:pos="6480"/>
        <w:tab w:val="left" w:pos="7200"/>
      </w:tabs>
      <w:ind w:right="130" w:firstLine="720"/>
    </w:pPr>
  </w:style>
  <w:style w:type="paragraph" w:styleId="NormalWeb">
    <w:name w:val="Normal (Web)"/>
    <w:basedOn w:val="Normal"/>
    <w:uiPriority w:val="99"/>
    <w:semiHidden/>
    <w:unhideWhenUsed/>
    <w:locked/>
    <w:rsid w:val="00E76054"/>
    <w:rPr>
      <w:rFonts w:ascii="Times New Roman" w:hAnsi="Times New Roman"/>
      <w:sz w:val="24"/>
      <w:szCs w:val="24"/>
    </w:rPr>
  </w:style>
  <w:style w:type="paragraph" w:styleId="NormalIndent">
    <w:name w:val="Normal Indent"/>
    <w:basedOn w:val="Normal"/>
    <w:uiPriority w:val="99"/>
    <w:semiHidden/>
    <w:unhideWhenUsed/>
    <w:locked/>
    <w:rsid w:val="00E76054"/>
    <w:pPr>
      <w:ind w:left="720"/>
    </w:pPr>
  </w:style>
  <w:style w:type="paragraph" w:styleId="NoteHeading">
    <w:name w:val="Note Heading"/>
    <w:basedOn w:val="Normal"/>
    <w:next w:val="Normal"/>
    <w:link w:val="NoteHeadingChar"/>
    <w:uiPriority w:val="99"/>
    <w:semiHidden/>
    <w:unhideWhenUsed/>
    <w:locked/>
    <w:rsid w:val="00E76054"/>
    <w:pPr>
      <w:spacing w:line="240" w:lineRule="auto"/>
    </w:pPr>
  </w:style>
  <w:style w:type="character" w:customStyle="1" w:styleId="NoteHeadingChar">
    <w:name w:val="Note Heading Char"/>
    <w:basedOn w:val="DefaultParagraphFont"/>
    <w:link w:val="NoteHeading"/>
    <w:uiPriority w:val="99"/>
    <w:semiHidden/>
    <w:rsid w:val="00E76054"/>
  </w:style>
  <w:style w:type="paragraph" w:styleId="PlainText">
    <w:name w:val="Plain Text"/>
    <w:basedOn w:val="Normal"/>
    <w:link w:val="PlainTextChar"/>
    <w:uiPriority w:val="99"/>
    <w:semiHidden/>
    <w:unhideWhenUsed/>
    <w:locked/>
    <w:rsid w:val="00E7605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6054"/>
    <w:rPr>
      <w:rFonts w:ascii="Consolas" w:hAnsi="Consolas"/>
      <w:sz w:val="21"/>
      <w:szCs w:val="21"/>
    </w:rPr>
  </w:style>
  <w:style w:type="paragraph" w:styleId="Quote">
    <w:name w:val="Quote"/>
    <w:basedOn w:val="Normal"/>
    <w:next w:val="Normal"/>
    <w:link w:val="QuoteChar"/>
    <w:uiPriority w:val="99"/>
    <w:semiHidden/>
    <w:qFormat/>
    <w:locked/>
    <w:rsid w:val="00E7605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E76054"/>
    <w:rPr>
      <w:i/>
      <w:iCs/>
      <w:color w:val="404040" w:themeColor="text1" w:themeTint="BF"/>
    </w:rPr>
  </w:style>
  <w:style w:type="paragraph" w:styleId="Salutation">
    <w:name w:val="Salutation"/>
    <w:basedOn w:val="Normal"/>
    <w:next w:val="Normal"/>
    <w:link w:val="SalutationChar"/>
    <w:uiPriority w:val="99"/>
    <w:semiHidden/>
    <w:locked/>
    <w:rsid w:val="00E76054"/>
  </w:style>
  <w:style w:type="character" w:customStyle="1" w:styleId="SalutationChar">
    <w:name w:val="Salutation Char"/>
    <w:basedOn w:val="DefaultParagraphFont"/>
    <w:link w:val="Salutation"/>
    <w:uiPriority w:val="99"/>
    <w:semiHidden/>
    <w:rsid w:val="00E76054"/>
  </w:style>
  <w:style w:type="paragraph" w:styleId="Signature">
    <w:name w:val="Signature"/>
    <w:basedOn w:val="Normal"/>
    <w:link w:val="SignatureChar"/>
    <w:uiPriority w:val="99"/>
    <w:semiHidden/>
    <w:unhideWhenUsed/>
    <w:locked/>
    <w:rsid w:val="00E76054"/>
    <w:pPr>
      <w:spacing w:line="240" w:lineRule="auto"/>
      <w:ind w:left="4252"/>
    </w:pPr>
  </w:style>
  <w:style w:type="character" w:customStyle="1" w:styleId="SignatureChar">
    <w:name w:val="Signature Char"/>
    <w:basedOn w:val="DefaultParagraphFont"/>
    <w:link w:val="Signature"/>
    <w:uiPriority w:val="99"/>
    <w:semiHidden/>
    <w:rsid w:val="00E76054"/>
  </w:style>
  <w:style w:type="paragraph" w:styleId="Subtitle">
    <w:name w:val="Subtitle"/>
    <w:basedOn w:val="Normal"/>
    <w:next w:val="Normal"/>
    <w:link w:val="SubtitleChar"/>
    <w:uiPriority w:val="99"/>
    <w:semiHidden/>
    <w:qFormat/>
    <w:locked/>
    <w:rsid w:val="00E76054"/>
    <w:pPr>
      <w:numPr>
        <w:ilvl w:val="1"/>
      </w:numPr>
      <w:spacing w:after="160"/>
      <w:ind w:firstLine="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semiHidden/>
    <w:rsid w:val="00E76054"/>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locked/>
    <w:rsid w:val="00E76054"/>
    <w:pPr>
      <w:tabs>
        <w:tab w:val="clear" w:pos="720"/>
        <w:tab w:val="clear" w:pos="1440"/>
        <w:tab w:val="clear" w:pos="2160"/>
        <w:tab w:val="clear" w:pos="2880"/>
        <w:tab w:val="clear" w:pos="3600"/>
        <w:tab w:val="clear" w:pos="4320"/>
        <w:tab w:val="clear" w:pos="5040"/>
        <w:tab w:val="clear" w:pos="5760"/>
        <w:tab w:val="clear" w:pos="6480"/>
        <w:tab w:val="clear" w:pos="7200"/>
      </w:tabs>
      <w:ind w:left="260" w:hanging="260"/>
    </w:pPr>
  </w:style>
  <w:style w:type="paragraph" w:styleId="TableofFigures">
    <w:name w:val="table of figures"/>
    <w:basedOn w:val="Normal"/>
    <w:next w:val="Normal"/>
    <w:uiPriority w:val="99"/>
    <w:semiHidden/>
    <w:unhideWhenUsed/>
    <w:locked/>
    <w:rsid w:val="00E76054"/>
    <w:pPr>
      <w:tabs>
        <w:tab w:val="clear" w:pos="720"/>
        <w:tab w:val="clear" w:pos="1440"/>
        <w:tab w:val="clear" w:pos="2160"/>
        <w:tab w:val="clear" w:pos="2880"/>
        <w:tab w:val="clear" w:pos="3600"/>
        <w:tab w:val="clear" w:pos="4320"/>
        <w:tab w:val="clear" w:pos="5040"/>
        <w:tab w:val="clear" w:pos="5760"/>
        <w:tab w:val="clear" w:pos="6480"/>
        <w:tab w:val="clear" w:pos="7200"/>
      </w:tabs>
    </w:pPr>
  </w:style>
  <w:style w:type="paragraph" w:styleId="Title">
    <w:name w:val="Title"/>
    <w:basedOn w:val="Normal"/>
    <w:next w:val="Normal"/>
    <w:link w:val="TitleChar"/>
    <w:uiPriority w:val="99"/>
    <w:qFormat/>
    <w:locked/>
    <w:rsid w:val="00E7605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E7605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locked/>
    <w:rsid w:val="00E7605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locked/>
    <w:rsid w:val="00E76054"/>
    <w:pPr>
      <w:tabs>
        <w:tab w:val="clear" w:pos="720"/>
        <w:tab w:val="clear" w:pos="1440"/>
        <w:tab w:val="clear" w:pos="2160"/>
        <w:tab w:val="clear" w:pos="2880"/>
        <w:tab w:val="clear" w:pos="3600"/>
        <w:tab w:val="clear" w:pos="4320"/>
        <w:tab w:val="clear" w:pos="5040"/>
        <w:tab w:val="clear" w:pos="5760"/>
        <w:tab w:val="clear" w:pos="6480"/>
        <w:tab w:val="clear" w:pos="7200"/>
      </w:tabs>
      <w:spacing w:after="100"/>
    </w:pPr>
  </w:style>
  <w:style w:type="paragraph" w:styleId="TOC2">
    <w:name w:val="toc 2"/>
    <w:basedOn w:val="Normal"/>
    <w:next w:val="Normal"/>
    <w:autoRedefine/>
    <w:uiPriority w:val="99"/>
    <w:semiHidden/>
    <w:unhideWhenUsed/>
    <w:locked/>
    <w:rsid w:val="00E76054"/>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260"/>
    </w:pPr>
  </w:style>
  <w:style w:type="paragraph" w:styleId="TOC3">
    <w:name w:val="toc 3"/>
    <w:basedOn w:val="Normal"/>
    <w:next w:val="Normal"/>
    <w:autoRedefine/>
    <w:uiPriority w:val="99"/>
    <w:semiHidden/>
    <w:unhideWhenUsed/>
    <w:locked/>
    <w:rsid w:val="00E76054"/>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520"/>
    </w:pPr>
  </w:style>
  <w:style w:type="paragraph" w:styleId="TOC4">
    <w:name w:val="toc 4"/>
    <w:basedOn w:val="Normal"/>
    <w:next w:val="Normal"/>
    <w:autoRedefine/>
    <w:uiPriority w:val="99"/>
    <w:semiHidden/>
    <w:unhideWhenUsed/>
    <w:locked/>
    <w:rsid w:val="00E76054"/>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780"/>
    </w:pPr>
  </w:style>
  <w:style w:type="paragraph" w:styleId="TOC5">
    <w:name w:val="toc 5"/>
    <w:basedOn w:val="Normal"/>
    <w:next w:val="Normal"/>
    <w:autoRedefine/>
    <w:uiPriority w:val="99"/>
    <w:semiHidden/>
    <w:unhideWhenUsed/>
    <w:locked/>
    <w:rsid w:val="00E76054"/>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040"/>
    </w:pPr>
  </w:style>
  <w:style w:type="paragraph" w:styleId="TOC6">
    <w:name w:val="toc 6"/>
    <w:basedOn w:val="Normal"/>
    <w:next w:val="Normal"/>
    <w:autoRedefine/>
    <w:uiPriority w:val="99"/>
    <w:semiHidden/>
    <w:unhideWhenUsed/>
    <w:locked/>
    <w:rsid w:val="00E76054"/>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300"/>
    </w:pPr>
  </w:style>
  <w:style w:type="paragraph" w:styleId="TOC7">
    <w:name w:val="toc 7"/>
    <w:basedOn w:val="Normal"/>
    <w:next w:val="Normal"/>
    <w:autoRedefine/>
    <w:uiPriority w:val="99"/>
    <w:semiHidden/>
    <w:unhideWhenUsed/>
    <w:locked/>
    <w:rsid w:val="00E76054"/>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560"/>
    </w:pPr>
  </w:style>
  <w:style w:type="paragraph" w:styleId="TOC8">
    <w:name w:val="toc 8"/>
    <w:basedOn w:val="Normal"/>
    <w:next w:val="Normal"/>
    <w:autoRedefine/>
    <w:uiPriority w:val="99"/>
    <w:semiHidden/>
    <w:unhideWhenUsed/>
    <w:locked/>
    <w:rsid w:val="00E76054"/>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820"/>
    </w:pPr>
  </w:style>
  <w:style w:type="paragraph" w:styleId="TOC9">
    <w:name w:val="toc 9"/>
    <w:basedOn w:val="Normal"/>
    <w:next w:val="Normal"/>
    <w:autoRedefine/>
    <w:uiPriority w:val="99"/>
    <w:semiHidden/>
    <w:unhideWhenUsed/>
    <w:locked/>
    <w:rsid w:val="00E76054"/>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2080"/>
    </w:pPr>
  </w:style>
  <w:style w:type="paragraph" w:styleId="TOCHeading">
    <w:name w:val="TOC Heading"/>
    <w:basedOn w:val="Heading1"/>
    <w:next w:val="Normal"/>
    <w:uiPriority w:val="99"/>
    <w:semiHidden/>
    <w:unhideWhenUsed/>
    <w:qFormat/>
    <w:locked/>
    <w:rsid w:val="00E76054"/>
    <w:pPr>
      <w:keepLines/>
      <w:numPr>
        <w:numId w:val="0"/>
      </w:numPr>
      <w:spacing w:before="240"/>
      <w:ind w:right="130" w:firstLine="720"/>
      <w:outlineLvl w:val="9"/>
    </w:pPr>
    <w:rPr>
      <w:rFonts w:asciiTheme="majorHAnsi" w:eastAsiaTheme="majorEastAsia" w:hAnsiTheme="majorHAnsi" w:cstheme="majorBidi"/>
      <w:color w:val="365F91" w:themeColor="accent1" w:themeShade="BF"/>
      <w:sz w:val="32"/>
      <w:szCs w:val="32"/>
      <w:u w:val="none"/>
    </w:rPr>
  </w:style>
  <w:style w:type="paragraph" w:customStyle="1" w:styleId="Body">
    <w:name w:val="Body"/>
    <w:basedOn w:val="Normal"/>
    <w:qFormat/>
    <w:rsid w:val="005A714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5A714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5A714E"/>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5A714E"/>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5A714E"/>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5A714E"/>
    <w:pPr>
      <w:jc w:val="center"/>
    </w:pPr>
    <w:rPr>
      <w:rFonts w:ascii="Times New Roman" w:hAnsi="Times New Roman"/>
      <w:bCs/>
      <w:szCs w:val="20"/>
      <w:lang w:val="en-GB"/>
    </w:rPr>
  </w:style>
  <w:style w:type="paragraph" w:customStyle="1" w:styleId="Default">
    <w:name w:val="Default"/>
    <w:rsid w:val="005A714E"/>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9B9AD-0407-49E2-A527-0EFEAD0E3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FDD87F-E6C5-45A4-B0F7-4EF14E048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45</Pages>
  <Words>11772</Words>
  <Characters>67103</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2021-12-06T01:39:00Z</dcterms:created>
  <dcterms:modified xsi:type="dcterms:W3CDTF">2021-12-06T01:41:00Z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