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DA481" w14:textId="77777777" w:rsidR="00005D63" w:rsidRPr="00704FF8" w:rsidRDefault="00005D63" w:rsidP="00704FF8">
      <w:pPr>
        <w:pStyle w:val="OrdersTopLine"/>
      </w:pPr>
      <w:r w:rsidRPr="00704FF8">
        <w:t>HIGH COURT OF AUSTRALIA</w:t>
      </w:r>
    </w:p>
    <w:p w14:paraId="03DC9D04" w14:textId="77777777" w:rsidR="00005D63" w:rsidRPr="00704FF8" w:rsidRDefault="00005D63" w:rsidP="00704FF8">
      <w:pPr>
        <w:pStyle w:val="OrderCentre"/>
      </w:pPr>
    </w:p>
    <w:p w14:paraId="4180661D" w14:textId="77777777" w:rsidR="00005D63" w:rsidRPr="00704FF8" w:rsidRDefault="00005D63" w:rsidP="00704FF8">
      <w:pPr>
        <w:pStyle w:val="OrderCentre"/>
      </w:pPr>
      <w:r w:rsidRPr="00704FF8">
        <w:t>KIEFEL CJ</w:t>
      </w:r>
      <w:r>
        <w:t>,</w:t>
      </w:r>
    </w:p>
    <w:p w14:paraId="75DA4132" w14:textId="77777777" w:rsidR="00005D63" w:rsidRPr="00704FF8" w:rsidRDefault="00005D63" w:rsidP="00704FF8">
      <w:pPr>
        <w:pStyle w:val="OrderCentre"/>
      </w:pPr>
      <w:r w:rsidRPr="00704FF8">
        <w:t>BELL, GAGELER, KEANE, GORDON</w:t>
      </w:r>
      <w:r w:rsidRPr="00B615B3">
        <w:t>, EDELMAN AND STEWARD JJ</w:t>
      </w:r>
    </w:p>
    <w:p w14:paraId="51041320" w14:textId="77777777" w:rsidR="00005D63" w:rsidRPr="00427F3A" w:rsidRDefault="00005D63" w:rsidP="00EE5374">
      <w:pPr>
        <w:pStyle w:val="Centre"/>
        <w:rPr>
          <w:lang w:val="en-AU"/>
        </w:rPr>
      </w:pPr>
    </w:p>
    <w:p w14:paraId="245E8520" w14:textId="77777777" w:rsidR="00005D63" w:rsidRPr="00704FF8" w:rsidRDefault="00005D63" w:rsidP="00704FF8">
      <w:pPr>
        <w:pStyle w:val="OrdersCenteredBorder"/>
      </w:pPr>
    </w:p>
    <w:p w14:paraId="5925CF93" w14:textId="77777777" w:rsidR="00005D63" w:rsidRPr="00704FF8" w:rsidRDefault="00005D63" w:rsidP="0032341F">
      <w:pPr>
        <w:pStyle w:val="OrdersBodyHeading"/>
      </w:pPr>
    </w:p>
    <w:p w14:paraId="1A992806" w14:textId="77777777" w:rsidR="00005D63" w:rsidRPr="0032341F" w:rsidRDefault="00005D63" w:rsidP="009362E8">
      <w:pPr>
        <w:pStyle w:val="OrdersPartyName"/>
        <w:ind w:right="-1"/>
      </w:pPr>
      <w:r w:rsidRPr="00B615B3">
        <w:t>MINISTER FOR HOME AFFAIRS</w:t>
      </w:r>
      <w:r w:rsidRPr="0032341F">
        <w:tab/>
      </w:r>
      <w:r>
        <w:t>APPLICANT</w:t>
      </w:r>
    </w:p>
    <w:p w14:paraId="00A13E0F" w14:textId="77777777" w:rsidR="00005D63" w:rsidRPr="0032341F" w:rsidRDefault="00005D63" w:rsidP="009362E8">
      <w:pPr>
        <w:pStyle w:val="OrdersPartyName"/>
        <w:ind w:right="-1"/>
      </w:pPr>
    </w:p>
    <w:p w14:paraId="44D66AB0" w14:textId="77777777" w:rsidR="00005D63" w:rsidRPr="0032341F" w:rsidRDefault="00005D63" w:rsidP="009362E8">
      <w:pPr>
        <w:pStyle w:val="OrdersPartyName"/>
        <w:ind w:right="-1"/>
      </w:pPr>
      <w:r w:rsidRPr="0032341F">
        <w:t>AND</w:t>
      </w:r>
    </w:p>
    <w:p w14:paraId="70C7C657" w14:textId="77777777" w:rsidR="00005D63" w:rsidRPr="0032341F" w:rsidRDefault="00005D63" w:rsidP="009362E8">
      <w:pPr>
        <w:pStyle w:val="OrdersPartyName"/>
        <w:ind w:right="-1"/>
      </w:pPr>
    </w:p>
    <w:p w14:paraId="3B10EC32" w14:textId="77777777" w:rsidR="00005D63" w:rsidRPr="0032341F" w:rsidRDefault="00005D63" w:rsidP="009362E8">
      <w:pPr>
        <w:pStyle w:val="OrdersPartyName"/>
        <w:ind w:right="-1"/>
      </w:pPr>
      <w:r w:rsidRPr="00B615B3">
        <w:t>ABDUL NACER</w:t>
      </w:r>
      <w:r>
        <w:t xml:space="preserve"> </w:t>
      </w:r>
      <w:r w:rsidRPr="00B615B3">
        <w:t>BENBRIKA</w:t>
      </w:r>
      <w:r w:rsidRPr="0032341F">
        <w:tab/>
      </w:r>
      <w:r>
        <w:t>RESPONDENT</w:t>
      </w:r>
    </w:p>
    <w:p w14:paraId="134205EB" w14:textId="77777777" w:rsidR="00005D63" w:rsidRPr="00427F3A" w:rsidRDefault="00005D63" w:rsidP="00AF0A5E">
      <w:pPr>
        <w:pStyle w:val="BodyHeading"/>
      </w:pPr>
    </w:p>
    <w:p w14:paraId="66E9D459" w14:textId="77777777" w:rsidR="00005D63" w:rsidRPr="00427F3A" w:rsidRDefault="00005D63" w:rsidP="00BE0A6C">
      <w:pPr>
        <w:pStyle w:val="BodyHeading"/>
      </w:pPr>
    </w:p>
    <w:p w14:paraId="33843B37" w14:textId="77777777" w:rsidR="00005D63" w:rsidRPr="00427F3A" w:rsidRDefault="00005D63" w:rsidP="00EE5374">
      <w:pPr>
        <w:pStyle w:val="CentreItalics"/>
      </w:pPr>
      <w:r w:rsidRPr="00B615B3">
        <w:t>Minister for Home Affairs v Benbrika</w:t>
      </w:r>
    </w:p>
    <w:p w14:paraId="72E0817F" w14:textId="77777777" w:rsidR="00005D63" w:rsidRPr="00427F3A" w:rsidRDefault="00005D63" w:rsidP="00E90E4F">
      <w:pPr>
        <w:pStyle w:val="OrdersCentre"/>
      </w:pPr>
      <w:r>
        <w:t>[2021</w:t>
      </w:r>
      <w:r w:rsidRPr="00427F3A">
        <w:t xml:space="preserve">] HCA </w:t>
      </w:r>
      <w:r>
        <w:t>4</w:t>
      </w:r>
    </w:p>
    <w:p w14:paraId="29D4E125" w14:textId="77777777" w:rsidR="00005D63" w:rsidRDefault="00005D63" w:rsidP="00E90E4F">
      <w:pPr>
        <w:pStyle w:val="OrdersCentreItalics"/>
      </w:pPr>
      <w:r>
        <w:t>Date of Hearing: 10 December 2020</w:t>
      </w:r>
    </w:p>
    <w:p w14:paraId="66CE1398" w14:textId="77777777" w:rsidR="00005D63" w:rsidRPr="00427F3A" w:rsidRDefault="00005D63" w:rsidP="00E90E4F">
      <w:pPr>
        <w:pStyle w:val="OrdersCentreItalics"/>
      </w:pPr>
      <w:r>
        <w:t>Date of Judgment: 10 February 2021</w:t>
      </w:r>
    </w:p>
    <w:p w14:paraId="0AD28F2E" w14:textId="77777777" w:rsidR="00005D63" w:rsidRDefault="00005D63" w:rsidP="00E90E4F">
      <w:pPr>
        <w:pStyle w:val="OrdersCentre"/>
      </w:pPr>
      <w:r w:rsidRPr="00B615B3">
        <w:t>M112/2020</w:t>
      </w:r>
    </w:p>
    <w:p w14:paraId="4ACB8CD6" w14:textId="77777777" w:rsidR="00005D63" w:rsidRPr="00427F3A" w:rsidRDefault="00005D63" w:rsidP="00E90E4F">
      <w:pPr>
        <w:pStyle w:val="OrdersCentre"/>
      </w:pPr>
    </w:p>
    <w:p w14:paraId="7DE6BF43" w14:textId="77777777" w:rsidR="00005D63" w:rsidRPr="00BE0A6C" w:rsidRDefault="00005D63" w:rsidP="00E90E4F">
      <w:pPr>
        <w:pStyle w:val="OrderCentreBold"/>
      </w:pPr>
      <w:r w:rsidRPr="00BE0A6C">
        <w:t>ORDER</w:t>
      </w:r>
    </w:p>
    <w:p w14:paraId="18445F29" w14:textId="77777777" w:rsidR="00005D63" w:rsidRPr="00427F3A" w:rsidRDefault="00005D63" w:rsidP="00736C52">
      <w:pPr>
        <w:pStyle w:val="Centre"/>
        <w:rPr>
          <w:lang w:val="en-AU"/>
        </w:rPr>
      </w:pPr>
    </w:p>
    <w:p w14:paraId="12035814" w14:textId="77777777" w:rsidR="00005D63" w:rsidRDefault="00005D63" w:rsidP="00766962">
      <w:pPr>
        <w:pStyle w:val="OrdersText"/>
      </w:pPr>
      <w:r>
        <w:t>1.</w:t>
      </w:r>
      <w:r>
        <w:tab/>
        <w:t xml:space="preserve">The question reserved for the consideration of the Court of Appeal of the Supreme Court of Victoria and removed into this Court pursuant to s 40 of the </w:t>
      </w:r>
      <w:r w:rsidRPr="00766962">
        <w:rPr>
          <w:i w:val="0"/>
        </w:rPr>
        <w:t>Judiciary Act 1903</w:t>
      </w:r>
      <w:r>
        <w:t xml:space="preserve"> (Cth) is answered as follows:</w:t>
      </w:r>
    </w:p>
    <w:p w14:paraId="2556A2E0" w14:textId="77777777" w:rsidR="00005D63" w:rsidRDefault="00005D63" w:rsidP="00766962">
      <w:pPr>
        <w:pStyle w:val="OrdersText"/>
      </w:pPr>
    </w:p>
    <w:p w14:paraId="07B33A47" w14:textId="77777777" w:rsidR="00005D63" w:rsidRDefault="00005D63" w:rsidP="00766962">
      <w:pPr>
        <w:pStyle w:val="OrdersText"/>
        <w:ind w:left="1418"/>
      </w:pPr>
      <w:r>
        <w:t>Q.</w:t>
      </w:r>
      <w:r>
        <w:tab/>
        <w:t xml:space="preserve">Is all or any part of Division 105A of the </w:t>
      </w:r>
      <w:r w:rsidRPr="00766962">
        <w:rPr>
          <w:i w:val="0"/>
        </w:rPr>
        <w:t>Criminal Code</w:t>
      </w:r>
      <w:r w:rsidRPr="008C5E14">
        <w:t xml:space="preserve"> (Cth)</w:t>
      </w:r>
      <w:r>
        <w:t xml:space="preserve"> and, if so, which part, invalid because the power to make a continuing detention order under section 105A.7 of the </w:t>
      </w:r>
      <w:r w:rsidRPr="00E01828">
        <w:rPr>
          <w:i w:val="0"/>
        </w:rPr>
        <w:t>Code</w:t>
      </w:r>
      <w:r>
        <w:t xml:space="preserve"> is not within the judicial power of the Commonwealth and has been conferred, inter alia, on the Supreme Court of Victoria contrary to Chapter III of the Commonwealth </w:t>
      </w:r>
      <w:r w:rsidRPr="006B7AD1">
        <w:t>Constitution</w:t>
      </w:r>
      <w:r>
        <w:t>?</w:t>
      </w:r>
    </w:p>
    <w:p w14:paraId="01CF738A" w14:textId="77777777" w:rsidR="00005D63" w:rsidRDefault="00005D63" w:rsidP="00766962">
      <w:pPr>
        <w:pStyle w:val="OrdersText"/>
        <w:ind w:left="1418"/>
      </w:pPr>
    </w:p>
    <w:p w14:paraId="0E901C06" w14:textId="77777777" w:rsidR="00005D63" w:rsidRPr="00734709" w:rsidRDefault="00005D63" w:rsidP="00766962">
      <w:pPr>
        <w:pStyle w:val="OrdersText"/>
        <w:ind w:left="1418"/>
      </w:pPr>
      <w:r w:rsidRPr="00734709">
        <w:t>A.</w:t>
      </w:r>
      <w:r w:rsidRPr="00734709">
        <w:tab/>
        <w:t xml:space="preserve">No. </w:t>
      </w:r>
    </w:p>
    <w:p w14:paraId="498FD013" w14:textId="77777777" w:rsidR="00005D63" w:rsidRPr="00734709" w:rsidRDefault="00005D63" w:rsidP="00766962">
      <w:pPr>
        <w:pStyle w:val="OrdersText"/>
      </w:pPr>
    </w:p>
    <w:p w14:paraId="2D2E34BB" w14:textId="77777777" w:rsidR="00005D63" w:rsidRDefault="00005D63" w:rsidP="00766962">
      <w:pPr>
        <w:pStyle w:val="OrdersText"/>
      </w:pPr>
      <w:r w:rsidRPr="00734709">
        <w:t>2.</w:t>
      </w:r>
      <w:r w:rsidRPr="00734709">
        <w:tab/>
        <w:t>The respo</w:t>
      </w:r>
      <w:r w:rsidRPr="008C5E14">
        <w:t>ndent is to pay</w:t>
      </w:r>
      <w:r w:rsidRPr="00734709">
        <w:t xml:space="preserve"> the applicant's costs.</w:t>
      </w:r>
      <w:r>
        <w:t xml:space="preserve">  </w:t>
      </w:r>
    </w:p>
    <w:p w14:paraId="60A9BCE1" w14:textId="77777777" w:rsidR="00005D63" w:rsidRDefault="00005D63" w:rsidP="00EE5374">
      <w:pPr>
        <w:pStyle w:val="Body"/>
      </w:pPr>
    </w:p>
    <w:p w14:paraId="6ABFE07F" w14:textId="77777777" w:rsidR="00005D63" w:rsidRPr="00427F3A" w:rsidRDefault="00005D63" w:rsidP="00EE5374">
      <w:pPr>
        <w:pStyle w:val="Body"/>
      </w:pPr>
    </w:p>
    <w:p w14:paraId="5E146364" w14:textId="77777777" w:rsidR="00005D63" w:rsidRPr="00427F3A" w:rsidRDefault="00005D63" w:rsidP="00E90E4F">
      <w:pPr>
        <w:pStyle w:val="OrdersBodyHeading"/>
      </w:pPr>
      <w:r w:rsidRPr="00427F3A">
        <w:t>Representation</w:t>
      </w:r>
    </w:p>
    <w:p w14:paraId="4F35EBD0" w14:textId="77777777" w:rsidR="00005D63" w:rsidRDefault="00005D63" w:rsidP="00EE5374">
      <w:pPr>
        <w:pStyle w:val="Body"/>
      </w:pPr>
    </w:p>
    <w:p w14:paraId="62A46766" w14:textId="77777777" w:rsidR="00005D63" w:rsidRPr="00B615B3" w:rsidRDefault="00005D63" w:rsidP="00E90E4F">
      <w:pPr>
        <w:pStyle w:val="OrdersBody"/>
      </w:pPr>
      <w:r w:rsidRPr="00B615B3">
        <w:t xml:space="preserve">A P Berger QC for the </w:t>
      </w:r>
      <w:r>
        <w:t>applicant</w:t>
      </w:r>
      <w:r w:rsidRPr="00B615B3">
        <w:t xml:space="preserve"> (instructed by Australian Government Solicitor)</w:t>
      </w:r>
    </w:p>
    <w:p w14:paraId="581F8FEA" w14:textId="08A6AD0E" w:rsidR="00005D63" w:rsidRDefault="00005D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D49AC9A" w14:textId="0E6F8AD5" w:rsidR="00005D63" w:rsidRDefault="00005D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682DBCA8" w14:textId="77777777" w:rsidR="00005D63" w:rsidRPr="00B615B3" w:rsidRDefault="00005D63" w:rsidP="001B3C97">
      <w:pPr>
        <w:pStyle w:val="Body"/>
      </w:pPr>
    </w:p>
    <w:p w14:paraId="4DE0F85F" w14:textId="77777777" w:rsidR="00005D63" w:rsidRPr="00B615B3" w:rsidRDefault="00005D63" w:rsidP="00E90E4F">
      <w:pPr>
        <w:pStyle w:val="OrdersBody"/>
      </w:pPr>
      <w:r w:rsidRPr="00B615B3">
        <w:t xml:space="preserve">R Merkel QC </w:t>
      </w:r>
      <w:r>
        <w:t>and</w:t>
      </w:r>
      <w:r w:rsidRPr="00B615B3">
        <w:t xml:space="preserve"> C J Tran </w:t>
      </w:r>
      <w:r>
        <w:t>with</w:t>
      </w:r>
      <w:r w:rsidRPr="00B615B3">
        <w:t xml:space="preserve"> E S Jones for the </w:t>
      </w:r>
      <w:r>
        <w:t>respondent</w:t>
      </w:r>
      <w:r w:rsidRPr="00B615B3">
        <w:t xml:space="preserve"> (instructed by </w:t>
      </w:r>
      <w:proofErr w:type="spellStart"/>
      <w:r w:rsidRPr="00B615B3">
        <w:t>Doogue</w:t>
      </w:r>
      <w:proofErr w:type="spellEnd"/>
      <w:r w:rsidRPr="00B615B3">
        <w:t xml:space="preserve"> + George Lawyers)</w:t>
      </w:r>
    </w:p>
    <w:p w14:paraId="4AA531B9" w14:textId="77777777" w:rsidR="00005D63" w:rsidRPr="00B615B3" w:rsidRDefault="00005D63" w:rsidP="00A01277">
      <w:pPr>
        <w:pStyle w:val="Body"/>
      </w:pPr>
    </w:p>
    <w:p w14:paraId="3E715E8C" w14:textId="77777777" w:rsidR="00005D63" w:rsidRPr="00B615B3" w:rsidRDefault="00005D63" w:rsidP="00EB2770">
      <w:pPr>
        <w:pStyle w:val="OrdersBody"/>
      </w:pPr>
      <w:r w:rsidRPr="00B615B3">
        <w:t xml:space="preserve">S P </w:t>
      </w:r>
      <w:proofErr w:type="spellStart"/>
      <w:r w:rsidRPr="00B615B3">
        <w:t>Donaghue</w:t>
      </w:r>
      <w:proofErr w:type="spellEnd"/>
      <w:r w:rsidRPr="00B615B3">
        <w:t xml:space="preserve"> QC, Solicitor-General of the Commonwealth, with M A Hosking for the Attorney-General of the Commonwealth, intervening (instructed by Australian Government Solicitor)</w:t>
      </w:r>
    </w:p>
    <w:p w14:paraId="1E45009F" w14:textId="77777777" w:rsidR="00005D63" w:rsidRDefault="00005D63" w:rsidP="00A01277">
      <w:pPr>
        <w:pStyle w:val="Body"/>
      </w:pPr>
    </w:p>
    <w:p w14:paraId="58358C7B" w14:textId="77777777" w:rsidR="00005D63" w:rsidRDefault="00005D63" w:rsidP="00EE5374">
      <w:pPr>
        <w:pStyle w:val="Body"/>
      </w:pPr>
    </w:p>
    <w:p w14:paraId="195B37C8" w14:textId="77777777" w:rsidR="00005D63" w:rsidRDefault="00005D63" w:rsidP="00EE5374">
      <w:pPr>
        <w:pStyle w:val="Body"/>
      </w:pPr>
    </w:p>
    <w:p w14:paraId="5B77B91D" w14:textId="77777777" w:rsidR="00005D63" w:rsidRDefault="00005D63" w:rsidP="00EE5374">
      <w:pPr>
        <w:pStyle w:val="Body"/>
      </w:pPr>
    </w:p>
    <w:p w14:paraId="1B0575FD" w14:textId="77777777" w:rsidR="00005D63" w:rsidRDefault="00005D63" w:rsidP="00EE5374">
      <w:pPr>
        <w:pStyle w:val="Body"/>
      </w:pPr>
    </w:p>
    <w:p w14:paraId="3B8C2654" w14:textId="77777777" w:rsidR="00005D63" w:rsidRDefault="00005D63" w:rsidP="00EE5374">
      <w:pPr>
        <w:pStyle w:val="Body"/>
      </w:pPr>
    </w:p>
    <w:p w14:paraId="0AA73FEF" w14:textId="77777777" w:rsidR="00005D63" w:rsidRDefault="00005D63" w:rsidP="00EE5374">
      <w:pPr>
        <w:pStyle w:val="Body"/>
      </w:pPr>
    </w:p>
    <w:p w14:paraId="4D4C5804" w14:textId="77777777" w:rsidR="00005D63" w:rsidRDefault="00005D63" w:rsidP="00EE5374">
      <w:pPr>
        <w:pStyle w:val="Body"/>
      </w:pPr>
    </w:p>
    <w:p w14:paraId="04D96108" w14:textId="77777777" w:rsidR="00005D63" w:rsidRDefault="00005D63" w:rsidP="00EE5374">
      <w:pPr>
        <w:pStyle w:val="Body"/>
      </w:pPr>
    </w:p>
    <w:p w14:paraId="226C1FA3" w14:textId="77777777" w:rsidR="00005D63" w:rsidRDefault="00005D63" w:rsidP="00EE5374">
      <w:pPr>
        <w:pStyle w:val="Body"/>
      </w:pPr>
    </w:p>
    <w:p w14:paraId="29067EBE" w14:textId="77777777" w:rsidR="00005D63" w:rsidRDefault="00005D63" w:rsidP="00EE5374">
      <w:pPr>
        <w:pStyle w:val="Body"/>
      </w:pPr>
    </w:p>
    <w:p w14:paraId="79390048" w14:textId="77777777" w:rsidR="00005D63" w:rsidRDefault="00005D63" w:rsidP="00EE5374">
      <w:pPr>
        <w:pStyle w:val="Body"/>
      </w:pPr>
    </w:p>
    <w:p w14:paraId="1ACCD261" w14:textId="77777777" w:rsidR="00005D63" w:rsidRDefault="00005D63" w:rsidP="00EE5374">
      <w:pPr>
        <w:pStyle w:val="Body"/>
      </w:pPr>
    </w:p>
    <w:p w14:paraId="3EAF8F68" w14:textId="77777777" w:rsidR="00005D63" w:rsidRDefault="00005D63" w:rsidP="00EE5374">
      <w:pPr>
        <w:pStyle w:val="Body"/>
      </w:pPr>
    </w:p>
    <w:p w14:paraId="701D5D26" w14:textId="77777777" w:rsidR="00005D63" w:rsidRDefault="00005D63" w:rsidP="00EE5374">
      <w:pPr>
        <w:pStyle w:val="Body"/>
      </w:pPr>
    </w:p>
    <w:p w14:paraId="318B68E0" w14:textId="77777777" w:rsidR="00005D63" w:rsidRDefault="00005D63" w:rsidP="00EE5374">
      <w:pPr>
        <w:pStyle w:val="Body"/>
      </w:pPr>
    </w:p>
    <w:p w14:paraId="4C432CC5" w14:textId="77777777" w:rsidR="00005D63" w:rsidRDefault="00005D63" w:rsidP="00EE5374">
      <w:pPr>
        <w:pStyle w:val="Body"/>
      </w:pPr>
    </w:p>
    <w:p w14:paraId="481961C6" w14:textId="77777777" w:rsidR="00005D63" w:rsidRDefault="00005D63" w:rsidP="00EE5374">
      <w:pPr>
        <w:pStyle w:val="Body"/>
      </w:pPr>
    </w:p>
    <w:p w14:paraId="10C8CB77" w14:textId="77777777" w:rsidR="00005D63" w:rsidRDefault="00005D63" w:rsidP="00EE5374">
      <w:pPr>
        <w:pStyle w:val="Body"/>
      </w:pPr>
    </w:p>
    <w:p w14:paraId="0232423E" w14:textId="77777777" w:rsidR="00005D63" w:rsidRDefault="00005D63" w:rsidP="00EE5374">
      <w:pPr>
        <w:pStyle w:val="Body"/>
      </w:pPr>
    </w:p>
    <w:p w14:paraId="5D23E5DD" w14:textId="77777777" w:rsidR="00005D63" w:rsidRDefault="00005D63" w:rsidP="00EE5374">
      <w:pPr>
        <w:pStyle w:val="Body"/>
      </w:pPr>
    </w:p>
    <w:p w14:paraId="453648F9" w14:textId="77777777" w:rsidR="00005D63" w:rsidRDefault="00005D63" w:rsidP="00EE5374">
      <w:pPr>
        <w:pStyle w:val="Body"/>
      </w:pPr>
    </w:p>
    <w:p w14:paraId="4E9A4256" w14:textId="77777777" w:rsidR="00005D63" w:rsidRDefault="00005D63" w:rsidP="00EE5374">
      <w:pPr>
        <w:pStyle w:val="Body"/>
      </w:pPr>
    </w:p>
    <w:p w14:paraId="0EEFBAD5" w14:textId="77777777" w:rsidR="00005D63" w:rsidRDefault="00005D63" w:rsidP="00EE5374">
      <w:pPr>
        <w:pStyle w:val="Body"/>
      </w:pPr>
    </w:p>
    <w:p w14:paraId="1DDF2BD6" w14:textId="77777777" w:rsidR="00005D63" w:rsidRDefault="00005D63" w:rsidP="00EE5374">
      <w:pPr>
        <w:pStyle w:val="Body"/>
      </w:pPr>
    </w:p>
    <w:p w14:paraId="15A17BE6" w14:textId="77777777" w:rsidR="00005D63" w:rsidRDefault="00005D63" w:rsidP="00EE5374">
      <w:pPr>
        <w:pStyle w:val="Body"/>
      </w:pPr>
    </w:p>
    <w:p w14:paraId="6F1AE125" w14:textId="77777777" w:rsidR="00005D63" w:rsidRDefault="00005D63" w:rsidP="00EE5374">
      <w:pPr>
        <w:pStyle w:val="Body"/>
      </w:pPr>
    </w:p>
    <w:p w14:paraId="753C4A4A" w14:textId="77777777" w:rsidR="00005D63" w:rsidRDefault="00005D63" w:rsidP="00EE5374">
      <w:pPr>
        <w:pStyle w:val="Body"/>
      </w:pPr>
    </w:p>
    <w:p w14:paraId="24FAF0D8" w14:textId="77777777" w:rsidR="00005D63" w:rsidRDefault="00005D63" w:rsidP="00EE5374">
      <w:pPr>
        <w:pStyle w:val="Body"/>
      </w:pPr>
    </w:p>
    <w:p w14:paraId="49F660F7" w14:textId="77777777" w:rsidR="00005D63" w:rsidRDefault="00005D63" w:rsidP="00EE5374">
      <w:pPr>
        <w:pStyle w:val="Body"/>
      </w:pPr>
    </w:p>
    <w:p w14:paraId="0BF2BD0C" w14:textId="77777777" w:rsidR="00005D63" w:rsidRDefault="00005D63" w:rsidP="00EE5374">
      <w:pPr>
        <w:pStyle w:val="Body"/>
      </w:pPr>
    </w:p>
    <w:p w14:paraId="7A4B3C9D" w14:textId="77777777" w:rsidR="00005D63" w:rsidRDefault="00005D63" w:rsidP="00EE5374">
      <w:pPr>
        <w:pStyle w:val="Body"/>
      </w:pPr>
    </w:p>
    <w:p w14:paraId="33614946" w14:textId="77777777" w:rsidR="00005D63" w:rsidRPr="00427F3A" w:rsidRDefault="00005D63" w:rsidP="00EE5374">
      <w:pPr>
        <w:pStyle w:val="Body"/>
      </w:pPr>
    </w:p>
    <w:p w14:paraId="3644CE2F" w14:textId="77777777" w:rsidR="00005D63" w:rsidRPr="00427F3A" w:rsidRDefault="00005D63" w:rsidP="00F9713B">
      <w:pPr>
        <w:pStyle w:val="Notice"/>
        <w:rPr>
          <w:lang w:val="en-AU"/>
        </w:rPr>
      </w:pPr>
      <w:r w:rsidRPr="00427F3A">
        <w:rPr>
          <w:lang w:val="en-AU"/>
        </w:rPr>
        <w:t>Notice:  This copy of the Court's Reasons for Judgment is subject to formal revision prior to publication in the Commonwealth Law Reports.</w:t>
      </w:r>
    </w:p>
    <w:p w14:paraId="7873080C" w14:textId="42D3B0FD" w:rsidR="00005D63" w:rsidRDefault="00005D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4B895E1" w14:textId="77777777" w:rsidR="00005D63" w:rsidRDefault="00005D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05D63" w:rsidSect="00005D6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C9E027E" w14:textId="77777777" w:rsidR="00005D63" w:rsidRDefault="00005D63" w:rsidP="001649CA">
      <w:pPr>
        <w:pStyle w:val="CatchwordsBold"/>
      </w:pPr>
      <w:r w:rsidRPr="00B9489E">
        <w:lastRenderedPageBreak/>
        <w:t>CATCHWORDS</w:t>
      </w:r>
    </w:p>
    <w:p w14:paraId="24D25000" w14:textId="77777777" w:rsidR="00005D63" w:rsidRPr="00B9489E" w:rsidRDefault="00005D63" w:rsidP="001649CA">
      <w:pPr>
        <w:pStyle w:val="CatchwordsBold"/>
      </w:pPr>
    </w:p>
    <w:p w14:paraId="3353DAA1" w14:textId="77777777" w:rsidR="00005D63" w:rsidRDefault="00005D63" w:rsidP="001649CA">
      <w:pPr>
        <w:pStyle w:val="CatchwordsBold"/>
      </w:pPr>
      <w:r>
        <w:t>Minister for Home Affairs</w:t>
      </w:r>
      <w:r w:rsidRPr="003D23B6">
        <w:t xml:space="preserve"> v </w:t>
      </w:r>
      <w:r>
        <w:t>Benbrika</w:t>
      </w:r>
    </w:p>
    <w:p w14:paraId="32F72908" w14:textId="77777777" w:rsidR="00005D63" w:rsidRPr="00B9489E" w:rsidRDefault="00005D63" w:rsidP="00562CAB">
      <w:pPr>
        <w:pStyle w:val="Default"/>
      </w:pPr>
    </w:p>
    <w:p w14:paraId="4EEDE9E1" w14:textId="77777777" w:rsidR="00005D63" w:rsidRPr="008E0782" w:rsidRDefault="00005D63" w:rsidP="00D3460A">
      <w:pPr>
        <w:pStyle w:val="CatchwordsText"/>
      </w:pPr>
      <w:r w:rsidRPr="00B44F62">
        <w:t>C</w:t>
      </w:r>
      <w:r>
        <w:t>onstitutional law (Cth)</w:t>
      </w:r>
      <w:r w:rsidRPr="00B44F62">
        <w:rPr>
          <w:b/>
        </w:rPr>
        <w:t xml:space="preserve"> </w:t>
      </w:r>
      <w:r w:rsidRPr="00B44F62">
        <w:t xml:space="preserve">– </w:t>
      </w:r>
      <w:r>
        <w:t>Judicial power of Commonwealth</w:t>
      </w:r>
      <w:r w:rsidRPr="00B44F62">
        <w:t xml:space="preserve"> – </w:t>
      </w:r>
      <w:r>
        <w:t xml:space="preserve">Jurisdiction vested </w:t>
      </w:r>
      <w:r w:rsidRPr="008E0782">
        <w:t xml:space="preserve">in State courts – Where Div 105A of </w:t>
      </w:r>
      <w:r w:rsidRPr="008E0782">
        <w:rPr>
          <w:i/>
        </w:rPr>
        <w:t xml:space="preserve">Criminal Code </w:t>
      </w:r>
      <w:r w:rsidRPr="008E0782">
        <w:t xml:space="preserve">(Cth) empowered Supreme Court of State or Territory, on application of Minister for Home Affairs, to order that person convicted of terrorist offence be detained in prison for further period after expiration of sentence of imprisonment pursuant to continuing detention order ("CDO") – Whether all or any part of Div 105A of </w:t>
      </w:r>
      <w:r w:rsidRPr="008E0782">
        <w:rPr>
          <w:i/>
        </w:rPr>
        <w:t>Criminal Code</w:t>
      </w:r>
      <w:r w:rsidRPr="008E0782">
        <w:t xml:space="preserve"> invalid because power to make CDO not within judicial power of Commonwealth having been conferred, inter alia, on Supreme Court of Victoria contrary to Ch III of </w:t>
      </w:r>
      <w:r w:rsidRPr="008E0782">
        <w:rPr>
          <w:i/>
        </w:rPr>
        <w:t>Constitution</w:t>
      </w:r>
      <w:r w:rsidRPr="008E0782">
        <w:t xml:space="preserve"> – Whether scheme for preventative detention of terrorist offender capable of falling within exception to principle articulated in </w:t>
      </w:r>
      <w:r w:rsidRPr="008E0782">
        <w:rPr>
          <w:i/>
        </w:rPr>
        <w:t xml:space="preserve">Chu Kheng Lim v Minister for Immigration </w:t>
      </w:r>
      <w:r w:rsidRPr="008E0782">
        <w:t xml:space="preserve">(1992) 176 CLR 1 that involuntary detention of citizen in custody by the State is penal or punitive in character and exists only as incident of exclusively judicial function of adjudging and punishing criminal guilt – Whether Div 105A of </w:t>
      </w:r>
      <w:r w:rsidRPr="008E0782">
        <w:rPr>
          <w:i/>
        </w:rPr>
        <w:t>Criminal Code</w:t>
      </w:r>
      <w:r w:rsidRPr="008E0782">
        <w:t xml:space="preserve"> directed to ensuring safety and protection of community from risk of harm posed by threat of terrorism.</w:t>
      </w:r>
    </w:p>
    <w:p w14:paraId="18322BA4" w14:textId="77777777" w:rsidR="00005D63" w:rsidRPr="008E0782" w:rsidRDefault="00005D63" w:rsidP="001649CA">
      <w:pPr>
        <w:pStyle w:val="CatchwordsText"/>
      </w:pPr>
    </w:p>
    <w:p w14:paraId="57C0F051" w14:textId="77777777" w:rsidR="00005D63" w:rsidRPr="008E0782" w:rsidRDefault="00005D63" w:rsidP="00670622">
      <w:pPr>
        <w:pStyle w:val="CatchwordsText"/>
      </w:pPr>
      <w:r w:rsidRPr="008E0782">
        <w:t xml:space="preserve">Words and phrases – "analogy", "apprehended conduct", "Ch III court", "continuing detention order", "exception to the </w:t>
      </w:r>
      <w:r w:rsidRPr="008E0782">
        <w:rPr>
          <w:i/>
        </w:rPr>
        <w:t xml:space="preserve">Lim </w:t>
      </w:r>
      <w:r w:rsidRPr="008E0782">
        <w:t>principle", "involuntary detention", "judicial function of adjudging and punishing criminal guilt", "judicial power of the Commonwealth", "less restrictive measure", "non-punitive purpose", "orthodox judicial process", "preventative detention", "protection of the community from harm", "protective punishment", "protective purpose", "punitive purpose", "restriction on liberty", "separation of powers", "serious Part 5.3 offence", "Supreme Court of a State or Territory", "terrorism", "terrorist act", "terrorist offence", "terrorist organisation", "unacceptable risk".</w:t>
      </w:r>
    </w:p>
    <w:p w14:paraId="1FD0470B" w14:textId="77777777" w:rsidR="00005D63" w:rsidRPr="008E0782" w:rsidRDefault="00005D63" w:rsidP="001649CA">
      <w:pPr>
        <w:pStyle w:val="CatchwordsText"/>
      </w:pPr>
    </w:p>
    <w:p w14:paraId="14422EE4" w14:textId="77777777" w:rsidR="00005D63" w:rsidRPr="008E0782" w:rsidRDefault="00005D63" w:rsidP="001649CA">
      <w:pPr>
        <w:pStyle w:val="CatchwordsText"/>
      </w:pPr>
      <w:r w:rsidRPr="008E0782">
        <w:rPr>
          <w:i/>
        </w:rPr>
        <w:t>Constitution</w:t>
      </w:r>
      <w:r w:rsidRPr="008E0782">
        <w:t>, Ch III.</w:t>
      </w:r>
    </w:p>
    <w:p w14:paraId="4A0D95A7" w14:textId="77777777" w:rsidR="00005D63" w:rsidRPr="00B833C8" w:rsidRDefault="00005D63" w:rsidP="001649CA">
      <w:pPr>
        <w:pStyle w:val="CatchwordsText"/>
      </w:pPr>
      <w:r w:rsidRPr="008E0782">
        <w:rPr>
          <w:i/>
        </w:rPr>
        <w:t xml:space="preserve">Criminal Code </w:t>
      </w:r>
      <w:r w:rsidRPr="008E0782">
        <w:t>(Cth), Div 105A.</w:t>
      </w:r>
    </w:p>
    <w:p w14:paraId="4E39C4FB" w14:textId="1E26E1FE" w:rsidR="00005D63" w:rsidRDefault="00005D63" w:rsidP="00005D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8E63986" w14:textId="1E34B88A" w:rsidR="00005D63" w:rsidRDefault="00005D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7985375" w14:textId="59C69ABA" w:rsidR="00005D63" w:rsidRDefault="00005D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32AA8A3" w14:textId="77777777" w:rsidR="00005D63" w:rsidRDefault="00005D63" w:rsidP="00207864">
      <w:pPr>
        <w:pStyle w:val="FixListStyle"/>
        <w:tabs>
          <w:tab w:val="clear" w:pos="720"/>
          <w:tab w:val="left" w:pos="0"/>
        </w:tabs>
        <w:spacing w:after="260" w:line="280" w:lineRule="exact"/>
        <w:ind w:right="0"/>
        <w:jc w:val="both"/>
        <w:rPr>
          <w:rFonts w:ascii="Times New Roman" w:hAnsi="Times New Roman"/>
        </w:rPr>
        <w:sectPr w:rsidR="00005D63" w:rsidSect="00005D63">
          <w:pgSz w:w="11907" w:h="16839" w:code="9"/>
          <w:pgMar w:top="1440" w:right="1701" w:bottom="1984" w:left="1701" w:header="720" w:footer="720" w:gutter="0"/>
          <w:pgNumType w:start="1"/>
          <w:cols w:space="720"/>
          <w:titlePg/>
          <w:docGrid w:linePitch="354"/>
        </w:sectPr>
      </w:pPr>
    </w:p>
    <w:p w14:paraId="36F72E0C" w14:textId="04422430" w:rsidR="00D06A95" w:rsidRPr="00207864" w:rsidRDefault="00207864" w:rsidP="00207864">
      <w:pPr>
        <w:pStyle w:val="FixListStyle"/>
        <w:tabs>
          <w:tab w:val="clear" w:pos="720"/>
          <w:tab w:val="left" w:pos="0"/>
        </w:tabs>
        <w:spacing w:after="260" w:line="280" w:lineRule="exact"/>
        <w:ind w:right="0"/>
        <w:jc w:val="both"/>
        <w:rPr>
          <w:rFonts w:ascii="Times New Roman" w:hAnsi="Times New Roman"/>
        </w:rPr>
      </w:pPr>
      <w:r w:rsidRPr="00207864">
        <w:rPr>
          <w:rFonts w:ascii="Times New Roman" w:hAnsi="Times New Roman"/>
        </w:rPr>
        <w:lastRenderedPageBreak/>
        <w:t xml:space="preserve">KIEFEL CJ, BELL, KEANE AND STEWARD JJ.   </w:t>
      </w:r>
      <w:r w:rsidR="00D06A95" w:rsidRPr="00207864">
        <w:rPr>
          <w:rFonts w:ascii="Times New Roman" w:hAnsi="Times New Roman"/>
        </w:rPr>
        <w:t xml:space="preserve">Division 105A of the </w:t>
      </w:r>
      <w:r w:rsidR="00D06A95" w:rsidRPr="00207864">
        <w:rPr>
          <w:rFonts w:ascii="Times New Roman" w:hAnsi="Times New Roman"/>
          <w:i/>
        </w:rPr>
        <w:t>Criminal Code</w:t>
      </w:r>
      <w:r w:rsidR="00D06A95" w:rsidRPr="00207864">
        <w:rPr>
          <w:rFonts w:ascii="Times New Roman" w:hAnsi="Times New Roman"/>
        </w:rPr>
        <w:t xml:space="preserve"> (Cth) ("the Code") empowers the Supreme Court of a State or Territory</w:t>
      </w:r>
      <w:r w:rsidR="00D52C23" w:rsidRPr="00207864">
        <w:rPr>
          <w:rFonts w:ascii="Times New Roman" w:hAnsi="Times New Roman"/>
        </w:rPr>
        <w:t>,</w:t>
      </w:r>
      <w:r w:rsidR="00D06A95" w:rsidRPr="00207864">
        <w:rPr>
          <w:rFonts w:ascii="Times New Roman" w:hAnsi="Times New Roman"/>
        </w:rPr>
        <w:t xml:space="preserve"> on the application of the Minister for Home Affairs ("the Minister")</w:t>
      </w:r>
      <w:r w:rsidR="00D52C23" w:rsidRPr="00207864">
        <w:rPr>
          <w:rFonts w:ascii="Times New Roman" w:hAnsi="Times New Roman"/>
        </w:rPr>
        <w:t>,</w:t>
      </w:r>
      <w:r w:rsidR="00D06A95" w:rsidRPr="00207864">
        <w:rPr>
          <w:rFonts w:ascii="Times New Roman" w:hAnsi="Times New Roman"/>
        </w:rPr>
        <w:t xml:space="preserve"> to order that a person who has been convicted of a terrorist offence be detained in prison for a further period </w:t>
      </w:r>
      <w:r w:rsidR="00D52C23" w:rsidRPr="00207864">
        <w:rPr>
          <w:rFonts w:ascii="Times New Roman" w:hAnsi="Times New Roman"/>
        </w:rPr>
        <w:t xml:space="preserve">after the </w:t>
      </w:r>
      <w:r w:rsidR="00D06A95" w:rsidRPr="00207864">
        <w:rPr>
          <w:rFonts w:ascii="Times New Roman" w:hAnsi="Times New Roman"/>
        </w:rPr>
        <w:t xml:space="preserve">expiration of </w:t>
      </w:r>
      <w:r w:rsidR="00D52C23" w:rsidRPr="00207864">
        <w:rPr>
          <w:rFonts w:ascii="Times New Roman" w:hAnsi="Times New Roman"/>
        </w:rPr>
        <w:t xml:space="preserve">his or her </w:t>
      </w:r>
      <w:r w:rsidR="00D06A95" w:rsidRPr="00207864">
        <w:rPr>
          <w:rFonts w:ascii="Times New Roman" w:hAnsi="Times New Roman"/>
        </w:rPr>
        <w:t xml:space="preserve">sentence of imprisonment. </w:t>
      </w:r>
      <w:r w:rsidR="00D52C23" w:rsidRPr="00207864">
        <w:rPr>
          <w:rFonts w:ascii="Times New Roman" w:hAnsi="Times New Roman"/>
        </w:rPr>
        <w:t xml:space="preserve">The scheme is comparable to </w:t>
      </w:r>
      <w:r w:rsidR="00D06A95" w:rsidRPr="00207864">
        <w:rPr>
          <w:rFonts w:ascii="Times New Roman" w:hAnsi="Times New Roman"/>
        </w:rPr>
        <w:t>th</w:t>
      </w:r>
      <w:r w:rsidR="00D52C23" w:rsidRPr="00207864">
        <w:rPr>
          <w:rFonts w:ascii="Times New Roman" w:hAnsi="Times New Roman"/>
        </w:rPr>
        <w:t xml:space="preserve">e </w:t>
      </w:r>
      <w:r w:rsidR="00D52C23" w:rsidRPr="00207864">
        <w:rPr>
          <w:rFonts w:ascii="Times New Roman" w:hAnsi="Times New Roman"/>
          <w:i/>
        </w:rPr>
        <w:t>Dangerous Prisoners (Sexual Offenders) Act</w:t>
      </w:r>
      <w:r w:rsidR="00D52C23" w:rsidRPr="00207864">
        <w:rPr>
          <w:rFonts w:ascii="Times New Roman" w:hAnsi="Times New Roman"/>
        </w:rPr>
        <w:t xml:space="preserve"> </w:t>
      </w:r>
      <w:r w:rsidR="00D52C23" w:rsidRPr="00207864">
        <w:rPr>
          <w:rFonts w:ascii="Times New Roman" w:hAnsi="Times New Roman"/>
          <w:i/>
        </w:rPr>
        <w:t>2003</w:t>
      </w:r>
      <w:r w:rsidR="00D52C23" w:rsidRPr="00207864">
        <w:rPr>
          <w:rFonts w:ascii="Times New Roman" w:hAnsi="Times New Roman"/>
        </w:rPr>
        <w:t xml:space="preserve"> (Qld) ("the</w:t>
      </w:r>
      <w:r w:rsidR="00A31F93" w:rsidRPr="00207864">
        <w:rPr>
          <w:rFonts w:ascii="Times New Roman" w:hAnsi="Times New Roman"/>
        </w:rPr>
        <w:t> </w:t>
      </w:r>
      <w:r w:rsidR="00D52C23" w:rsidRPr="00207864">
        <w:rPr>
          <w:rFonts w:ascii="Times New Roman" w:hAnsi="Times New Roman"/>
        </w:rPr>
        <w:t>Qld</w:t>
      </w:r>
      <w:r w:rsidR="00A31F93" w:rsidRPr="00207864">
        <w:rPr>
          <w:rFonts w:ascii="Times New Roman" w:hAnsi="Times New Roman"/>
        </w:rPr>
        <w:t> </w:t>
      </w:r>
      <w:r w:rsidR="00D52C23" w:rsidRPr="00207864">
        <w:rPr>
          <w:rFonts w:ascii="Times New Roman" w:hAnsi="Times New Roman"/>
        </w:rPr>
        <w:t>Act"), which empowers the Supreme Court of Queensland to order the continuing detention of persons convicted of serious sexual offences.</w:t>
      </w:r>
    </w:p>
    <w:p w14:paraId="711BCCCA" w14:textId="1DD725C8" w:rsidR="00FA3405" w:rsidRPr="00207864" w:rsidRDefault="00D06A95" w:rsidP="00207864">
      <w:pPr>
        <w:pStyle w:val="FixListStyle"/>
        <w:spacing w:after="260" w:line="280" w:lineRule="exact"/>
        <w:ind w:right="0"/>
        <w:jc w:val="both"/>
        <w:rPr>
          <w:rFonts w:ascii="Times New Roman" w:hAnsi="Times New Roman"/>
        </w:rPr>
      </w:pPr>
      <w:r w:rsidRPr="00207864">
        <w:rPr>
          <w:rFonts w:ascii="Times New Roman" w:hAnsi="Times New Roman"/>
        </w:rPr>
        <w:tab/>
        <w:t xml:space="preserve">The </w:t>
      </w:r>
      <w:r w:rsidR="007F49CA" w:rsidRPr="00207864">
        <w:rPr>
          <w:rFonts w:ascii="Times New Roman" w:hAnsi="Times New Roman"/>
        </w:rPr>
        <w:t xml:space="preserve">validity of the </w:t>
      </w:r>
      <w:r w:rsidRPr="00207864">
        <w:rPr>
          <w:rFonts w:ascii="Times New Roman" w:hAnsi="Times New Roman"/>
        </w:rPr>
        <w:t xml:space="preserve">Qld Act </w:t>
      </w:r>
      <w:r w:rsidR="004B0E37" w:rsidRPr="00207864">
        <w:rPr>
          <w:rFonts w:ascii="Times New Roman" w:hAnsi="Times New Roman"/>
        </w:rPr>
        <w:t xml:space="preserve">survived </w:t>
      </w:r>
      <w:r w:rsidR="00332464" w:rsidRPr="00207864">
        <w:rPr>
          <w:rFonts w:ascii="Times New Roman" w:hAnsi="Times New Roman"/>
        </w:rPr>
        <w:t xml:space="preserve">challenge on </w:t>
      </w:r>
      <w:r w:rsidR="00332464" w:rsidRPr="00207864">
        <w:rPr>
          <w:rFonts w:ascii="Times New Roman" w:hAnsi="Times New Roman"/>
          <w:i/>
        </w:rPr>
        <w:t>Kable</w:t>
      </w:r>
      <w:r w:rsidR="00332464" w:rsidRPr="00207864">
        <w:rPr>
          <w:rStyle w:val="FootnoteReference"/>
          <w:rFonts w:ascii="Times New Roman" w:hAnsi="Times New Roman"/>
          <w:sz w:val="24"/>
        </w:rPr>
        <w:footnoteReference w:id="2"/>
      </w:r>
      <w:r w:rsidR="00332464" w:rsidRPr="00207864">
        <w:rPr>
          <w:rFonts w:ascii="Times New Roman" w:hAnsi="Times New Roman"/>
        </w:rPr>
        <w:t xml:space="preserve"> grounds </w:t>
      </w:r>
      <w:r w:rsidRPr="00207864">
        <w:rPr>
          <w:rFonts w:ascii="Times New Roman" w:hAnsi="Times New Roman"/>
        </w:rPr>
        <w:t xml:space="preserve">in </w:t>
      </w:r>
      <w:proofErr w:type="spellStart"/>
      <w:r w:rsidRPr="00207864">
        <w:rPr>
          <w:rFonts w:ascii="Times New Roman" w:hAnsi="Times New Roman"/>
          <w:i/>
        </w:rPr>
        <w:t>Fardon</w:t>
      </w:r>
      <w:proofErr w:type="spellEnd"/>
      <w:r w:rsidRPr="00207864">
        <w:rPr>
          <w:rFonts w:ascii="Times New Roman" w:hAnsi="Times New Roman"/>
          <w:i/>
        </w:rPr>
        <w:t xml:space="preserve"> v Attorney-General (Qld)</w:t>
      </w:r>
      <w:r w:rsidRPr="00207864">
        <w:rPr>
          <w:rStyle w:val="FootnoteReference"/>
          <w:rFonts w:ascii="Times New Roman" w:hAnsi="Times New Roman"/>
          <w:sz w:val="24"/>
        </w:rPr>
        <w:footnoteReference w:id="3"/>
      </w:r>
      <w:r w:rsidR="00332464" w:rsidRPr="00207864">
        <w:rPr>
          <w:rFonts w:ascii="Times New Roman" w:hAnsi="Times New Roman"/>
        </w:rPr>
        <w:t xml:space="preserve">. </w:t>
      </w:r>
      <w:proofErr w:type="spellStart"/>
      <w:r w:rsidR="003926DB" w:rsidRPr="00207864">
        <w:rPr>
          <w:rFonts w:ascii="Times New Roman" w:hAnsi="Times New Roman"/>
          <w:i/>
        </w:rPr>
        <w:t>Fardon</w:t>
      </w:r>
      <w:proofErr w:type="spellEnd"/>
      <w:r w:rsidR="003926DB" w:rsidRPr="00207864">
        <w:rPr>
          <w:rFonts w:ascii="Times New Roman" w:hAnsi="Times New Roman"/>
        </w:rPr>
        <w:t xml:space="preserve"> allows that, consistently with its position within the integrated Australian court system, the Supreme Court of a </w:t>
      </w:r>
      <w:r w:rsidR="008A525C" w:rsidRPr="00207864">
        <w:rPr>
          <w:rFonts w:ascii="Times New Roman" w:hAnsi="Times New Roman"/>
        </w:rPr>
        <w:t>State o</w:t>
      </w:r>
      <w:r w:rsidR="008D7080" w:rsidRPr="00207864">
        <w:rPr>
          <w:rFonts w:ascii="Times New Roman" w:hAnsi="Times New Roman"/>
        </w:rPr>
        <w:t>r</w:t>
      </w:r>
      <w:r w:rsidR="008A525C" w:rsidRPr="00207864">
        <w:rPr>
          <w:rFonts w:ascii="Times New Roman" w:hAnsi="Times New Roman"/>
        </w:rPr>
        <w:t xml:space="preserve"> Territory </w:t>
      </w:r>
      <w:r w:rsidRPr="00207864">
        <w:rPr>
          <w:rFonts w:ascii="Times New Roman" w:hAnsi="Times New Roman"/>
        </w:rPr>
        <w:t xml:space="preserve">may commit a person to prison </w:t>
      </w:r>
      <w:r w:rsidR="00BB3FD2" w:rsidRPr="00207864">
        <w:rPr>
          <w:rFonts w:ascii="Times New Roman" w:hAnsi="Times New Roman"/>
        </w:rPr>
        <w:t>in the exercise of State judicial power</w:t>
      </w:r>
      <w:r w:rsidR="00332464" w:rsidRPr="00207864">
        <w:rPr>
          <w:rFonts w:ascii="Times New Roman" w:hAnsi="Times New Roman"/>
        </w:rPr>
        <w:t xml:space="preserve"> </w:t>
      </w:r>
      <w:r w:rsidR="007F49CA" w:rsidRPr="00207864">
        <w:rPr>
          <w:rFonts w:ascii="Times New Roman" w:hAnsi="Times New Roman"/>
        </w:rPr>
        <w:t>after</w:t>
      </w:r>
      <w:r w:rsidRPr="00207864">
        <w:rPr>
          <w:rFonts w:ascii="Times New Roman" w:hAnsi="Times New Roman"/>
        </w:rPr>
        <w:t xml:space="preserve"> determin</w:t>
      </w:r>
      <w:r w:rsidR="007F49CA" w:rsidRPr="00207864">
        <w:rPr>
          <w:rFonts w:ascii="Times New Roman" w:hAnsi="Times New Roman"/>
        </w:rPr>
        <w:t>ing</w:t>
      </w:r>
      <w:r w:rsidR="00332464" w:rsidRPr="00207864">
        <w:rPr>
          <w:rFonts w:ascii="Times New Roman" w:hAnsi="Times New Roman"/>
        </w:rPr>
        <w:t>,</w:t>
      </w:r>
      <w:r w:rsidR="007F49CA" w:rsidRPr="00207864">
        <w:rPr>
          <w:rFonts w:ascii="Times New Roman" w:hAnsi="Times New Roman"/>
        </w:rPr>
        <w:t xml:space="preserve"> </w:t>
      </w:r>
      <w:r w:rsidRPr="00207864">
        <w:rPr>
          <w:rFonts w:ascii="Times New Roman" w:hAnsi="Times New Roman"/>
        </w:rPr>
        <w:t>by</w:t>
      </w:r>
      <w:r w:rsidR="00713D6C" w:rsidRPr="00207864">
        <w:rPr>
          <w:rFonts w:ascii="Times New Roman" w:hAnsi="Times New Roman"/>
        </w:rPr>
        <w:t xml:space="preserve"> </w:t>
      </w:r>
      <w:r w:rsidRPr="00207864">
        <w:rPr>
          <w:rFonts w:ascii="Times New Roman" w:hAnsi="Times New Roman"/>
        </w:rPr>
        <w:t>orthodox judicial process</w:t>
      </w:r>
      <w:r w:rsidR="00332464" w:rsidRPr="00207864">
        <w:rPr>
          <w:rFonts w:ascii="Times New Roman" w:hAnsi="Times New Roman"/>
        </w:rPr>
        <w:t>,</w:t>
      </w:r>
      <w:r w:rsidRPr="00207864">
        <w:rPr>
          <w:rFonts w:ascii="Times New Roman" w:hAnsi="Times New Roman"/>
        </w:rPr>
        <w:t xml:space="preserve"> that the person </w:t>
      </w:r>
      <w:r w:rsidR="00332464" w:rsidRPr="00207864">
        <w:rPr>
          <w:rFonts w:ascii="Times New Roman" w:hAnsi="Times New Roman"/>
        </w:rPr>
        <w:t xml:space="preserve">is a </w:t>
      </w:r>
      <w:r w:rsidR="006A04BE" w:rsidRPr="00207864">
        <w:rPr>
          <w:rFonts w:ascii="Times New Roman" w:hAnsi="Times New Roman"/>
        </w:rPr>
        <w:t>serious danger to the community</w:t>
      </w:r>
      <w:r w:rsidR="006B432B" w:rsidRPr="00207864">
        <w:rPr>
          <w:rFonts w:ascii="Times New Roman" w:hAnsi="Times New Roman"/>
        </w:rPr>
        <w:t xml:space="preserve"> </w:t>
      </w:r>
      <w:r w:rsidR="00332464" w:rsidRPr="00207864">
        <w:rPr>
          <w:rFonts w:ascii="Times New Roman" w:hAnsi="Times New Roman"/>
        </w:rPr>
        <w:t>b</w:t>
      </w:r>
      <w:r w:rsidR="007521B7" w:rsidRPr="00207864">
        <w:rPr>
          <w:rFonts w:ascii="Times New Roman" w:hAnsi="Times New Roman"/>
        </w:rPr>
        <w:t xml:space="preserve">ecause there is an </w:t>
      </w:r>
      <w:r w:rsidRPr="00207864">
        <w:rPr>
          <w:rFonts w:ascii="Times New Roman" w:hAnsi="Times New Roman"/>
        </w:rPr>
        <w:t xml:space="preserve">unacceptable risk </w:t>
      </w:r>
      <w:r w:rsidR="00437D68" w:rsidRPr="00207864">
        <w:rPr>
          <w:rFonts w:ascii="Times New Roman" w:hAnsi="Times New Roman"/>
        </w:rPr>
        <w:t xml:space="preserve">that </w:t>
      </w:r>
      <w:r w:rsidR="00332464" w:rsidRPr="00207864">
        <w:rPr>
          <w:rFonts w:ascii="Times New Roman" w:hAnsi="Times New Roman"/>
        </w:rPr>
        <w:t xml:space="preserve">he or she </w:t>
      </w:r>
      <w:r w:rsidR="00437D68" w:rsidRPr="00207864">
        <w:rPr>
          <w:rFonts w:ascii="Times New Roman" w:hAnsi="Times New Roman"/>
        </w:rPr>
        <w:t>w</w:t>
      </w:r>
      <w:r w:rsidR="00332464" w:rsidRPr="00207864">
        <w:rPr>
          <w:rFonts w:ascii="Times New Roman" w:hAnsi="Times New Roman"/>
        </w:rPr>
        <w:t>ould</w:t>
      </w:r>
      <w:r w:rsidR="00437D68" w:rsidRPr="00207864">
        <w:rPr>
          <w:rFonts w:ascii="Times New Roman" w:hAnsi="Times New Roman"/>
        </w:rPr>
        <w:t xml:space="preserve"> </w:t>
      </w:r>
      <w:r w:rsidRPr="00207864">
        <w:rPr>
          <w:rFonts w:ascii="Times New Roman" w:hAnsi="Times New Roman"/>
        </w:rPr>
        <w:t>commit</w:t>
      </w:r>
      <w:r w:rsidR="00437D68" w:rsidRPr="00207864">
        <w:rPr>
          <w:rFonts w:ascii="Times New Roman" w:hAnsi="Times New Roman"/>
        </w:rPr>
        <w:t xml:space="preserve"> </w:t>
      </w:r>
      <w:r w:rsidRPr="00207864">
        <w:rPr>
          <w:rFonts w:ascii="Times New Roman" w:hAnsi="Times New Roman"/>
        </w:rPr>
        <w:t>a serious sexual offence if released</w:t>
      </w:r>
      <w:r w:rsidR="00332464" w:rsidRPr="00207864">
        <w:rPr>
          <w:rFonts w:ascii="Times New Roman" w:hAnsi="Times New Roman"/>
        </w:rPr>
        <w:t xml:space="preserve"> from custody</w:t>
      </w:r>
      <w:r w:rsidRPr="00207864">
        <w:rPr>
          <w:rFonts w:ascii="Times New Roman" w:hAnsi="Times New Roman"/>
        </w:rPr>
        <w:t xml:space="preserve">. The </w:t>
      </w:r>
      <w:r w:rsidR="00332464" w:rsidRPr="00207864">
        <w:rPr>
          <w:rFonts w:ascii="Times New Roman" w:hAnsi="Times New Roman"/>
        </w:rPr>
        <w:t xml:space="preserve">question </w:t>
      </w:r>
      <w:r w:rsidR="00A534B7" w:rsidRPr="00207864">
        <w:rPr>
          <w:rFonts w:ascii="Times New Roman" w:hAnsi="Times New Roman"/>
        </w:rPr>
        <w:t>in this</w:t>
      </w:r>
      <w:r w:rsidRPr="00207864">
        <w:rPr>
          <w:rFonts w:ascii="Times New Roman" w:hAnsi="Times New Roman"/>
        </w:rPr>
        <w:t xml:space="preserve"> proceeding is whether </w:t>
      </w:r>
      <w:r w:rsidR="003248EF" w:rsidRPr="00207864">
        <w:rPr>
          <w:rFonts w:ascii="Times New Roman" w:hAnsi="Times New Roman"/>
        </w:rPr>
        <w:t>the S</w:t>
      </w:r>
      <w:r w:rsidRPr="00207864">
        <w:rPr>
          <w:rFonts w:ascii="Times New Roman" w:hAnsi="Times New Roman"/>
        </w:rPr>
        <w:t xml:space="preserve">upreme </w:t>
      </w:r>
      <w:r w:rsidR="003248EF" w:rsidRPr="00207864">
        <w:rPr>
          <w:rFonts w:ascii="Times New Roman" w:hAnsi="Times New Roman"/>
        </w:rPr>
        <w:t>C</w:t>
      </w:r>
      <w:r w:rsidRPr="00207864">
        <w:rPr>
          <w:rFonts w:ascii="Times New Roman" w:hAnsi="Times New Roman"/>
        </w:rPr>
        <w:t xml:space="preserve">ourt </w:t>
      </w:r>
      <w:r w:rsidR="003248EF" w:rsidRPr="00207864">
        <w:rPr>
          <w:rFonts w:ascii="Times New Roman" w:hAnsi="Times New Roman"/>
        </w:rPr>
        <w:t xml:space="preserve">of a State or Territory </w:t>
      </w:r>
      <w:r w:rsidRPr="00207864">
        <w:rPr>
          <w:rFonts w:ascii="Times New Roman" w:hAnsi="Times New Roman"/>
        </w:rPr>
        <w:t xml:space="preserve">may commit a person to prison </w:t>
      </w:r>
      <w:r w:rsidR="006A33E0" w:rsidRPr="00207864">
        <w:rPr>
          <w:rFonts w:ascii="Times New Roman" w:hAnsi="Times New Roman"/>
        </w:rPr>
        <w:t>in the exercise of federal judicial power</w:t>
      </w:r>
      <w:r w:rsidR="00332464" w:rsidRPr="00207864">
        <w:rPr>
          <w:rFonts w:ascii="Times New Roman" w:hAnsi="Times New Roman"/>
        </w:rPr>
        <w:t xml:space="preserve"> after </w:t>
      </w:r>
      <w:r w:rsidRPr="00207864">
        <w:rPr>
          <w:rFonts w:ascii="Times New Roman" w:hAnsi="Times New Roman"/>
        </w:rPr>
        <w:t>determin</w:t>
      </w:r>
      <w:r w:rsidR="00332464" w:rsidRPr="00207864">
        <w:rPr>
          <w:rFonts w:ascii="Times New Roman" w:hAnsi="Times New Roman"/>
        </w:rPr>
        <w:t xml:space="preserve">ing, </w:t>
      </w:r>
      <w:r w:rsidRPr="00207864">
        <w:rPr>
          <w:rFonts w:ascii="Times New Roman" w:hAnsi="Times New Roman"/>
        </w:rPr>
        <w:t xml:space="preserve">by </w:t>
      </w:r>
      <w:r w:rsidR="006143A7" w:rsidRPr="00207864">
        <w:rPr>
          <w:rFonts w:ascii="Times New Roman" w:hAnsi="Times New Roman"/>
        </w:rPr>
        <w:t>orthodox</w:t>
      </w:r>
      <w:r w:rsidRPr="00207864">
        <w:rPr>
          <w:rFonts w:ascii="Times New Roman" w:hAnsi="Times New Roman"/>
        </w:rPr>
        <w:t xml:space="preserve"> judicial process</w:t>
      </w:r>
      <w:r w:rsidR="00332464" w:rsidRPr="00207864">
        <w:rPr>
          <w:rFonts w:ascii="Times New Roman" w:hAnsi="Times New Roman"/>
        </w:rPr>
        <w:t>,</w:t>
      </w:r>
      <w:r w:rsidRPr="00207864">
        <w:rPr>
          <w:rFonts w:ascii="Times New Roman" w:hAnsi="Times New Roman"/>
        </w:rPr>
        <w:t xml:space="preserve"> that the person </w:t>
      </w:r>
      <w:r w:rsidR="000E79C7" w:rsidRPr="00207864">
        <w:rPr>
          <w:rFonts w:ascii="Times New Roman" w:hAnsi="Times New Roman"/>
        </w:rPr>
        <w:t xml:space="preserve">presents </w:t>
      </w:r>
      <w:r w:rsidRPr="00207864">
        <w:rPr>
          <w:rFonts w:ascii="Times New Roman" w:hAnsi="Times New Roman"/>
        </w:rPr>
        <w:t>an unacceptable risk of committing a terrorist offence if released</w:t>
      </w:r>
      <w:r w:rsidR="000E79C7" w:rsidRPr="00207864">
        <w:rPr>
          <w:rFonts w:ascii="Times New Roman" w:hAnsi="Times New Roman"/>
        </w:rPr>
        <w:t xml:space="preserve"> from custody.</w:t>
      </w:r>
      <w:r w:rsidR="004B0E37" w:rsidRPr="00207864">
        <w:rPr>
          <w:rFonts w:ascii="Times New Roman" w:hAnsi="Times New Roman"/>
        </w:rPr>
        <w:t xml:space="preserve"> For the reasons to be given</w:t>
      </w:r>
      <w:r w:rsidR="00CD60B6" w:rsidRPr="00207864">
        <w:rPr>
          <w:rFonts w:ascii="Times New Roman" w:hAnsi="Times New Roman"/>
        </w:rPr>
        <w:t>,</w:t>
      </w:r>
      <w:r w:rsidR="004B0E37" w:rsidRPr="00207864">
        <w:rPr>
          <w:rFonts w:ascii="Times New Roman" w:hAnsi="Times New Roman"/>
        </w:rPr>
        <w:t xml:space="preserve"> the answer is that it </w:t>
      </w:r>
      <w:r w:rsidR="00CD60B6" w:rsidRPr="00207864">
        <w:rPr>
          <w:rFonts w:ascii="Times New Roman" w:hAnsi="Times New Roman"/>
        </w:rPr>
        <w:t>may.</w:t>
      </w:r>
    </w:p>
    <w:p w14:paraId="30FC80B3" w14:textId="3C56C7F5" w:rsidR="002458A6" w:rsidRPr="00207864" w:rsidRDefault="002458A6" w:rsidP="00207864">
      <w:pPr>
        <w:pStyle w:val="HeadingL1"/>
        <w:spacing w:after="260" w:line="280" w:lineRule="exact"/>
        <w:ind w:right="0"/>
        <w:jc w:val="both"/>
        <w:rPr>
          <w:rFonts w:ascii="Times New Roman" w:hAnsi="Times New Roman"/>
        </w:rPr>
      </w:pPr>
      <w:r w:rsidRPr="00207864">
        <w:rPr>
          <w:rFonts w:ascii="Times New Roman" w:hAnsi="Times New Roman"/>
        </w:rPr>
        <w:t>Procedural history</w:t>
      </w:r>
    </w:p>
    <w:p w14:paraId="724C2728" w14:textId="1E6FBA6B" w:rsidR="0002021E" w:rsidRPr="00207864" w:rsidRDefault="00856497"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02021E" w:rsidRPr="00207864">
        <w:rPr>
          <w:rFonts w:ascii="Times New Roman" w:hAnsi="Times New Roman"/>
        </w:rPr>
        <w:t>On 15 September 2008, the respondent</w:t>
      </w:r>
      <w:r w:rsidR="005A55B7" w:rsidRPr="00207864">
        <w:rPr>
          <w:rFonts w:ascii="Times New Roman" w:hAnsi="Times New Roman"/>
        </w:rPr>
        <w:t>, Mr Benbrika,</w:t>
      </w:r>
      <w:r w:rsidR="0002021E" w:rsidRPr="00207864">
        <w:rPr>
          <w:rFonts w:ascii="Times New Roman" w:hAnsi="Times New Roman"/>
        </w:rPr>
        <w:t xml:space="preserve"> was convicted </w:t>
      </w:r>
      <w:r w:rsidR="003A36A7" w:rsidRPr="00207864">
        <w:rPr>
          <w:rFonts w:ascii="Times New Roman" w:hAnsi="Times New Roman"/>
        </w:rPr>
        <w:t xml:space="preserve">by </w:t>
      </w:r>
      <w:r w:rsidR="0002021E" w:rsidRPr="00207864">
        <w:rPr>
          <w:rFonts w:ascii="Times New Roman" w:hAnsi="Times New Roman"/>
        </w:rPr>
        <w:t>the Supreme Court of Victoria of two terroris</w:t>
      </w:r>
      <w:r w:rsidR="00F91AD5" w:rsidRPr="00207864">
        <w:rPr>
          <w:rFonts w:ascii="Times New Roman" w:hAnsi="Times New Roman"/>
        </w:rPr>
        <w:t>t</w:t>
      </w:r>
      <w:r w:rsidR="00FE7F44" w:rsidRPr="00207864">
        <w:rPr>
          <w:rFonts w:ascii="Times New Roman" w:hAnsi="Times New Roman"/>
        </w:rPr>
        <w:t xml:space="preserve"> </w:t>
      </w:r>
      <w:r w:rsidR="0002021E" w:rsidRPr="00207864">
        <w:rPr>
          <w:rFonts w:ascii="Times New Roman" w:hAnsi="Times New Roman"/>
        </w:rPr>
        <w:t xml:space="preserve">offences. </w:t>
      </w:r>
      <w:r w:rsidR="00C34FBB" w:rsidRPr="00207864">
        <w:rPr>
          <w:rFonts w:ascii="Times New Roman" w:hAnsi="Times New Roman"/>
        </w:rPr>
        <w:t xml:space="preserve">The offences were alleged </w:t>
      </w:r>
      <w:r w:rsidR="0002021E" w:rsidRPr="00207864">
        <w:rPr>
          <w:rFonts w:ascii="Times New Roman" w:hAnsi="Times New Roman"/>
        </w:rPr>
        <w:t>to have occurred between July</w:t>
      </w:r>
      <w:r w:rsidR="00FC084C" w:rsidRPr="00207864">
        <w:rPr>
          <w:rFonts w:ascii="Times New Roman" w:hAnsi="Times New Roman"/>
        </w:rPr>
        <w:t> </w:t>
      </w:r>
      <w:r w:rsidR="0002021E" w:rsidRPr="00207864">
        <w:rPr>
          <w:rFonts w:ascii="Times New Roman" w:hAnsi="Times New Roman"/>
        </w:rPr>
        <w:t xml:space="preserve">2004 and November 2005. The first offence </w:t>
      </w:r>
      <w:r w:rsidR="00D354AE" w:rsidRPr="00207864">
        <w:rPr>
          <w:rFonts w:ascii="Times New Roman" w:hAnsi="Times New Roman"/>
        </w:rPr>
        <w:t>involved</w:t>
      </w:r>
      <w:r w:rsidR="0002021E" w:rsidRPr="00207864">
        <w:rPr>
          <w:rFonts w:ascii="Times New Roman" w:hAnsi="Times New Roman"/>
        </w:rPr>
        <w:t xml:space="preserve"> </w:t>
      </w:r>
      <w:r w:rsidR="005A55B7" w:rsidRPr="00207864">
        <w:rPr>
          <w:rFonts w:ascii="Times New Roman" w:hAnsi="Times New Roman"/>
        </w:rPr>
        <w:t xml:space="preserve">the </w:t>
      </w:r>
      <w:r w:rsidR="0002021E" w:rsidRPr="00207864">
        <w:rPr>
          <w:rFonts w:ascii="Times New Roman" w:hAnsi="Times New Roman"/>
        </w:rPr>
        <w:t xml:space="preserve">intentional membership of a terrorist organisation knowing that </w:t>
      </w:r>
      <w:r w:rsidR="003A36A7" w:rsidRPr="00207864">
        <w:rPr>
          <w:rFonts w:ascii="Times New Roman" w:hAnsi="Times New Roman"/>
        </w:rPr>
        <w:t>the organisation</w:t>
      </w:r>
      <w:r w:rsidR="0002021E" w:rsidRPr="00207864">
        <w:rPr>
          <w:rFonts w:ascii="Times New Roman" w:hAnsi="Times New Roman"/>
        </w:rPr>
        <w:t xml:space="preserve"> was a terrorist organisation</w:t>
      </w:r>
      <w:r w:rsidR="0002021E" w:rsidRPr="00207864">
        <w:rPr>
          <w:rStyle w:val="FootnoteReference"/>
          <w:rFonts w:ascii="Times New Roman" w:hAnsi="Times New Roman"/>
          <w:sz w:val="24"/>
        </w:rPr>
        <w:footnoteReference w:id="4"/>
      </w:r>
      <w:r w:rsidR="0002021E" w:rsidRPr="00207864">
        <w:rPr>
          <w:rFonts w:ascii="Times New Roman" w:hAnsi="Times New Roman"/>
        </w:rPr>
        <w:t xml:space="preserve">. The offence </w:t>
      </w:r>
      <w:r w:rsidR="00AD4E6A" w:rsidRPr="00207864">
        <w:rPr>
          <w:rFonts w:ascii="Times New Roman" w:hAnsi="Times New Roman"/>
        </w:rPr>
        <w:t xml:space="preserve">has </w:t>
      </w:r>
      <w:r w:rsidR="0002021E" w:rsidRPr="00207864">
        <w:rPr>
          <w:rFonts w:ascii="Times New Roman" w:hAnsi="Times New Roman"/>
        </w:rPr>
        <w:t xml:space="preserve">a maximum penalty of imprisonment for ten years. The second offence </w:t>
      </w:r>
      <w:r w:rsidR="00325221" w:rsidRPr="00207864">
        <w:rPr>
          <w:rFonts w:ascii="Times New Roman" w:hAnsi="Times New Roman"/>
        </w:rPr>
        <w:t xml:space="preserve">involved </w:t>
      </w:r>
      <w:r w:rsidR="0002021E" w:rsidRPr="00207864">
        <w:rPr>
          <w:rFonts w:ascii="Times New Roman" w:hAnsi="Times New Roman"/>
        </w:rPr>
        <w:t xml:space="preserve">intentionally directing the activities of a terrorist organisation knowing </w:t>
      </w:r>
      <w:r w:rsidR="00546878" w:rsidRPr="00207864">
        <w:rPr>
          <w:rFonts w:ascii="Times New Roman" w:hAnsi="Times New Roman"/>
        </w:rPr>
        <w:t>the organisation</w:t>
      </w:r>
      <w:r w:rsidR="0002021E" w:rsidRPr="00207864">
        <w:rPr>
          <w:rFonts w:ascii="Times New Roman" w:hAnsi="Times New Roman"/>
        </w:rPr>
        <w:t xml:space="preserve"> to be a terrorist </w:t>
      </w:r>
      <w:r w:rsidR="0002021E" w:rsidRPr="00207864">
        <w:rPr>
          <w:rFonts w:ascii="Times New Roman" w:hAnsi="Times New Roman"/>
        </w:rPr>
        <w:lastRenderedPageBreak/>
        <w:t>organisation</w:t>
      </w:r>
      <w:r w:rsidR="0002021E" w:rsidRPr="00207864">
        <w:rPr>
          <w:rStyle w:val="FootnoteReference"/>
          <w:rFonts w:ascii="Times New Roman" w:hAnsi="Times New Roman"/>
          <w:sz w:val="24"/>
        </w:rPr>
        <w:footnoteReference w:id="5"/>
      </w:r>
      <w:r w:rsidR="0002021E" w:rsidRPr="00207864">
        <w:rPr>
          <w:rFonts w:ascii="Times New Roman" w:hAnsi="Times New Roman"/>
        </w:rPr>
        <w:t xml:space="preserve">. This </w:t>
      </w:r>
      <w:r w:rsidR="005434ED" w:rsidRPr="00207864">
        <w:rPr>
          <w:rFonts w:ascii="Times New Roman" w:hAnsi="Times New Roman"/>
        </w:rPr>
        <w:t xml:space="preserve">offence </w:t>
      </w:r>
      <w:r w:rsidR="00620B38" w:rsidRPr="00207864">
        <w:rPr>
          <w:rFonts w:ascii="Times New Roman" w:hAnsi="Times New Roman"/>
        </w:rPr>
        <w:t xml:space="preserve">has </w:t>
      </w:r>
      <w:r w:rsidR="0002021E" w:rsidRPr="00207864">
        <w:rPr>
          <w:rFonts w:ascii="Times New Roman" w:hAnsi="Times New Roman"/>
        </w:rPr>
        <w:t xml:space="preserve">a maximum penalty of imprisonment for 25 years. </w:t>
      </w:r>
      <w:r w:rsidR="002845B2" w:rsidRPr="00207864">
        <w:rPr>
          <w:rFonts w:ascii="Times New Roman" w:hAnsi="Times New Roman"/>
        </w:rPr>
        <w:t xml:space="preserve">Each </w:t>
      </w:r>
      <w:r w:rsidR="00620B38" w:rsidRPr="00207864">
        <w:rPr>
          <w:rFonts w:ascii="Times New Roman" w:hAnsi="Times New Roman"/>
        </w:rPr>
        <w:t xml:space="preserve">offence </w:t>
      </w:r>
      <w:r w:rsidR="002845B2" w:rsidRPr="00207864">
        <w:rPr>
          <w:rFonts w:ascii="Times New Roman" w:hAnsi="Times New Roman"/>
        </w:rPr>
        <w:t xml:space="preserve">is </w:t>
      </w:r>
      <w:r w:rsidR="00960F98" w:rsidRPr="00207864">
        <w:rPr>
          <w:rFonts w:ascii="Times New Roman" w:hAnsi="Times New Roman"/>
        </w:rPr>
        <w:t xml:space="preserve">a </w:t>
      </w:r>
      <w:r w:rsidR="000E79C7" w:rsidRPr="00207864">
        <w:rPr>
          <w:rFonts w:ascii="Times New Roman" w:hAnsi="Times New Roman"/>
        </w:rPr>
        <w:t>"serious P</w:t>
      </w:r>
      <w:r w:rsidR="00C025E7" w:rsidRPr="00207864">
        <w:rPr>
          <w:rFonts w:ascii="Times New Roman" w:hAnsi="Times New Roman"/>
        </w:rPr>
        <w:t>ar</w:t>
      </w:r>
      <w:r w:rsidR="000E79C7" w:rsidRPr="00207864">
        <w:rPr>
          <w:rFonts w:ascii="Times New Roman" w:hAnsi="Times New Roman"/>
        </w:rPr>
        <w:t>t 5.3 offence"</w:t>
      </w:r>
      <w:r w:rsidR="000E79C7" w:rsidRPr="00207864">
        <w:rPr>
          <w:rStyle w:val="FootnoteReference"/>
          <w:rFonts w:ascii="Times New Roman" w:hAnsi="Times New Roman"/>
          <w:sz w:val="24"/>
        </w:rPr>
        <w:footnoteReference w:id="6"/>
      </w:r>
      <w:r w:rsidR="000E79C7" w:rsidRPr="00207864">
        <w:rPr>
          <w:rFonts w:ascii="Times New Roman" w:hAnsi="Times New Roman"/>
        </w:rPr>
        <w:t>.</w:t>
      </w:r>
    </w:p>
    <w:p w14:paraId="6E871760" w14:textId="32D23180" w:rsidR="0002021E" w:rsidRPr="00207864" w:rsidRDefault="00CE79C3"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871EF9" w:rsidRPr="00207864">
        <w:rPr>
          <w:rFonts w:ascii="Times New Roman" w:hAnsi="Times New Roman"/>
        </w:rPr>
        <w:t xml:space="preserve">The Crown case against Mr Benbrika at his trial was that he and others were members of a Melbourne-based terrorist organisation </w:t>
      </w:r>
      <w:r w:rsidR="00D64724" w:rsidRPr="00207864">
        <w:rPr>
          <w:rFonts w:ascii="Times New Roman" w:hAnsi="Times New Roman"/>
        </w:rPr>
        <w:t xml:space="preserve">that </w:t>
      </w:r>
      <w:r w:rsidR="00871EF9" w:rsidRPr="00207864">
        <w:rPr>
          <w:rFonts w:ascii="Times New Roman" w:hAnsi="Times New Roman"/>
        </w:rPr>
        <w:t xml:space="preserve">was fostering or preparing the doing of a terrorist act in Australia or overseas with the intention of causing death or serious physical harm in order to advance the cause </w:t>
      </w:r>
      <w:r w:rsidR="00D23CA1" w:rsidRPr="00207864">
        <w:rPr>
          <w:rFonts w:ascii="Times New Roman" w:hAnsi="Times New Roman"/>
        </w:rPr>
        <w:t>–</w:t>
      </w:r>
      <w:r w:rsidR="00871EF9" w:rsidRPr="00207864">
        <w:rPr>
          <w:rFonts w:ascii="Times New Roman" w:hAnsi="Times New Roman"/>
        </w:rPr>
        <w:t xml:space="preserve"> taught by Mr</w:t>
      </w:r>
      <w:r w:rsidR="00E22CD6" w:rsidRPr="00207864">
        <w:rPr>
          <w:rFonts w:ascii="Times New Roman" w:hAnsi="Times New Roman"/>
        </w:rPr>
        <w:t> </w:t>
      </w:r>
      <w:r w:rsidR="00871EF9" w:rsidRPr="00207864">
        <w:rPr>
          <w:rFonts w:ascii="Times New Roman" w:hAnsi="Times New Roman"/>
        </w:rPr>
        <w:t>Benbrika an</w:t>
      </w:r>
      <w:r w:rsidR="00D23CA1" w:rsidRPr="00207864">
        <w:rPr>
          <w:rFonts w:ascii="Times New Roman" w:hAnsi="Times New Roman"/>
        </w:rPr>
        <w:t>d</w:t>
      </w:r>
      <w:r w:rsidR="00871EF9" w:rsidRPr="00207864">
        <w:rPr>
          <w:rFonts w:ascii="Times New Roman" w:hAnsi="Times New Roman"/>
        </w:rPr>
        <w:t xml:space="preserve"> accepted by the other members of the organisation who had taken an oath of allegiance to him </w:t>
      </w:r>
      <w:r w:rsidR="00D23CA1" w:rsidRPr="00207864">
        <w:rPr>
          <w:rFonts w:ascii="Times New Roman" w:hAnsi="Times New Roman"/>
        </w:rPr>
        <w:t>–</w:t>
      </w:r>
      <w:r w:rsidR="00871EF9" w:rsidRPr="00207864">
        <w:rPr>
          <w:rFonts w:ascii="Times New Roman" w:hAnsi="Times New Roman"/>
        </w:rPr>
        <w:t xml:space="preserve"> that they were under a religious duty to pursue violent jihad against non</w:t>
      </w:r>
      <w:r w:rsidR="005663BC" w:rsidRPr="00207864">
        <w:rPr>
          <w:rFonts w:ascii="Times New Roman" w:hAnsi="Times New Roman"/>
        </w:rPr>
        <w:noBreakHyphen/>
      </w:r>
      <w:r w:rsidR="00871EF9" w:rsidRPr="00207864">
        <w:rPr>
          <w:rFonts w:ascii="Times New Roman" w:hAnsi="Times New Roman"/>
        </w:rPr>
        <w:t>believers</w:t>
      </w:r>
      <w:r w:rsidR="00871EF9" w:rsidRPr="00207864">
        <w:rPr>
          <w:rStyle w:val="FootnoteReference"/>
          <w:rFonts w:ascii="Times New Roman" w:hAnsi="Times New Roman"/>
          <w:sz w:val="24"/>
        </w:rPr>
        <w:footnoteReference w:id="7"/>
      </w:r>
      <w:r w:rsidR="00871EF9" w:rsidRPr="00207864">
        <w:rPr>
          <w:rFonts w:ascii="Times New Roman" w:hAnsi="Times New Roman"/>
        </w:rPr>
        <w:t>. The Crown case included evidence that</w:t>
      </w:r>
      <w:r w:rsidR="00770EE7" w:rsidRPr="00207864">
        <w:rPr>
          <w:rFonts w:ascii="Times New Roman" w:hAnsi="Times New Roman"/>
        </w:rPr>
        <w:t>,</w:t>
      </w:r>
      <w:r w:rsidR="00871EF9" w:rsidRPr="00207864">
        <w:rPr>
          <w:rFonts w:ascii="Times New Roman" w:hAnsi="Times New Roman"/>
        </w:rPr>
        <w:t xml:space="preserve"> as part of </w:t>
      </w:r>
      <w:r w:rsidR="00BD5CA4" w:rsidRPr="00207864">
        <w:rPr>
          <w:rFonts w:ascii="Times New Roman" w:hAnsi="Times New Roman"/>
        </w:rPr>
        <w:t>the</w:t>
      </w:r>
      <w:r w:rsidR="00871EF9" w:rsidRPr="00207864">
        <w:rPr>
          <w:rFonts w:ascii="Times New Roman" w:hAnsi="Times New Roman"/>
        </w:rPr>
        <w:t xml:space="preserve"> instruction in violent jihad</w:t>
      </w:r>
      <w:r w:rsidR="00BD5CA4" w:rsidRPr="00207864">
        <w:rPr>
          <w:rFonts w:ascii="Times New Roman" w:hAnsi="Times New Roman"/>
        </w:rPr>
        <w:t xml:space="preserve"> that</w:t>
      </w:r>
      <w:r w:rsidR="00871EF9" w:rsidRPr="00207864">
        <w:rPr>
          <w:rFonts w:ascii="Times New Roman" w:hAnsi="Times New Roman"/>
        </w:rPr>
        <w:t xml:space="preserve"> Mr Benbrika</w:t>
      </w:r>
      <w:r w:rsidR="00BD5CA4" w:rsidRPr="00207864">
        <w:rPr>
          <w:rFonts w:ascii="Times New Roman" w:hAnsi="Times New Roman"/>
        </w:rPr>
        <w:t xml:space="preserve"> provided</w:t>
      </w:r>
      <w:r w:rsidR="00770EE7" w:rsidRPr="00207864">
        <w:rPr>
          <w:rFonts w:ascii="Times New Roman" w:hAnsi="Times New Roman"/>
        </w:rPr>
        <w:t>,</w:t>
      </w:r>
      <w:r w:rsidR="00BD5CA4" w:rsidRPr="00207864">
        <w:rPr>
          <w:rFonts w:ascii="Times New Roman" w:hAnsi="Times New Roman"/>
        </w:rPr>
        <w:t xml:space="preserve"> he</w:t>
      </w:r>
      <w:r w:rsidR="00871EF9" w:rsidRPr="00207864">
        <w:rPr>
          <w:rFonts w:ascii="Times New Roman" w:hAnsi="Times New Roman"/>
        </w:rPr>
        <w:t xml:space="preserve"> had taught other members of the organisation that death in pursuit of "Allah's cause" would result in martyrdom and thus entry into paradise</w:t>
      </w:r>
      <w:r w:rsidR="00871EF9" w:rsidRPr="00207864">
        <w:rPr>
          <w:rStyle w:val="FootnoteReference"/>
          <w:rFonts w:ascii="Times New Roman" w:hAnsi="Times New Roman"/>
          <w:sz w:val="24"/>
        </w:rPr>
        <w:footnoteReference w:id="8"/>
      </w:r>
      <w:r w:rsidR="00871EF9" w:rsidRPr="00207864">
        <w:rPr>
          <w:rFonts w:ascii="Times New Roman" w:hAnsi="Times New Roman"/>
        </w:rPr>
        <w:t xml:space="preserve">. </w:t>
      </w:r>
      <w:r w:rsidR="005A55B7" w:rsidRPr="00207864">
        <w:rPr>
          <w:rFonts w:ascii="Times New Roman" w:hAnsi="Times New Roman"/>
        </w:rPr>
        <w:t xml:space="preserve">Mr Benbrika </w:t>
      </w:r>
      <w:r w:rsidR="0002021E" w:rsidRPr="00207864">
        <w:rPr>
          <w:rFonts w:ascii="Times New Roman" w:hAnsi="Times New Roman"/>
        </w:rPr>
        <w:t>was sentenced to a</w:t>
      </w:r>
      <w:r w:rsidR="005A55B7" w:rsidRPr="00207864">
        <w:rPr>
          <w:rFonts w:ascii="Times New Roman" w:hAnsi="Times New Roman"/>
        </w:rPr>
        <w:t xml:space="preserve">n </w:t>
      </w:r>
      <w:r w:rsidR="0002021E" w:rsidRPr="00207864">
        <w:rPr>
          <w:rFonts w:ascii="Times New Roman" w:hAnsi="Times New Roman"/>
        </w:rPr>
        <w:t xml:space="preserve">effective </w:t>
      </w:r>
      <w:r w:rsidR="00DF2692" w:rsidRPr="00207864">
        <w:rPr>
          <w:rFonts w:ascii="Times New Roman" w:hAnsi="Times New Roman"/>
        </w:rPr>
        <w:t xml:space="preserve">term </w:t>
      </w:r>
      <w:r w:rsidR="0002021E" w:rsidRPr="00207864">
        <w:rPr>
          <w:rFonts w:ascii="Times New Roman" w:hAnsi="Times New Roman"/>
        </w:rPr>
        <w:t xml:space="preserve">of </w:t>
      </w:r>
      <w:r w:rsidR="0098127C" w:rsidRPr="00207864">
        <w:rPr>
          <w:rFonts w:ascii="Times New Roman" w:hAnsi="Times New Roman"/>
        </w:rPr>
        <w:t xml:space="preserve">imprisonment of </w:t>
      </w:r>
      <w:r w:rsidR="0002021E" w:rsidRPr="00207864">
        <w:rPr>
          <w:rFonts w:ascii="Times New Roman" w:hAnsi="Times New Roman"/>
        </w:rPr>
        <w:t>15</w:t>
      </w:r>
      <w:r w:rsidR="000947C8" w:rsidRPr="00207864">
        <w:rPr>
          <w:rFonts w:ascii="Times New Roman" w:hAnsi="Times New Roman"/>
        </w:rPr>
        <w:t> </w:t>
      </w:r>
      <w:r w:rsidR="0002021E" w:rsidRPr="00207864">
        <w:rPr>
          <w:rFonts w:ascii="Times New Roman" w:hAnsi="Times New Roman"/>
        </w:rPr>
        <w:t xml:space="preserve">years with a non-parole period of 12 years. </w:t>
      </w:r>
      <w:r w:rsidR="00A4276D" w:rsidRPr="00207864">
        <w:rPr>
          <w:rFonts w:ascii="Times New Roman" w:hAnsi="Times New Roman"/>
        </w:rPr>
        <w:t>Mr</w:t>
      </w:r>
      <w:r w:rsidR="00817D89" w:rsidRPr="00207864">
        <w:rPr>
          <w:rFonts w:ascii="Times New Roman" w:hAnsi="Times New Roman"/>
        </w:rPr>
        <w:t> </w:t>
      </w:r>
      <w:r w:rsidR="00A4276D" w:rsidRPr="00207864">
        <w:rPr>
          <w:rFonts w:ascii="Times New Roman" w:hAnsi="Times New Roman"/>
        </w:rPr>
        <w:t>Benbrika</w:t>
      </w:r>
      <w:r w:rsidR="005A55B7" w:rsidRPr="00207864">
        <w:rPr>
          <w:rFonts w:ascii="Times New Roman" w:hAnsi="Times New Roman"/>
        </w:rPr>
        <w:t xml:space="preserve"> was </w:t>
      </w:r>
      <w:r w:rsidR="0002021E" w:rsidRPr="00207864">
        <w:rPr>
          <w:rFonts w:ascii="Times New Roman" w:hAnsi="Times New Roman"/>
        </w:rPr>
        <w:t xml:space="preserve">not granted parole. </w:t>
      </w:r>
      <w:r w:rsidR="00A4276D" w:rsidRPr="00207864">
        <w:rPr>
          <w:rFonts w:ascii="Times New Roman" w:hAnsi="Times New Roman"/>
        </w:rPr>
        <w:t xml:space="preserve">His </w:t>
      </w:r>
      <w:r w:rsidR="0002021E" w:rsidRPr="00207864">
        <w:rPr>
          <w:rFonts w:ascii="Times New Roman" w:hAnsi="Times New Roman"/>
        </w:rPr>
        <w:t>sentence expired on 5</w:t>
      </w:r>
      <w:r w:rsidR="00E77969" w:rsidRPr="00207864">
        <w:rPr>
          <w:rFonts w:ascii="Times New Roman" w:hAnsi="Times New Roman"/>
        </w:rPr>
        <w:t> </w:t>
      </w:r>
      <w:r w:rsidR="0002021E" w:rsidRPr="00207864">
        <w:rPr>
          <w:rFonts w:ascii="Times New Roman" w:hAnsi="Times New Roman"/>
        </w:rPr>
        <w:t>November</w:t>
      </w:r>
      <w:r w:rsidR="00E77969" w:rsidRPr="00207864">
        <w:rPr>
          <w:rFonts w:ascii="Times New Roman" w:hAnsi="Times New Roman"/>
        </w:rPr>
        <w:t> </w:t>
      </w:r>
      <w:r w:rsidR="0002021E" w:rsidRPr="00207864">
        <w:rPr>
          <w:rFonts w:ascii="Times New Roman" w:hAnsi="Times New Roman"/>
        </w:rPr>
        <w:t>2020. On</w:t>
      </w:r>
      <w:r w:rsidR="00E77969" w:rsidRPr="00207864">
        <w:rPr>
          <w:rFonts w:ascii="Times New Roman" w:hAnsi="Times New Roman"/>
        </w:rPr>
        <w:t> </w:t>
      </w:r>
      <w:r w:rsidR="0002021E" w:rsidRPr="00207864">
        <w:rPr>
          <w:rFonts w:ascii="Times New Roman" w:hAnsi="Times New Roman"/>
        </w:rPr>
        <w:t>4</w:t>
      </w:r>
      <w:r w:rsidR="00E77969" w:rsidRPr="00207864">
        <w:rPr>
          <w:rFonts w:ascii="Times New Roman" w:hAnsi="Times New Roman"/>
        </w:rPr>
        <w:t> </w:t>
      </w:r>
      <w:r w:rsidR="0002021E" w:rsidRPr="00207864">
        <w:rPr>
          <w:rFonts w:ascii="Times New Roman" w:hAnsi="Times New Roman"/>
        </w:rPr>
        <w:t>September</w:t>
      </w:r>
      <w:r w:rsidR="00E77969" w:rsidRPr="00207864">
        <w:rPr>
          <w:rFonts w:ascii="Times New Roman" w:hAnsi="Times New Roman"/>
        </w:rPr>
        <w:t> </w:t>
      </w:r>
      <w:r w:rsidR="0002021E" w:rsidRPr="00207864">
        <w:rPr>
          <w:rFonts w:ascii="Times New Roman" w:hAnsi="Times New Roman"/>
        </w:rPr>
        <w:t>2020</w:t>
      </w:r>
      <w:r w:rsidR="00A4276D" w:rsidRPr="00207864">
        <w:rPr>
          <w:rFonts w:ascii="Times New Roman" w:hAnsi="Times New Roman"/>
        </w:rPr>
        <w:t>,</w:t>
      </w:r>
      <w:r w:rsidR="0002021E" w:rsidRPr="00207864">
        <w:rPr>
          <w:rFonts w:ascii="Times New Roman" w:hAnsi="Times New Roman"/>
        </w:rPr>
        <w:t xml:space="preserve"> the Minister commenced proceedings in the Supreme Court of Victoria</w:t>
      </w:r>
      <w:r w:rsidR="00F1337B" w:rsidRPr="00207864">
        <w:rPr>
          <w:rFonts w:ascii="Times New Roman" w:hAnsi="Times New Roman"/>
        </w:rPr>
        <w:t>,</w:t>
      </w:r>
      <w:r w:rsidR="00700638" w:rsidRPr="00207864">
        <w:rPr>
          <w:rFonts w:ascii="Times New Roman" w:hAnsi="Times New Roman"/>
        </w:rPr>
        <w:t xml:space="preserve"> seeking </w:t>
      </w:r>
      <w:r w:rsidR="0002021E" w:rsidRPr="00207864">
        <w:rPr>
          <w:rFonts w:ascii="Times New Roman" w:hAnsi="Times New Roman"/>
        </w:rPr>
        <w:t>a continuing detention order in respect of</w:t>
      </w:r>
      <w:r w:rsidR="005A55B7" w:rsidRPr="00207864">
        <w:rPr>
          <w:rFonts w:ascii="Times New Roman" w:hAnsi="Times New Roman"/>
        </w:rPr>
        <w:t xml:space="preserve"> Mr</w:t>
      </w:r>
      <w:r w:rsidR="00780B0A" w:rsidRPr="00207864">
        <w:rPr>
          <w:rFonts w:ascii="Times New Roman" w:hAnsi="Times New Roman"/>
        </w:rPr>
        <w:t> </w:t>
      </w:r>
      <w:r w:rsidR="005A55B7" w:rsidRPr="00207864">
        <w:rPr>
          <w:rFonts w:ascii="Times New Roman" w:hAnsi="Times New Roman"/>
        </w:rPr>
        <w:t>Benbrika</w:t>
      </w:r>
      <w:r w:rsidR="0002021E" w:rsidRPr="00207864">
        <w:rPr>
          <w:rFonts w:ascii="Times New Roman" w:hAnsi="Times New Roman"/>
        </w:rPr>
        <w:t xml:space="preserve"> to be in force from the date of its making until 5 November 2023 and </w:t>
      </w:r>
      <w:r w:rsidR="004C06FB" w:rsidRPr="00207864">
        <w:rPr>
          <w:rFonts w:ascii="Times New Roman" w:hAnsi="Times New Roman"/>
        </w:rPr>
        <w:t xml:space="preserve">an interim detention order </w:t>
      </w:r>
      <w:r w:rsidR="0002021E" w:rsidRPr="00207864">
        <w:rPr>
          <w:rFonts w:ascii="Times New Roman" w:hAnsi="Times New Roman"/>
        </w:rPr>
        <w:t xml:space="preserve">to be in force from 5 November 2020. </w:t>
      </w:r>
      <w:r w:rsidR="00155DDC" w:rsidRPr="00207864">
        <w:rPr>
          <w:rFonts w:ascii="Times New Roman" w:hAnsi="Times New Roman"/>
        </w:rPr>
        <w:t>On 27</w:t>
      </w:r>
      <w:r w:rsidR="00080A1E" w:rsidRPr="00207864">
        <w:rPr>
          <w:rFonts w:ascii="Times New Roman" w:hAnsi="Times New Roman"/>
        </w:rPr>
        <w:t> </w:t>
      </w:r>
      <w:r w:rsidR="00155DDC" w:rsidRPr="00207864">
        <w:rPr>
          <w:rFonts w:ascii="Times New Roman" w:hAnsi="Times New Roman"/>
        </w:rPr>
        <w:t>October</w:t>
      </w:r>
      <w:r w:rsidR="00080A1E" w:rsidRPr="00207864">
        <w:rPr>
          <w:rFonts w:ascii="Times New Roman" w:hAnsi="Times New Roman"/>
        </w:rPr>
        <w:t> </w:t>
      </w:r>
      <w:r w:rsidR="00155DDC" w:rsidRPr="00207864">
        <w:rPr>
          <w:rFonts w:ascii="Times New Roman" w:hAnsi="Times New Roman"/>
        </w:rPr>
        <w:t xml:space="preserve">2020, </w:t>
      </w:r>
      <w:proofErr w:type="spellStart"/>
      <w:r w:rsidR="00E36C43" w:rsidRPr="00207864">
        <w:rPr>
          <w:rFonts w:ascii="Times New Roman" w:hAnsi="Times New Roman"/>
        </w:rPr>
        <w:t>Tinney</w:t>
      </w:r>
      <w:proofErr w:type="spellEnd"/>
      <w:r w:rsidR="00885749" w:rsidRPr="00207864">
        <w:rPr>
          <w:rFonts w:ascii="Times New Roman" w:hAnsi="Times New Roman"/>
        </w:rPr>
        <w:t> </w:t>
      </w:r>
      <w:r w:rsidR="00E36C43" w:rsidRPr="00207864">
        <w:rPr>
          <w:rFonts w:ascii="Times New Roman" w:hAnsi="Times New Roman"/>
        </w:rPr>
        <w:t xml:space="preserve">J </w:t>
      </w:r>
      <w:r w:rsidR="001407F2" w:rsidRPr="00207864">
        <w:rPr>
          <w:rFonts w:ascii="Times New Roman" w:hAnsi="Times New Roman"/>
        </w:rPr>
        <w:t>made an interim detention order</w:t>
      </w:r>
      <w:r w:rsidR="000E79C7" w:rsidRPr="00207864">
        <w:rPr>
          <w:rStyle w:val="FootnoteReference"/>
          <w:rFonts w:ascii="Times New Roman" w:hAnsi="Times New Roman"/>
          <w:sz w:val="24"/>
        </w:rPr>
        <w:footnoteReference w:id="9"/>
      </w:r>
      <w:r w:rsidR="00BA0210" w:rsidRPr="00207864">
        <w:rPr>
          <w:rFonts w:ascii="Times New Roman" w:hAnsi="Times New Roman"/>
        </w:rPr>
        <w:t xml:space="preserve">. </w:t>
      </w:r>
      <w:r w:rsidR="00E36C43" w:rsidRPr="00207864">
        <w:rPr>
          <w:rFonts w:ascii="Times New Roman" w:hAnsi="Times New Roman"/>
        </w:rPr>
        <w:t>O</w:t>
      </w:r>
      <w:r w:rsidR="008904D9" w:rsidRPr="00207864">
        <w:rPr>
          <w:rFonts w:ascii="Times New Roman" w:hAnsi="Times New Roman"/>
        </w:rPr>
        <w:t xml:space="preserve">n </w:t>
      </w:r>
      <w:r w:rsidR="003926DB" w:rsidRPr="00207864">
        <w:rPr>
          <w:rFonts w:ascii="Times New Roman" w:hAnsi="Times New Roman"/>
        </w:rPr>
        <w:t>24 December 2020</w:t>
      </w:r>
      <w:r w:rsidR="00A51BEE" w:rsidRPr="00207864">
        <w:rPr>
          <w:rFonts w:ascii="Times New Roman" w:hAnsi="Times New Roman"/>
        </w:rPr>
        <w:t>,</w:t>
      </w:r>
      <w:r w:rsidR="008904D9" w:rsidRPr="00207864">
        <w:rPr>
          <w:rFonts w:ascii="Times New Roman" w:hAnsi="Times New Roman"/>
        </w:rPr>
        <w:t xml:space="preserve"> </w:t>
      </w:r>
      <w:r w:rsidR="00E36C43" w:rsidRPr="00207864">
        <w:rPr>
          <w:rFonts w:ascii="Times New Roman" w:hAnsi="Times New Roman"/>
        </w:rPr>
        <w:t xml:space="preserve">his Honour </w:t>
      </w:r>
      <w:r w:rsidR="00044126" w:rsidRPr="00207864">
        <w:rPr>
          <w:rFonts w:ascii="Times New Roman" w:hAnsi="Times New Roman"/>
        </w:rPr>
        <w:t xml:space="preserve">made an order </w:t>
      </w:r>
      <w:r w:rsidR="000339CF" w:rsidRPr="00207864">
        <w:rPr>
          <w:rFonts w:ascii="Times New Roman" w:hAnsi="Times New Roman"/>
        </w:rPr>
        <w:t xml:space="preserve">that </w:t>
      </w:r>
      <w:r w:rsidR="00466ACD" w:rsidRPr="00207864">
        <w:rPr>
          <w:rFonts w:ascii="Times New Roman" w:hAnsi="Times New Roman"/>
        </w:rPr>
        <w:t xml:space="preserve">Mr Benbrika </w:t>
      </w:r>
      <w:r w:rsidR="001B567F" w:rsidRPr="00207864">
        <w:rPr>
          <w:rFonts w:ascii="Times New Roman" w:hAnsi="Times New Roman"/>
        </w:rPr>
        <w:t xml:space="preserve">be subject to a </w:t>
      </w:r>
      <w:r w:rsidR="008904D9" w:rsidRPr="00207864">
        <w:rPr>
          <w:rFonts w:ascii="Times New Roman" w:hAnsi="Times New Roman"/>
        </w:rPr>
        <w:t xml:space="preserve">continuing detention order </w:t>
      </w:r>
      <w:r w:rsidR="002B4FDC" w:rsidRPr="00207864">
        <w:rPr>
          <w:rFonts w:ascii="Times New Roman" w:hAnsi="Times New Roman"/>
        </w:rPr>
        <w:t xml:space="preserve">to be in force </w:t>
      </w:r>
      <w:r w:rsidR="00DA5360" w:rsidRPr="00207864">
        <w:rPr>
          <w:rFonts w:ascii="Times New Roman" w:hAnsi="Times New Roman"/>
        </w:rPr>
        <w:t>for a period of three years</w:t>
      </w:r>
      <w:r w:rsidR="00546DFF" w:rsidRPr="00207864">
        <w:rPr>
          <w:rStyle w:val="FootnoteReference"/>
          <w:rFonts w:ascii="Times New Roman" w:hAnsi="Times New Roman"/>
          <w:sz w:val="24"/>
        </w:rPr>
        <w:footnoteReference w:id="10"/>
      </w:r>
      <w:r w:rsidR="008904D9" w:rsidRPr="00207864">
        <w:rPr>
          <w:rFonts w:ascii="Times New Roman" w:hAnsi="Times New Roman"/>
        </w:rPr>
        <w:t>.</w:t>
      </w:r>
    </w:p>
    <w:p w14:paraId="4F98B9BB" w14:textId="7F8259C7" w:rsidR="0002021E" w:rsidRPr="00207864" w:rsidRDefault="00CE79C3"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02021E" w:rsidRPr="00207864">
        <w:rPr>
          <w:rFonts w:ascii="Times New Roman" w:hAnsi="Times New Roman"/>
        </w:rPr>
        <w:t xml:space="preserve">On 2 October 2020, </w:t>
      </w:r>
      <w:r w:rsidR="005A55B7" w:rsidRPr="00207864">
        <w:rPr>
          <w:rFonts w:ascii="Times New Roman" w:hAnsi="Times New Roman"/>
        </w:rPr>
        <w:t>Mr Benbrika</w:t>
      </w:r>
      <w:r w:rsidR="00F81166" w:rsidRPr="00207864">
        <w:rPr>
          <w:rFonts w:ascii="Times New Roman" w:hAnsi="Times New Roman"/>
        </w:rPr>
        <w:t xml:space="preserve"> </w:t>
      </w:r>
      <w:r w:rsidR="00C80E61" w:rsidRPr="00207864">
        <w:rPr>
          <w:rFonts w:ascii="Times New Roman" w:hAnsi="Times New Roman"/>
        </w:rPr>
        <w:t xml:space="preserve">applied </w:t>
      </w:r>
      <w:r w:rsidR="00354D79" w:rsidRPr="00207864">
        <w:rPr>
          <w:rFonts w:ascii="Times New Roman" w:hAnsi="Times New Roman"/>
        </w:rPr>
        <w:t xml:space="preserve">for an order </w:t>
      </w:r>
      <w:r w:rsidR="0002021E" w:rsidRPr="00207864">
        <w:rPr>
          <w:rFonts w:ascii="Times New Roman" w:hAnsi="Times New Roman"/>
        </w:rPr>
        <w:t xml:space="preserve">reserving the following question for the consideration of the Court of Appeal </w:t>
      </w:r>
      <w:r w:rsidR="00354D79" w:rsidRPr="00207864">
        <w:rPr>
          <w:rFonts w:ascii="Times New Roman" w:hAnsi="Times New Roman"/>
        </w:rPr>
        <w:t>of the Supreme Court of Victoria</w:t>
      </w:r>
      <w:r w:rsidR="00CE01A4" w:rsidRPr="00207864">
        <w:rPr>
          <w:rStyle w:val="FootnoteReference"/>
          <w:rFonts w:ascii="Times New Roman" w:hAnsi="Times New Roman"/>
          <w:sz w:val="24"/>
        </w:rPr>
        <w:footnoteReference w:id="11"/>
      </w:r>
      <w:r w:rsidR="0002021E" w:rsidRPr="00207864">
        <w:rPr>
          <w:rFonts w:ascii="Times New Roman" w:hAnsi="Times New Roman"/>
        </w:rPr>
        <w:t>:</w:t>
      </w:r>
    </w:p>
    <w:p w14:paraId="65AC6E7C" w14:textId="77777777" w:rsidR="00207864" w:rsidRDefault="0002021E" w:rsidP="00207864">
      <w:pPr>
        <w:pStyle w:val="LeftrightafterHC"/>
        <w:spacing w:before="0" w:after="260" w:line="280" w:lineRule="exact"/>
        <w:ind w:right="0"/>
        <w:jc w:val="both"/>
        <w:rPr>
          <w:rFonts w:ascii="Times New Roman" w:hAnsi="Times New Roman"/>
        </w:rPr>
      </w:pPr>
      <w:r w:rsidRPr="00207864">
        <w:rPr>
          <w:rFonts w:ascii="Times New Roman" w:hAnsi="Times New Roman"/>
        </w:rPr>
        <w:lastRenderedPageBreak/>
        <w:t xml:space="preserve">"Is all or any part of Division 105A of the </w:t>
      </w:r>
      <w:r w:rsidRPr="00207864">
        <w:rPr>
          <w:rFonts w:ascii="Times New Roman" w:hAnsi="Times New Roman"/>
          <w:i/>
        </w:rPr>
        <w:t>Criminal Code</w:t>
      </w:r>
      <w:r w:rsidRPr="00207864">
        <w:rPr>
          <w:rFonts w:ascii="Times New Roman" w:hAnsi="Times New Roman"/>
        </w:rPr>
        <w:t xml:space="preserve"> (Cth) and</w:t>
      </w:r>
      <w:r w:rsidR="00A124CD" w:rsidRPr="00207864">
        <w:rPr>
          <w:rFonts w:ascii="Times New Roman" w:hAnsi="Times New Roman"/>
        </w:rPr>
        <w:t>,</w:t>
      </w:r>
      <w:r w:rsidRPr="00207864">
        <w:rPr>
          <w:rFonts w:ascii="Times New Roman" w:hAnsi="Times New Roman"/>
        </w:rPr>
        <w:t xml:space="preserve"> if so, which part</w:t>
      </w:r>
      <w:r w:rsidR="00A124CD" w:rsidRPr="00207864">
        <w:rPr>
          <w:rFonts w:ascii="Times New Roman" w:hAnsi="Times New Roman"/>
        </w:rPr>
        <w:t>,</w:t>
      </w:r>
      <w:r w:rsidRPr="00207864">
        <w:rPr>
          <w:rFonts w:ascii="Times New Roman" w:hAnsi="Times New Roman"/>
        </w:rPr>
        <w:t xml:space="preserve"> invalid because the power to make a continuing detention order under s</w:t>
      </w:r>
      <w:r w:rsidR="00A124CD" w:rsidRPr="00207864">
        <w:rPr>
          <w:rFonts w:ascii="Times New Roman" w:hAnsi="Times New Roman"/>
        </w:rPr>
        <w:t>ection</w:t>
      </w:r>
      <w:r w:rsidRPr="00207864">
        <w:rPr>
          <w:rFonts w:ascii="Times New Roman" w:hAnsi="Times New Roman"/>
        </w:rPr>
        <w:t xml:space="preserve"> 105A.7 of the </w:t>
      </w:r>
      <w:r w:rsidRPr="00207864">
        <w:rPr>
          <w:rFonts w:ascii="Times New Roman" w:hAnsi="Times New Roman"/>
          <w:i/>
        </w:rPr>
        <w:t>Code</w:t>
      </w:r>
      <w:r w:rsidRPr="00207864">
        <w:rPr>
          <w:rFonts w:ascii="Times New Roman" w:hAnsi="Times New Roman"/>
        </w:rPr>
        <w:t xml:space="preserve"> is not within the judicial power of the Commonwealth and has been conferred, inter alia, on the Supreme Court of Victoria contrary to Chapter III of the Commonwealth Constitution?"</w:t>
      </w:r>
    </w:p>
    <w:p w14:paraId="583AE481" w14:textId="736ADCFB" w:rsidR="00FA3405" w:rsidRPr="00207864" w:rsidRDefault="00DE1086"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02021E" w:rsidRPr="00207864">
        <w:rPr>
          <w:rFonts w:ascii="Times New Roman" w:hAnsi="Times New Roman"/>
        </w:rPr>
        <w:t xml:space="preserve">On 8 October 2020, </w:t>
      </w:r>
      <w:proofErr w:type="spellStart"/>
      <w:r w:rsidR="0002021E" w:rsidRPr="00207864">
        <w:rPr>
          <w:rFonts w:ascii="Times New Roman" w:hAnsi="Times New Roman"/>
        </w:rPr>
        <w:t>Tinney</w:t>
      </w:r>
      <w:proofErr w:type="spellEnd"/>
      <w:r w:rsidR="0002021E" w:rsidRPr="00207864">
        <w:rPr>
          <w:rFonts w:ascii="Times New Roman" w:hAnsi="Times New Roman"/>
        </w:rPr>
        <w:t xml:space="preserve"> J reserved the question </w:t>
      </w:r>
      <w:r w:rsidR="004C5C05" w:rsidRPr="00207864">
        <w:rPr>
          <w:rFonts w:ascii="Times New Roman" w:hAnsi="Times New Roman"/>
        </w:rPr>
        <w:t xml:space="preserve">for the consideration of the Court of Appeal. </w:t>
      </w:r>
      <w:r w:rsidR="00A00F4E" w:rsidRPr="00207864">
        <w:rPr>
          <w:rFonts w:ascii="Times New Roman" w:hAnsi="Times New Roman"/>
        </w:rPr>
        <w:t>On 30</w:t>
      </w:r>
      <w:r w:rsidR="005527B5" w:rsidRPr="00207864">
        <w:rPr>
          <w:rFonts w:ascii="Times New Roman" w:hAnsi="Times New Roman"/>
        </w:rPr>
        <w:t> </w:t>
      </w:r>
      <w:r w:rsidR="00A00F4E" w:rsidRPr="00207864">
        <w:rPr>
          <w:rFonts w:ascii="Times New Roman" w:hAnsi="Times New Roman"/>
        </w:rPr>
        <w:t>October</w:t>
      </w:r>
      <w:r w:rsidR="005527B5" w:rsidRPr="00207864">
        <w:rPr>
          <w:rFonts w:ascii="Times New Roman" w:hAnsi="Times New Roman"/>
        </w:rPr>
        <w:t> </w:t>
      </w:r>
      <w:r w:rsidR="0002021E" w:rsidRPr="00207864">
        <w:rPr>
          <w:rFonts w:ascii="Times New Roman" w:hAnsi="Times New Roman"/>
        </w:rPr>
        <w:t>2020, on the application of the Attorney-General of the Commonwealth, the question reserved was removed into this Court</w:t>
      </w:r>
      <w:r w:rsidR="00C20E11" w:rsidRPr="00207864">
        <w:rPr>
          <w:rStyle w:val="FootnoteReference"/>
          <w:rFonts w:ascii="Times New Roman" w:hAnsi="Times New Roman"/>
          <w:sz w:val="24"/>
        </w:rPr>
        <w:footnoteReference w:id="12"/>
      </w:r>
      <w:r w:rsidR="0002021E" w:rsidRPr="00207864">
        <w:rPr>
          <w:rFonts w:ascii="Times New Roman" w:hAnsi="Times New Roman"/>
        </w:rPr>
        <w:t xml:space="preserve">. </w:t>
      </w:r>
      <w:r w:rsidR="006445B3" w:rsidRPr="00207864">
        <w:rPr>
          <w:rFonts w:ascii="Times New Roman" w:hAnsi="Times New Roman"/>
        </w:rPr>
        <w:t>The Attorney-General intervened in support of the Minister on the hearing</w:t>
      </w:r>
      <w:r w:rsidR="00F562D2" w:rsidRPr="00207864">
        <w:rPr>
          <w:rFonts w:ascii="Times New Roman" w:hAnsi="Times New Roman"/>
        </w:rPr>
        <w:t xml:space="preserve"> </w:t>
      </w:r>
      <w:r w:rsidR="00216CED" w:rsidRPr="00207864">
        <w:rPr>
          <w:rFonts w:ascii="Times New Roman" w:hAnsi="Times New Roman"/>
        </w:rPr>
        <w:t>of the question reserved. T</w:t>
      </w:r>
      <w:r w:rsidR="00F562D2" w:rsidRPr="00207864">
        <w:rPr>
          <w:rFonts w:ascii="Times New Roman" w:hAnsi="Times New Roman"/>
        </w:rPr>
        <w:t xml:space="preserve">he Minister adopted the </w:t>
      </w:r>
      <w:r w:rsidR="000B4222" w:rsidRPr="00207864">
        <w:rPr>
          <w:rFonts w:ascii="Times New Roman" w:hAnsi="Times New Roman"/>
        </w:rPr>
        <w:t>Attorney-</w:t>
      </w:r>
      <w:r w:rsidR="003A4FBE" w:rsidRPr="00207864">
        <w:rPr>
          <w:rFonts w:ascii="Times New Roman" w:hAnsi="Times New Roman"/>
        </w:rPr>
        <w:t>General's</w:t>
      </w:r>
      <w:r w:rsidR="000B4222" w:rsidRPr="00207864">
        <w:rPr>
          <w:rFonts w:ascii="Times New Roman" w:hAnsi="Times New Roman"/>
        </w:rPr>
        <w:t xml:space="preserve"> </w:t>
      </w:r>
      <w:r w:rsidR="003A4FBE" w:rsidRPr="00207864">
        <w:rPr>
          <w:rFonts w:ascii="Times New Roman" w:hAnsi="Times New Roman"/>
        </w:rPr>
        <w:t>submissions</w:t>
      </w:r>
      <w:r w:rsidR="00C8390C" w:rsidRPr="00207864">
        <w:rPr>
          <w:rFonts w:ascii="Times New Roman" w:hAnsi="Times New Roman"/>
        </w:rPr>
        <w:t>.</w:t>
      </w:r>
      <w:r w:rsidR="000B4222" w:rsidRPr="00207864">
        <w:rPr>
          <w:rFonts w:ascii="Times New Roman" w:hAnsi="Times New Roman"/>
        </w:rPr>
        <w:t xml:space="preserve"> </w:t>
      </w:r>
      <w:r w:rsidR="00C8390C" w:rsidRPr="00207864">
        <w:rPr>
          <w:rFonts w:ascii="Times New Roman" w:hAnsi="Times New Roman"/>
        </w:rPr>
        <w:t>In these reasons t</w:t>
      </w:r>
      <w:r w:rsidR="000B4222" w:rsidRPr="00207864">
        <w:rPr>
          <w:rFonts w:ascii="Times New Roman" w:hAnsi="Times New Roman"/>
        </w:rPr>
        <w:t xml:space="preserve">he </w:t>
      </w:r>
      <w:r w:rsidR="003A4FBE" w:rsidRPr="00207864">
        <w:rPr>
          <w:rFonts w:ascii="Times New Roman" w:hAnsi="Times New Roman"/>
        </w:rPr>
        <w:t>M</w:t>
      </w:r>
      <w:r w:rsidR="000B4222" w:rsidRPr="00207864">
        <w:rPr>
          <w:rFonts w:ascii="Times New Roman" w:hAnsi="Times New Roman"/>
        </w:rPr>
        <w:t xml:space="preserve">inister and the Attorney-General will be referred </w:t>
      </w:r>
      <w:r w:rsidR="00596861" w:rsidRPr="00207864">
        <w:rPr>
          <w:rFonts w:ascii="Times New Roman" w:hAnsi="Times New Roman"/>
        </w:rPr>
        <w:t xml:space="preserve">to collectively as "the Commonwealth". </w:t>
      </w:r>
    </w:p>
    <w:p w14:paraId="4F619F2E" w14:textId="16F2366E" w:rsidR="00EE393C" w:rsidRPr="00207864" w:rsidRDefault="00EE393C" w:rsidP="00207864">
      <w:pPr>
        <w:pStyle w:val="HeadingL1"/>
        <w:spacing w:after="260" w:line="280" w:lineRule="exact"/>
        <w:ind w:right="0"/>
        <w:jc w:val="both"/>
        <w:rPr>
          <w:rFonts w:ascii="Times New Roman" w:hAnsi="Times New Roman"/>
        </w:rPr>
      </w:pPr>
      <w:r w:rsidRPr="00207864">
        <w:rPr>
          <w:rFonts w:ascii="Times New Roman" w:hAnsi="Times New Roman"/>
        </w:rPr>
        <w:t>The scheme of Div 105A</w:t>
      </w:r>
      <w:r w:rsidR="00157368" w:rsidRPr="00207864">
        <w:rPr>
          <w:rFonts w:ascii="Times New Roman" w:hAnsi="Times New Roman"/>
        </w:rPr>
        <w:t xml:space="preserve"> of the Code</w:t>
      </w:r>
    </w:p>
    <w:p w14:paraId="6F249AA6" w14:textId="275DCF92" w:rsidR="00EE393C" w:rsidRPr="00207864" w:rsidRDefault="00EE393C" w:rsidP="00207864">
      <w:pPr>
        <w:pStyle w:val="FixListStyle"/>
        <w:spacing w:after="260" w:line="280" w:lineRule="exact"/>
        <w:ind w:right="0"/>
        <w:jc w:val="both"/>
        <w:rPr>
          <w:rFonts w:ascii="Times New Roman" w:hAnsi="Times New Roman"/>
        </w:rPr>
      </w:pPr>
      <w:r w:rsidRPr="00207864">
        <w:rPr>
          <w:rFonts w:ascii="Times New Roman" w:hAnsi="Times New Roman"/>
        </w:rPr>
        <w:tab/>
        <w:t>Div</w:t>
      </w:r>
      <w:r w:rsidR="001B1D9D" w:rsidRPr="00207864">
        <w:rPr>
          <w:rFonts w:ascii="Times New Roman" w:hAnsi="Times New Roman"/>
        </w:rPr>
        <w:t>ision</w:t>
      </w:r>
      <w:r w:rsidRPr="00207864">
        <w:rPr>
          <w:rFonts w:ascii="Times New Roman" w:hAnsi="Times New Roman"/>
        </w:rPr>
        <w:t xml:space="preserve"> 105A was enacted by the </w:t>
      </w:r>
      <w:r w:rsidR="00F542CC" w:rsidRPr="00207864">
        <w:rPr>
          <w:rFonts w:ascii="Times New Roman" w:hAnsi="Times New Roman"/>
          <w:i/>
        </w:rPr>
        <w:t xml:space="preserve">Criminal Code Amendment (High Risk Terrorist Offenders) Act 2016 </w:t>
      </w:r>
      <w:r w:rsidR="00F542CC" w:rsidRPr="00207864">
        <w:rPr>
          <w:rFonts w:ascii="Times New Roman" w:hAnsi="Times New Roman"/>
        </w:rPr>
        <w:t>(Cth)</w:t>
      </w:r>
      <w:r w:rsidRPr="00207864">
        <w:rPr>
          <w:rFonts w:ascii="Times New Roman" w:hAnsi="Times New Roman"/>
        </w:rPr>
        <w:t xml:space="preserve"> and has </w:t>
      </w:r>
      <w:r w:rsidR="00CA2B5B" w:rsidRPr="00207864">
        <w:rPr>
          <w:rFonts w:ascii="Times New Roman" w:hAnsi="Times New Roman"/>
        </w:rPr>
        <w:t xml:space="preserve">as its </w:t>
      </w:r>
      <w:r w:rsidRPr="00207864">
        <w:rPr>
          <w:rFonts w:ascii="Times New Roman" w:hAnsi="Times New Roman"/>
        </w:rPr>
        <w:t>object</w:t>
      </w:r>
      <w:r w:rsidRPr="00207864">
        <w:rPr>
          <w:rStyle w:val="FootnoteReference"/>
          <w:rFonts w:ascii="Times New Roman" w:hAnsi="Times New Roman"/>
          <w:sz w:val="24"/>
        </w:rPr>
        <w:footnoteReference w:id="13"/>
      </w:r>
      <w:r w:rsidRPr="00207864">
        <w:rPr>
          <w:rFonts w:ascii="Times New Roman" w:hAnsi="Times New Roman"/>
        </w:rPr>
        <w:t xml:space="preserve">: </w:t>
      </w:r>
    </w:p>
    <w:p w14:paraId="73A26B76" w14:textId="77777777" w:rsidR="00207864" w:rsidRDefault="00EE393C" w:rsidP="00207864">
      <w:pPr>
        <w:pStyle w:val="LeftrightafterHC"/>
        <w:spacing w:before="0" w:after="260" w:line="280" w:lineRule="exact"/>
        <w:ind w:right="0"/>
        <w:jc w:val="both"/>
        <w:rPr>
          <w:rFonts w:ascii="Times New Roman" w:hAnsi="Times New Roman"/>
        </w:rPr>
      </w:pPr>
      <w:r w:rsidRPr="00207864">
        <w:rPr>
          <w:rFonts w:ascii="Times New Roman" w:hAnsi="Times New Roman"/>
        </w:rPr>
        <w:t>"</w:t>
      </w:r>
      <w:r w:rsidR="00E76C18" w:rsidRPr="00207864">
        <w:rPr>
          <w:rFonts w:ascii="Times New Roman" w:hAnsi="Times New Roman"/>
        </w:rPr>
        <w:t>t</w:t>
      </w:r>
      <w:r w:rsidRPr="00207864">
        <w:rPr>
          <w:rFonts w:ascii="Times New Roman" w:hAnsi="Times New Roman"/>
        </w:rPr>
        <w:t>o ensure the safety and protection of the community by providing for the continuing detention of terrorist offenders who pose an unacceptable risk of committing serious Part 5.3 offences if released into the community.</w:t>
      </w:r>
      <w:r w:rsidR="00015E0D" w:rsidRPr="00207864">
        <w:rPr>
          <w:rFonts w:ascii="Times New Roman" w:hAnsi="Times New Roman"/>
        </w:rPr>
        <w:t>"</w:t>
      </w:r>
    </w:p>
    <w:p w14:paraId="58220C50" w14:textId="2FDE063F" w:rsidR="00EE393C" w:rsidRPr="00207864" w:rsidRDefault="00EE393C" w:rsidP="00207864">
      <w:pPr>
        <w:pStyle w:val="FixListStyle"/>
        <w:spacing w:after="260" w:line="280" w:lineRule="exact"/>
        <w:ind w:right="0"/>
        <w:jc w:val="both"/>
        <w:rPr>
          <w:rFonts w:ascii="Times New Roman" w:hAnsi="Times New Roman"/>
        </w:rPr>
      </w:pPr>
      <w:r w:rsidRPr="00207864">
        <w:rPr>
          <w:rFonts w:ascii="Times New Roman" w:hAnsi="Times New Roman"/>
        </w:rPr>
        <w:tab/>
        <w:t>The Minister may apply to the Supreme Court of a State or Territory for a continuing detention order</w:t>
      </w:r>
      <w:r w:rsidRPr="00207864">
        <w:rPr>
          <w:rStyle w:val="FootnoteReference"/>
          <w:rFonts w:ascii="Times New Roman" w:hAnsi="Times New Roman"/>
          <w:sz w:val="24"/>
        </w:rPr>
        <w:footnoteReference w:id="14"/>
      </w:r>
      <w:r w:rsidRPr="00207864">
        <w:rPr>
          <w:rFonts w:ascii="Times New Roman" w:hAnsi="Times New Roman"/>
        </w:rPr>
        <w:t xml:space="preserve">. A continuing detention order may only be made with respect to a "terrorist offender". </w:t>
      </w:r>
      <w:r w:rsidR="0029229A" w:rsidRPr="00207864">
        <w:rPr>
          <w:rFonts w:ascii="Times New Roman" w:hAnsi="Times New Roman"/>
        </w:rPr>
        <w:t xml:space="preserve">Relevantly, there </w:t>
      </w:r>
      <w:r w:rsidRPr="00207864">
        <w:rPr>
          <w:rFonts w:ascii="Times New Roman" w:hAnsi="Times New Roman"/>
        </w:rPr>
        <w:t xml:space="preserve">are three </w:t>
      </w:r>
      <w:r w:rsidR="00577EF2" w:rsidRPr="00207864">
        <w:rPr>
          <w:rFonts w:ascii="Times New Roman" w:hAnsi="Times New Roman"/>
        </w:rPr>
        <w:t>attributes</w:t>
      </w:r>
      <w:r w:rsidRPr="00207864">
        <w:rPr>
          <w:rFonts w:ascii="Times New Roman" w:hAnsi="Times New Roman"/>
        </w:rPr>
        <w:t xml:space="preserve"> </w:t>
      </w:r>
      <w:r w:rsidR="00577EF2" w:rsidRPr="00207864">
        <w:rPr>
          <w:rFonts w:ascii="Times New Roman" w:hAnsi="Times New Roman"/>
        </w:rPr>
        <w:t xml:space="preserve">of being </w:t>
      </w:r>
      <w:r w:rsidRPr="00207864">
        <w:rPr>
          <w:rFonts w:ascii="Times New Roman" w:hAnsi="Times New Roman"/>
        </w:rPr>
        <w:t xml:space="preserve">a "terrorist offender". The first </w:t>
      </w:r>
      <w:r w:rsidR="00577EF2" w:rsidRPr="00207864">
        <w:rPr>
          <w:rFonts w:ascii="Times New Roman" w:hAnsi="Times New Roman"/>
        </w:rPr>
        <w:t>attribute</w:t>
      </w:r>
      <w:r w:rsidRPr="00207864">
        <w:rPr>
          <w:rFonts w:ascii="Times New Roman" w:hAnsi="Times New Roman"/>
        </w:rPr>
        <w:t xml:space="preserve"> is that the person has been convicted of an offence referred to in s</w:t>
      </w:r>
      <w:r w:rsidR="00B917AE" w:rsidRPr="00207864">
        <w:rPr>
          <w:rFonts w:ascii="Times New Roman" w:hAnsi="Times New Roman"/>
        </w:rPr>
        <w:t> </w:t>
      </w:r>
      <w:r w:rsidRPr="00207864">
        <w:rPr>
          <w:rFonts w:ascii="Times New Roman" w:hAnsi="Times New Roman"/>
        </w:rPr>
        <w:t>105A.3(1)</w:t>
      </w:r>
      <w:r w:rsidR="00943300" w:rsidRPr="00207864">
        <w:rPr>
          <w:rFonts w:ascii="Times New Roman" w:hAnsi="Times New Roman"/>
        </w:rPr>
        <w:t>(a)</w:t>
      </w:r>
      <w:r w:rsidRPr="00207864">
        <w:rPr>
          <w:rFonts w:ascii="Times New Roman" w:hAnsi="Times New Roman"/>
        </w:rPr>
        <w:t xml:space="preserve"> (a "terrorist offence"). These comprise th</w:t>
      </w:r>
      <w:r w:rsidR="00577EF2" w:rsidRPr="00207864">
        <w:rPr>
          <w:rFonts w:ascii="Times New Roman" w:hAnsi="Times New Roman"/>
        </w:rPr>
        <w:t>ose</w:t>
      </w:r>
      <w:r w:rsidRPr="00207864">
        <w:rPr>
          <w:rFonts w:ascii="Times New Roman" w:hAnsi="Times New Roman"/>
        </w:rPr>
        <w:t xml:space="preserve"> terrorism related offences </w:t>
      </w:r>
      <w:r w:rsidR="00577EF2" w:rsidRPr="00207864">
        <w:rPr>
          <w:rFonts w:ascii="Times New Roman" w:hAnsi="Times New Roman"/>
        </w:rPr>
        <w:t xml:space="preserve">in Pt 5.3 of the Code </w:t>
      </w:r>
      <w:r w:rsidRPr="00207864">
        <w:rPr>
          <w:rFonts w:ascii="Times New Roman" w:hAnsi="Times New Roman"/>
        </w:rPr>
        <w:t>that have a maximum penalty of seven years' imprisonment or more ("serious Pt 5.3 offences")</w:t>
      </w:r>
      <w:r w:rsidR="00577EF2" w:rsidRPr="00207864">
        <w:rPr>
          <w:rFonts w:ascii="Times New Roman" w:hAnsi="Times New Roman"/>
        </w:rPr>
        <w:t>,</w:t>
      </w:r>
      <w:r w:rsidRPr="00207864">
        <w:rPr>
          <w:rFonts w:ascii="Times New Roman" w:hAnsi="Times New Roman"/>
        </w:rPr>
        <w:t xml:space="preserve"> </w:t>
      </w:r>
      <w:r w:rsidR="00577EF2" w:rsidRPr="00207864">
        <w:rPr>
          <w:rFonts w:ascii="Times New Roman" w:hAnsi="Times New Roman"/>
        </w:rPr>
        <w:t xml:space="preserve">certain </w:t>
      </w:r>
      <w:r w:rsidRPr="00207864">
        <w:rPr>
          <w:rFonts w:ascii="Times New Roman" w:hAnsi="Times New Roman"/>
        </w:rPr>
        <w:t xml:space="preserve">offences involving international terrorist activities using explosives or lethal devices and certain terrorism related offences involving foreign incursions and recruitment. The second </w:t>
      </w:r>
      <w:r w:rsidR="00577EF2" w:rsidRPr="00207864">
        <w:rPr>
          <w:rFonts w:ascii="Times New Roman" w:hAnsi="Times New Roman"/>
        </w:rPr>
        <w:t>attribute</w:t>
      </w:r>
      <w:r w:rsidRPr="00207864">
        <w:rPr>
          <w:rFonts w:ascii="Times New Roman" w:hAnsi="Times New Roman"/>
        </w:rPr>
        <w:t xml:space="preserve"> is that the person is in custody</w:t>
      </w:r>
      <w:r w:rsidR="00FB0D98" w:rsidRPr="00207864">
        <w:rPr>
          <w:rFonts w:ascii="Times New Roman" w:hAnsi="Times New Roman"/>
        </w:rPr>
        <w:t>,</w:t>
      </w:r>
      <w:r w:rsidRPr="00207864">
        <w:rPr>
          <w:rFonts w:ascii="Times New Roman" w:hAnsi="Times New Roman"/>
        </w:rPr>
        <w:t xml:space="preserve"> </w:t>
      </w:r>
      <w:r w:rsidR="00846521" w:rsidRPr="00207864">
        <w:rPr>
          <w:rFonts w:ascii="Times New Roman" w:hAnsi="Times New Roman"/>
        </w:rPr>
        <w:t xml:space="preserve">having been continuously </w:t>
      </w:r>
      <w:r w:rsidR="003570EF" w:rsidRPr="00207864">
        <w:rPr>
          <w:rFonts w:ascii="Times New Roman" w:hAnsi="Times New Roman"/>
        </w:rPr>
        <w:t xml:space="preserve">in custody since </w:t>
      </w:r>
      <w:r w:rsidRPr="00207864">
        <w:rPr>
          <w:rFonts w:ascii="Times New Roman" w:hAnsi="Times New Roman"/>
        </w:rPr>
        <w:t xml:space="preserve">being convicted of the </w:t>
      </w:r>
      <w:r w:rsidR="006364CC" w:rsidRPr="00207864">
        <w:rPr>
          <w:rFonts w:ascii="Times New Roman" w:hAnsi="Times New Roman"/>
        </w:rPr>
        <w:t xml:space="preserve">terrorist </w:t>
      </w:r>
      <w:r w:rsidRPr="00207864">
        <w:rPr>
          <w:rFonts w:ascii="Times New Roman" w:hAnsi="Times New Roman"/>
        </w:rPr>
        <w:t>offence</w:t>
      </w:r>
      <w:r w:rsidR="00FB0D98" w:rsidRPr="00207864">
        <w:rPr>
          <w:rFonts w:ascii="Times New Roman" w:hAnsi="Times New Roman"/>
        </w:rPr>
        <w:t>,</w:t>
      </w:r>
      <w:r w:rsidRPr="00207864">
        <w:rPr>
          <w:rFonts w:ascii="Times New Roman" w:hAnsi="Times New Roman"/>
        </w:rPr>
        <w:t xml:space="preserve"> or</w:t>
      </w:r>
      <w:r w:rsidR="00F21D42" w:rsidRPr="00207864">
        <w:rPr>
          <w:rFonts w:ascii="Times New Roman" w:hAnsi="Times New Roman"/>
        </w:rPr>
        <w:t xml:space="preserve"> is</w:t>
      </w:r>
      <w:r w:rsidRPr="00207864">
        <w:rPr>
          <w:rFonts w:ascii="Times New Roman" w:hAnsi="Times New Roman"/>
        </w:rPr>
        <w:t xml:space="preserve"> </w:t>
      </w:r>
      <w:r w:rsidR="004A0FBF" w:rsidRPr="00207864">
        <w:rPr>
          <w:rFonts w:ascii="Times New Roman" w:hAnsi="Times New Roman"/>
        </w:rPr>
        <w:t xml:space="preserve">under </w:t>
      </w:r>
      <w:r w:rsidRPr="00207864">
        <w:rPr>
          <w:rFonts w:ascii="Times New Roman" w:hAnsi="Times New Roman"/>
        </w:rPr>
        <w:t xml:space="preserve">a continuing </w:t>
      </w:r>
      <w:r w:rsidR="004B0E37" w:rsidRPr="00207864">
        <w:rPr>
          <w:rFonts w:ascii="Times New Roman" w:hAnsi="Times New Roman"/>
        </w:rPr>
        <w:t xml:space="preserve">or </w:t>
      </w:r>
      <w:r w:rsidR="004B0E37" w:rsidRPr="00207864">
        <w:rPr>
          <w:rFonts w:ascii="Times New Roman" w:hAnsi="Times New Roman"/>
        </w:rPr>
        <w:lastRenderedPageBreak/>
        <w:t xml:space="preserve">interim </w:t>
      </w:r>
      <w:r w:rsidRPr="00207864">
        <w:rPr>
          <w:rFonts w:ascii="Times New Roman" w:hAnsi="Times New Roman"/>
        </w:rPr>
        <w:t>detention order</w:t>
      </w:r>
      <w:r w:rsidR="00BB6143" w:rsidRPr="00207864">
        <w:rPr>
          <w:rStyle w:val="FootnoteReference"/>
          <w:rFonts w:ascii="Times New Roman" w:hAnsi="Times New Roman"/>
          <w:sz w:val="24"/>
        </w:rPr>
        <w:footnoteReference w:id="15"/>
      </w:r>
      <w:r w:rsidRPr="00207864">
        <w:rPr>
          <w:rFonts w:ascii="Times New Roman" w:hAnsi="Times New Roman"/>
        </w:rPr>
        <w:t xml:space="preserve">. The third </w:t>
      </w:r>
      <w:r w:rsidR="00577EF2" w:rsidRPr="00207864">
        <w:rPr>
          <w:rFonts w:ascii="Times New Roman" w:hAnsi="Times New Roman"/>
        </w:rPr>
        <w:t>attribute</w:t>
      </w:r>
      <w:r w:rsidRPr="00207864">
        <w:rPr>
          <w:rFonts w:ascii="Times New Roman" w:hAnsi="Times New Roman"/>
        </w:rPr>
        <w:t xml:space="preserve"> is that the person will be at least 18</w:t>
      </w:r>
      <w:r w:rsidR="00BC0617" w:rsidRPr="00207864">
        <w:rPr>
          <w:rFonts w:ascii="Times New Roman" w:hAnsi="Times New Roman"/>
        </w:rPr>
        <w:t> </w:t>
      </w:r>
      <w:r w:rsidRPr="00207864">
        <w:rPr>
          <w:rFonts w:ascii="Times New Roman" w:hAnsi="Times New Roman"/>
        </w:rPr>
        <w:t>years old at the expiration of the sentence</w:t>
      </w:r>
      <w:r w:rsidR="00943300" w:rsidRPr="00207864">
        <w:rPr>
          <w:rStyle w:val="FootnoteReference"/>
          <w:rFonts w:ascii="Times New Roman" w:hAnsi="Times New Roman"/>
          <w:sz w:val="24"/>
        </w:rPr>
        <w:footnoteReference w:id="16"/>
      </w:r>
      <w:r w:rsidRPr="00207864">
        <w:rPr>
          <w:rFonts w:ascii="Times New Roman" w:hAnsi="Times New Roman"/>
        </w:rPr>
        <w:t>.</w:t>
      </w:r>
    </w:p>
    <w:p w14:paraId="70AF8A20" w14:textId="4FFBF030" w:rsidR="00EE393C" w:rsidRPr="00207864" w:rsidRDefault="00EE393C"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C23347" w:rsidRPr="00207864">
        <w:rPr>
          <w:rFonts w:ascii="Times New Roman" w:hAnsi="Times New Roman"/>
        </w:rPr>
        <w:t xml:space="preserve">The effect of a continuing detention order is to commit </w:t>
      </w:r>
      <w:r w:rsidR="00C73CBE" w:rsidRPr="00207864">
        <w:rPr>
          <w:rFonts w:ascii="Times New Roman" w:hAnsi="Times New Roman"/>
        </w:rPr>
        <w:t>the</w:t>
      </w:r>
      <w:r w:rsidR="00C23347" w:rsidRPr="00207864">
        <w:rPr>
          <w:rFonts w:ascii="Times New Roman" w:hAnsi="Times New Roman"/>
        </w:rPr>
        <w:t xml:space="preserve"> terrorist offender to detention in a prison for the period that the order is in force</w:t>
      </w:r>
      <w:r w:rsidR="00C23347" w:rsidRPr="00207864">
        <w:rPr>
          <w:rStyle w:val="FootnoteReference"/>
          <w:rFonts w:ascii="Times New Roman" w:hAnsi="Times New Roman"/>
          <w:sz w:val="24"/>
        </w:rPr>
        <w:footnoteReference w:id="17"/>
      </w:r>
      <w:r w:rsidR="00C23347" w:rsidRPr="00207864">
        <w:rPr>
          <w:rFonts w:ascii="Times New Roman" w:hAnsi="Times New Roman"/>
        </w:rPr>
        <w:t xml:space="preserve">. </w:t>
      </w:r>
      <w:r w:rsidR="00A800B1" w:rsidRPr="00207864">
        <w:rPr>
          <w:rFonts w:ascii="Times New Roman" w:hAnsi="Times New Roman"/>
        </w:rPr>
        <w:t>An</w:t>
      </w:r>
      <w:r w:rsidRPr="00207864">
        <w:rPr>
          <w:rFonts w:ascii="Times New Roman" w:hAnsi="Times New Roman"/>
        </w:rPr>
        <w:t xml:space="preserve"> application for a continuing detention order may only be made within 12 months before the end of the </w:t>
      </w:r>
      <w:r w:rsidR="0050269C" w:rsidRPr="00207864">
        <w:rPr>
          <w:rFonts w:ascii="Times New Roman" w:hAnsi="Times New Roman"/>
        </w:rPr>
        <w:t xml:space="preserve">offender's </w:t>
      </w:r>
      <w:r w:rsidRPr="00207864">
        <w:rPr>
          <w:rFonts w:ascii="Times New Roman" w:hAnsi="Times New Roman"/>
        </w:rPr>
        <w:t>sentence or, if a continuing detention order is in force, the application may not be made more than 12 months before the end of the period for which the order is in force</w:t>
      </w:r>
      <w:r w:rsidRPr="00207864">
        <w:rPr>
          <w:rStyle w:val="FootnoteReference"/>
          <w:rFonts w:ascii="Times New Roman" w:hAnsi="Times New Roman"/>
          <w:sz w:val="24"/>
        </w:rPr>
        <w:footnoteReference w:id="18"/>
      </w:r>
      <w:r w:rsidRPr="00207864">
        <w:rPr>
          <w:rFonts w:ascii="Times New Roman" w:hAnsi="Times New Roman"/>
        </w:rPr>
        <w:t>.</w:t>
      </w:r>
      <w:r w:rsidR="00A800B1" w:rsidRPr="00207864">
        <w:rPr>
          <w:rFonts w:ascii="Times New Roman" w:hAnsi="Times New Roman"/>
        </w:rPr>
        <w:t xml:space="preserve"> The </w:t>
      </w:r>
      <w:r w:rsidR="0013179B" w:rsidRPr="00207864">
        <w:rPr>
          <w:rFonts w:ascii="Times New Roman" w:hAnsi="Times New Roman"/>
        </w:rPr>
        <w:t>C</w:t>
      </w:r>
      <w:r w:rsidR="00A800B1" w:rsidRPr="00207864">
        <w:rPr>
          <w:rFonts w:ascii="Times New Roman" w:hAnsi="Times New Roman"/>
        </w:rPr>
        <w:t xml:space="preserve">ourt may appoint one or more experts to assess the risk of the offender </w:t>
      </w:r>
      <w:r w:rsidRPr="00207864">
        <w:rPr>
          <w:rFonts w:ascii="Times New Roman" w:hAnsi="Times New Roman"/>
        </w:rPr>
        <w:t xml:space="preserve">committing a serious </w:t>
      </w:r>
      <w:r w:rsidR="00A800B1" w:rsidRPr="00207864">
        <w:rPr>
          <w:rFonts w:ascii="Times New Roman" w:hAnsi="Times New Roman"/>
        </w:rPr>
        <w:t>Pt</w:t>
      </w:r>
      <w:r w:rsidR="00523629" w:rsidRPr="00207864">
        <w:rPr>
          <w:rFonts w:ascii="Times New Roman" w:hAnsi="Times New Roman"/>
        </w:rPr>
        <w:t> </w:t>
      </w:r>
      <w:r w:rsidR="00A800B1" w:rsidRPr="00207864">
        <w:rPr>
          <w:rFonts w:ascii="Times New Roman" w:hAnsi="Times New Roman"/>
        </w:rPr>
        <w:t xml:space="preserve">5.3 </w:t>
      </w:r>
      <w:r w:rsidRPr="00207864">
        <w:rPr>
          <w:rFonts w:ascii="Times New Roman" w:hAnsi="Times New Roman"/>
        </w:rPr>
        <w:t>offence</w:t>
      </w:r>
      <w:r w:rsidR="00A800B1" w:rsidRPr="00207864">
        <w:rPr>
          <w:rFonts w:ascii="Times New Roman" w:hAnsi="Times New Roman"/>
        </w:rPr>
        <w:t xml:space="preserve"> if </w:t>
      </w:r>
      <w:r w:rsidRPr="00207864">
        <w:rPr>
          <w:rFonts w:ascii="Times New Roman" w:hAnsi="Times New Roman"/>
        </w:rPr>
        <w:t>released into the community</w:t>
      </w:r>
      <w:r w:rsidR="00A800B1" w:rsidRPr="00207864">
        <w:rPr>
          <w:rStyle w:val="FootnoteReference"/>
          <w:rFonts w:ascii="Times New Roman" w:hAnsi="Times New Roman"/>
          <w:sz w:val="24"/>
        </w:rPr>
        <w:footnoteReference w:id="19"/>
      </w:r>
      <w:r w:rsidRPr="00207864">
        <w:rPr>
          <w:rFonts w:ascii="Times New Roman" w:hAnsi="Times New Roman"/>
        </w:rPr>
        <w:t>.</w:t>
      </w:r>
    </w:p>
    <w:p w14:paraId="1AF9AC88" w14:textId="44C1DBA2" w:rsidR="00EE393C" w:rsidRPr="00207864" w:rsidRDefault="00EE393C" w:rsidP="00207864">
      <w:pPr>
        <w:pStyle w:val="FixListStyle"/>
        <w:spacing w:after="260" w:line="280" w:lineRule="exact"/>
        <w:ind w:right="0"/>
        <w:jc w:val="both"/>
        <w:rPr>
          <w:rFonts w:ascii="Times New Roman" w:hAnsi="Times New Roman"/>
        </w:rPr>
      </w:pPr>
      <w:r w:rsidRPr="00207864">
        <w:rPr>
          <w:rFonts w:ascii="Times New Roman" w:hAnsi="Times New Roman"/>
        </w:rPr>
        <w:tab/>
        <w:t xml:space="preserve">Sections 105A.7 and 105A.8 should </w:t>
      </w:r>
      <w:r w:rsidR="00135F72" w:rsidRPr="00207864">
        <w:rPr>
          <w:rFonts w:ascii="Times New Roman" w:hAnsi="Times New Roman"/>
        </w:rPr>
        <w:t xml:space="preserve">here </w:t>
      </w:r>
      <w:r w:rsidRPr="00207864">
        <w:rPr>
          <w:rFonts w:ascii="Times New Roman" w:hAnsi="Times New Roman"/>
        </w:rPr>
        <w:t xml:space="preserve">be set out: </w:t>
      </w:r>
    </w:p>
    <w:p w14:paraId="775C8EB5" w14:textId="38C2B6F5" w:rsidR="00EE393C" w:rsidRPr="00207864" w:rsidRDefault="00EE393C" w:rsidP="00207864">
      <w:pPr>
        <w:pStyle w:val="LeftrightafterHC"/>
        <w:spacing w:before="0" w:after="260" w:line="280" w:lineRule="exact"/>
        <w:ind w:right="0"/>
        <w:jc w:val="both"/>
        <w:rPr>
          <w:rFonts w:ascii="Times New Roman" w:hAnsi="Times New Roman"/>
          <w:b/>
        </w:rPr>
      </w:pPr>
      <w:r w:rsidRPr="00207864">
        <w:rPr>
          <w:rFonts w:ascii="Times New Roman" w:hAnsi="Times New Roman"/>
        </w:rPr>
        <w:t>"</w:t>
      </w:r>
      <w:r w:rsidRPr="00207864">
        <w:rPr>
          <w:rFonts w:ascii="Times New Roman" w:hAnsi="Times New Roman"/>
          <w:b/>
        </w:rPr>
        <w:t>105A.7</w:t>
      </w:r>
      <w:r w:rsidR="002B59A8" w:rsidRPr="00207864">
        <w:rPr>
          <w:rFonts w:ascii="Times New Roman" w:hAnsi="Times New Roman"/>
          <w:b/>
        </w:rPr>
        <w:tab/>
      </w:r>
      <w:r w:rsidRPr="00207864">
        <w:rPr>
          <w:rFonts w:ascii="Times New Roman" w:hAnsi="Times New Roman"/>
          <w:b/>
        </w:rPr>
        <w:t>Making a continuing detention order</w:t>
      </w:r>
    </w:p>
    <w:p w14:paraId="34DBA386" w14:textId="4ED00CE3" w:rsidR="00EE393C" w:rsidRP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(1)</w:t>
      </w:r>
      <w:r w:rsidRPr="00207864">
        <w:rPr>
          <w:rFonts w:ascii="Times New Roman" w:hAnsi="Times New Roman"/>
        </w:rPr>
        <w:tab/>
        <w:t xml:space="preserve">A </w:t>
      </w:r>
      <w:r w:rsidR="00362FD7" w:rsidRPr="00207864">
        <w:rPr>
          <w:rFonts w:ascii="Times New Roman" w:hAnsi="Times New Roman"/>
        </w:rPr>
        <w:t>Supreme C</w:t>
      </w:r>
      <w:r w:rsidRPr="00207864">
        <w:rPr>
          <w:rFonts w:ascii="Times New Roman" w:hAnsi="Times New Roman"/>
        </w:rPr>
        <w:t xml:space="preserve">ourt of a State or Territory may make a written order under this subsection if: </w:t>
      </w:r>
    </w:p>
    <w:p w14:paraId="691D2990"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(a)</w:t>
      </w:r>
      <w:r w:rsidRPr="00207864">
        <w:rPr>
          <w:rFonts w:ascii="Times New Roman" w:hAnsi="Times New Roman"/>
        </w:rPr>
        <w:tab/>
        <w:t xml:space="preserve">an application is made in accordance with section 105A.5 for a continuing detention order in relation to a terrorist offender; and </w:t>
      </w:r>
    </w:p>
    <w:p w14:paraId="1ED06A02"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(b)</w:t>
      </w:r>
      <w:r w:rsidRPr="00207864">
        <w:rPr>
          <w:rFonts w:ascii="Times New Roman" w:hAnsi="Times New Roman"/>
        </w:rPr>
        <w:tab/>
        <w:t xml:space="preserve">after having regard to matters in accordance with section 105A.8, the Court is satisfied to a high degree of probability, on the basis of admissible evidence, that the offender poses an unacceptable risk of committing a serious Part 5.3 offence if the offender is released into the community; and </w:t>
      </w:r>
    </w:p>
    <w:p w14:paraId="3C7F8965"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lastRenderedPageBreak/>
        <w:t>(c)</w:t>
      </w:r>
      <w:r w:rsidRPr="00207864">
        <w:rPr>
          <w:rFonts w:ascii="Times New Roman" w:hAnsi="Times New Roman"/>
        </w:rPr>
        <w:tab/>
        <w:t>the Court is satisfied that there is no other less restrictive measure that would be effective in preventing the unacceptable risk.</w:t>
      </w:r>
    </w:p>
    <w:p w14:paraId="1FDD7A15" w14:textId="370CD918" w:rsidR="00EE393C" w:rsidRP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(2)</w:t>
      </w:r>
      <w:r w:rsidRPr="00207864">
        <w:rPr>
          <w:rFonts w:ascii="Times New Roman" w:hAnsi="Times New Roman"/>
        </w:rPr>
        <w:tab/>
        <w:t>Otherwise, the Court must dismiss the application.</w:t>
      </w:r>
    </w:p>
    <w:p w14:paraId="5CB6C62A" w14:textId="77777777" w:rsidR="00EE393C" w:rsidRPr="00207864" w:rsidRDefault="00EE393C" w:rsidP="00207864">
      <w:pPr>
        <w:pStyle w:val="LRIndent"/>
        <w:spacing w:before="0" w:after="260" w:line="280" w:lineRule="exact"/>
        <w:ind w:left="1440" w:right="0"/>
        <w:jc w:val="both"/>
        <w:rPr>
          <w:rFonts w:ascii="Times New Roman" w:hAnsi="Times New Roman"/>
          <w:i/>
        </w:rPr>
      </w:pPr>
      <w:r w:rsidRPr="00207864">
        <w:rPr>
          <w:rFonts w:ascii="Times New Roman" w:hAnsi="Times New Roman"/>
          <w:i/>
        </w:rPr>
        <w:t xml:space="preserve">Onus of satisfying Court </w:t>
      </w:r>
    </w:p>
    <w:p w14:paraId="6ADD0E26" w14:textId="77777777" w:rsidR="00EE393C" w:rsidRP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(3)</w:t>
      </w:r>
      <w:r w:rsidRPr="00207864">
        <w:rPr>
          <w:rFonts w:ascii="Times New Roman" w:hAnsi="Times New Roman"/>
        </w:rPr>
        <w:tab/>
        <w:t xml:space="preserve">The AFP Minister bears the onus of satisfying the Court of the matters referred to in paragraphs (1)(b) and (c). </w:t>
      </w:r>
    </w:p>
    <w:p w14:paraId="4301B3B8" w14:textId="77777777" w:rsidR="00EE393C" w:rsidRPr="00207864" w:rsidRDefault="00EE393C" w:rsidP="00207864">
      <w:pPr>
        <w:pStyle w:val="LRIndent"/>
        <w:spacing w:before="0" w:after="260" w:line="280" w:lineRule="exact"/>
        <w:ind w:left="1440" w:right="0"/>
        <w:jc w:val="both"/>
        <w:rPr>
          <w:rFonts w:ascii="Times New Roman" w:hAnsi="Times New Roman"/>
        </w:rPr>
      </w:pPr>
      <w:r w:rsidRPr="00207864">
        <w:rPr>
          <w:rFonts w:ascii="Times New Roman" w:hAnsi="Times New Roman"/>
          <w:i/>
        </w:rPr>
        <w:t>Period of order</w:t>
      </w:r>
    </w:p>
    <w:p w14:paraId="335875B5" w14:textId="77777777" w:rsidR="00EE393C" w:rsidRP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(4)</w:t>
      </w:r>
      <w:r w:rsidRPr="00207864">
        <w:rPr>
          <w:rFonts w:ascii="Times New Roman" w:hAnsi="Times New Roman"/>
        </w:rPr>
        <w:tab/>
        <w:t xml:space="preserve">The order must specify the period during which it is in force. </w:t>
      </w:r>
    </w:p>
    <w:p w14:paraId="63A86EC1" w14:textId="7A5E1389" w:rsidR="00EE393C" w:rsidRP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(5)</w:t>
      </w:r>
      <w:r w:rsidRPr="00207864">
        <w:rPr>
          <w:rFonts w:ascii="Times New Roman" w:hAnsi="Times New Roman"/>
        </w:rPr>
        <w:tab/>
        <w:t>The period must be a period of no more than 3</w:t>
      </w:r>
      <w:r w:rsidR="00AB0174" w:rsidRPr="00207864">
        <w:rPr>
          <w:rFonts w:ascii="Times New Roman" w:hAnsi="Times New Roman"/>
        </w:rPr>
        <w:t> </w:t>
      </w:r>
      <w:r w:rsidRPr="00207864">
        <w:rPr>
          <w:rFonts w:ascii="Times New Roman" w:hAnsi="Times New Roman"/>
        </w:rPr>
        <w:t xml:space="preserve">years that the Court is satisfied is reasonably necessary to prevent the unacceptable risk. </w:t>
      </w:r>
    </w:p>
    <w:p w14:paraId="5791AB7E" w14:textId="77777777" w:rsidR="00EE393C" w:rsidRPr="00207864" w:rsidRDefault="00EE393C" w:rsidP="00207864">
      <w:pPr>
        <w:pStyle w:val="LRIndent"/>
        <w:spacing w:before="0" w:after="260" w:line="280" w:lineRule="exact"/>
        <w:ind w:left="2160" w:right="0" w:firstLine="0"/>
        <w:jc w:val="both"/>
        <w:rPr>
          <w:rFonts w:ascii="Times New Roman" w:hAnsi="Times New Roman"/>
          <w:i/>
        </w:rPr>
      </w:pPr>
      <w:r w:rsidRPr="00207864">
        <w:rPr>
          <w:rFonts w:ascii="Times New Roman" w:hAnsi="Times New Roman"/>
          <w:i/>
        </w:rPr>
        <w:t>Court may make successive continuing detention orders</w:t>
      </w:r>
    </w:p>
    <w:p w14:paraId="0DEEA07E" w14:textId="31C91C93" w:rsidR="00EE393C" w:rsidRP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(6)</w:t>
      </w:r>
      <w:r w:rsidRPr="00207864">
        <w:rPr>
          <w:rFonts w:ascii="Times New Roman" w:hAnsi="Times New Roman"/>
        </w:rPr>
        <w:tab/>
        <w:t xml:space="preserve">To avoid doubt, subsection (5) does not prevent a </w:t>
      </w:r>
      <w:r w:rsidR="00B5368B" w:rsidRPr="00207864">
        <w:rPr>
          <w:rFonts w:ascii="Times New Roman" w:hAnsi="Times New Roman"/>
        </w:rPr>
        <w:t xml:space="preserve">Supreme Court </w:t>
      </w:r>
      <w:r w:rsidRPr="00207864">
        <w:rPr>
          <w:rFonts w:ascii="Times New Roman" w:hAnsi="Times New Roman"/>
        </w:rPr>
        <w:t>of a State or Territory making a continuing detention order in relation to a terrorist offender that begins to be in force immediately after a previous continuing detention order in relation to the offender ceases to be in force.</w:t>
      </w:r>
    </w:p>
    <w:p w14:paraId="168FC882" w14:textId="77777777" w:rsidR="00EE393C" w:rsidRPr="00207864" w:rsidRDefault="00EE393C" w:rsidP="00207864">
      <w:pPr>
        <w:pStyle w:val="leftright"/>
        <w:spacing w:before="0" w:after="260" w:line="280" w:lineRule="exact"/>
        <w:ind w:left="2160" w:right="0" w:hanging="1440"/>
        <w:jc w:val="both"/>
        <w:rPr>
          <w:rFonts w:ascii="Times New Roman" w:hAnsi="Times New Roman"/>
          <w:b/>
        </w:rPr>
      </w:pPr>
      <w:r w:rsidRPr="00207864">
        <w:rPr>
          <w:rFonts w:ascii="Times New Roman" w:hAnsi="Times New Roman"/>
          <w:b/>
        </w:rPr>
        <w:t>105A.8</w:t>
      </w:r>
      <w:r w:rsidRPr="00207864">
        <w:rPr>
          <w:rFonts w:ascii="Times New Roman" w:hAnsi="Times New Roman"/>
          <w:b/>
        </w:rPr>
        <w:tab/>
        <w:t>Matters a Court must have regard to in making a continuing detention order</w:t>
      </w:r>
    </w:p>
    <w:p w14:paraId="250BE8B0" w14:textId="046F651E" w:rsidR="00EE393C" w:rsidRP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(1)</w:t>
      </w:r>
      <w:r w:rsidRPr="00207864">
        <w:rPr>
          <w:rFonts w:ascii="Times New Roman" w:hAnsi="Times New Roman"/>
        </w:rPr>
        <w:tab/>
        <w:t xml:space="preserve">In deciding whether the Court is satisfied as referred to in paragraph 105A.7(1)(b) in relation to a terrorist offender, a </w:t>
      </w:r>
      <w:r w:rsidR="000A2753" w:rsidRPr="00207864">
        <w:rPr>
          <w:rFonts w:ascii="Times New Roman" w:hAnsi="Times New Roman"/>
        </w:rPr>
        <w:t xml:space="preserve">Supreme Court </w:t>
      </w:r>
      <w:r w:rsidRPr="00207864">
        <w:rPr>
          <w:rFonts w:ascii="Times New Roman" w:hAnsi="Times New Roman"/>
        </w:rPr>
        <w:t xml:space="preserve">of a State or Territory must have regard to the following matters: </w:t>
      </w:r>
    </w:p>
    <w:p w14:paraId="54EA6A06"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(a)</w:t>
      </w:r>
      <w:r w:rsidRPr="00207864">
        <w:rPr>
          <w:rFonts w:ascii="Times New Roman" w:hAnsi="Times New Roman"/>
        </w:rPr>
        <w:tab/>
        <w:t xml:space="preserve">the safety and protection of the community; </w:t>
      </w:r>
    </w:p>
    <w:p w14:paraId="3FF249F6"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(b)</w:t>
      </w:r>
      <w:r w:rsidRPr="00207864">
        <w:rPr>
          <w:rFonts w:ascii="Times New Roman" w:hAnsi="Times New Roman"/>
        </w:rPr>
        <w:tab/>
        <w:t xml:space="preserve">any report received from a relevant expert under section 105A.6 in relation to the offender, and the level of the offender's participation in the assessment by the expert; </w:t>
      </w:r>
    </w:p>
    <w:p w14:paraId="4D0C3DC7"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(c)</w:t>
      </w:r>
      <w:r w:rsidRPr="00207864">
        <w:rPr>
          <w:rFonts w:ascii="Times New Roman" w:hAnsi="Times New Roman"/>
        </w:rPr>
        <w:tab/>
        <w:t xml:space="preserve">the results of any other assessment conducted by a relevant expert of the risk of the offender committing </w:t>
      </w:r>
      <w:r w:rsidRPr="00207864">
        <w:rPr>
          <w:rFonts w:ascii="Times New Roman" w:hAnsi="Times New Roman"/>
        </w:rPr>
        <w:lastRenderedPageBreak/>
        <w:t xml:space="preserve">a serious Part 5.3 offence, and the level of the offender's participation in any such assessment; </w:t>
      </w:r>
    </w:p>
    <w:p w14:paraId="69AAEC35"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(d)</w:t>
      </w:r>
      <w:r w:rsidRPr="00207864">
        <w:rPr>
          <w:rFonts w:ascii="Times New Roman" w:hAnsi="Times New Roman"/>
        </w:rPr>
        <w:tab/>
        <w:t>any report, relating to the extent to which the offender can reasonably and practicably be managed in the community, that has been prepared by:</w:t>
      </w:r>
    </w:p>
    <w:p w14:paraId="5D34A331" w14:textId="5EAE99E0" w:rsidR="00EE393C" w:rsidRPr="00207864" w:rsidRDefault="00EE393C" w:rsidP="00207864">
      <w:pPr>
        <w:pStyle w:val="LRHangingMore"/>
        <w:spacing w:before="0" w:after="260" w:line="280" w:lineRule="exact"/>
        <w:ind w:left="3600" w:right="0"/>
        <w:jc w:val="both"/>
        <w:rPr>
          <w:rFonts w:ascii="Times New Roman" w:hAnsi="Times New Roman"/>
        </w:rPr>
      </w:pPr>
      <w:r w:rsidRPr="00207864">
        <w:rPr>
          <w:rFonts w:ascii="Times New Roman" w:hAnsi="Times New Roman"/>
        </w:rPr>
        <w:t>(</w:t>
      </w:r>
      <w:proofErr w:type="spellStart"/>
      <w:r w:rsidRPr="00207864">
        <w:rPr>
          <w:rFonts w:ascii="Times New Roman" w:hAnsi="Times New Roman"/>
        </w:rPr>
        <w:t>i</w:t>
      </w:r>
      <w:proofErr w:type="spellEnd"/>
      <w:r w:rsidRPr="00207864">
        <w:rPr>
          <w:rFonts w:ascii="Times New Roman" w:hAnsi="Times New Roman"/>
        </w:rPr>
        <w:t>)</w:t>
      </w:r>
      <w:r w:rsidRPr="00207864">
        <w:rPr>
          <w:rFonts w:ascii="Times New Roman" w:hAnsi="Times New Roman"/>
        </w:rPr>
        <w:tab/>
        <w:t xml:space="preserve">the relevant State or Territory corrective services; or </w:t>
      </w:r>
    </w:p>
    <w:p w14:paraId="476564E5" w14:textId="6B5221EE" w:rsidR="00EE393C" w:rsidRPr="00207864" w:rsidRDefault="00EE393C" w:rsidP="00207864">
      <w:pPr>
        <w:pStyle w:val="LRHangingMore"/>
        <w:spacing w:before="0" w:after="260" w:line="280" w:lineRule="exact"/>
        <w:ind w:left="3600" w:right="0"/>
        <w:jc w:val="both"/>
        <w:rPr>
          <w:rFonts w:ascii="Times New Roman" w:hAnsi="Times New Roman"/>
        </w:rPr>
      </w:pPr>
      <w:r w:rsidRPr="00207864">
        <w:rPr>
          <w:rFonts w:ascii="Times New Roman" w:hAnsi="Times New Roman"/>
        </w:rPr>
        <w:t>(ii)</w:t>
      </w:r>
      <w:r w:rsidRPr="00207864">
        <w:rPr>
          <w:rFonts w:ascii="Times New Roman" w:hAnsi="Times New Roman"/>
        </w:rPr>
        <w:tab/>
        <w:t xml:space="preserve">any other person or body who is competent to assess that extent; </w:t>
      </w:r>
    </w:p>
    <w:p w14:paraId="17DC73B8"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(e)</w:t>
      </w:r>
      <w:r w:rsidRPr="00207864">
        <w:rPr>
          <w:rFonts w:ascii="Times New Roman" w:hAnsi="Times New Roman"/>
        </w:rPr>
        <w:tab/>
        <w:t xml:space="preserve">any treatment or rehabilitation programs in which the offender has had an opportunity to participate, and the level of the offender's participation in any such programs; </w:t>
      </w:r>
    </w:p>
    <w:p w14:paraId="7F501B1A" w14:textId="7E6EBF4B"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(f)</w:t>
      </w:r>
      <w:r w:rsidRPr="00207864">
        <w:rPr>
          <w:rFonts w:ascii="Times New Roman" w:hAnsi="Times New Roman"/>
        </w:rPr>
        <w:tab/>
        <w:t xml:space="preserve">the level of the offender's compliance with any obligations to which he or she </w:t>
      </w:r>
      <w:r w:rsidR="00F26DB4" w:rsidRPr="00207864">
        <w:rPr>
          <w:rFonts w:ascii="Times New Roman" w:hAnsi="Times New Roman"/>
        </w:rPr>
        <w:t xml:space="preserve">is or </w:t>
      </w:r>
      <w:r w:rsidRPr="00207864">
        <w:rPr>
          <w:rFonts w:ascii="Times New Roman" w:hAnsi="Times New Roman"/>
        </w:rPr>
        <w:t xml:space="preserve">has been subject while: </w:t>
      </w:r>
    </w:p>
    <w:p w14:paraId="3F2CBCAA" w14:textId="0B5A0454" w:rsidR="00EE393C" w:rsidRPr="00207864" w:rsidRDefault="00EE393C" w:rsidP="00207864">
      <w:pPr>
        <w:pStyle w:val="LRHangingMore"/>
        <w:spacing w:before="0" w:after="260" w:line="280" w:lineRule="exact"/>
        <w:ind w:left="3600" w:right="0"/>
        <w:jc w:val="both"/>
        <w:rPr>
          <w:rFonts w:ascii="Times New Roman" w:hAnsi="Times New Roman"/>
        </w:rPr>
      </w:pPr>
      <w:r w:rsidRPr="00207864">
        <w:rPr>
          <w:rFonts w:ascii="Times New Roman" w:hAnsi="Times New Roman"/>
        </w:rPr>
        <w:t>(</w:t>
      </w:r>
      <w:proofErr w:type="spellStart"/>
      <w:r w:rsidRPr="00207864">
        <w:rPr>
          <w:rFonts w:ascii="Times New Roman" w:hAnsi="Times New Roman"/>
        </w:rPr>
        <w:t>i</w:t>
      </w:r>
      <w:proofErr w:type="spellEnd"/>
      <w:r w:rsidRPr="00207864">
        <w:rPr>
          <w:rFonts w:ascii="Times New Roman" w:hAnsi="Times New Roman"/>
        </w:rPr>
        <w:t>)</w:t>
      </w:r>
      <w:r w:rsidRPr="00207864">
        <w:rPr>
          <w:rFonts w:ascii="Times New Roman" w:hAnsi="Times New Roman"/>
        </w:rPr>
        <w:tab/>
        <w:t xml:space="preserve">on release on parole for any offence referred to in paragraph 105A.3(1)(a); or </w:t>
      </w:r>
    </w:p>
    <w:p w14:paraId="324EA84A" w14:textId="1764C496" w:rsidR="00EE393C" w:rsidRPr="00207864" w:rsidRDefault="00EE393C" w:rsidP="00207864">
      <w:pPr>
        <w:pStyle w:val="LRHangingMore"/>
        <w:spacing w:before="0" w:after="260" w:line="280" w:lineRule="exact"/>
        <w:ind w:left="3600" w:right="0"/>
        <w:jc w:val="both"/>
        <w:rPr>
          <w:rFonts w:ascii="Times New Roman" w:hAnsi="Times New Roman"/>
        </w:rPr>
      </w:pPr>
      <w:r w:rsidRPr="00207864">
        <w:rPr>
          <w:rFonts w:ascii="Times New Roman" w:hAnsi="Times New Roman"/>
        </w:rPr>
        <w:t>(ii)</w:t>
      </w:r>
      <w:r w:rsidRPr="00207864">
        <w:rPr>
          <w:rFonts w:ascii="Times New Roman" w:hAnsi="Times New Roman"/>
        </w:rPr>
        <w:tab/>
        <w:t xml:space="preserve">subject to a continuing detention order or interim detention order; </w:t>
      </w:r>
    </w:p>
    <w:p w14:paraId="0E9AF341" w14:textId="4086D523"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(g)</w:t>
      </w:r>
      <w:r w:rsidRPr="00207864">
        <w:rPr>
          <w:rFonts w:ascii="Times New Roman" w:hAnsi="Times New Roman"/>
        </w:rPr>
        <w:tab/>
        <w:t>the offender's history of any prior convictions for, and findings of guilt made in relation to, any offence referred to in paragraph</w:t>
      </w:r>
      <w:r w:rsidR="00D5051D" w:rsidRPr="00207864">
        <w:rPr>
          <w:rFonts w:ascii="Times New Roman" w:hAnsi="Times New Roman"/>
        </w:rPr>
        <w:t> </w:t>
      </w:r>
      <w:r w:rsidRPr="00207864">
        <w:rPr>
          <w:rFonts w:ascii="Times New Roman" w:hAnsi="Times New Roman"/>
        </w:rPr>
        <w:t xml:space="preserve">105A.3(1)(a); </w:t>
      </w:r>
    </w:p>
    <w:p w14:paraId="6972CC51"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(h)</w:t>
      </w:r>
      <w:r w:rsidRPr="00207864">
        <w:rPr>
          <w:rFonts w:ascii="Times New Roman" w:hAnsi="Times New Roman"/>
        </w:rPr>
        <w:tab/>
        <w:t xml:space="preserve">the views of the sentencing court at the time any sentence for any offence referred to in paragraph 105A.3(1)(a) was imposed on the offender; </w:t>
      </w:r>
    </w:p>
    <w:p w14:paraId="7415391B" w14:textId="77777777" w:rsidR="00EE393C" w:rsidRPr="00207864" w:rsidRDefault="00EE393C" w:rsidP="00207864">
      <w:pPr>
        <w:pStyle w:val="LRIndent"/>
        <w:spacing w:before="0" w:after="260" w:line="280" w:lineRule="exact"/>
        <w:ind w:left="2880" w:right="0" w:hanging="720"/>
        <w:jc w:val="both"/>
        <w:rPr>
          <w:rFonts w:ascii="Times New Roman" w:hAnsi="Times New Roman"/>
        </w:rPr>
      </w:pPr>
      <w:r w:rsidRPr="00207864">
        <w:rPr>
          <w:rFonts w:ascii="Times New Roman" w:hAnsi="Times New Roman"/>
        </w:rPr>
        <w:t>(</w:t>
      </w:r>
      <w:proofErr w:type="spellStart"/>
      <w:r w:rsidRPr="00207864">
        <w:rPr>
          <w:rFonts w:ascii="Times New Roman" w:hAnsi="Times New Roman"/>
        </w:rPr>
        <w:t>i</w:t>
      </w:r>
      <w:proofErr w:type="spellEnd"/>
      <w:r w:rsidRPr="00207864">
        <w:rPr>
          <w:rFonts w:ascii="Times New Roman" w:hAnsi="Times New Roman"/>
        </w:rPr>
        <w:t>)</w:t>
      </w:r>
      <w:r w:rsidRPr="00207864">
        <w:rPr>
          <w:rFonts w:ascii="Times New Roman" w:hAnsi="Times New Roman"/>
        </w:rPr>
        <w:tab/>
        <w:t>any other information as to the risk of the offender committing a serious Part 5.3 offence.</w:t>
      </w:r>
    </w:p>
    <w:p w14:paraId="6D3CC069" w14:textId="77777777" w:rsidR="00EE393C" w:rsidRP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(2)</w:t>
      </w:r>
      <w:r w:rsidRPr="00207864">
        <w:rPr>
          <w:rFonts w:ascii="Times New Roman" w:hAnsi="Times New Roman"/>
        </w:rPr>
        <w:tab/>
        <w:t xml:space="preserve">Subsection (1) does not prevent the Court from having regard to any other matter the Court considers relevant. </w:t>
      </w:r>
    </w:p>
    <w:p w14:paraId="56B4CE4F" w14:textId="77777777" w:rsidR="00207864" w:rsidRDefault="00EE393C" w:rsidP="00207864">
      <w:pPr>
        <w:pStyle w:val="leftright"/>
        <w:spacing w:before="0" w:after="260" w:line="280" w:lineRule="exact"/>
        <w:ind w:left="2160" w:right="0" w:hanging="720"/>
        <w:jc w:val="both"/>
        <w:rPr>
          <w:rFonts w:ascii="Times New Roman" w:hAnsi="Times New Roman"/>
        </w:rPr>
      </w:pPr>
      <w:r w:rsidRPr="00207864">
        <w:rPr>
          <w:rFonts w:ascii="Times New Roman" w:hAnsi="Times New Roman"/>
        </w:rPr>
        <w:t>(3)</w:t>
      </w:r>
      <w:r w:rsidRPr="00207864">
        <w:rPr>
          <w:rFonts w:ascii="Times New Roman" w:hAnsi="Times New Roman"/>
        </w:rPr>
        <w:tab/>
        <w:t xml:space="preserve">To avoid doubt, section 105A.13 (civil evidence and procedure rules in relation to continuing detention order </w:t>
      </w:r>
      <w:r w:rsidRPr="00207864">
        <w:rPr>
          <w:rFonts w:ascii="Times New Roman" w:hAnsi="Times New Roman"/>
        </w:rPr>
        <w:lastRenderedPageBreak/>
        <w:t>proceedings) applies to the Court's consideration of the matters referred to in subsections (1) and (2) of this section.</w:t>
      </w:r>
      <w:r w:rsidR="003E0A95" w:rsidRPr="00207864">
        <w:rPr>
          <w:rFonts w:ascii="Times New Roman" w:hAnsi="Times New Roman"/>
        </w:rPr>
        <w:t>"</w:t>
      </w:r>
    </w:p>
    <w:p w14:paraId="11BB5AF8" w14:textId="78725F09" w:rsidR="00CB0507" w:rsidRPr="00207864" w:rsidRDefault="00EE393C"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CB0507" w:rsidRPr="00207864">
        <w:rPr>
          <w:rFonts w:ascii="Times New Roman" w:hAnsi="Times New Roman"/>
        </w:rPr>
        <w:t xml:space="preserve">The power conferred on </w:t>
      </w:r>
      <w:r w:rsidR="00A5730B" w:rsidRPr="00207864">
        <w:rPr>
          <w:rFonts w:ascii="Times New Roman" w:hAnsi="Times New Roman"/>
        </w:rPr>
        <w:t>the S</w:t>
      </w:r>
      <w:r w:rsidR="00CB0507" w:rsidRPr="00207864">
        <w:rPr>
          <w:rFonts w:ascii="Times New Roman" w:hAnsi="Times New Roman"/>
        </w:rPr>
        <w:t xml:space="preserve">upreme </w:t>
      </w:r>
      <w:r w:rsidR="00A5730B" w:rsidRPr="00207864">
        <w:rPr>
          <w:rFonts w:ascii="Times New Roman" w:hAnsi="Times New Roman"/>
        </w:rPr>
        <w:t>C</w:t>
      </w:r>
      <w:r w:rsidR="00CB0507" w:rsidRPr="00207864">
        <w:rPr>
          <w:rFonts w:ascii="Times New Roman" w:hAnsi="Times New Roman"/>
        </w:rPr>
        <w:t xml:space="preserve">ourt </w:t>
      </w:r>
      <w:r w:rsidR="00A5730B" w:rsidRPr="00207864">
        <w:rPr>
          <w:rFonts w:ascii="Times New Roman" w:hAnsi="Times New Roman"/>
        </w:rPr>
        <w:t>of a State or Territory to make a contin</w:t>
      </w:r>
      <w:r w:rsidR="004842F9" w:rsidRPr="00207864">
        <w:rPr>
          <w:rFonts w:ascii="Times New Roman" w:hAnsi="Times New Roman"/>
        </w:rPr>
        <w:t xml:space="preserve">uing detention order </w:t>
      </w:r>
      <w:r w:rsidR="003475FC" w:rsidRPr="00207864">
        <w:rPr>
          <w:rFonts w:ascii="Times New Roman" w:hAnsi="Times New Roman"/>
        </w:rPr>
        <w:t xml:space="preserve">under </w:t>
      </w:r>
      <w:r w:rsidR="00CB0507" w:rsidRPr="00207864">
        <w:rPr>
          <w:rFonts w:ascii="Times New Roman" w:hAnsi="Times New Roman"/>
        </w:rPr>
        <w:t xml:space="preserve">Div 105A </w:t>
      </w:r>
      <w:r w:rsidR="003475FC" w:rsidRPr="00207864">
        <w:rPr>
          <w:rFonts w:ascii="Times New Roman" w:hAnsi="Times New Roman"/>
        </w:rPr>
        <w:t xml:space="preserve">is </w:t>
      </w:r>
      <w:r w:rsidR="00403D5C" w:rsidRPr="00207864">
        <w:rPr>
          <w:rFonts w:ascii="Times New Roman" w:hAnsi="Times New Roman"/>
        </w:rPr>
        <w:t xml:space="preserve">subject to the ordinary incidents of </w:t>
      </w:r>
      <w:r w:rsidR="00CB0507" w:rsidRPr="00207864">
        <w:rPr>
          <w:rFonts w:ascii="Times New Roman" w:hAnsi="Times New Roman"/>
        </w:rPr>
        <w:t xml:space="preserve">the exercise of judicial power. A continuing detention order may only be made following an inter </w:t>
      </w:r>
      <w:proofErr w:type="spellStart"/>
      <w:r w:rsidR="00CB0507" w:rsidRPr="00207864">
        <w:rPr>
          <w:rFonts w:ascii="Times New Roman" w:hAnsi="Times New Roman"/>
        </w:rPr>
        <w:t>partes</w:t>
      </w:r>
      <w:proofErr w:type="spellEnd"/>
      <w:r w:rsidR="00CB0507" w:rsidRPr="00207864">
        <w:rPr>
          <w:rFonts w:ascii="Times New Roman" w:hAnsi="Times New Roman"/>
        </w:rPr>
        <w:t xml:space="preserve"> hearing in open court (subject to the power to close the </w:t>
      </w:r>
      <w:r w:rsidR="00A148F9" w:rsidRPr="00207864">
        <w:rPr>
          <w:rFonts w:ascii="Times New Roman" w:hAnsi="Times New Roman"/>
        </w:rPr>
        <w:t>c</w:t>
      </w:r>
      <w:r w:rsidR="00CB0507" w:rsidRPr="00207864">
        <w:rPr>
          <w:rFonts w:ascii="Times New Roman" w:hAnsi="Times New Roman"/>
        </w:rPr>
        <w:t>ourt under general statutory powers) at which the rules of evidence and procedure apply</w:t>
      </w:r>
      <w:r w:rsidR="00CB0507" w:rsidRPr="00207864">
        <w:rPr>
          <w:rStyle w:val="FootnoteReference"/>
          <w:rFonts w:ascii="Times New Roman" w:hAnsi="Times New Roman"/>
          <w:sz w:val="24"/>
        </w:rPr>
        <w:footnoteReference w:id="20"/>
      </w:r>
      <w:r w:rsidR="007B4E40" w:rsidRPr="00207864">
        <w:rPr>
          <w:rFonts w:ascii="Times New Roman" w:hAnsi="Times New Roman"/>
        </w:rPr>
        <w:t>. T</w:t>
      </w:r>
      <w:r w:rsidR="00CB0507" w:rsidRPr="00207864">
        <w:rPr>
          <w:rFonts w:ascii="Times New Roman" w:hAnsi="Times New Roman"/>
        </w:rPr>
        <w:t>he offender has the opportunity to examine and cross-examine witnesses and to make submissions</w:t>
      </w:r>
      <w:r w:rsidR="00CB0507" w:rsidRPr="00207864">
        <w:rPr>
          <w:rStyle w:val="FootnoteReference"/>
          <w:rFonts w:ascii="Times New Roman" w:hAnsi="Times New Roman"/>
          <w:sz w:val="24"/>
        </w:rPr>
        <w:footnoteReference w:id="21"/>
      </w:r>
      <w:r w:rsidR="00CB0507" w:rsidRPr="00207864">
        <w:rPr>
          <w:rFonts w:ascii="Times New Roman" w:hAnsi="Times New Roman"/>
        </w:rPr>
        <w:t>. The onus is on the Minister</w:t>
      </w:r>
      <w:r w:rsidR="007B4E40" w:rsidRPr="00207864">
        <w:rPr>
          <w:rFonts w:ascii="Times New Roman" w:hAnsi="Times New Roman"/>
        </w:rPr>
        <w:t xml:space="preserve"> to </w:t>
      </w:r>
      <w:r w:rsidR="00A800B1" w:rsidRPr="00207864">
        <w:rPr>
          <w:rFonts w:ascii="Times New Roman" w:hAnsi="Times New Roman"/>
        </w:rPr>
        <w:t>establish</w:t>
      </w:r>
      <w:r w:rsidR="00F54D23" w:rsidRPr="00207864">
        <w:rPr>
          <w:rFonts w:ascii="Times New Roman" w:hAnsi="Times New Roman"/>
        </w:rPr>
        <w:t xml:space="preserve"> the conditions for the making of the order</w:t>
      </w:r>
      <w:r w:rsidR="00815BC6" w:rsidRPr="00207864">
        <w:rPr>
          <w:rStyle w:val="FootnoteReference"/>
          <w:rFonts w:ascii="Times New Roman" w:hAnsi="Times New Roman"/>
          <w:sz w:val="24"/>
        </w:rPr>
        <w:footnoteReference w:id="22"/>
      </w:r>
      <w:r w:rsidR="00CB0507" w:rsidRPr="00207864">
        <w:rPr>
          <w:rFonts w:ascii="Times New Roman" w:hAnsi="Times New Roman"/>
        </w:rPr>
        <w:t xml:space="preserve">. </w:t>
      </w:r>
      <w:r w:rsidR="00CC0D63" w:rsidRPr="00207864">
        <w:rPr>
          <w:rFonts w:ascii="Times New Roman" w:hAnsi="Times New Roman"/>
        </w:rPr>
        <w:t xml:space="preserve">The </w:t>
      </w:r>
      <w:r w:rsidR="00FE0EB4" w:rsidRPr="00207864">
        <w:rPr>
          <w:rFonts w:ascii="Times New Roman" w:hAnsi="Times New Roman"/>
        </w:rPr>
        <w:t xml:space="preserve">criterion of "unacceptable risk </w:t>
      </w:r>
      <w:r w:rsidR="00755E33" w:rsidRPr="00207864">
        <w:rPr>
          <w:rFonts w:ascii="Times New Roman" w:hAnsi="Times New Roman"/>
        </w:rPr>
        <w:t>of committing a serious P</w:t>
      </w:r>
      <w:r w:rsidR="00F64E0A" w:rsidRPr="00207864">
        <w:rPr>
          <w:rFonts w:ascii="Times New Roman" w:hAnsi="Times New Roman"/>
        </w:rPr>
        <w:t>ar</w:t>
      </w:r>
      <w:r w:rsidR="00755E33" w:rsidRPr="00207864">
        <w:rPr>
          <w:rFonts w:ascii="Times New Roman" w:hAnsi="Times New Roman"/>
        </w:rPr>
        <w:t>t 5.3 offence"</w:t>
      </w:r>
      <w:r w:rsidR="00F64E0A" w:rsidRPr="00207864">
        <w:rPr>
          <w:rStyle w:val="FootnoteReference"/>
          <w:rFonts w:ascii="Times New Roman" w:hAnsi="Times New Roman"/>
          <w:sz w:val="24"/>
        </w:rPr>
        <w:footnoteReference w:id="23"/>
      </w:r>
      <w:r w:rsidR="00755E33" w:rsidRPr="00207864">
        <w:rPr>
          <w:rFonts w:ascii="Times New Roman" w:hAnsi="Times New Roman"/>
        </w:rPr>
        <w:t xml:space="preserve"> </w:t>
      </w:r>
      <w:r w:rsidR="00A800B1" w:rsidRPr="00207864">
        <w:rPr>
          <w:rFonts w:ascii="Times New Roman" w:hAnsi="Times New Roman"/>
        </w:rPr>
        <w:t xml:space="preserve">is capable </w:t>
      </w:r>
      <w:r w:rsidR="00A04DAE" w:rsidRPr="00207864">
        <w:rPr>
          <w:rFonts w:ascii="Times New Roman" w:hAnsi="Times New Roman"/>
        </w:rPr>
        <w:t>of judicial application</w:t>
      </w:r>
      <w:r w:rsidR="00A04DAE" w:rsidRPr="00207864">
        <w:rPr>
          <w:rStyle w:val="FootnoteReference"/>
          <w:rFonts w:ascii="Times New Roman" w:hAnsi="Times New Roman"/>
          <w:sz w:val="24"/>
        </w:rPr>
        <w:footnoteReference w:id="24"/>
      </w:r>
      <w:r w:rsidR="00A04DAE" w:rsidRPr="00207864">
        <w:rPr>
          <w:rFonts w:ascii="Times New Roman" w:hAnsi="Times New Roman"/>
        </w:rPr>
        <w:t xml:space="preserve">. </w:t>
      </w:r>
      <w:r w:rsidR="00CB0507" w:rsidRPr="00207864">
        <w:rPr>
          <w:rFonts w:ascii="Times New Roman" w:hAnsi="Times New Roman"/>
        </w:rPr>
        <w:t xml:space="preserve">The </w:t>
      </w:r>
      <w:r w:rsidR="0073554E" w:rsidRPr="00207864">
        <w:rPr>
          <w:rFonts w:ascii="Times New Roman" w:hAnsi="Times New Roman"/>
        </w:rPr>
        <w:t>C</w:t>
      </w:r>
      <w:r w:rsidR="00CB0507" w:rsidRPr="00207864">
        <w:rPr>
          <w:rFonts w:ascii="Times New Roman" w:hAnsi="Times New Roman"/>
        </w:rPr>
        <w:t>ourt has a discretion whether to make the order and as to the terms of the order</w:t>
      </w:r>
      <w:r w:rsidR="002878C6" w:rsidRPr="00207864">
        <w:rPr>
          <w:rStyle w:val="FootnoteReference"/>
          <w:rFonts w:ascii="Times New Roman" w:hAnsi="Times New Roman"/>
          <w:sz w:val="24"/>
        </w:rPr>
        <w:footnoteReference w:id="25"/>
      </w:r>
      <w:r w:rsidR="00CB0507" w:rsidRPr="00207864">
        <w:rPr>
          <w:rFonts w:ascii="Times New Roman" w:hAnsi="Times New Roman"/>
        </w:rPr>
        <w:t xml:space="preserve">. The </w:t>
      </w:r>
      <w:r w:rsidR="0073554E" w:rsidRPr="00207864">
        <w:rPr>
          <w:rFonts w:ascii="Times New Roman" w:hAnsi="Times New Roman"/>
        </w:rPr>
        <w:t>C</w:t>
      </w:r>
      <w:r w:rsidR="00CB0507" w:rsidRPr="00207864">
        <w:rPr>
          <w:rFonts w:ascii="Times New Roman" w:hAnsi="Times New Roman"/>
        </w:rPr>
        <w:t>ourt must give reasons for its decision</w:t>
      </w:r>
      <w:r w:rsidR="00CB0507" w:rsidRPr="00207864">
        <w:rPr>
          <w:rStyle w:val="FootnoteReference"/>
          <w:rFonts w:ascii="Times New Roman" w:hAnsi="Times New Roman"/>
          <w:sz w:val="24"/>
        </w:rPr>
        <w:footnoteReference w:id="26"/>
      </w:r>
      <w:r w:rsidR="00CB0507" w:rsidRPr="00207864">
        <w:rPr>
          <w:rFonts w:ascii="Times New Roman" w:hAnsi="Times New Roman"/>
        </w:rPr>
        <w:t xml:space="preserve"> and the making of the decision is subject to appeal by way of rehearing as of right</w:t>
      </w:r>
      <w:r w:rsidR="00CB0507" w:rsidRPr="00207864">
        <w:rPr>
          <w:rStyle w:val="FootnoteReference"/>
          <w:rFonts w:ascii="Times New Roman" w:hAnsi="Times New Roman"/>
          <w:sz w:val="24"/>
        </w:rPr>
        <w:footnoteReference w:id="27"/>
      </w:r>
      <w:r w:rsidR="00CB0507" w:rsidRPr="00207864">
        <w:rPr>
          <w:rFonts w:ascii="Times New Roman" w:hAnsi="Times New Roman"/>
        </w:rPr>
        <w:t xml:space="preserve">. </w:t>
      </w:r>
    </w:p>
    <w:p w14:paraId="7D76029D" w14:textId="52DAEBAE" w:rsidR="00E45FFC" w:rsidRPr="00207864" w:rsidRDefault="00E45FFC"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6A4419" w:rsidRPr="00207864">
        <w:rPr>
          <w:rFonts w:ascii="Times New Roman" w:hAnsi="Times New Roman"/>
        </w:rPr>
        <w:t xml:space="preserve">The power to authorise </w:t>
      </w:r>
      <w:r w:rsidR="00A800B1" w:rsidRPr="00207864">
        <w:rPr>
          <w:rFonts w:ascii="Times New Roman" w:hAnsi="Times New Roman"/>
        </w:rPr>
        <w:t xml:space="preserve">the </w:t>
      </w:r>
      <w:r w:rsidR="00576921" w:rsidRPr="00207864">
        <w:rPr>
          <w:rFonts w:ascii="Times New Roman" w:hAnsi="Times New Roman"/>
        </w:rPr>
        <w:t xml:space="preserve">continuing </w:t>
      </w:r>
      <w:r w:rsidR="00F3414D" w:rsidRPr="00207864">
        <w:rPr>
          <w:rFonts w:ascii="Times New Roman" w:hAnsi="Times New Roman"/>
        </w:rPr>
        <w:t>detention</w:t>
      </w:r>
      <w:r w:rsidRPr="00207864">
        <w:rPr>
          <w:rFonts w:ascii="Times New Roman" w:hAnsi="Times New Roman"/>
        </w:rPr>
        <w:t xml:space="preserve"> </w:t>
      </w:r>
      <w:r w:rsidR="00A800B1" w:rsidRPr="00207864">
        <w:rPr>
          <w:rFonts w:ascii="Times New Roman" w:hAnsi="Times New Roman"/>
        </w:rPr>
        <w:t xml:space="preserve">of an offender </w:t>
      </w:r>
      <w:r w:rsidR="006A4419" w:rsidRPr="00207864">
        <w:rPr>
          <w:rFonts w:ascii="Times New Roman" w:hAnsi="Times New Roman"/>
        </w:rPr>
        <w:t xml:space="preserve">in prison after the expiration of </w:t>
      </w:r>
      <w:r w:rsidR="00A800B1" w:rsidRPr="00207864">
        <w:rPr>
          <w:rFonts w:ascii="Times New Roman" w:hAnsi="Times New Roman"/>
        </w:rPr>
        <w:t xml:space="preserve">his or her sentence is subject to a number of statutory </w:t>
      </w:r>
      <w:r w:rsidR="006A4419" w:rsidRPr="00207864">
        <w:rPr>
          <w:rFonts w:ascii="Times New Roman" w:hAnsi="Times New Roman"/>
        </w:rPr>
        <w:t>safeguards</w:t>
      </w:r>
      <w:r w:rsidR="00957331" w:rsidRPr="00207864">
        <w:rPr>
          <w:rFonts w:ascii="Times New Roman" w:hAnsi="Times New Roman"/>
        </w:rPr>
        <w:t xml:space="preserve">. </w:t>
      </w:r>
      <w:r w:rsidR="00A800B1" w:rsidRPr="00207864">
        <w:rPr>
          <w:rFonts w:ascii="Times New Roman" w:hAnsi="Times New Roman"/>
        </w:rPr>
        <w:t xml:space="preserve">The Minister is required to ensure that reasonable inquiries are made to ascertain any facts that would reasonably be regarded as supporting a finding </w:t>
      </w:r>
      <w:r w:rsidR="00A800B1" w:rsidRPr="00207864">
        <w:rPr>
          <w:rFonts w:ascii="Times New Roman" w:hAnsi="Times New Roman"/>
        </w:rPr>
        <w:lastRenderedPageBreak/>
        <w:t>that the order should not be made</w:t>
      </w:r>
      <w:r w:rsidR="00A800B1" w:rsidRPr="00207864">
        <w:rPr>
          <w:rStyle w:val="FootnoteReference"/>
          <w:rFonts w:ascii="Times New Roman" w:hAnsi="Times New Roman"/>
          <w:sz w:val="24"/>
        </w:rPr>
        <w:footnoteReference w:id="28"/>
      </w:r>
      <w:r w:rsidR="00A800B1" w:rsidRPr="00207864">
        <w:rPr>
          <w:rFonts w:ascii="Times New Roman" w:hAnsi="Times New Roman"/>
        </w:rPr>
        <w:t xml:space="preserve">. </w:t>
      </w:r>
      <w:r w:rsidR="005B49FE" w:rsidRPr="00207864">
        <w:rPr>
          <w:rFonts w:ascii="Times New Roman" w:hAnsi="Times New Roman"/>
        </w:rPr>
        <w:t xml:space="preserve">Subject to a qualification </w:t>
      </w:r>
      <w:r w:rsidR="008904D9" w:rsidRPr="00207864">
        <w:rPr>
          <w:rFonts w:ascii="Times New Roman" w:hAnsi="Times New Roman"/>
        </w:rPr>
        <w:t xml:space="preserve">as to </w:t>
      </w:r>
      <w:r w:rsidR="005B49FE" w:rsidRPr="00207864">
        <w:rPr>
          <w:rFonts w:ascii="Times New Roman" w:hAnsi="Times New Roman"/>
        </w:rPr>
        <w:t xml:space="preserve">information </w:t>
      </w:r>
      <w:r w:rsidR="00605DE7" w:rsidRPr="00207864">
        <w:rPr>
          <w:rFonts w:ascii="Times New Roman" w:hAnsi="Times New Roman"/>
        </w:rPr>
        <w:t>which</w:t>
      </w:r>
      <w:r w:rsidR="005B49FE" w:rsidRPr="00207864">
        <w:rPr>
          <w:rFonts w:ascii="Times New Roman" w:hAnsi="Times New Roman"/>
        </w:rPr>
        <w:t xml:space="preserve"> th</w:t>
      </w:r>
      <w:r w:rsidR="00F74823" w:rsidRPr="00207864">
        <w:rPr>
          <w:rFonts w:ascii="Times New Roman" w:hAnsi="Times New Roman"/>
        </w:rPr>
        <w:t>e Mini</w:t>
      </w:r>
      <w:r w:rsidR="00F661E9" w:rsidRPr="00207864">
        <w:rPr>
          <w:rFonts w:ascii="Times New Roman" w:hAnsi="Times New Roman"/>
        </w:rPr>
        <w:t xml:space="preserve">ster is likely </w:t>
      </w:r>
      <w:r w:rsidR="00F16454" w:rsidRPr="00207864">
        <w:rPr>
          <w:rFonts w:ascii="Times New Roman" w:hAnsi="Times New Roman"/>
        </w:rPr>
        <w:t>t</w:t>
      </w:r>
      <w:r w:rsidR="00D42E6F" w:rsidRPr="00207864">
        <w:rPr>
          <w:rFonts w:ascii="Times New Roman" w:hAnsi="Times New Roman"/>
        </w:rPr>
        <w:t>o</w:t>
      </w:r>
      <w:r w:rsidR="005F7526" w:rsidRPr="00207864">
        <w:rPr>
          <w:rFonts w:ascii="Times New Roman" w:hAnsi="Times New Roman"/>
        </w:rPr>
        <w:t xml:space="preserve"> </w:t>
      </w:r>
      <w:r w:rsidR="007B70FB" w:rsidRPr="00207864">
        <w:rPr>
          <w:rFonts w:ascii="Times New Roman" w:hAnsi="Times New Roman"/>
        </w:rPr>
        <w:t xml:space="preserve">seek to </w:t>
      </w:r>
      <w:r w:rsidR="00625B99" w:rsidRPr="00207864">
        <w:rPr>
          <w:rFonts w:ascii="Times New Roman" w:hAnsi="Times New Roman"/>
        </w:rPr>
        <w:t>prevent or control</w:t>
      </w:r>
      <w:r w:rsidR="00C66EAD" w:rsidRPr="00207864">
        <w:rPr>
          <w:rFonts w:ascii="Times New Roman" w:hAnsi="Times New Roman"/>
        </w:rPr>
        <w:t xml:space="preserve"> </w:t>
      </w:r>
      <w:r w:rsidR="00D543FA" w:rsidRPr="00207864">
        <w:rPr>
          <w:rFonts w:ascii="Times New Roman" w:hAnsi="Times New Roman"/>
        </w:rPr>
        <w:t>the disclosure of</w:t>
      </w:r>
      <w:r w:rsidR="00B5040E" w:rsidRPr="00207864">
        <w:rPr>
          <w:rFonts w:ascii="Times New Roman" w:hAnsi="Times New Roman"/>
        </w:rPr>
        <w:t xml:space="preserve">, whether </w:t>
      </w:r>
      <w:r w:rsidR="0060159C" w:rsidRPr="00207864">
        <w:rPr>
          <w:rFonts w:ascii="Times New Roman" w:hAnsi="Times New Roman"/>
        </w:rPr>
        <w:t>under the</w:t>
      </w:r>
      <w:r w:rsidR="007B70FB" w:rsidRPr="00207864">
        <w:rPr>
          <w:rFonts w:ascii="Times New Roman" w:hAnsi="Times New Roman"/>
        </w:rPr>
        <w:t xml:space="preserve"> </w:t>
      </w:r>
      <w:r w:rsidR="009D1202" w:rsidRPr="00207864">
        <w:rPr>
          <w:rFonts w:ascii="Times New Roman" w:hAnsi="Times New Roman"/>
          <w:i/>
        </w:rPr>
        <w:t xml:space="preserve">National Security Information (Criminal and Civil Proceedings) Act 2004 </w:t>
      </w:r>
      <w:r w:rsidR="009D1202" w:rsidRPr="00207864">
        <w:rPr>
          <w:rFonts w:ascii="Times New Roman" w:hAnsi="Times New Roman"/>
        </w:rPr>
        <w:t>(Cth)</w:t>
      </w:r>
      <w:r w:rsidR="009E4F95" w:rsidRPr="00207864">
        <w:rPr>
          <w:rFonts w:ascii="Times New Roman" w:hAnsi="Times New Roman"/>
        </w:rPr>
        <w:t xml:space="preserve"> </w:t>
      </w:r>
      <w:r w:rsidR="00543F97" w:rsidRPr="00207864">
        <w:rPr>
          <w:rFonts w:ascii="Times New Roman" w:hAnsi="Times New Roman"/>
        </w:rPr>
        <w:t>or</w:t>
      </w:r>
      <w:r w:rsidR="00B04B71" w:rsidRPr="00207864">
        <w:rPr>
          <w:rFonts w:ascii="Times New Roman" w:hAnsi="Times New Roman"/>
        </w:rPr>
        <w:t xml:space="preserve"> </w:t>
      </w:r>
      <w:r w:rsidR="00A43021" w:rsidRPr="00207864">
        <w:rPr>
          <w:rFonts w:ascii="Times New Roman" w:hAnsi="Times New Roman"/>
        </w:rPr>
        <w:t>otherwise</w:t>
      </w:r>
      <w:r w:rsidR="009A7E74" w:rsidRPr="00207864">
        <w:rPr>
          <w:rStyle w:val="FootnoteReference"/>
          <w:rFonts w:ascii="Times New Roman" w:hAnsi="Times New Roman"/>
          <w:sz w:val="24"/>
        </w:rPr>
        <w:footnoteReference w:id="29"/>
      </w:r>
      <w:r w:rsidR="00A800B1" w:rsidRPr="00207864">
        <w:rPr>
          <w:rFonts w:ascii="Times New Roman" w:hAnsi="Times New Roman"/>
        </w:rPr>
        <w:t>, the application must include a statement of any such facts</w:t>
      </w:r>
      <w:r w:rsidR="00D8184C" w:rsidRPr="00207864">
        <w:rPr>
          <w:rStyle w:val="FootnoteReference"/>
          <w:rFonts w:ascii="Times New Roman" w:hAnsi="Times New Roman"/>
          <w:sz w:val="24"/>
        </w:rPr>
        <w:footnoteReference w:id="30"/>
      </w:r>
      <w:r w:rsidR="00A800B1" w:rsidRPr="00207864">
        <w:rPr>
          <w:rFonts w:ascii="Times New Roman" w:hAnsi="Times New Roman"/>
        </w:rPr>
        <w:t xml:space="preserve">. </w:t>
      </w:r>
      <w:r w:rsidR="00525759" w:rsidRPr="00207864">
        <w:rPr>
          <w:rFonts w:ascii="Times New Roman" w:hAnsi="Times New Roman"/>
        </w:rPr>
        <w:t xml:space="preserve">In the event that circumstances beyond the offender's control prevent the offender from engaging a legal representative in relation to the proceeding, the </w:t>
      </w:r>
      <w:r w:rsidR="0073554E" w:rsidRPr="00207864">
        <w:rPr>
          <w:rFonts w:ascii="Times New Roman" w:hAnsi="Times New Roman"/>
        </w:rPr>
        <w:t>C</w:t>
      </w:r>
      <w:r w:rsidR="00525759" w:rsidRPr="00207864">
        <w:rPr>
          <w:rFonts w:ascii="Times New Roman" w:hAnsi="Times New Roman"/>
        </w:rPr>
        <w:t xml:space="preserve">ourt may </w:t>
      </w:r>
      <w:r w:rsidR="005C325F" w:rsidRPr="00207864">
        <w:rPr>
          <w:rFonts w:ascii="Times New Roman" w:hAnsi="Times New Roman"/>
        </w:rPr>
        <w:t xml:space="preserve">stay the proceeding or </w:t>
      </w:r>
      <w:r w:rsidR="00A800B1" w:rsidRPr="00207864">
        <w:rPr>
          <w:rFonts w:ascii="Times New Roman" w:hAnsi="Times New Roman"/>
        </w:rPr>
        <w:t>order</w:t>
      </w:r>
      <w:r w:rsidR="009D589F" w:rsidRPr="00207864">
        <w:rPr>
          <w:rFonts w:ascii="Times New Roman" w:hAnsi="Times New Roman"/>
        </w:rPr>
        <w:t xml:space="preserve"> the </w:t>
      </w:r>
      <w:r w:rsidR="00957331" w:rsidRPr="00207864">
        <w:rPr>
          <w:rFonts w:ascii="Times New Roman" w:hAnsi="Times New Roman"/>
        </w:rPr>
        <w:t>Commonwealth to pay</w:t>
      </w:r>
      <w:r w:rsidR="00A800B1" w:rsidRPr="00207864">
        <w:rPr>
          <w:rFonts w:ascii="Times New Roman" w:hAnsi="Times New Roman"/>
        </w:rPr>
        <w:t xml:space="preserve"> </w:t>
      </w:r>
      <w:r w:rsidR="00957331" w:rsidRPr="00207864">
        <w:rPr>
          <w:rFonts w:ascii="Times New Roman" w:hAnsi="Times New Roman"/>
        </w:rPr>
        <w:t>the offender's reasonable costs and expenses</w:t>
      </w:r>
      <w:r w:rsidR="006A4419" w:rsidRPr="00207864">
        <w:rPr>
          <w:rStyle w:val="FootnoteReference"/>
          <w:rFonts w:ascii="Times New Roman" w:hAnsi="Times New Roman"/>
          <w:sz w:val="24"/>
        </w:rPr>
        <w:footnoteReference w:id="31"/>
      </w:r>
      <w:r w:rsidR="00957331" w:rsidRPr="00207864">
        <w:rPr>
          <w:rFonts w:ascii="Times New Roman" w:hAnsi="Times New Roman"/>
        </w:rPr>
        <w:t xml:space="preserve">. </w:t>
      </w:r>
      <w:r w:rsidR="00577EF2" w:rsidRPr="00207864">
        <w:rPr>
          <w:rFonts w:ascii="Times New Roman" w:hAnsi="Times New Roman"/>
        </w:rPr>
        <w:t xml:space="preserve">Continuing detention orders are subject to </w:t>
      </w:r>
      <w:r w:rsidR="000A1B2B" w:rsidRPr="00207864">
        <w:rPr>
          <w:rFonts w:ascii="Times New Roman" w:hAnsi="Times New Roman"/>
        </w:rPr>
        <w:t>annual review</w:t>
      </w:r>
      <w:r w:rsidR="007A2DE3" w:rsidRPr="00207864">
        <w:rPr>
          <w:rStyle w:val="FootnoteReference"/>
          <w:rFonts w:ascii="Times New Roman" w:hAnsi="Times New Roman"/>
          <w:sz w:val="24"/>
        </w:rPr>
        <w:footnoteReference w:id="32"/>
      </w:r>
      <w:r w:rsidR="000A1B2B" w:rsidRPr="00207864">
        <w:rPr>
          <w:rFonts w:ascii="Times New Roman" w:hAnsi="Times New Roman"/>
        </w:rPr>
        <w:t>. On the hearing of a review</w:t>
      </w:r>
      <w:r w:rsidR="004371A9" w:rsidRPr="00207864">
        <w:rPr>
          <w:rFonts w:ascii="Times New Roman" w:hAnsi="Times New Roman"/>
        </w:rPr>
        <w:t>,</w:t>
      </w:r>
      <w:r w:rsidR="000A1B2B" w:rsidRPr="00207864">
        <w:rPr>
          <w:rFonts w:ascii="Times New Roman" w:hAnsi="Times New Roman"/>
        </w:rPr>
        <w:t xml:space="preserve"> unless the </w:t>
      </w:r>
      <w:r w:rsidR="0073554E" w:rsidRPr="00207864">
        <w:rPr>
          <w:rFonts w:ascii="Times New Roman" w:hAnsi="Times New Roman"/>
        </w:rPr>
        <w:t>C</w:t>
      </w:r>
      <w:r w:rsidR="000A1B2B" w:rsidRPr="00207864">
        <w:rPr>
          <w:rFonts w:ascii="Times New Roman" w:hAnsi="Times New Roman"/>
        </w:rPr>
        <w:t>ourt is satisfied</w:t>
      </w:r>
      <w:r w:rsidR="00101CE4" w:rsidRPr="00207864">
        <w:rPr>
          <w:rFonts w:ascii="Times New Roman" w:hAnsi="Times New Roman"/>
        </w:rPr>
        <w:t xml:space="preserve"> of the same conditions specified in s 105A.7(1)(b) and (c) it </w:t>
      </w:r>
      <w:r w:rsidR="00525759" w:rsidRPr="00207864">
        <w:rPr>
          <w:rFonts w:ascii="Times New Roman" w:hAnsi="Times New Roman"/>
        </w:rPr>
        <w:t>must revoke the order</w:t>
      </w:r>
      <w:r w:rsidR="008B5918" w:rsidRPr="00207864">
        <w:rPr>
          <w:rStyle w:val="FootnoteReference"/>
          <w:rFonts w:ascii="Times New Roman" w:hAnsi="Times New Roman"/>
          <w:sz w:val="24"/>
        </w:rPr>
        <w:footnoteReference w:id="33"/>
      </w:r>
      <w:r w:rsidR="008B5918" w:rsidRPr="00207864">
        <w:rPr>
          <w:rFonts w:ascii="Times New Roman" w:hAnsi="Times New Roman"/>
        </w:rPr>
        <w:t>.</w:t>
      </w:r>
      <w:r w:rsidR="00957331" w:rsidRPr="00207864">
        <w:rPr>
          <w:rFonts w:ascii="Times New Roman" w:hAnsi="Times New Roman"/>
        </w:rPr>
        <w:t xml:space="preserve"> </w:t>
      </w:r>
      <w:r w:rsidR="00B648FA" w:rsidRPr="00207864">
        <w:rPr>
          <w:rFonts w:ascii="Times New Roman" w:hAnsi="Times New Roman"/>
        </w:rPr>
        <w:t>I</w:t>
      </w:r>
      <w:r w:rsidR="008B5918" w:rsidRPr="00207864">
        <w:rPr>
          <w:rFonts w:ascii="Times New Roman" w:hAnsi="Times New Roman"/>
        </w:rPr>
        <w:t xml:space="preserve">n the event </w:t>
      </w:r>
      <w:r w:rsidR="00306877" w:rsidRPr="00207864">
        <w:rPr>
          <w:rFonts w:ascii="Times New Roman" w:hAnsi="Times New Roman"/>
        </w:rPr>
        <w:t xml:space="preserve">that </w:t>
      </w:r>
      <w:r w:rsidR="008B5918" w:rsidRPr="00207864">
        <w:rPr>
          <w:rFonts w:ascii="Times New Roman" w:hAnsi="Times New Roman"/>
        </w:rPr>
        <w:t xml:space="preserve">the Minister </w:t>
      </w:r>
      <w:r w:rsidR="00B648FA" w:rsidRPr="00207864">
        <w:rPr>
          <w:rFonts w:ascii="Times New Roman" w:hAnsi="Times New Roman"/>
        </w:rPr>
        <w:t xml:space="preserve">fails </w:t>
      </w:r>
      <w:r w:rsidR="008B5918" w:rsidRPr="00207864">
        <w:rPr>
          <w:rFonts w:ascii="Times New Roman" w:hAnsi="Times New Roman"/>
        </w:rPr>
        <w:t>to apply for a review before the end of the period specified in s 105A.10(1B</w:t>
      </w:r>
      <w:r w:rsidR="007570A5" w:rsidRPr="00207864">
        <w:rPr>
          <w:rFonts w:ascii="Times New Roman" w:hAnsi="Times New Roman"/>
        </w:rPr>
        <w:t xml:space="preserve">) </w:t>
      </w:r>
      <w:r w:rsidR="005227C3" w:rsidRPr="00207864">
        <w:rPr>
          <w:rFonts w:ascii="Times New Roman" w:hAnsi="Times New Roman"/>
        </w:rPr>
        <w:t>–</w:t>
      </w:r>
      <w:r w:rsidR="008B5918" w:rsidRPr="00207864">
        <w:rPr>
          <w:rFonts w:ascii="Times New Roman" w:hAnsi="Times New Roman"/>
        </w:rPr>
        <w:t xml:space="preserve"> within 12 months after the order began to be in force or since the last review</w:t>
      </w:r>
      <w:r w:rsidR="005227C3" w:rsidRPr="00207864">
        <w:rPr>
          <w:rFonts w:ascii="Times New Roman" w:hAnsi="Times New Roman"/>
        </w:rPr>
        <w:t xml:space="preserve"> –</w:t>
      </w:r>
      <w:r w:rsidR="008B5918" w:rsidRPr="00207864">
        <w:rPr>
          <w:rFonts w:ascii="Times New Roman" w:hAnsi="Times New Roman"/>
        </w:rPr>
        <w:t xml:space="preserve"> the order ceases to be in force at the end of </w:t>
      </w:r>
      <w:r w:rsidR="00C56E29" w:rsidRPr="00207864">
        <w:rPr>
          <w:rFonts w:ascii="Times New Roman" w:hAnsi="Times New Roman"/>
        </w:rPr>
        <w:t xml:space="preserve">such </w:t>
      </w:r>
      <w:r w:rsidR="008B5918" w:rsidRPr="00207864">
        <w:rPr>
          <w:rFonts w:ascii="Times New Roman" w:hAnsi="Times New Roman"/>
        </w:rPr>
        <w:t>period</w:t>
      </w:r>
      <w:r w:rsidR="00525759" w:rsidRPr="00207864">
        <w:rPr>
          <w:rStyle w:val="FootnoteReference"/>
          <w:rFonts w:ascii="Times New Roman" w:hAnsi="Times New Roman"/>
          <w:sz w:val="24"/>
        </w:rPr>
        <w:footnoteReference w:id="34"/>
      </w:r>
      <w:r w:rsidR="008B5918" w:rsidRPr="00207864">
        <w:rPr>
          <w:rFonts w:ascii="Times New Roman" w:hAnsi="Times New Roman"/>
        </w:rPr>
        <w:t>.</w:t>
      </w:r>
    </w:p>
    <w:p w14:paraId="71BA9120" w14:textId="570A58BF" w:rsidR="00B47A4D" w:rsidRPr="00207864" w:rsidRDefault="00B47A4D" w:rsidP="00207864">
      <w:pPr>
        <w:pStyle w:val="HeadingL1"/>
        <w:spacing w:after="260" w:line="280" w:lineRule="exact"/>
        <w:ind w:right="0"/>
        <w:jc w:val="both"/>
        <w:rPr>
          <w:rFonts w:ascii="Times New Roman" w:hAnsi="Times New Roman"/>
        </w:rPr>
      </w:pPr>
      <w:r w:rsidRPr="00207864">
        <w:rPr>
          <w:rFonts w:ascii="Times New Roman" w:hAnsi="Times New Roman"/>
        </w:rPr>
        <w:t xml:space="preserve">Two </w:t>
      </w:r>
      <w:r w:rsidR="00F0732A" w:rsidRPr="00207864">
        <w:rPr>
          <w:rFonts w:ascii="Times New Roman" w:hAnsi="Times New Roman"/>
        </w:rPr>
        <w:t>arguments as to</w:t>
      </w:r>
      <w:r w:rsidR="00B648FA" w:rsidRPr="00207864">
        <w:rPr>
          <w:rFonts w:ascii="Times New Roman" w:hAnsi="Times New Roman"/>
        </w:rPr>
        <w:t xml:space="preserve"> </w:t>
      </w:r>
      <w:r w:rsidRPr="00207864">
        <w:rPr>
          <w:rFonts w:ascii="Times New Roman" w:hAnsi="Times New Roman"/>
        </w:rPr>
        <w:t>judicial power</w:t>
      </w:r>
    </w:p>
    <w:p w14:paraId="369748FC" w14:textId="0F976AE1" w:rsidR="002149DF" w:rsidRPr="00207864" w:rsidRDefault="00957331"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B648FA" w:rsidRPr="00207864">
        <w:rPr>
          <w:rFonts w:ascii="Times New Roman" w:hAnsi="Times New Roman"/>
        </w:rPr>
        <w:t>In</w:t>
      </w:r>
      <w:r w:rsidR="00FA055E" w:rsidRPr="00207864">
        <w:rPr>
          <w:rFonts w:ascii="Times New Roman" w:hAnsi="Times New Roman"/>
        </w:rPr>
        <w:t xml:space="preserve"> addition to the princip</w:t>
      </w:r>
      <w:r w:rsidR="00276196" w:rsidRPr="00207864">
        <w:rPr>
          <w:rFonts w:ascii="Times New Roman" w:hAnsi="Times New Roman"/>
        </w:rPr>
        <w:t>al</w:t>
      </w:r>
      <w:r w:rsidR="00FA055E" w:rsidRPr="00207864">
        <w:rPr>
          <w:rFonts w:ascii="Times New Roman" w:hAnsi="Times New Roman"/>
        </w:rPr>
        <w:t xml:space="preserve"> ground of his challenge</w:t>
      </w:r>
      <w:r w:rsidR="006151FA" w:rsidRPr="00207864">
        <w:rPr>
          <w:rFonts w:ascii="Times New Roman" w:hAnsi="Times New Roman"/>
        </w:rPr>
        <w:t xml:space="preserve"> to the validity of Div</w:t>
      </w:r>
      <w:r w:rsidR="0071767A" w:rsidRPr="00207864">
        <w:rPr>
          <w:rFonts w:ascii="Times New Roman" w:hAnsi="Times New Roman"/>
        </w:rPr>
        <w:t> </w:t>
      </w:r>
      <w:r w:rsidR="006151FA" w:rsidRPr="00207864">
        <w:rPr>
          <w:rFonts w:ascii="Times New Roman" w:hAnsi="Times New Roman"/>
        </w:rPr>
        <w:t>105A</w:t>
      </w:r>
      <w:r w:rsidR="0023389E" w:rsidRPr="00207864">
        <w:rPr>
          <w:rFonts w:ascii="Times New Roman" w:hAnsi="Times New Roman"/>
        </w:rPr>
        <w:t>,</w:t>
      </w:r>
      <w:r w:rsidR="00FA055E" w:rsidRPr="00207864">
        <w:rPr>
          <w:rFonts w:ascii="Times New Roman" w:hAnsi="Times New Roman"/>
        </w:rPr>
        <w:t xml:space="preserve"> </w:t>
      </w:r>
      <w:r w:rsidR="006151FA" w:rsidRPr="00207864">
        <w:rPr>
          <w:rFonts w:ascii="Times New Roman" w:hAnsi="Times New Roman"/>
        </w:rPr>
        <w:t xml:space="preserve">in written submissions </w:t>
      </w:r>
      <w:r w:rsidR="00B648FA" w:rsidRPr="00207864">
        <w:rPr>
          <w:rFonts w:ascii="Times New Roman" w:hAnsi="Times New Roman"/>
        </w:rPr>
        <w:t xml:space="preserve">Mr Benbrika makes two submissions which challenge </w:t>
      </w:r>
      <w:r w:rsidR="009B04D6" w:rsidRPr="00207864">
        <w:rPr>
          <w:rFonts w:ascii="Times New Roman" w:hAnsi="Times New Roman"/>
        </w:rPr>
        <w:t xml:space="preserve">the </w:t>
      </w:r>
      <w:r w:rsidR="003C206A" w:rsidRPr="00207864">
        <w:rPr>
          <w:rFonts w:ascii="Times New Roman" w:hAnsi="Times New Roman"/>
        </w:rPr>
        <w:t>D</w:t>
      </w:r>
      <w:r w:rsidR="009B04D6" w:rsidRPr="00207864">
        <w:rPr>
          <w:rFonts w:ascii="Times New Roman" w:hAnsi="Times New Roman"/>
        </w:rPr>
        <w:t xml:space="preserve">ivision </w:t>
      </w:r>
      <w:r w:rsidR="00B648FA" w:rsidRPr="00207864">
        <w:rPr>
          <w:rFonts w:ascii="Times New Roman" w:hAnsi="Times New Roman"/>
        </w:rPr>
        <w:t xml:space="preserve">on the ground that the power it purports to confer on the </w:t>
      </w:r>
      <w:r w:rsidR="0073554E" w:rsidRPr="00207864">
        <w:rPr>
          <w:rFonts w:ascii="Times New Roman" w:hAnsi="Times New Roman"/>
        </w:rPr>
        <w:t>C</w:t>
      </w:r>
      <w:r w:rsidR="00B648FA" w:rsidRPr="00207864">
        <w:rPr>
          <w:rFonts w:ascii="Times New Roman" w:hAnsi="Times New Roman"/>
        </w:rPr>
        <w:t>ourt is not judicial power. Both submissions can be dealt with shortly. First</w:t>
      </w:r>
      <w:r w:rsidR="009B51D1" w:rsidRPr="00207864">
        <w:rPr>
          <w:rFonts w:ascii="Times New Roman" w:hAnsi="Times New Roman"/>
        </w:rPr>
        <w:t>,</w:t>
      </w:r>
      <w:r w:rsidR="00B648FA" w:rsidRPr="00207864">
        <w:rPr>
          <w:rFonts w:ascii="Times New Roman" w:hAnsi="Times New Roman"/>
        </w:rPr>
        <w:t xml:space="preserve"> he contends that the provision</w:t>
      </w:r>
      <w:r w:rsidR="00B47A4D" w:rsidRPr="00207864">
        <w:rPr>
          <w:rFonts w:ascii="Times New Roman" w:hAnsi="Times New Roman"/>
        </w:rPr>
        <w:t xml:space="preserve"> for review</w:t>
      </w:r>
      <w:r w:rsidR="00B648FA" w:rsidRPr="00207864">
        <w:rPr>
          <w:rFonts w:ascii="Times New Roman" w:hAnsi="Times New Roman"/>
        </w:rPr>
        <w:t xml:space="preserve"> </w:t>
      </w:r>
      <w:r w:rsidR="00A74A2B" w:rsidRPr="00207864">
        <w:rPr>
          <w:rFonts w:ascii="Times New Roman" w:hAnsi="Times New Roman"/>
        </w:rPr>
        <w:t xml:space="preserve">of the continuing detention </w:t>
      </w:r>
      <w:r w:rsidR="00CE4956" w:rsidRPr="00207864">
        <w:rPr>
          <w:rFonts w:ascii="Times New Roman" w:hAnsi="Times New Roman"/>
        </w:rPr>
        <w:t>order</w:t>
      </w:r>
      <w:r w:rsidR="00E117CB" w:rsidRPr="00207864">
        <w:rPr>
          <w:rFonts w:ascii="Times New Roman" w:hAnsi="Times New Roman"/>
        </w:rPr>
        <w:t>,</w:t>
      </w:r>
      <w:r w:rsidR="00CE4956" w:rsidRPr="00207864">
        <w:rPr>
          <w:rFonts w:ascii="Times New Roman" w:hAnsi="Times New Roman"/>
        </w:rPr>
        <w:t xml:space="preserve"> </w:t>
      </w:r>
      <w:r w:rsidR="00B648FA" w:rsidRPr="00207864">
        <w:rPr>
          <w:rFonts w:ascii="Times New Roman" w:hAnsi="Times New Roman"/>
        </w:rPr>
        <w:t>on the application of the Minister</w:t>
      </w:r>
      <w:r w:rsidR="00E117CB" w:rsidRPr="00207864">
        <w:rPr>
          <w:rFonts w:ascii="Times New Roman" w:hAnsi="Times New Roman"/>
        </w:rPr>
        <w:t>,</w:t>
      </w:r>
      <w:r w:rsidR="00B648FA" w:rsidRPr="00207864">
        <w:rPr>
          <w:rFonts w:ascii="Times New Roman" w:hAnsi="Times New Roman"/>
        </w:rPr>
        <w:t xml:space="preserve"> </w:t>
      </w:r>
      <w:r w:rsidR="00A55F36" w:rsidRPr="00207864">
        <w:rPr>
          <w:rFonts w:ascii="Times New Roman" w:hAnsi="Times New Roman"/>
        </w:rPr>
        <w:t xml:space="preserve">deprives </w:t>
      </w:r>
      <w:r w:rsidR="00CE4956" w:rsidRPr="00207864">
        <w:rPr>
          <w:rFonts w:ascii="Times New Roman" w:hAnsi="Times New Roman"/>
        </w:rPr>
        <w:t xml:space="preserve">the </w:t>
      </w:r>
      <w:r w:rsidR="00A55F36" w:rsidRPr="00207864">
        <w:rPr>
          <w:rFonts w:ascii="Times New Roman" w:hAnsi="Times New Roman"/>
        </w:rPr>
        <w:t xml:space="preserve">order </w:t>
      </w:r>
      <w:r w:rsidR="008B2871" w:rsidRPr="00207864">
        <w:rPr>
          <w:rFonts w:ascii="Times New Roman" w:hAnsi="Times New Roman"/>
        </w:rPr>
        <w:t xml:space="preserve">of </w:t>
      </w:r>
      <w:r w:rsidR="00B47A4D" w:rsidRPr="00207864">
        <w:rPr>
          <w:rFonts w:ascii="Times New Roman" w:hAnsi="Times New Roman"/>
        </w:rPr>
        <w:t xml:space="preserve">the </w:t>
      </w:r>
      <w:r w:rsidR="008B2871" w:rsidRPr="00207864">
        <w:rPr>
          <w:rFonts w:ascii="Times New Roman" w:hAnsi="Times New Roman"/>
        </w:rPr>
        <w:t xml:space="preserve">conclusiveness </w:t>
      </w:r>
      <w:r w:rsidR="00B47A4D" w:rsidRPr="00207864">
        <w:rPr>
          <w:rFonts w:ascii="Times New Roman" w:hAnsi="Times New Roman"/>
        </w:rPr>
        <w:t xml:space="preserve">that is </w:t>
      </w:r>
      <w:r w:rsidR="00B648FA" w:rsidRPr="00207864">
        <w:rPr>
          <w:rFonts w:ascii="Times New Roman" w:hAnsi="Times New Roman"/>
        </w:rPr>
        <w:t xml:space="preserve">essential to the </w:t>
      </w:r>
      <w:r w:rsidR="008B2871" w:rsidRPr="00207864">
        <w:rPr>
          <w:rFonts w:ascii="Times New Roman" w:hAnsi="Times New Roman"/>
        </w:rPr>
        <w:t>exercise of judicial power</w:t>
      </w:r>
      <w:r w:rsidR="00B648FA" w:rsidRPr="00207864">
        <w:rPr>
          <w:rFonts w:ascii="Times New Roman" w:hAnsi="Times New Roman"/>
        </w:rPr>
        <w:t>:</w:t>
      </w:r>
      <w:r w:rsidR="00B47A4D" w:rsidRPr="00207864">
        <w:rPr>
          <w:rFonts w:ascii="Times New Roman" w:hAnsi="Times New Roman"/>
        </w:rPr>
        <w:t xml:space="preserve"> </w:t>
      </w:r>
      <w:r w:rsidR="00B648FA" w:rsidRPr="00207864">
        <w:rPr>
          <w:rFonts w:ascii="Times New Roman" w:hAnsi="Times New Roman"/>
        </w:rPr>
        <w:t xml:space="preserve">whether the </w:t>
      </w:r>
      <w:r w:rsidR="00CB3E9E" w:rsidRPr="00207864">
        <w:rPr>
          <w:rFonts w:ascii="Times New Roman" w:hAnsi="Times New Roman"/>
        </w:rPr>
        <w:t xml:space="preserve">order remains </w:t>
      </w:r>
      <w:r w:rsidR="00A55F36" w:rsidRPr="00207864">
        <w:rPr>
          <w:rFonts w:ascii="Times New Roman" w:hAnsi="Times New Roman"/>
        </w:rPr>
        <w:t xml:space="preserve">binding </w:t>
      </w:r>
      <w:r w:rsidR="00B47A4D" w:rsidRPr="00207864">
        <w:rPr>
          <w:rFonts w:ascii="Times New Roman" w:hAnsi="Times New Roman"/>
        </w:rPr>
        <w:t>depend</w:t>
      </w:r>
      <w:r w:rsidR="00B648FA" w:rsidRPr="00207864">
        <w:rPr>
          <w:rFonts w:ascii="Times New Roman" w:hAnsi="Times New Roman"/>
        </w:rPr>
        <w:t>s</w:t>
      </w:r>
      <w:r w:rsidR="00FB1EF9" w:rsidRPr="00207864">
        <w:rPr>
          <w:rFonts w:ascii="Times New Roman" w:hAnsi="Times New Roman"/>
        </w:rPr>
        <w:t xml:space="preserve"> </w:t>
      </w:r>
      <w:r w:rsidR="001955EE" w:rsidRPr="00207864">
        <w:rPr>
          <w:rFonts w:ascii="Times New Roman" w:hAnsi="Times New Roman"/>
        </w:rPr>
        <w:t>up</w:t>
      </w:r>
      <w:r w:rsidR="00B47A4D" w:rsidRPr="00207864">
        <w:rPr>
          <w:rFonts w:ascii="Times New Roman" w:hAnsi="Times New Roman"/>
        </w:rPr>
        <w:t xml:space="preserve">on administrative action or non-action. </w:t>
      </w:r>
      <w:r w:rsidR="002149DF" w:rsidRPr="00207864">
        <w:rPr>
          <w:rFonts w:ascii="Times New Roman" w:hAnsi="Times New Roman"/>
        </w:rPr>
        <w:t xml:space="preserve">The fact that a continuing detention order ceases to have force in the event that the Minister fails to apply for its review does not deprive the order of binding force at the time </w:t>
      </w:r>
      <w:r w:rsidR="00B47A4D" w:rsidRPr="00207864">
        <w:rPr>
          <w:rFonts w:ascii="Times New Roman" w:hAnsi="Times New Roman"/>
        </w:rPr>
        <w:t xml:space="preserve">of its making. </w:t>
      </w:r>
      <w:r w:rsidR="00A53033" w:rsidRPr="00207864">
        <w:rPr>
          <w:rFonts w:ascii="Times New Roman" w:hAnsi="Times New Roman"/>
        </w:rPr>
        <w:lastRenderedPageBreak/>
        <w:t>The order is the authority for the continuing detention of the offender under a statutory scheme which provides for annual curial review.</w:t>
      </w:r>
    </w:p>
    <w:p w14:paraId="3AD15A5F" w14:textId="41588347" w:rsidR="00395668" w:rsidRPr="00207864" w:rsidRDefault="002149DF"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B648FA" w:rsidRPr="00207864">
        <w:rPr>
          <w:rFonts w:ascii="Times New Roman" w:hAnsi="Times New Roman"/>
        </w:rPr>
        <w:t xml:space="preserve">Secondly, </w:t>
      </w:r>
      <w:r w:rsidR="009A3F23" w:rsidRPr="00207864">
        <w:rPr>
          <w:rFonts w:ascii="Times New Roman" w:hAnsi="Times New Roman"/>
        </w:rPr>
        <w:t xml:space="preserve">Mr Benbrika contends </w:t>
      </w:r>
      <w:r w:rsidR="00395668" w:rsidRPr="00207864">
        <w:rPr>
          <w:rFonts w:ascii="Times New Roman" w:hAnsi="Times New Roman"/>
        </w:rPr>
        <w:t xml:space="preserve">that the making </w:t>
      </w:r>
      <w:r w:rsidR="00E267F3" w:rsidRPr="00207864">
        <w:rPr>
          <w:rFonts w:ascii="Times New Roman" w:hAnsi="Times New Roman"/>
        </w:rPr>
        <w:t xml:space="preserve">of </w:t>
      </w:r>
      <w:r w:rsidR="00395668" w:rsidRPr="00207864">
        <w:rPr>
          <w:rFonts w:ascii="Times New Roman" w:hAnsi="Times New Roman"/>
        </w:rPr>
        <w:t xml:space="preserve">a continuing detention order does not </w:t>
      </w:r>
      <w:r w:rsidR="00A53033" w:rsidRPr="00207864">
        <w:rPr>
          <w:rFonts w:ascii="Times New Roman" w:hAnsi="Times New Roman"/>
        </w:rPr>
        <w:t xml:space="preserve">engage </w:t>
      </w:r>
      <w:r w:rsidR="009A3F23" w:rsidRPr="00207864">
        <w:rPr>
          <w:rFonts w:ascii="Times New Roman" w:hAnsi="Times New Roman"/>
        </w:rPr>
        <w:t xml:space="preserve">judicial power because it does not </w:t>
      </w:r>
      <w:r w:rsidR="00395668" w:rsidRPr="00207864">
        <w:rPr>
          <w:rFonts w:ascii="Times New Roman" w:hAnsi="Times New Roman"/>
        </w:rPr>
        <w:t>determine a controversy as to existing rights and obligations based on past events</w:t>
      </w:r>
      <w:r w:rsidR="00B648FA" w:rsidRPr="00207864">
        <w:rPr>
          <w:rFonts w:ascii="Times New Roman" w:hAnsi="Times New Roman"/>
        </w:rPr>
        <w:t xml:space="preserve"> but rather it </w:t>
      </w:r>
      <w:r w:rsidR="00395668" w:rsidRPr="00207864">
        <w:rPr>
          <w:rFonts w:ascii="Times New Roman" w:hAnsi="Times New Roman"/>
        </w:rPr>
        <w:t>determines new rights and obligations</w:t>
      </w:r>
      <w:r w:rsidR="00395668" w:rsidRPr="00207864">
        <w:rPr>
          <w:rStyle w:val="FootnoteReference"/>
          <w:rFonts w:ascii="Times New Roman" w:hAnsi="Times New Roman"/>
          <w:sz w:val="24"/>
        </w:rPr>
        <w:footnoteReference w:id="35"/>
      </w:r>
      <w:r w:rsidR="00395668" w:rsidRPr="00207864">
        <w:rPr>
          <w:rFonts w:ascii="Times New Roman" w:hAnsi="Times New Roman"/>
        </w:rPr>
        <w:t xml:space="preserve">. </w:t>
      </w:r>
      <w:r w:rsidR="009F4EB7" w:rsidRPr="00207864">
        <w:rPr>
          <w:rFonts w:ascii="Times New Roman" w:hAnsi="Times New Roman"/>
        </w:rPr>
        <w:t>McHugh J</w:t>
      </w:r>
      <w:r w:rsidR="00251A43" w:rsidRPr="00207864">
        <w:rPr>
          <w:rFonts w:ascii="Times New Roman" w:hAnsi="Times New Roman"/>
        </w:rPr>
        <w:t xml:space="preserve"> </w:t>
      </w:r>
      <w:r w:rsidR="00D44A8D" w:rsidRPr="00207864">
        <w:rPr>
          <w:rFonts w:ascii="Times New Roman" w:hAnsi="Times New Roman"/>
        </w:rPr>
        <w:t>rejected</w:t>
      </w:r>
      <w:r w:rsidR="008616ED" w:rsidRPr="00207864">
        <w:rPr>
          <w:rFonts w:ascii="Times New Roman" w:hAnsi="Times New Roman"/>
        </w:rPr>
        <w:t xml:space="preserve"> t</w:t>
      </w:r>
      <w:r w:rsidR="00AD4C41" w:rsidRPr="00207864">
        <w:rPr>
          <w:rFonts w:ascii="Times New Roman" w:hAnsi="Times New Roman"/>
        </w:rPr>
        <w:t>he same</w:t>
      </w:r>
      <w:r w:rsidR="008616ED" w:rsidRPr="00207864">
        <w:rPr>
          <w:rFonts w:ascii="Times New Roman" w:hAnsi="Times New Roman"/>
        </w:rPr>
        <w:t xml:space="preserve"> argument </w:t>
      </w:r>
      <w:r w:rsidR="00C96C3C" w:rsidRPr="00207864">
        <w:rPr>
          <w:rFonts w:ascii="Times New Roman" w:hAnsi="Times New Roman"/>
        </w:rPr>
        <w:t xml:space="preserve">in </w:t>
      </w:r>
      <w:proofErr w:type="spellStart"/>
      <w:r w:rsidR="00C96C3C" w:rsidRPr="00207864">
        <w:rPr>
          <w:rFonts w:ascii="Times New Roman" w:hAnsi="Times New Roman"/>
          <w:i/>
        </w:rPr>
        <w:t>Fardon</w:t>
      </w:r>
      <w:proofErr w:type="spellEnd"/>
      <w:r w:rsidR="00395668" w:rsidRPr="00207864">
        <w:rPr>
          <w:rStyle w:val="FootnoteReference"/>
          <w:rFonts w:ascii="Times New Roman" w:hAnsi="Times New Roman"/>
          <w:sz w:val="24"/>
        </w:rPr>
        <w:footnoteReference w:id="36"/>
      </w:r>
      <w:r w:rsidR="009D6101" w:rsidRPr="00207864">
        <w:rPr>
          <w:rFonts w:ascii="Times New Roman" w:hAnsi="Times New Roman"/>
        </w:rPr>
        <w:t>:</w:t>
      </w:r>
      <w:r w:rsidR="00395668" w:rsidRPr="00207864">
        <w:rPr>
          <w:rFonts w:ascii="Times New Roman" w:hAnsi="Times New Roman"/>
          <w:i/>
        </w:rPr>
        <w:t xml:space="preserve"> </w:t>
      </w:r>
    </w:p>
    <w:p w14:paraId="468F292A" w14:textId="77777777" w:rsidR="00207864" w:rsidRDefault="00395668" w:rsidP="00207864">
      <w:pPr>
        <w:pStyle w:val="leftright"/>
        <w:spacing w:before="0" w:after="260" w:line="280" w:lineRule="exact"/>
        <w:ind w:right="0"/>
        <w:jc w:val="both"/>
        <w:rPr>
          <w:rFonts w:ascii="Times New Roman" w:hAnsi="Times New Roman"/>
        </w:rPr>
      </w:pPr>
      <w:r w:rsidRPr="00207864">
        <w:rPr>
          <w:rFonts w:ascii="Times New Roman" w:hAnsi="Times New Roman"/>
        </w:rPr>
        <w:t xml:space="preserve">"[W]hen determining an application under </w:t>
      </w:r>
      <w:r w:rsidR="008C7976" w:rsidRPr="00207864">
        <w:rPr>
          <w:rFonts w:ascii="Times New Roman" w:hAnsi="Times New Roman"/>
        </w:rPr>
        <w:t>[</w:t>
      </w:r>
      <w:r w:rsidRPr="00207864">
        <w:rPr>
          <w:rFonts w:ascii="Times New Roman" w:hAnsi="Times New Roman"/>
        </w:rPr>
        <w:t>the Qld Act</w:t>
      </w:r>
      <w:r w:rsidR="008C7976" w:rsidRPr="00207864">
        <w:rPr>
          <w:rFonts w:ascii="Times New Roman" w:hAnsi="Times New Roman"/>
        </w:rPr>
        <w:t>]</w:t>
      </w:r>
      <w:r w:rsidRPr="00207864">
        <w:rPr>
          <w:rFonts w:ascii="Times New Roman" w:hAnsi="Times New Roman"/>
        </w:rPr>
        <w:t>, the Supreme Court is exercising judicial power ... It is true that in form the Act does not require the Court to determine 'an</w:t>
      </w:r>
      <w:r w:rsidR="00043C13" w:rsidRPr="00207864">
        <w:rPr>
          <w:rFonts w:ascii="Times New Roman" w:hAnsi="Times New Roman"/>
        </w:rPr>
        <w:t xml:space="preserve"> </w:t>
      </w:r>
      <w:r w:rsidRPr="00207864">
        <w:rPr>
          <w:rFonts w:ascii="Times New Roman" w:hAnsi="Times New Roman"/>
        </w:rPr>
        <w:t xml:space="preserve">actual or potential controversy as to existing rights </w:t>
      </w:r>
      <w:r w:rsidR="00D20B1D" w:rsidRPr="00207864">
        <w:rPr>
          <w:rFonts w:ascii="Times New Roman" w:hAnsi="Times New Roman"/>
        </w:rPr>
        <w:t>or</w:t>
      </w:r>
      <w:r w:rsidRPr="00207864">
        <w:rPr>
          <w:rFonts w:ascii="Times New Roman" w:hAnsi="Times New Roman"/>
        </w:rPr>
        <w:t xml:space="preserve"> obligations'</w:t>
      </w:r>
      <w:r w:rsidR="00BB6F13" w:rsidRPr="00207864">
        <w:rPr>
          <w:rStyle w:val="FootnoteReference"/>
          <w:rFonts w:ascii="Times New Roman" w:hAnsi="Times New Roman"/>
          <w:sz w:val="24"/>
        </w:rPr>
        <w:footnoteReference w:id="37"/>
      </w:r>
      <w:r w:rsidRPr="00207864">
        <w:rPr>
          <w:rFonts w:ascii="Times New Roman" w:hAnsi="Times New Roman"/>
        </w:rPr>
        <w:t xml:space="preserve">. But that does not mean </w:t>
      </w:r>
      <w:r w:rsidR="0021545F" w:rsidRPr="00207864">
        <w:rPr>
          <w:rFonts w:ascii="Times New Roman" w:hAnsi="Times New Roman"/>
        </w:rPr>
        <w:t xml:space="preserve">that </w:t>
      </w:r>
      <w:r w:rsidRPr="00207864">
        <w:rPr>
          <w:rFonts w:ascii="Times New Roman" w:hAnsi="Times New Roman"/>
        </w:rPr>
        <w:t>the Court is not exercising judicial power. The exercise of judicial power often involves the making of orders upon determining that a particular fact or status exists. It does so, for example, in the cases of matrimonial causes, bankruptcy, probate and the winding</w:t>
      </w:r>
      <w:r w:rsidR="00064957" w:rsidRPr="00207864">
        <w:rPr>
          <w:rFonts w:ascii="Times New Roman" w:hAnsi="Times New Roman"/>
        </w:rPr>
        <w:t xml:space="preserve"> </w:t>
      </w:r>
      <w:r w:rsidRPr="00207864">
        <w:rPr>
          <w:rFonts w:ascii="Times New Roman" w:hAnsi="Times New Roman"/>
        </w:rPr>
        <w:t>up of companies. The powers exercised and orders made by the Court under [the Qld Act] are of the same jurisprudential character as in those cases.</w:t>
      </w:r>
      <w:r w:rsidR="003412A8" w:rsidRPr="00207864">
        <w:rPr>
          <w:rFonts w:ascii="Times New Roman" w:hAnsi="Times New Roman"/>
        </w:rPr>
        <w:t>"</w:t>
      </w:r>
      <w:r w:rsidRPr="00207864">
        <w:rPr>
          <w:rFonts w:ascii="Times New Roman" w:hAnsi="Times New Roman"/>
        </w:rPr>
        <w:t xml:space="preserve"> </w:t>
      </w:r>
    </w:p>
    <w:p w14:paraId="74B041B0" w14:textId="7E420A39" w:rsidR="00572E8A" w:rsidRPr="00207864" w:rsidRDefault="00050ABD" w:rsidP="00207864">
      <w:pPr>
        <w:pStyle w:val="NormalBody"/>
        <w:spacing w:after="260" w:line="280" w:lineRule="exact"/>
        <w:ind w:right="0"/>
        <w:jc w:val="both"/>
        <w:rPr>
          <w:rFonts w:ascii="Times New Roman" w:hAnsi="Times New Roman"/>
        </w:rPr>
      </w:pPr>
      <w:r w:rsidRPr="00207864">
        <w:rPr>
          <w:rFonts w:ascii="Times New Roman" w:hAnsi="Times New Roman"/>
        </w:rPr>
        <w:t xml:space="preserve">His Honour's statement was adopted by Gleeson CJ in </w:t>
      </w:r>
      <w:r w:rsidRPr="00207864">
        <w:rPr>
          <w:rFonts w:ascii="Times New Roman" w:hAnsi="Times New Roman"/>
          <w:i/>
        </w:rPr>
        <w:t>Thomas v Mo</w:t>
      </w:r>
      <w:r w:rsidR="004F0D56" w:rsidRPr="00207864">
        <w:rPr>
          <w:rFonts w:ascii="Times New Roman" w:hAnsi="Times New Roman"/>
          <w:i/>
        </w:rPr>
        <w:t>wbray</w:t>
      </w:r>
      <w:r w:rsidR="00532CE5" w:rsidRPr="00207864">
        <w:rPr>
          <w:rStyle w:val="FootnoteReference"/>
          <w:rFonts w:ascii="Times New Roman" w:hAnsi="Times New Roman"/>
          <w:sz w:val="24"/>
        </w:rPr>
        <w:footnoteReference w:id="38"/>
      </w:r>
      <w:r w:rsidR="004F0D56" w:rsidRPr="00207864">
        <w:rPr>
          <w:rFonts w:ascii="Times New Roman" w:hAnsi="Times New Roman"/>
          <w:i/>
        </w:rPr>
        <w:t xml:space="preserve"> </w:t>
      </w:r>
      <w:r w:rsidR="004F0D56" w:rsidRPr="00207864">
        <w:rPr>
          <w:rFonts w:ascii="Times New Roman" w:hAnsi="Times New Roman"/>
        </w:rPr>
        <w:t xml:space="preserve">and by six Justices in </w:t>
      </w:r>
      <w:r w:rsidR="004F0D56" w:rsidRPr="00207864">
        <w:rPr>
          <w:rFonts w:ascii="Times New Roman" w:hAnsi="Times New Roman"/>
          <w:i/>
        </w:rPr>
        <w:t xml:space="preserve">Attorney-General (NT) </w:t>
      </w:r>
      <w:r w:rsidR="00EE7E83" w:rsidRPr="00207864">
        <w:rPr>
          <w:rFonts w:ascii="Times New Roman" w:hAnsi="Times New Roman"/>
          <w:i/>
        </w:rPr>
        <w:t>v Emmerson</w:t>
      </w:r>
      <w:r w:rsidR="00532CE5" w:rsidRPr="00207864">
        <w:rPr>
          <w:rStyle w:val="FootnoteReference"/>
          <w:rFonts w:ascii="Times New Roman" w:hAnsi="Times New Roman"/>
          <w:sz w:val="24"/>
        </w:rPr>
        <w:footnoteReference w:id="39"/>
      </w:r>
      <w:r w:rsidR="00EE7E83" w:rsidRPr="00207864">
        <w:rPr>
          <w:rFonts w:ascii="Times New Roman" w:hAnsi="Times New Roman"/>
        </w:rPr>
        <w:t xml:space="preserve">. </w:t>
      </w:r>
      <w:r w:rsidR="009A3F23" w:rsidRPr="00207864">
        <w:rPr>
          <w:rFonts w:ascii="Times New Roman" w:hAnsi="Times New Roman"/>
        </w:rPr>
        <w:t>T</w:t>
      </w:r>
      <w:r w:rsidR="00802ED6" w:rsidRPr="00207864">
        <w:rPr>
          <w:rFonts w:ascii="Times New Roman" w:hAnsi="Times New Roman"/>
        </w:rPr>
        <w:t xml:space="preserve">he </w:t>
      </w:r>
      <w:r w:rsidR="00251A43" w:rsidRPr="00207864">
        <w:rPr>
          <w:rFonts w:ascii="Times New Roman" w:hAnsi="Times New Roman"/>
        </w:rPr>
        <w:t xml:space="preserve">argument is </w:t>
      </w:r>
      <w:r w:rsidR="009A3F23" w:rsidRPr="00207864">
        <w:rPr>
          <w:rFonts w:ascii="Times New Roman" w:hAnsi="Times New Roman"/>
        </w:rPr>
        <w:t xml:space="preserve">in any event </w:t>
      </w:r>
      <w:r w:rsidR="00251A43" w:rsidRPr="00207864">
        <w:rPr>
          <w:rFonts w:ascii="Times New Roman" w:hAnsi="Times New Roman"/>
        </w:rPr>
        <w:t xml:space="preserve">foreclosed by </w:t>
      </w:r>
      <w:r w:rsidR="003B3BE9" w:rsidRPr="00207864">
        <w:rPr>
          <w:rFonts w:ascii="Times New Roman" w:hAnsi="Times New Roman"/>
        </w:rPr>
        <w:t xml:space="preserve">the holding in </w:t>
      </w:r>
      <w:r w:rsidR="00251A43" w:rsidRPr="00207864">
        <w:rPr>
          <w:rFonts w:ascii="Times New Roman" w:hAnsi="Times New Roman"/>
          <w:i/>
        </w:rPr>
        <w:t>Thomas</w:t>
      </w:r>
      <w:r w:rsidR="00251A43" w:rsidRPr="00207864">
        <w:rPr>
          <w:rFonts w:ascii="Times New Roman" w:hAnsi="Times New Roman"/>
        </w:rPr>
        <w:t xml:space="preserve"> that the power </w:t>
      </w:r>
      <w:r w:rsidR="009A3F23" w:rsidRPr="00207864">
        <w:rPr>
          <w:rFonts w:ascii="Times New Roman" w:hAnsi="Times New Roman"/>
        </w:rPr>
        <w:t xml:space="preserve">conferred on </w:t>
      </w:r>
      <w:r w:rsidR="00EC2C8A" w:rsidRPr="00207864">
        <w:rPr>
          <w:rFonts w:ascii="Times New Roman" w:hAnsi="Times New Roman"/>
        </w:rPr>
        <w:t>a</w:t>
      </w:r>
      <w:r w:rsidR="009A3F23" w:rsidRPr="00207864">
        <w:rPr>
          <w:rFonts w:ascii="Times New Roman" w:hAnsi="Times New Roman"/>
        </w:rPr>
        <w:t xml:space="preserve"> </w:t>
      </w:r>
      <w:r w:rsidR="00EC2C8A" w:rsidRPr="00207864">
        <w:rPr>
          <w:rFonts w:ascii="Times New Roman" w:hAnsi="Times New Roman"/>
        </w:rPr>
        <w:t>c</w:t>
      </w:r>
      <w:r w:rsidR="009A3F23" w:rsidRPr="00207864">
        <w:rPr>
          <w:rFonts w:ascii="Times New Roman" w:hAnsi="Times New Roman"/>
        </w:rPr>
        <w:t xml:space="preserve">ourt </w:t>
      </w:r>
      <w:r w:rsidR="00251A43" w:rsidRPr="00207864">
        <w:rPr>
          <w:rFonts w:ascii="Times New Roman" w:hAnsi="Times New Roman"/>
        </w:rPr>
        <w:t xml:space="preserve">to make a control order under Div 104 of the Code </w:t>
      </w:r>
      <w:r w:rsidR="00B66569" w:rsidRPr="00207864">
        <w:rPr>
          <w:rFonts w:ascii="Times New Roman" w:hAnsi="Times New Roman"/>
        </w:rPr>
        <w:t xml:space="preserve">is </w:t>
      </w:r>
      <w:r w:rsidR="009A3F23" w:rsidRPr="00207864">
        <w:rPr>
          <w:rFonts w:ascii="Times New Roman" w:hAnsi="Times New Roman"/>
        </w:rPr>
        <w:t xml:space="preserve">within </w:t>
      </w:r>
      <w:r w:rsidR="00251A43" w:rsidRPr="00207864">
        <w:rPr>
          <w:rFonts w:ascii="Times New Roman" w:hAnsi="Times New Roman"/>
        </w:rPr>
        <w:t>the judicial power of the Commonwealth</w:t>
      </w:r>
      <w:r w:rsidR="00251A43" w:rsidRPr="00207864">
        <w:rPr>
          <w:rStyle w:val="FootnoteReference"/>
          <w:rFonts w:ascii="Times New Roman" w:hAnsi="Times New Roman"/>
          <w:sz w:val="24"/>
        </w:rPr>
        <w:footnoteReference w:id="40"/>
      </w:r>
      <w:r w:rsidR="00251A43" w:rsidRPr="00207864">
        <w:rPr>
          <w:rFonts w:ascii="Times New Roman" w:hAnsi="Times New Roman"/>
        </w:rPr>
        <w:t>.</w:t>
      </w:r>
    </w:p>
    <w:p w14:paraId="4FFBE8EE" w14:textId="37C88405" w:rsidR="003B617A" w:rsidRPr="00207864" w:rsidRDefault="00E36C43" w:rsidP="00207864">
      <w:pPr>
        <w:pStyle w:val="HeadingL1"/>
        <w:spacing w:after="260" w:line="280" w:lineRule="exact"/>
        <w:ind w:right="0"/>
        <w:jc w:val="both"/>
        <w:rPr>
          <w:rFonts w:ascii="Times New Roman" w:hAnsi="Times New Roman"/>
        </w:rPr>
      </w:pPr>
      <w:r w:rsidRPr="00207864">
        <w:rPr>
          <w:rFonts w:ascii="Times New Roman" w:hAnsi="Times New Roman"/>
        </w:rPr>
        <w:lastRenderedPageBreak/>
        <w:t xml:space="preserve">Mr </w:t>
      </w:r>
      <w:proofErr w:type="spellStart"/>
      <w:r w:rsidRPr="00207864">
        <w:rPr>
          <w:rFonts w:ascii="Times New Roman" w:hAnsi="Times New Roman"/>
        </w:rPr>
        <w:t>Benbrika's</w:t>
      </w:r>
      <w:proofErr w:type="spellEnd"/>
      <w:r w:rsidRPr="00207864">
        <w:rPr>
          <w:rFonts w:ascii="Times New Roman" w:hAnsi="Times New Roman"/>
        </w:rPr>
        <w:t xml:space="preserve"> principal argument</w:t>
      </w:r>
    </w:p>
    <w:p w14:paraId="6B573077" w14:textId="59E34A23" w:rsidR="00E36C43" w:rsidRPr="00207864" w:rsidRDefault="003B617A"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9A3F23" w:rsidRPr="00207864">
        <w:rPr>
          <w:rFonts w:ascii="Times New Roman" w:hAnsi="Times New Roman"/>
        </w:rPr>
        <w:t xml:space="preserve">Mr Benbrika does not </w:t>
      </w:r>
      <w:r w:rsidR="00B648FA" w:rsidRPr="00207864">
        <w:rPr>
          <w:rFonts w:ascii="Times New Roman" w:hAnsi="Times New Roman"/>
        </w:rPr>
        <w:t xml:space="preserve">invite </w:t>
      </w:r>
      <w:r w:rsidR="009A3F23" w:rsidRPr="00207864">
        <w:rPr>
          <w:rFonts w:ascii="Times New Roman" w:hAnsi="Times New Roman"/>
        </w:rPr>
        <w:t xml:space="preserve">the Court to re-open </w:t>
      </w:r>
      <w:proofErr w:type="spellStart"/>
      <w:r w:rsidR="009A3F23" w:rsidRPr="00207864">
        <w:rPr>
          <w:rFonts w:ascii="Times New Roman" w:hAnsi="Times New Roman"/>
          <w:i/>
        </w:rPr>
        <w:t>Fardon</w:t>
      </w:r>
      <w:proofErr w:type="spellEnd"/>
      <w:r w:rsidR="009A3F23" w:rsidRPr="00207864">
        <w:rPr>
          <w:rFonts w:ascii="Times New Roman" w:hAnsi="Times New Roman"/>
          <w:i/>
        </w:rPr>
        <w:t xml:space="preserve"> </w:t>
      </w:r>
      <w:r w:rsidR="009A3F23" w:rsidRPr="00207864">
        <w:rPr>
          <w:rFonts w:ascii="Times New Roman" w:hAnsi="Times New Roman"/>
        </w:rPr>
        <w:t xml:space="preserve">or </w:t>
      </w:r>
      <w:r w:rsidR="009A3F23" w:rsidRPr="00207864">
        <w:rPr>
          <w:rFonts w:ascii="Times New Roman" w:hAnsi="Times New Roman"/>
          <w:i/>
        </w:rPr>
        <w:t>Thomas</w:t>
      </w:r>
      <w:r w:rsidR="009A3F23" w:rsidRPr="00207864">
        <w:rPr>
          <w:rFonts w:ascii="Times New Roman" w:hAnsi="Times New Roman"/>
        </w:rPr>
        <w:t xml:space="preserve">. </w:t>
      </w:r>
      <w:r w:rsidR="00B648FA" w:rsidRPr="00207864">
        <w:rPr>
          <w:rFonts w:ascii="Times New Roman" w:hAnsi="Times New Roman"/>
        </w:rPr>
        <w:t xml:space="preserve">He notes that </w:t>
      </w:r>
      <w:r w:rsidR="00B648FA" w:rsidRPr="00207864">
        <w:rPr>
          <w:rFonts w:ascii="Times New Roman" w:hAnsi="Times New Roman"/>
          <w:i/>
        </w:rPr>
        <w:t>Thomas</w:t>
      </w:r>
      <w:r w:rsidR="00B648FA" w:rsidRPr="00207864">
        <w:rPr>
          <w:rFonts w:ascii="Times New Roman" w:hAnsi="Times New Roman"/>
        </w:rPr>
        <w:t xml:space="preserve"> was not concerned </w:t>
      </w:r>
      <w:r w:rsidR="00E76E2C" w:rsidRPr="00207864">
        <w:rPr>
          <w:rFonts w:ascii="Times New Roman" w:hAnsi="Times New Roman"/>
        </w:rPr>
        <w:t xml:space="preserve">with </w:t>
      </w:r>
      <w:r w:rsidR="0087111F" w:rsidRPr="00207864">
        <w:rPr>
          <w:rFonts w:ascii="Times New Roman" w:hAnsi="Times New Roman"/>
        </w:rPr>
        <w:t xml:space="preserve">the power </w:t>
      </w:r>
      <w:r w:rsidR="00A53033" w:rsidRPr="00207864">
        <w:rPr>
          <w:rFonts w:ascii="Times New Roman" w:hAnsi="Times New Roman"/>
        </w:rPr>
        <w:t xml:space="preserve">of a Ch III court </w:t>
      </w:r>
      <w:r w:rsidR="0087111F" w:rsidRPr="00207864">
        <w:rPr>
          <w:rFonts w:ascii="Times New Roman" w:hAnsi="Times New Roman"/>
        </w:rPr>
        <w:t xml:space="preserve">to </w:t>
      </w:r>
      <w:r w:rsidR="00A53033" w:rsidRPr="00207864">
        <w:rPr>
          <w:rFonts w:ascii="Times New Roman" w:hAnsi="Times New Roman"/>
        </w:rPr>
        <w:t>authorise detention in prison based upon apprehended conduct</w:t>
      </w:r>
      <w:r w:rsidR="00E6183B" w:rsidRPr="00207864">
        <w:rPr>
          <w:rFonts w:ascii="Times New Roman" w:hAnsi="Times New Roman"/>
        </w:rPr>
        <w:t xml:space="preserve"> </w:t>
      </w:r>
      <w:r w:rsidR="00A53033" w:rsidRPr="00207864">
        <w:rPr>
          <w:rFonts w:ascii="Times New Roman" w:hAnsi="Times New Roman"/>
        </w:rPr>
        <w:t xml:space="preserve">and </w:t>
      </w:r>
      <w:r w:rsidR="00E6183B" w:rsidRPr="00207864">
        <w:rPr>
          <w:rFonts w:ascii="Times New Roman" w:hAnsi="Times New Roman"/>
        </w:rPr>
        <w:t xml:space="preserve">that </w:t>
      </w:r>
      <w:r w:rsidR="00E76E2C" w:rsidRPr="00207864">
        <w:rPr>
          <w:rFonts w:ascii="Times New Roman" w:hAnsi="Times New Roman"/>
        </w:rPr>
        <w:t xml:space="preserve">the judicial power in </w:t>
      </w:r>
      <w:proofErr w:type="spellStart"/>
      <w:r w:rsidR="00E76E2C" w:rsidRPr="00207864">
        <w:rPr>
          <w:rFonts w:ascii="Times New Roman" w:hAnsi="Times New Roman"/>
          <w:i/>
        </w:rPr>
        <w:t>Fardon</w:t>
      </w:r>
      <w:proofErr w:type="spellEnd"/>
      <w:r w:rsidR="00E76E2C" w:rsidRPr="00207864">
        <w:rPr>
          <w:rFonts w:ascii="Times New Roman" w:hAnsi="Times New Roman"/>
        </w:rPr>
        <w:t xml:space="preserve"> </w:t>
      </w:r>
      <w:r w:rsidR="00BE04F0" w:rsidRPr="00207864">
        <w:rPr>
          <w:rFonts w:ascii="Times New Roman" w:hAnsi="Times New Roman"/>
        </w:rPr>
        <w:t xml:space="preserve">was </w:t>
      </w:r>
      <w:r w:rsidR="00E76E2C" w:rsidRPr="00207864">
        <w:rPr>
          <w:rFonts w:ascii="Times New Roman" w:hAnsi="Times New Roman"/>
        </w:rPr>
        <w:t>conferred by a State</w:t>
      </w:r>
      <w:r w:rsidR="00DD4303" w:rsidRPr="00207864">
        <w:rPr>
          <w:rFonts w:ascii="Times New Roman" w:hAnsi="Times New Roman"/>
        </w:rPr>
        <w:t xml:space="preserve"> </w:t>
      </w:r>
      <w:r w:rsidR="00F53FF6" w:rsidRPr="00207864">
        <w:rPr>
          <w:rFonts w:ascii="Times New Roman" w:hAnsi="Times New Roman"/>
        </w:rPr>
        <w:t>A</w:t>
      </w:r>
      <w:r w:rsidR="00DD4303" w:rsidRPr="00207864">
        <w:rPr>
          <w:rFonts w:ascii="Times New Roman" w:hAnsi="Times New Roman"/>
        </w:rPr>
        <w:t>ct</w:t>
      </w:r>
      <w:r w:rsidR="00E76E2C" w:rsidRPr="00207864">
        <w:rPr>
          <w:rFonts w:ascii="Times New Roman" w:hAnsi="Times New Roman"/>
        </w:rPr>
        <w:t>. A</w:t>
      </w:r>
      <w:r w:rsidR="00A53033" w:rsidRPr="00207864">
        <w:rPr>
          <w:rFonts w:ascii="Times New Roman" w:hAnsi="Times New Roman"/>
        </w:rPr>
        <w:t>part from its source</w:t>
      </w:r>
      <w:r w:rsidR="00E76E2C" w:rsidRPr="00207864">
        <w:rPr>
          <w:rFonts w:ascii="Times New Roman" w:hAnsi="Times New Roman"/>
        </w:rPr>
        <w:t>,</w:t>
      </w:r>
      <w:r w:rsidR="00A53033" w:rsidRPr="00207864">
        <w:rPr>
          <w:rFonts w:ascii="Times New Roman" w:hAnsi="Times New Roman"/>
        </w:rPr>
        <w:t xml:space="preserve"> t</w:t>
      </w:r>
      <w:r w:rsidR="00BE04F0" w:rsidRPr="00207864">
        <w:rPr>
          <w:rFonts w:ascii="Times New Roman" w:hAnsi="Times New Roman"/>
        </w:rPr>
        <w:t xml:space="preserve">he judicial power of the Commonwealth is distinguished from </w:t>
      </w:r>
      <w:r w:rsidR="00E76E2C" w:rsidRPr="00207864">
        <w:rPr>
          <w:rFonts w:ascii="Times New Roman" w:hAnsi="Times New Roman"/>
        </w:rPr>
        <w:t xml:space="preserve">the </w:t>
      </w:r>
      <w:r w:rsidR="00BE04F0" w:rsidRPr="00207864">
        <w:rPr>
          <w:rFonts w:ascii="Times New Roman" w:hAnsi="Times New Roman"/>
        </w:rPr>
        <w:t xml:space="preserve">judicial power </w:t>
      </w:r>
      <w:r w:rsidR="00E76E2C" w:rsidRPr="00207864">
        <w:rPr>
          <w:rFonts w:ascii="Times New Roman" w:hAnsi="Times New Roman"/>
        </w:rPr>
        <w:t xml:space="preserve">of a State </w:t>
      </w:r>
      <w:r w:rsidR="00A53033" w:rsidRPr="00207864">
        <w:rPr>
          <w:rFonts w:ascii="Times New Roman" w:hAnsi="Times New Roman"/>
        </w:rPr>
        <w:t xml:space="preserve">by </w:t>
      </w:r>
      <w:r w:rsidR="0087111F" w:rsidRPr="00207864">
        <w:rPr>
          <w:rFonts w:ascii="Times New Roman" w:hAnsi="Times New Roman"/>
        </w:rPr>
        <w:t xml:space="preserve">the </w:t>
      </w:r>
      <w:r w:rsidR="00D76327" w:rsidRPr="00207864">
        <w:rPr>
          <w:rFonts w:ascii="Times New Roman" w:hAnsi="Times New Roman"/>
        </w:rPr>
        <w:t xml:space="preserve">separation of powers </w:t>
      </w:r>
      <w:r w:rsidR="00E76E2C" w:rsidRPr="00207864">
        <w:rPr>
          <w:rFonts w:ascii="Times New Roman" w:hAnsi="Times New Roman"/>
        </w:rPr>
        <w:t xml:space="preserve">for which the </w:t>
      </w:r>
      <w:r w:rsidR="00E76E2C" w:rsidRPr="00207864">
        <w:rPr>
          <w:rFonts w:ascii="Times New Roman" w:hAnsi="Times New Roman"/>
          <w:i/>
        </w:rPr>
        <w:t>Constitution</w:t>
      </w:r>
      <w:r w:rsidR="00E76E2C" w:rsidRPr="00207864">
        <w:rPr>
          <w:rFonts w:ascii="Times New Roman" w:hAnsi="Times New Roman"/>
        </w:rPr>
        <w:t xml:space="preserve"> provides</w:t>
      </w:r>
      <w:r w:rsidR="00541485" w:rsidRPr="00207864">
        <w:rPr>
          <w:rStyle w:val="FootnoteReference"/>
          <w:rFonts w:ascii="Times New Roman" w:hAnsi="Times New Roman"/>
          <w:sz w:val="24"/>
        </w:rPr>
        <w:footnoteReference w:id="41"/>
      </w:r>
      <w:r w:rsidR="00E76E2C" w:rsidRPr="00207864">
        <w:rPr>
          <w:rFonts w:ascii="Times New Roman" w:hAnsi="Times New Roman"/>
        </w:rPr>
        <w:t xml:space="preserve"> </w:t>
      </w:r>
      <w:r w:rsidR="00D76327" w:rsidRPr="00207864">
        <w:rPr>
          <w:rFonts w:ascii="Times New Roman" w:hAnsi="Times New Roman"/>
        </w:rPr>
        <w:t>and the requirement that its exercise be with respect to a "matter"</w:t>
      </w:r>
      <w:r w:rsidR="00C54247" w:rsidRPr="00207864">
        <w:rPr>
          <w:rStyle w:val="FootnoteReference"/>
          <w:rFonts w:ascii="Times New Roman" w:hAnsi="Times New Roman"/>
          <w:sz w:val="24"/>
        </w:rPr>
        <w:footnoteReference w:id="42"/>
      </w:r>
      <w:r w:rsidR="00D76327" w:rsidRPr="00207864">
        <w:rPr>
          <w:rFonts w:ascii="Times New Roman" w:hAnsi="Times New Roman"/>
        </w:rPr>
        <w:t xml:space="preserve">. Mr Benbrika </w:t>
      </w:r>
      <w:r w:rsidR="00BE04F0" w:rsidRPr="00207864">
        <w:rPr>
          <w:rFonts w:ascii="Times New Roman" w:hAnsi="Times New Roman"/>
        </w:rPr>
        <w:t>takes no point that an application for the making of a continuing detention order is not capable of constituting a "matter"</w:t>
      </w:r>
      <w:r w:rsidR="00BE04F0" w:rsidRPr="00207864">
        <w:rPr>
          <w:rStyle w:val="FootnoteReference"/>
          <w:rFonts w:ascii="Times New Roman" w:hAnsi="Times New Roman"/>
          <w:sz w:val="24"/>
        </w:rPr>
        <w:footnoteReference w:id="43"/>
      </w:r>
      <w:r w:rsidR="00BE04F0" w:rsidRPr="00207864">
        <w:rPr>
          <w:rFonts w:ascii="Times New Roman" w:hAnsi="Times New Roman"/>
        </w:rPr>
        <w:t>.</w:t>
      </w:r>
      <w:r w:rsidR="007521B7" w:rsidRPr="00207864">
        <w:rPr>
          <w:rFonts w:ascii="Times New Roman" w:hAnsi="Times New Roman"/>
        </w:rPr>
        <w:t xml:space="preserve"> </w:t>
      </w:r>
      <w:r w:rsidR="00D65C6F" w:rsidRPr="00207864">
        <w:rPr>
          <w:rFonts w:ascii="Times New Roman" w:hAnsi="Times New Roman"/>
        </w:rPr>
        <w:t xml:space="preserve">It is the separation of powers that is said to </w:t>
      </w:r>
      <w:r w:rsidR="00457795" w:rsidRPr="00207864">
        <w:rPr>
          <w:rFonts w:ascii="Times New Roman" w:hAnsi="Times New Roman"/>
        </w:rPr>
        <w:t xml:space="preserve">explain why an </w:t>
      </w:r>
      <w:r w:rsidR="00B25861" w:rsidRPr="00207864">
        <w:rPr>
          <w:rFonts w:ascii="Times New Roman" w:hAnsi="Times New Roman"/>
        </w:rPr>
        <w:t xml:space="preserve">order for continuing detention may be made in </w:t>
      </w:r>
      <w:r w:rsidR="00457795" w:rsidRPr="00207864">
        <w:rPr>
          <w:rFonts w:ascii="Times New Roman" w:hAnsi="Times New Roman"/>
        </w:rPr>
        <w:t xml:space="preserve">the exercise of </w:t>
      </w:r>
      <w:r w:rsidR="00B25861" w:rsidRPr="00207864">
        <w:rPr>
          <w:rFonts w:ascii="Times New Roman" w:hAnsi="Times New Roman"/>
        </w:rPr>
        <w:t xml:space="preserve">State judicial power but </w:t>
      </w:r>
      <w:r w:rsidR="00457795" w:rsidRPr="00207864">
        <w:rPr>
          <w:rFonts w:ascii="Times New Roman" w:hAnsi="Times New Roman"/>
        </w:rPr>
        <w:t xml:space="preserve">not in the exercise of federal </w:t>
      </w:r>
      <w:r w:rsidR="00B25861" w:rsidRPr="00207864">
        <w:rPr>
          <w:rFonts w:ascii="Times New Roman" w:hAnsi="Times New Roman"/>
        </w:rPr>
        <w:t>judicial power.</w:t>
      </w:r>
      <w:r w:rsidR="007521B7" w:rsidRPr="00207864">
        <w:rPr>
          <w:rFonts w:ascii="Times New Roman" w:hAnsi="Times New Roman"/>
        </w:rPr>
        <w:t xml:space="preserve"> </w:t>
      </w:r>
      <w:r w:rsidR="002E4568" w:rsidRPr="00207864">
        <w:rPr>
          <w:rFonts w:ascii="Times New Roman" w:hAnsi="Times New Roman"/>
        </w:rPr>
        <w:t xml:space="preserve">Mr Benbrika </w:t>
      </w:r>
      <w:r w:rsidR="00D65C6F" w:rsidRPr="00207864">
        <w:rPr>
          <w:rFonts w:ascii="Times New Roman" w:hAnsi="Times New Roman"/>
        </w:rPr>
        <w:t xml:space="preserve">points to </w:t>
      </w:r>
      <w:r w:rsidR="008E0800" w:rsidRPr="00207864">
        <w:rPr>
          <w:rFonts w:ascii="Times New Roman" w:hAnsi="Times New Roman"/>
        </w:rPr>
        <w:t xml:space="preserve">judicial statements that have </w:t>
      </w:r>
      <w:r w:rsidR="00C777A9" w:rsidRPr="00207864">
        <w:rPr>
          <w:rFonts w:ascii="Times New Roman" w:hAnsi="Times New Roman"/>
        </w:rPr>
        <w:t>acknowledg</w:t>
      </w:r>
      <w:r w:rsidR="008E0800" w:rsidRPr="00207864">
        <w:rPr>
          <w:rFonts w:ascii="Times New Roman" w:hAnsi="Times New Roman"/>
        </w:rPr>
        <w:t>ed</w:t>
      </w:r>
      <w:r w:rsidR="00C777A9" w:rsidRPr="00207864">
        <w:rPr>
          <w:rFonts w:ascii="Times New Roman" w:hAnsi="Times New Roman"/>
        </w:rPr>
        <w:t xml:space="preserve"> that </w:t>
      </w:r>
      <w:r w:rsidR="00D65C6F" w:rsidRPr="00207864">
        <w:rPr>
          <w:rFonts w:ascii="Times New Roman" w:hAnsi="Times New Roman"/>
        </w:rPr>
        <w:t xml:space="preserve">the separation of powers </w:t>
      </w:r>
      <w:r w:rsidR="00C777A9" w:rsidRPr="00207864">
        <w:rPr>
          <w:rFonts w:ascii="Times New Roman" w:hAnsi="Times New Roman"/>
        </w:rPr>
        <w:t xml:space="preserve">in </w:t>
      </w:r>
      <w:r w:rsidR="000D299A" w:rsidRPr="00207864">
        <w:rPr>
          <w:rFonts w:ascii="Times New Roman" w:hAnsi="Times New Roman"/>
        </w:rPr>
        <w:t xml:space="preserve">the Australian constitutional setting </w:t>
      </w:r>
      <w:r w:rsidR="00D65C6F" w:rsidRPr="00207864">
        <w:rPr>
          <w:rFonts w:ascii="Times New Roman" w:hAnsi="Times New Roman"/>
        </w:rPr>
        <w:t>ensur</w:t>
      </w:r>
      <w:r w:rsidR="000D299A" w:rsidRPr="00207864">
        <w:rPr>
          <w:rFonts w:ascii="Times New Roman" w:hAnsi="Times New Roman"/>
        </w:rPr>
        <w:t>es</w:t>
      </w:r>
      <w:r w:rsidR="00D65C6F" w:rsidRPr="00207864">
        <w:rPr>
          <w:rFonts w:ascii="Times New Roman" w:hAnsi="Times New Roman"/>
        </w:rPr>
        <w:t xml:space="preserve"> that Ch III courts serve as </w:t>
      </w:r>
      <w:r w:rsidR="00E36C43" w:rsidRPr="00207864">
        <w:rPr>
          <w:rFonts w:ascii="Times New Roman" w:hAnsi="Times New Roman"/>
        </w:rPr>
        <w:t>a</w:t>
      </w:r>
      <w:r w:rsidR="00D65C6F" w:rsidRPr="00207864">
        <w:rPr>
          <w:rFonts w:ascii="Times New Roman" w:hAnsi="Times New Roman"/>
        </w:rPr>
        <w:t xml:space="preserve"> bulwark of liberty</w:t>
      </w:r>
      <w:r w:rsidR="002E4568" w:rsidRPr="00207864">
        <w:rPr>
          <w:rStyle w:val="FootnoteReference"/>
          <w:rFonts w:ascii="Times New Roman" w:hAnsi="Times New Roman"/>
          <w:sz w:val="24"/>
        </w:rPr>
        <w:footnoteReference w:id="44"/>
      </w:r>
      <w:r w:rsidR="00D65C6F" w:rsidRPr="00207864">
        <w:rPr>
          <w:rFonts w:ascii="Times New Roman" w:hAnsi="Times New Roman"/>
        </w:rPr>
        <w:t xml:space="preserve">. </w:t>
      </w:r>
      <w:r w:rsidR="000D299A" w:rsidRPr="00207864">
        <w:rPr>
          <w:rFonts w:ascii="Times New Roman" w:hAnsi="Times New Roman"/>
        </w:rPr>
        <w:t>They do so, he submits, because</w:t>
      </w:r>
      <w:r w:rsidR="00BD249F" w:rsidRPr="00207864">
        <w:rPr>
          <w:rFonts w:ascii="Times New Roman" w:hAnsi="Times New Roman"/>
        </w:rPr>
        <w:t>,</w:t>
      </w:r>
      <w:r w:rsidR="000D299A" w:rsidRPr="00207864">
        <w:rPr>
          <w:rFonts w:ascii="Times New Roman" w:hAnsi="Times New Roman"/>
        </w:rPr>
        <w:t xml:space="preserve"> as the </w:t>
      </w:r>
      <w:r w:rsidR="0037033B" w:rsidRPr="00207864">
        <w:rPr>
          <w:rFonts w:ascii="Times New Roman" w:hAnsi="Times New Roman"/>
        </w:rPr>
        <w:t xml:space="preserve">principle was explained in the </w:t>
      </w:r>
      <w:r w:rsidR="00457795" w:rsidRPr="00207864">
        <w:rPr>
          <w:rFonts w:ascii="Times New Roman" w:hAnsi="Times New Roman"/>
        </w:rPr>
        <w:t xml:space="preserve">joint reasons </w:t>
      </w:r>
      <w:r w:rsidR="00B60C0C" w:rsidRPr="00207864">
        <w:rPr>
          <w:rFonts w:ascii="Times New Roman" w:hAnsi="Times New Roman"/>
        </w:rPr>
        <w:t xml:space="preserve">of Brennan, Deane and Dawson JJ </w:t>
      </w:r>
      <w:r w:rsidR="00457795" w:rsidRPr="00207864">
        <w:rPr>
          <w:rFonts w:ascii="Times New Roman" w:hAnsi="Times New Roman"/>
        </w:rPr>
        <w:t xml:space="preserve">in </w:t>
      </w:r>
      <w:r w:rsidR="00457795" w:rsidRPr="00207864">
        <w:rPr>
          <w:rFonts w:ascii="Times New Roman" w:hAnsi="Times New Roman"/>
          <w:i/>
        </w:rPr>
        <w:t>Chu Kheng Lim v Minister for Immigration</w:t>
      </w:r>
      <w:r w:rsidR="005251C2" w:rsidRPr="00207864">
        <w:rPr>
          <w:rFonts w:ascii="Times New Roman" w:hAnsi="Times New Roman"/>
        </w:rPr>
        <w:t xml:space="preserve">, </w:t>
      </w:r>
      <w:r w:rsidR="00457795" w:rsidRPr="00207864">
        <w:rPr>
          <w:rFonts w:ascii="Times New Roman" w:hAnsi="Times New Roman"/>
        </w:rPr>
        <w:t>exceptional cases aside, the involuntary detention of a citizen in custody by the State is penal or punitive</w:t>
      </w:r>
      <w:r w:rsidR="00486220" w:rsidRPr="00207864">
        <w:rPr>
          <w:rFonts w:ascii="Times New Roman" w:hAnsi="Times New Roman"/>
        </w:rPr>
        <w:t xml:space="preserve"> in character</w:t>
      </w:r>
      <w:r w:rsidR="00457795" w:rsidRPr="00207864">
        <w:rPr>
          <w:rFonts w:ascii="Times New Roman" w:hAnsi="Times New Roman"/>
        </w:rPr>
        <w:t xml:space="preserve"> and exists only as an incident of the exclusively judicial function of adjudging and punishing criminal guilt</w:t>
      </w:r>
      <w:r w:rsidR="00B60C0C" w:rsidRPr="00207864">
        <w:rPr>
          <w:rFonts w:ascii="Times New Roman" w:hAnsi="Times New Roman"/>
        </w:rPr>
        <w:t xml:space="preserve"> (the "</w:t>
      </w:r>
      <w:r w:rsidR="00B60C0C" w:rsidRPr="00207864">
        <w:rPr>
          <w:rFonts w:ascii="Times New Roman" w:hAnsi="Times New Roman"/>
          <w:i/>
        </w:rPr>
        <w:t>Lim</w:t>
      </w:r>
      <w:r w:rsidR="00B60C0C" w:rsidRPr="00207864">
        <w:rPr>
          <w:rFonts w:ascii="Times New Roman" w:hAnsi="Times New Roman"/>
        </w:rPr>
        <w:t xml:space="preserve"> principle")</w:t>
      </w:r>
      <w:r w:rsidR="00C4665D" w:rsidRPr="00207864">
        <w:rPr>
          <w:rStyle w:val="FootnoteReference"/>
          <w:rFonts w:ascii="Times New Roman" w:hAnsi="Times New Roman"/>
          <w:sz w:val="24"/>
        </w:rPr>
        <w:footnoteReference w:id="45"/>
      </w:r>
      <w:r w:rsidR="00457795" w:rsidRPr="00207864">
        <w:rPr>
          <w:rFonts w:ascii="Times New Roman" w:hAnsi="Times New Roman"/>
        </w:rPr>
        <w:t>.</w:t>
      </w:r>
    </w:p>
    <w:p w14:paraId="59871F60" w14:textId="17F2D8B2" w:rsidR="00457795" w:rsidRPr="00207864" w:rsidRDefault="00E36C43"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0D299A" w:rsidRPr="00207864">
        <w:rPr>
          <w:rFonts w:ascii="Times New Roman" w:hAnsi="Times New Roman"/>
        </w:rPr>
        <w:t xml:space="preserve">Mr </w:t>
      </w:r>
      <w:proofErr w:type="spellStart"/>
      <w:r w:rsidR="000D299A" w:rsidRPr="00207864">
        <w:rPr>
          <w:rFonts w:ascii="Times New Roman" w:hAnsi="Times New Roman"/>
        </w:rPr>
        <w:t>Benbrika's</w:t>
      </w:r>
      <w:proofErr w:type="spellEnd"/>
      <w:r w:rsidR="000D299A" w:rsidRPr="00207864">
        <w:rPr>
          <w:rFonts w:ascii="Times New Roman" w:hAnsi="Times New Roman"/>
        </w:rPr>
        <w:t xml:space="preserve"> </w:t>
      </w:r>
      <w:r w:rsidR="002F5EFE" w:rsidRPr="00207864">
        <w:rPr>
          <w:rFonts w:ascii="Times New Roman" w:hAnsi="Times New Roman"/>
        </w:rPr>
        <w:t xml:space="preserve">challenge depends upon acceptance that a scheme for </w:t>
      </w:r>
      <w:r w:rsidR="00B60C0C" w:rsidRPr="00207864">
        <w:rPr>
          <w:rFonts w:ascii="Times New Roman" w:hAnsi="Times New Roman"/>
        </w:rPr>
        <w:t xml:space="preserve">preventative detention </w:t>
      </w:r>
      <w:r w:rsidR="002F5EFE" w:rsidRPr="00207864">
        <w:rPr>
          <w:rFonts w:ascii="Times New Roman" w:hAnsi="Times New Roman"/>
        </w:rPr>
        <w:t xml:space="preserve">of the kind </w:t>
      </w:r>
      <w:r w:rsidR="00B60C0C" w:rsidRPr="00207864">
        <w:rPr>
          <w:rFonts w:ascii="Times New Roman" w:hAnsi="Times New Roman"/>
        </w:rPr>
        <w:t xml:space="preserve">considered in </w:t>
      </w:r>
      <w:proofErr w:type="spellStart"/>
      <w:r w:rsidR="00B60C0C" w:rsidRPr="00207864">
        <w:rPr>
          <w:rFonts w:ascii="Times New Roman" w:hAnsi="Times New Roman"/>
          <w:i/>
        </w:rPr>
        <w:t>Fardon</w:t>
      </w:r>
      <w:proofErr w:type="spellEnd"/>
      <w:r w:rsidR="00B60C0C" w:rsidRPr="00207864">
        <w:rPr>
          <w:rFonts w:ascii="Times New Roman" w:hAnsi="Times New Roman"/>
        </w:rPr>
        <w:t xml:space="preserve"> is not an exception to the </w:t>
      </w:r>
      <w:r w:rsidR="00B60C0C" w:rsidRPr="00207864">
        <w:rPr>
          <w:rFonts w:ascii="Times New Roman" w:hAnsi="Times New Roman"/>
          <w:i/>
        </w:rPr>
        <w:t xml:space="preserve">Lim </w:t>
      </w:r>
      <w:r w:rsidR="00B60C0C" w:rsidRPr="00207864">
        <w:rPr>
          <w:rFonts w:ascii="Times New Roman" w:hAnsi="Times New Roman"/>
        </w:rPr>
        <w:t>principle and</w:t>
      </w:r>
      <w:r w:rsidR="008C430A" w:rsidRPr="00207864">
        <w:rPr>
          <w:rFonts w:ascii="Times New Roman" w:hAnsi="Times New Roman"/>
        </w:rPr>
        <w:t xml:space="preserve"> for that reason may not be </w:t>
      </w:r>
      <w:r w:rsidR="00B60C0C" w:rsidRPr="00207864">
        <w:rPr>
          <w:rFonts w:ascii="Times New Roman" w:hAnsi="Times New Roman"/>
        </w:rPr>
        <w:t xml:space="preserve">conferred as federal judicial power. </w:t>
      </w:r>
      <w:r w:rsidR="008C430A" w:rsidRPr="00207864">
        <w:rPr>
          <w:rFonts w:ascii="Times New Roman" w:hAnsi="Times New Roman"/>
        </w:rPr>
        <w:t xml:space="preserve">The argument adopts Gummow J's reasons in </w:t>
      </w:r>
      <w:proofErr w:type="spellStart"/>
      <w:r w:rsidR="008C430A" w:rsidRPr="00207864">
        <w:rPr>
          <w:rFonts w:ascii="Times New Roman" w:hAnsi="Times New Roman"/>
          <w:i/>
        </w:rPr>
        <w:t>Fardon</w:t>
      </w:r>
      <w:proofErr w:type="spellEnd"/>
      <w:r w:rsidR="008C430A" w:rsidRPr="00207864">
        <w:rPr>
          <w:rFonts w:ascii="Times New Roman" w:hAnsi="Times New Roman"/>
        </w:rPr>
        <w:t>.</w:t>
      </w:r>
    </w:p>
    <w:p w14:paraId="7C5D961E" w14:textId="43130387" w:rsidR="000E3413" w:rsidRPr="00207864" w:rsidRDefault="00ED3CD1" w:rsidP="00207864">
      <w:pPr>
        <w:pStyle w:val="FixListStyle"/>
        <w:spacing w:after="260" w:line="280" w:lineRule="exact"/>
        <w:ind w:right="0"/>
        <w:jc w:val="both"/>
        <w:rPr>
          <w:rFonts w:ascii="Times New Roman" w:hAnsi="Times New Roman"/>
        </w:rPr>
      </w:pPr>
      <w:r w:rsidRPr="00207864">
        <w:rPr>
          <w:rFonts w:ascii="Times New Roman" w:hAnsi="Times New Roman"/>
        </w:rPr>
        <w:lastRenderedPageBreak/>
        <w:tab/>
        <w:t xml:space="preserve">The Commonwealth </w:t>
      </w:r>
      <w:r w:rsidR="002F5EFE" w:rsidRPr="00207864">
        <w:rPr>
          <w:rFonts w:ascii="Times New Roman" w:hAnsi="Times New Roman"/>
        </w:rPr>
        <w:t xml:space="preserve">contests </w:t>
      </w:r>
      <w:r w:rsidRPr="00207864">
        <w:rPr>
          <w:rFonts w:ascii="Times New Roman" w:hAnsi="Times New Roman"/>
        </w:rPr>
        <w:t xml:space="preserve">that </w:t>
      </w:r>
      <w:r w:rsidR="00494467" w:rsidRPr="00207864">
        <w:rPr>
          <w:rFonts w:ascii="Times New Roman" w:hAnsi="Times New Roman"/>
          <w:i/>
        </w:rPr>
        <w:t>Lim</w:t>
      </w:r>
      <w:r w:rsidR="00494467" w:rsidRPr="00207864">
        <w:rPr>
          <w:rFonts w:ascii="Times New Roman" w:hAnsi="Times New Roman"/>
        </w:rPr>
        <w:t xml:space="preserve"> </w:t>
      </w:r>
      <w:r w:rsidR="00E142F6" w:rsidRPr="00207864">
        <w:rPr>
          <w:rFonts w:ascii="Times New Roman" w:hAnsi="Times New Roman"/>
        </w:rPr>
        <w:t xml:space="preserve">is authority for the proposition that power to order the detention of a person in the custody of the State can only be within the judicial power of the Commonwealth if it is an incident of adjudging and punishing criminal guilt. </w:t>
      </w:r>
      <w:r w:rsidR="00F92820" w:rsidRPr="00207864">
        <w:rPr>
          <w:rFonts w:ascii="Times New Roman" w:hAnsi="Times New Roman"/>
        </w:rPr>
        <w:t>In the Commonwealth's submission</w:t>
      </w:r>
      <w:r w:rsidR="00725693" w:rsidRPr="00207864">
        <w:rPr>
          <w:rFonts w:ascii="Times New Roman" w:hAnsi="Times New Roman"/>
        </w:rPr>
        <w:t>,</w:t>
      </w:r>
      <w:r w:rsidR="00F92820" w:rsidRPr="00207864">
        <w:rPr>
          <w:rFonts w:ascii="Times New Roman" w:hAnsi="Times New Roman"/>
        </w:rPr>
        <w:t xml:space="preserve"> </w:t>
      </w:r>
      <w:r w:rsidR="006107E2" w:rsidRPr="00207864">
        <w:rPr>
          <w:rFonts w:ascii="Times New Roman" w:hAnsi="Times New Roman"/>
        </w:rPr>
        <w:t xml:space="preserve">correctly understood </w:t>
      </w:r>
      <w:r w:rsidR="00697657" w:rsidRPr="00207864">
        <w:rPr>
          <w:rFonts w:ascii="Times New Roman" w:hAnsi="Times New Roman"/>
          <w:i/>
        </w:rPr>
        <w:t>Lim</w:t>
      </w:r>
      <w:r w:rsidR="006107E2" w:rsidRPr="00207864">
        <w:rPr>
          <w:rFonts w:ascii="Times New Roman" w:hAnsi="Times New Roman"/>
        </w:rPr>
        <w:t xml:space="preserve"> </w:t>
      </w:r>
      <w:r w:rsidR="0030768E" w:rsidRPr="00207864">
        <w:rPr>
          <w:rFonts w:ascii="Times New Roman" w:hAnsi="Times New Roman"/>
        </w:rPr>
        <w:t xml:space="preserve">is </w:t>
      </w:r>
      <w:r w:rsidR="002F5EFE" w:rsidRPr="00207864">
        <w:rPr>
          <w:rFonts w:ascii="Times New Roman" w:hAnsi="Times New Roman"/>
        </w:rPr>
        <w:t xml:space="preserve">authority for the principle </w:t>
      </w:r>
      <w:r w:rsidR="0030768E" w:rsidRPr="00207864">
        <w:rPr>
          <w:rFonts w:ascii="Times New Roman" w:hAnsi="Times New Roman"/>
        </w:rPr>
        <w:t xml:space="preserve">that </w:t>
      </w:r>
      <w:r w:rsidR="00325E3B" w:rsidRPr="00207864">
        <w:rPr>
          <w:rFonts w:ascii="Times New Roman" w:hAnsi="Times New Roman"/>
        </w:rPr>
        <w:t xml:space="preserve">the power to detain </w:t>
      </w:r>
      <w:r w:rsidR="00E142F6" w:rsidRPr="00207864">
        <w:rPr>
          <w:rFonts w:ascii="Times New Roman" w:hAnsi="Times New Roman"/>
        </w:rPr>
        <w:t>for a punitive purpose is exclusively judicial</w:t>
      </w:r>
      <w:r w:rsidR="00E5670A" w:rsidRPr="00207864">
        <w:rPr>
          <w:rFonts w:ascii="Times New Roman" w:hAnsi="Times New Roman"/>
        </w:rPr>
        <w:t>. D</w:t>
      </w:r>
      <w:r w:rsidR="00E142F6" w:rsidRPr="00207864">
        <w:rPr>
          <w:rFonts w:ascii="Times New Roman" w:hAnsi="Times New Roman"/>
        </w:rPr>
        <w:t>etention for a</w:t>
      </w:r>
      <w:r w:rsidR="00E5670A" w:rsidRPr="00207864">
        <w:rPr>
          <w:rFonts w:ascii="Times New Roman" w:hAnsi="Times New Roman"/>
        </w:rPr>
        <w:t xml:space="preserve">ny </w:t>
      </w:r>
      <w:r w:rsidR="00E142F6" w:rsidRPr="00207864">
        <w:rPr>
          <w:rFonts w:ascii="Times New Roman" w:hAnsi="Times New Roman"/>
        </w:rPr>
        <w:t>non</w:t>
      </w:r>
      <w:r w:rsidR="001B58E1" w:rsidRPr="00207864">
        <w:rPr>
          <w:rFonts w:ascii="Times New Roman" w:hAnsi="Times New Roman"/>
        </w:rPr>
        <w:noBreakHyphen/>
      </w:r>
      <w:r w:rsidR="00E142F6" w:rsidRPr="00207864">
        <w:rPr>
          <w:rFonts w:ascii="Times New Roman" w:hAnsi="Times New Roman"/>
        </w:rPr>
        <w:t>punitive purpose</w:t>
      </w:r>
      <w:r w:rsidR="002E4CB9" w:rsidRPr="00207864">
        <w:rPr>
          <w:rFonts w:ascii="Times New Roman" w:hAnsi="Times New Roman"/>
        </w:rPr>
        <w:t>,</w:t>
      </w:r>
      <w:r w:rsidR="00E142F6" w:rsidRPr="00207864">
        <w:rPr>
          <w:rFonts w:ascii="Times New Roman" w:hAnsi="Times New Roman"/>
        </w:rPr>
        <w:t xml:space="preserve"> </w:t>
      </w:r>
      <w:r w:rsidR="002F5EFE" w:rsidRPr="00207864">
        <w:rPr>
          <w:rFonts w:ascii="Times New Roman" w:hAnsi="Times New Roman"/>
        </w:rPr>
        <w:t>in the Commonwealth's submission</w:t>
      </w:r>
      <w:r w:rsidR="002E4CB9" w:rsidRPr="00207864">
        <w:rPr>
          <w:rFonts w:ascii="Times New Roman" w:hAnsi="Times New Roman"/>
        </w:rPr>
        <w:t>,</w:t>
      </w:r>
      <w:r w:rsidR="002F5EFE" w:rsidRPr="00207864">
        <w:rPr>
          <w:rFonts w:ascii="Times New Roman" w:hAnsi="Times New Roman"/>
        </w:rPr>
        <w:t xml:space="preserve"> </w:t>
      </w:r>
      <w:r w:rsidR="00B67F3C" w:rsidRPr="00207864">
        <w:rPr>
          <w:rFonts w:ascii="Times New Roman" w:hAnsi="Times New Roman"/>
        </w:rPr>
        <w:t xml:space="preserve">may be conferred on the </w:t>
      </w:r>
      <w:r w:rsidR="00106D31" w:rsidRPr="00207864">
        <w:rPr>
          <w:rFonts w:ascii="Times New Roman" w:hAnsi="Times New Roman"/>
        </w:rPr>
        <w:t>e</w:t>
      </w:r>
      <w:r w:rsidR="00401286" w:rsidRPr="00207864">
        <w:rPr>
          <w:rFonts w:ascii="Times New Roman" w:hAnsi="Times New Roman"/>
        </w:rPr>
        <w:t xml:space="preserve">xecutive </w:t>
      </w:r>
      <w:r w:rsidR="00B67F3C" w:rsidRPr="00207864">
        <w:rPr>
          <w:rFonts w:ascii="Times New Roman" w:hAnsi="Times New Roman"/>
        </w:rPr>
        <w:t>or on a Ch III court</w:t>
      </w:r>
      <w:r w:rsidR="00E142F6" w:rsidRPr="00207864">
        <w:rPr>
          <w:rFonts w:ascii="Times New Roman" w:hAnsi="Times New Roman"/>
        </w:rPr>
        <w:t>.</w:t>
      </w:r>
    </w:p>
    <w:p w14:paraId="56766DDB" w14:textId="5DA50F3B" w:rsidR="00DE41C7" w:rsidRPr="00207864" w:rsidRDefault="00495E6D" w:rsidP="00207864">
      <w:pPr>
        <w:pStyle w:val="HeadingL1"/>
        <w:spacing w:after="260" w:line="280" w:lineRule="exact"/>
        <w:ind w:right="0"/>
        <w:jc w:val="both"/>
        <w:rPr>
          <w:rFonts w:ascii="Times New Roman" w:hAnsi="Times New Roman"/>
        </w:rPr>
      </w:pPr>
      <w:r w:rsidRPr="00207864">
        <w:rPr>
          <w:rFonts w:ascii="Times New Roman" w:hAnsi="Times New Roman"/>
          <w:i/>
        </w:rPr>
        <w:t>Lim</w:t>
      </w:r>
    </w:p>
    <w:p w14:paraId="35AF7EF5" w14:textId="482A1B97" w:rsidR="00BA6A4D" w:rsidRPr="00207864" w:rsidRDefault="005174FA" w:rsidP="00207864">
      <w:pPr>
        <w:pStyle w:val="FixListStyle"/>
        <w:spacing w:after="260" w:line="280" w:lineRule="exact"/>
        <w:ind w:right="0"/>
        <w:jc w:val="both"/>
        <w:rPr>
          <w:rFonts w:ascii="Times New Roman" w:hAnsi="Times New Roman"/>
        </w:rPr>
      </w:pPr>
      <w:r w:rsidRPr="00207864">
        <w:rPr>
          <w:rFonts w:ascii="Times New Roman" w:hAnsi="Times New Roman"/>
        </w:rPr>
        <w:tab/>
        <w:t xml:space="preserve">The issue </w:t>
      </w:r>
      <w:r w:rsidR="002F5EFE" w:rsidRPr="00207864">
        <w:rPr>
          <w:rFonts w:ascii="Times New Roman" w:hAnsi="Times New Roman"/>
        </w:rPr>
        <w:t xml:space="preserve">in </w:t>
      </w:r>
      <w:r w:rsidR="0063718C" w:rsidRPr="00207864">
        <w:rPr>
          <w:rFonts w:ascii="Times New Roman" w:hAnsi="Times New Roman"/>
          <w:i/>
        </w:rPr>
        <w:t>Lim</w:t>
      </w:r>
      <w:r w:rsidRPr="00207864">
        <w:rPr>
          <w:rFonts w:ascii="Times New Roman" w:hAnsi="Times New Roman"/>
          <w:i/>
        </w:rPr>
        <w:t xml:space="preserve"> </w:t>
      </w:r>
      <w:r w:rsidR="0063718C" w:rsidRPr="00207864">
        <w:rPr>
          <w:rFonts w:ascii="Times New Roman" w:hAnsi="Times New Roman"/>
        </w:rPr>
        <w:t xml:space="preserve">was whether </w:t>
      </w:r>
      <w:r w:rsidR="002F5EFE" w:rsidRPr="00207864">
        <w:rPr>
          <w:rFonts w:ascii="Times New Roman" w:hAnsi="Times New Roman"/>
        </w:rPr>
        <w:t xml:space="preserve">the administrative detention of non-citizens </w:t>
      </w:r>
      <w:r w:rsidR="0063718C" w:rsidRPr="00207864">
        <w:rPr>
          <w:rFonts w:ascii="Times New Roman" w:hAnsi="Times New Roman"/>
        </w:rPr>
        <w:t xml:space="preserve">under the </w:t>
      </w:r>
      <w:r w:rsidR="0063718C" w:rsidRPr="00207864">
        <w:rPr>
          <w:rFonts w:ascii="Times New Roman" w:hAnsi="Times New Roman"/>
          <w:i/>
        </w:rPr>
        <w:t>Migration Act 1958</w:t>
      </w:r>
      <w:r w:rsidR="0063718C" w:rsidRPr="00207864">
        <w:rPr>
          <w:rFonts w:ascii="Times New Roman" w:hAnsi="Times New Roman"/>
        </w:rPr>
        <w:t xml:space="preserve"> (Cth) </w:t>
      </w:r>
      <w:r w:rsidR="002F5EFE" w:rsidRPr="00207864">
        <w:rPr>
          <w:rFonts w:ascii="Times New Roman" w:hAnsi="Times New Roman"/>
        </w:rPr>
        <w:t xml:space="preserve">involved </w:t>
      </w:r>
      <w:r w:rsidR="00C84CD2" w:rsidRPr="00207864">
        <w:rPr>
          <w:rFonts w:ascii="Times New Roman" w:hAnsi="Times New Roman"/>
        </w:rPr>
        <w:t>the</w:t>
      </w:r>
      <w:r w:rsidR="00C16632" w:rsidRPr="00207864">
        <w:rPr>
          <w:rFonts w:ascii="Times New Roman" w:hAnsi="Times New Roman"/>
        </w:rPr>
        <w:t xml:space="preserve"> impermissible </w:t>
      </w:r>
      <w:r w:rsidRPr="00207864">
        <w:rPr>
          <w:rFonts w:ascii="Times New Roman" w:hAnsi="Times New Roman"/>
        </w:rPr>
        <w:t>conferr</w:t>
      </w:r>
      <w:r w:rsidR="002F5EFE" w:rsidRPr="00207864">
        <w:rPr>
          <w:rFonts w:ascii="Times New Roman" w:hAnsi="Times New Roman"/>
        </w:rPr>
        <w:t>al of</w:t>
      </w:r>
      <w:r w:rsidRPr="00207864">
        <w:rPr>
          <w:rFonts w:ascii="Times New Roman" w:hAnsi="Times New Roman"/>
        </w:rPr>
        <w:t xml:space="preserve"> the judicial power of the Commonwealth on the </w:t>
      </w:r>
      <w:r w:rsidR="00335FE9" w:rsidRPr="00207864">
        <w:rPr>
          <w:rFonts w:ascii="Times New Roman" w:hAnsi="Times New Roman"/>
        </w:rPr>
        <w:t>e</w:t>
      </w:r>
      <w:r w:rsidRPr="00207864">
        <w:rPr>
          <w:rFonts w:ascii="Times New Roman" w:hAnsi="Times New Roman"/>
        </w:rPr>
        <w:t xml:space="preserve">xecutive. </w:t>
      </w:r>
      <w:r w:rsidR="002F5EFE" w:rsidRPr="00207864">
        <w:rPr>
          <w:rFonts w:ascii="Times New Roman" w:hAnsi="Times New Roman"/>
        </w:rPr>
        <w:t xml:space="preserve">The </w:t>
      </w:r>
      <w:r w:rsidR="003056DD" w:rsidRPr="00207864">
        <w:rPr>
          <w:rFonts w:ascii="Times New Roman" w:hAnsi="Times New Roman"/>
        </w:rPr>
        <w:t xml:space="preserve">joint </w:t>
      </w:r>
      <w:r w:rsidR="00630478" w:rsidRPr="00207864">
        <w:rPr>
          <w:rFonts w:ascii="Times New Roman" w:hAnsi="Times New Roman"/>
        </w:rPr>
        <w:t xml:space="preserve">reasons explained that </w:t>
      </w:r>
      <w:r w:rsidR="00420112" w:rsidRPr="00207864">
        <w:rPr>
          <w:rFonts w:ascii="Times New Roman" w:hAnsi="Times New Roman"/>
        </w:rPr>
        <w:t xml:space="preserve">some functions </w:t>
      </w:r>
      <w:r w:rsidR="002F5EFE" w:rsidRPr="00207864">
        <w:rPr>
          <w:rFonts w:ascii="Times New Roman" w:hAnsi="Times New Roman"/>
        </w:rPr>
        <w:t xml:space="preserve">are </w:t>
      </w:r>
      <w:r w:rsidR="007E23E4" w:rsidRPr="00207864">
        <w:rPr>
          <w:rFonts w:ascii="Times New Roman" w:hAnsi="Times New Roman"/>
        </w:rPr>
        <w:t>exclusively judicial in character</w:t>
      </w:r>
      <w:r w:rsidR="007A3656" w:rsidRPr="00207864">
        <w:rPr>
          <w:rFonts w:ascii="Times New Roman" w:hAnsi="Times New Roman"/>
        </w:rPr>
        <w:t>,</w:t>
      </w:r>
      <w:r w:rsidR="002F5EFE" w:rsidRPr="00207864">
        <w:rPr>
          <w:rFonts w:ascii="Times New Roman" w:hAnsi="Times New Roman"/>
        </w:rPr>
        <w:t xml:space="preserve"> of which the most </w:t>
      </w:r>
      <w:r w:rsidR="0086446F" w:rsidRPr="00207864">
        <w:rPr>
          <w:rFonts w:ascii="Times New Roman" w:hAnsi="Times New Roman"/>
        </w:rPr>
        <w:t xml:space="preserve">important </w:t>
      </w:r>
      <w:r w:rsidR="002F5EFE" w:rsidRPr="00207864">
        <w:rPr>
          <w:rFonts w:ascii="Times New Roman" w:hAnsi="Times New Roman"/>
        </w:rPr>
        <w:t xml:space="preserve">is </w:t>
      </w:r>
      <w:r w:rsidR="0086446F" w:rsidRPr="00207864">
        <w:rPr>
          <w:rFonts w:ascii="Times New Roman" w:hAnsi="Times New Roman"/>
        </w:rPr>
        <w:t>the adjudg</w:t>
      </w:r>
      <w:r w:rsidR="007F6042" w:rsidRPr="00207864">
        <w:rPr>
          <w:rFonts w:ascii="Times New Roman" w:hAnsi="Times New Roman"/>
        </w:rPr>
        <w:t xml:space="preserve">ment and punishment of criminal guilt under a law of the Commonwealth. </w:t>
      </w:r>
      <w:r w:rsidR="002F5EFE" w:rsidRPr="00207864">
        <w:rPr>
          <w:rFonts w:ascii="Times New Roman" w:hAnsi="Times New Roman"/>
        </w:rPr>
        <w:t>In this connection, t</w:t>
      </w:r>
      <w:r w:rsidR="003B330D" w:rsidRPr="00207864">
        <w:rPr>
          <w:rFonts w:ascii="Times New Roman" w:hAnsi="Times New Roman"/>
        </w:rPr>
        <w:t xml:space="preserve">heir Honours </w:t>
      </w:r>
      <w:r w:rsidR="008C430A" w:rsidRPr="00207864">
        <w:rPr>
          <w:rFonts w:ascii="Times New Roman" w:hAnsi="Times New Roman"/>
        </w:rPr>
        <w:t xml:space="preserve">observed </w:t>
      </w:r>
      <w:r w:rsidR="003B330D" w:rsidRPr="00207864">
        <w:rPr>
          <w:rFonts w:ascii="Times New Roman" w:hAnsi="Times New Roman"/>
        </w:rPr>
        <w:t xml:space="preserve">that it would be beyond the power of </w:t>
      </w:r>
      <w:r w:rsidR="008C430A" w:rsidRPr="00207864">
        <w:rPr>
          <w:rFonts w:ascii="Times New Roman" w:hAnsi="Times New Roman"/>
        </w:rPr>
        <w:t xml:space="preserve">the </w:t>
      </w:r>
      <w:r w:rsidR="00C44386" w:rsidRPr="00207864">
        <w:rPr>
          <w:rFonts w:ascii="Times New Roman" w:hAnsi="Times New Roman"/>
        </w:rPr>
        <w:t xml:space="preserve">Parliament to invest the </w:t>
      </w:r>
      <w:r w:rsidR="002859BA" w:rsidRPr="00207864">
        <w:rPr>
          <w:rFonts w:ascii="Times New Roman" w:hAnsi="Times New Roman"/>
        </w:rPr>
        <w:t>e</w:t>
      </w:r>
      <w:r w:rsidR="00C44386" w:rsidRPr="00207864">
        <w:rPr>
          <w:rFonts w:ascii="Times New Roman" w:hAnsi="Times New Roman"/>
        </w:rPr>
        <w:t xml:space="preserve">xecutive with an arbitrary power </w:t>
      </w:r>
      <w:r w:rsidR="005D0ADB" w:rsidRPr="00207864">
        <w:rPr>
          <w:rFonts w:ascii="Times New Roman" w:hAnsi="Times New Roman"/>
        </w:rPr>
        <w:t xml:space="preserve">of detention </w:t>
      </w:r>
      <w:r w:rsidR="008C430A" w:rsidRPr="00207864">
        <w:rPr>
          <w:rFonts w:ascii="Times New Roman" w:hAnsi="Times New Roman"/>
        </w:rPr>
        <w:t xml:space="preserve">even if </w:t>
      </w:r>
      <w:r w:rsidR="005D0ADB" w:rsidRPr="00207864">
        <w:rPr>
          <w:rFonts w:ascii="Times New Roman" w:hAnsi="Times New Roman"/>
        </w:rPr>
        <w:t xml:space="preserve">the power </w:t>
      </w:r>
      <w:r w:rsidR="00CD3879" w:rsidRPr="00207864">
        <w:rPr>
          <w:rFonts w:ascii="Times New Roman" w:hAnsi="Times New Roman"/>
        </w:rPr>
        <w:t xml:space="preserve">was </w:t>
      </w:r>
      <w:r w:rsidR="008C430A" w:rsidRPr="00207864">
        <w:rPr>
          <w:rFonts w:ascii="Times New Roman" w:hAnsi="Times New Roman"/>
        </w:rPr>
        <w:t>stated</w:t>
      </w:r>
      <w:r w:rsidR="00CD3879" w:rsidRPr="00207864">
        <w:rPr>
          <w:rFonts w:ascii="Times New Roman" w:hAnsi="Times New Roman"/>
        </w:rPr>
        <w:t xml:space="preserve"> in terms divorced from punishment and </w:t>
      </w:r>
      <w:r w:rsidR="00231ABC" w:rsidRPr="00207864">
        <w:rPr>
          <w:rFonts w:ascii="Times New Roman" w:hAnsi="Times New Roman"/>
        </w:rPr>
        <w:t>criminal guilt</w:t>
      </w:r>
      <w:r w:rsidR="00FB54CF" w:rsidRPr="00207864">
        <w:rPr>
          <w:rFonts w:ascii="Times New Roman" w:hAnsi="Times New Roman"/>
        </w:rPr>
        <w:t xml:space="preserve">. </w:t>
      </w:r>
      <w:r w:rsidR="00C222EC" w:rsidRPr="00207864">
        <w:rPr>
          <w:rFonts w:ascii="Times New Roman" w:hAnsi="Times New Roman"/>
        </w:rPr>
        <w:t>The</w:t>
      </w:r>
      <w:r w:rsidR="008C430A" w:rsidRPr="00207864">
        <w:rPr>
          <w:rFonts w:ascii="Times New Roman" w:hAnsi="Times New Roman"/>
        </w:rPr>
        <w:t xml:space="preserve"> </w:t>
      </w:r>
      <w:r w:rsidR="008C430A" w:rsidRPr="00207864">
        <w:rPr>
          <w:rFonts w:ascii="Times New Roman" w:hAnsi="Times New Roman"/>
          <w:i/>
        </w:rPr>
        <w:t>Lim</w:t>
      </w:r>
      <w:r w:rsidR="008C430A" w:rsidRPr="00207864">
        <w:rPr>
          <w:rFonts w:ascii="Times New Roman" w:hAnsi="Times New Roman"/>
        </w:rPr>
        <w:t xml:space="preserve"> principle was stated as a reason for that preclusion </w:t>
      </w:r>
      <w:r w:rsidR="00D92459" w:rsidRPr="00207864">
        <w:rPr>
          <w:rFonts w:ascii="Times New Roman" w:hAnsi="Times New Roman"/>
        </w:rPr>
        <w:t>in these terms</w:t>
      </w:r>
      <w:r w:rsidR="00F032EA" w:rsidRPr="00207864">
        <w:rPr>
          <w:rStyle w:val="FootnoteReference"/>
          <w:rFonts w:ascii="Times New Roman" w:hAnsi="Times New Roman"/>
          <w:sz w:val="24"/>
        </w:rPr>
        <w:footnoteReference w:id="46"/>
      </w:r>
      <w:r w:rsidR="00BA6A4D" w:rsidRPr="00207864">
        <w:rPr>
          <w:rFonts w:ascii="Times New Roman" w:hAnsi="Times New Roman"/>
        </w:rPr>
        <w:t>:</w:t>
      </w:r>
    </w:p>
    <w:p w14:paraId="11F7E03A" w14:textId="77777777" w:rsidR="00207864" w:rsidRDefault="00F032EA" w:rsidP="00207864">
      <w:pPr>
        <w:pStyle w:val="LeftrightafterHC"/>
        <w:spacing w:before="0" w:after="260" w:line="280" w:lineRule="exact"/>
        <w:ind w:right="0"/>
        <w:jc w:val="both"/>
        <w:rPr>
          <w:rFonts w:ascii="Times New Roman" w:hAnsi="Times New Roman"/>
        </w:rPr>
      </w:pPr>
      <w:r w:rsidRPr="00207864">
        <w:rPr>
          <w:rFonts w:ascii="Times New Roman" w:hAnsi="Times New Roman"/>
        </w:rPr>
        <w:t>"[P]</w:t>
      </w:r>
      <w:proofErr w:type="spellStart"/>
      <w:r w:rsidRPr="00207864">
        <w:rPr>
          <w:rFonts w:ascii="Times New Roman" w:hAnsi="Times New Roman"/>
        </w:rPr>
        <w:t>utting</w:t>
      </w:r>
      <w:proofErr w:type="spellEnd"/>
      <w:r w:rsidRPr="00207864">
        <w:rPr>
          <w:rFonts w:ascii="Times New Roman" w:hAnsi="Times New Roman"/>
        </w:rPr>
        <w:t xml:space="preserve"> to one side the exceptional cases to which reference is made below, the involuntary detention of a citizen in custody by the State is penal or punitive in character and, under our system of government, exists only as an incident of the exclusively judicial function of adjudging and punishing criminal guilt</w:t>
      </w:r>
      <w:r w:rsidR="00CC690E" w:rsidRPr="00207864">
        <w:rPr>
          <w:rFonts w:ascii="Times New Roman" w:hAnsi="Times New Roman"/>
        </w:rPr>
        <w:t>.</w:t>
      </w:r>
      <w:r w:rsidRPr="00207864">
        <w:rPr>
          <w:rFonts w:ascii="Times New Roman" w:hAnsi="Times New Roman"/>
        </w:rPr>
        <w:t>"</w:t>
      </w:r>
    </w:p>
    <w:p w14:paraId="25E1A17C" w14:textId="66EC4AA1" w:rsidR="00131F89" w:rsidRPr="00207864" w:rsidRDefault="005174FA" w:rsidP="00207864">
      <w:pPr>
        <w:pStyle w:val="NormalBody"/>
        <w:spacing w:after="260" w:line="280" w:lineRule="exact"/>
        <w:ind w:right="0"/>
        <w:jc w:val="both"/>
        <w:rPr>
          <w:rFonts w:ascii="Times New Roman" w:hAnsi="Times New Roman"/>
        </w:rPr>
      </w:pPr>
      <w:r w:rsidRPr="00207864">
        <w:rPr>
          <w:rFonts w:ascii="Times New Roman" w:hAnsi="Times New Roman"/>
        </w:rPr>
        <w:t xml:space="preserve">The exceptional cases to which their Honours referred </w:t>
      </w:r>
      <w:r w:rsidR="003552F2" w:rsidRPr="00207864">
        <w:rPr>
          <w:rFonts w:ascii="Times New Roman" w:hAnsi="Times New Roman"/>
        </w:rPr>
        <w:t>are</w:t>
      </w:r>
      <w:r w:rsidRPr="00207864">
        <w:rPr>
          <w:rFonts w:ascii="Times New Roman" w:hAnsi="Times New Roman"/>
        </w:rPr>
        <w:t xml:space="preserve"> arrest and detention </w:t>
      </w:r>
      <w:r w:rsidR="003552F2" w:rsidRPr="00207864">
        <w:rPr>
          <w:rFonts w:ascii="Times New Roman" w:hAnsi="Times New Roman"/>
        </w:rPr>
        <w:t xml:space="preserve">pending </w:t>
      </w:r>
      <w:r w:rsidRPr="00207864">
        <w:rPr>
          <w:rFonts w:ascii="Times New Roman" w:hAnsi="Times New Roman"/>
        </w:rPr>
        <w:t>trial and the detention of persons suffering from mental illness or infectious disease. In these cases</w:t>
      </w:r>
      <w:r w:rsidR="008C430A" w:rsidRPr="00207864">
        <w:rPr>
          <w:rFonts w:ascii="Times New Roman" w:hAnsi="Times New Roman"/>
        </w:rPr>
        <w:t>,</w:t>
      </w:r>
      <w:r w:rsidRPr="00207864">
        <w:rPr>
          <w:rFonts w:ascii="Times New Roman" w:hAnsi="Times New Roman"/>
        </w:rPr>
        <w:t xml:space="preserve"> their Honours observed</w:t>
      </w:r>
      <w:r w:rsidR="007C7135" w:rsidRPr="00207864">
        <w:rPr>
          <w:rFonts w:ascii="Times New Roman" w:hAnsi="Times New Roman"/>
        </w:rPr>
        <w:t>,</w:t>
      </w:r>
      <w:r w:rsidR="008C430A" w:rsidRPr="00207864">
        <w:rPr>
          <w:rFonts w:ascii="Times New Roman" w:hAnsi="Times New Roman"/>
        </w:rPr>
        <w:t xml:space="preserve"> </w:t>
      </w:r>
      <w:r w:rsidRPr="00207864">
        <w:rPr>
          <w:rFonts w:ascii="Times New Roman" w:hAnsi="Times New Roman"/>
        </w:rPr>
        <w:t>the power to detain can legitimately be seen as non</w:t>
      </w:r>
      <w:r w:rsidR="00C73607" w:rsidRPr="00207864">
        <w:rPr>
          <w:rFonts w:ascii="Times New Roman" w:hAnsi="Times New Roman"/>
        </w:rPr>
        <w:noBreakHyphen/>
      </w:r>
      <w:r w:rsidRPr="00207864">
        <w:rPr>
          <w:rFonts w:ascii="Times New Roman" w:hAnsi="Times New Roman"/>
        </w:rPr>
        <w:t xml:space="preserve">punitive and as not necessarily involving the exercise of judicial power. </w:t>
      </w:r>
      <w:r w:rsidR="00C84CD2" w:rsidRPr="00207864">
        <w:rPr>
          <w:rFonts w:ascii="Times New Roman" w:hAnsi="Times New Roman"/>
        </w:rPr>
        <w:t>Their Honours also referred to</w:t>
      </w:r>
      <w:r w:rsidRPr="00207864">
        <w:rPr>
          <w:rFonts w:ascii="Times New Roman" w:hAnsi="Times New Roman"/>
        </w:rPr>
        <w:t xml:space="preserve"> exceptions </w:t>
      </w:r>
      <w:r w:rsidR="0009296F" w:rsidRPr="00207864">
        <w:rPr>
          <w:rFonts w:ascii="Times New Roman" w:hAnsi="Times New Roman"/>
        </w:rPr>
        <w:t>to</w:t>
      </w:r>
      <w:r w:rsidR="00791026" w:rsidRPr="00207864">
        <w:rPr>
          <w:rFonts w:ascii="Times New Roman" w:hAnsi="Times New Roman"/>
        </w:rPr>
        <w:t xml:space="preserve"> the requirement that punitive detention follow</w:t>
      </w:r>
      <w:r w:rsidR="00E826CD" w:rsidRPr="00207864">
        <w:rPr>
          <w:rFonts w:ascii="Times New Roman" w:hAnsi="Times New Roman"/>
        </w:rPr>
        <w:t>s</w:t>
      </w:r>
      <w:r w:rsidR="00791026" w:rsidRPr="00207864">
        <w:rPr>
          <w:rFonts w:ascii="Times New Roman" w:hAnsi="Times New Roman"/>
        </w:rPr>
        <w:t xml:space="preserve"> the judicial function of adjudging and punishing criminal guilt</w:t>
      </w:r>
      <w:r w:rsidR="009A14B9" w:rsidRPr="00207864">
        <w:rPr>
          <w:rFonts w:ascii="Times New Roman" w:hAnsi="Times New Roman"/>
        </w:rPr>
        <w:t xml:space="preserve">, namely </w:t>
      </w:r>
      <w:r w:rsidRPr="00207864">
        <w:rPr>
          <w:rFonts w:ascii="Times New Roman" w:hAnsi="Times New Roman"/>
        </w:rPr>
        <w:t xml:space="preserve">the traditional powers of the Parliament to punish for </w:t>
      </w:r>
      <w:r w:rsidRPr="00207864">
        <w:rPr>
          <w:rFonts w:ascii="Times New Roman" w:hAnsi="Times New Roman"/>
        </w:rPr>
        <w:lastRenderedPageBreak/>
        <w:t>contempt and of military tribunals to punish for breach of military discipline</w:t>
      </w:r>
      <w:r w:rsidRPr="00207864">
        <w:rPr>
          <w:rStyle w:val="FootnoteReference"/>
          <w:rFonts w:ascii="Times New Roman" w:hAnsi="Times New Roman"/>
          <w:sz w:val="24"/>
        </w:rPr>
        <w:footnoteReference w:id="47"/>
      </w:r>
      <w:r w:rsidRPr="00207864">
        <w:rPr>
          <w:rFonts w:ascii="Times New Roman" w:hAnsi="Times New Roman"/>
        </w:rPr>
        <w:t xml:space="preserve">. </w:t>
      </w:r>
      <w:r w:rsidR="008C430A" w:rsidRPr="00207864">
        <w:rPr>
          <w:rFonts w:ascii="Times New Roman" w:hAnsi="Times New Roman"/>
        </w:rPr>
        <w:t xml:space="preserve">All were </w:t>
      </w:r>
      <w:r w:rsidR="001378BE" w:rsidRPr="00207864">
        <w:rPr>
          <w:rFonts w:ascii="Times New Roman" w:hAnsi="Times New Roman"/>
        </w:rPr>
        <w:t xml:space="preserve">exceptions </w:t>
      </w:r>
      <w:r w:rsidR="009C3A85" w:rsidRPr="00207864">
        <w:rPr>
          <w:rFonts w:ascii="Times New Roman" w:hAnsi="Times New Roman"/>
        </w:rPr>
        <w:t>to the</w:t>
      </w:r>
      <w:r w:rsidR="00131F89" w:rsidRPr="00207864">
        <w:rPr>
          <w:rFonts w:ascii="Times New Roman" w:hAnsi="Times New Roman"/>
        </w:rPr>
        <w:t xml:space="preserve"> general proposition</w:t>
      </w:r>
      <w:r w:rsidR="008C4C9B" w:rsidRPr="00207864">
        <w:rPr>
          <w:rFonts w:ascii="Times New Roman" w:hAnsi="Times New Roman"/>
        </w:rPr>
        <w:t xml:space="preserve"> (</w:t>
      </w:r>
      <w:r w:rsidR="00930B23" w:rsidRPr="00207864">
        <w:rPr>
          <w:rFonts w:ascii="Times New Roman" w:hAnsi="Times New Roman"/>
        </w:rPr>
        <w:t>"</w:t>
      </w:r>
      <w:r w:rsidR="008C4C9B" w:rsidRPr="00207864">
        <w:rPr>
          <w:rFonts w:ascii="Times New Roman" w:hAnsi="Times New Roman"/>
        </w:rPr>
        <w:t xml:space="preserve">the </w:t>
      </w:r>
      <w:r w:rsidR="002258EA" w:rsidRPr="00207864">
        <w:rPr>
          <w:rFonts w:ascii="Times New Roman" w:hAnsi="Times New Roman"/>
          <w:i/>
        </w:rPr>
        <w:t>Lim</w:t>
      </w:r>
      <w:r w:rsidR="002258EA" w:rsidRPr="00207864">
        <w:rPr>
          <w:rFonts w:ascii="Times New Roman" w:hAnsi="Times New Roman"/>
        </w:rPr>
        <w:t xml:space="preserve"> </w:t>
      </w:r>
      <w:r w:rsidR="00930B23" w:rsidRPr="00207864">
        <w:rPr>
          <w:rFonts w:ascii="Times New Roman" w:hAnsi="Times New Roman"/>
        </w:rPr>
        <w:t>general proposition")</w:t>
      </w:r>
      <w:r w:rsidR="00F21844" w:rsidRPr="00207864">
        <w:rPr>
          <w:rFonts w:ascii="Times New Roman" w:hAnsi="Times New Roman"/>
        </w:rPr>
        <w:t xml:space="preserve"> that</w:t>
      </w:r>
      <w:r w:rsidR="00DC3B6A" w:rsidRPr="00207864">
        <w:rPr>
          <w:rStyle w:val="FootnoteReference"/>
          <w:rFonts w:ascii="Times New Roman" w:hAnsi="Times New Roman"/>
          <w:sz w:val="24"/>
        </w:rPr>
        <w:footnoteReference w:id="48"/>
      </w:r>
      <w:r w:rsidR="00131F89" w:rsidRPr="00207864">
        <w:rPr>
          <w:rFonts w:ascii="Times New Roman" w:hAnsi="Times New Roman"/>
        </w:rPr>
        <w:t>:</w:t>
      </w:r>
    </w:p>
    <w:p w14:paraId="3B3324C2" w14:textId="77777777" w:rsidR="00207864" w:rsidRDefault="00A77630" w:rsidP="00207864">
      <w:pPr>
        <w:pStyle w:val="LeftrightafterHC"/>
        <w:spacing w:before="0" w:after="260" w:line="280" w:lineRule="exact"/>
        <w:ind w:right="0"/>
        <w:jc w:val="both"/>
        <w:rPr>
          <w:rFonts w:ascii="Times New Roman" w:hAnsi="Times New Roman"/>
        </w:rPr>
      </w:pPr>
      <w:r w:rsidRPr="00207864">
        <w:rPr>
          <w:rFonts w:ascii="Times New Roman" w:hAnsi="Times New Roman"/>
        </w:rPr>
        <w:t>"[T</w:t>
      </w:r>
      <w:r w:rsidR="00F67971" w:rsidRPr="00207864">
        <w:rPr>
          <w:rFonts w:ascii="Times New Roman" w:hAnsi="Times New Roman"/>
        </w:rPr>
        <w:t>]</w:t>
      </w:r>
      <w:r w:rsidRPr="00207864">
        <w:rPr>
          <w:rFonts w:ascii="Times New Roman" w:hAnsi="Times New Roman"/>
        </w:rPr>
        <w:t xml:space="preserve">he </w:t>
      </w:r>
      <w:r w:rsidR="008F3503" w:rsidRPr="00207864">
        <w:rPr>
          <w:rFonts w:ascii="Times New Roman" w:hAnsi="Times New Roman"/>
        </w:rPr>
        <w:t xml:space="preserve">power to order that a citizen be involuntarily confined in custody </w:t>
      </w:r>
      <w:r w:rsidR="00EC2733" w:rsidRPr="00207864">
        <w:rPr>
          <w:rFonts w:ascii="Times New Roman" w:hAnsi="Times New Roman"/>
        </w:rPr>
        <w:t>is, under the doctrine of the separation of judicial from</w:t>
      </w:r>
      <w:r w:rsidR="00D657B5" w:rsidRPr="00207864">
        <w:rPr>
          <w:rFonts w:ascii="Times New Roman" w:hAnsi="Times New Roman"/>
        </w:rPr>
        <w:t xml:space="preserve"> executive and legislative powers enshrined in our Constitution</w:t>
      </w:r>
      <w:r w:rsidR="00423C4A" w:rsidRPr="00207864">
        <w:rPr>
          <w:rFonts w:ascii="Times New Roman" w:hAnsi="Times New Roman"/>
        </w:rPr>
        <w:t xml:space="preserve">, part of the judicial power of the Commonwealth entrusted exclusively </w:t>
      </w:r>
      <w:r w:rsidR="00DC3B6A" w:rsidRPr="00207864">
        <w:rPr>
          <w:rFonts w:ascii="Times New Roman" w:hAnsi="Times New Roman"/>
        </w:rPr>
        <w:t>to Ch</w:t>
      </w:r>
      <w:r w:rsidR="00436FCB" w:rsidRPr="00207864">
        <w:rPr>
          <w:rFonts w:ascii="Times New Roman" w:hAnsi="Times New Roman"/>
        </w:rPr>
        <w:t> </w:t>
      </w:r>
      <w:r w:rsidR="00DC3B6A" w:rsidRPr="00207864">
        <w:rPr>
          <w:rFonts w:ascii="Times New Roman" w:hAnsi="Times New Roman"/>
        </w:rPr>
        <w:t>III courts</w:t>
      </w:r>
      <w:r w:rsidR="00700BCA" w:rsidRPr="00207864">
        <w:rPr>
          <w:rFonts w:ascii="Times New Roman" w:hAnsi="Times New Roman"/>
        </w:rPr>
        <w:t>.</w:t>
      </w:r>
      <w:r w:rsidR="00DC3B6A" w:rsidRPr="00207864">
        <w:rPr>
          <w:rFonts w:ascii="Times New Roman" w:hAnsi="Times New Roman"/>
        </w:rPr>
        <w:t>"</w:t>
      </w:r>
    </w:p>
    <w:p w14:paraId="5581301E" w14:textId="3DC49FCC" w:rsidR="009F64C8" w:rsidRPr="00207864" w:rsidRDefault="000D299A"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9D1DA9" w:rsidRPr="00207864">
        <w:rPr>
          <w:rFonts w:ascii="Times New Roman" w:hAnsi="Times New Roman"/>
        </w:rPr>
        <w:t xml:space="preserve">The </w:t>
      </w:r>
      <w:r w:rsidR="009D1DA9" w:rsidRPr="00207864">
        <w:rPr>
          <w:rFonts w:ascii="Times New Roman" w:hAnsi="Times New Roman"/>
          <w:i/>
        </w:rPr>
        <w:t>Lim</w:t>
      </w:r>
      <w:r w:rsidR="009D1DA9" w:rsidRPr="00207864">
        <w:rPr>
          <w:rFonts w:ascii="Times New Roman" w:hAnsi="Times New Roman"/>
        </w:rPr>
        <w:t xml:space="preserve"> general proposition and the </w:t>
      </w:r>
      <w:r w:rsidR="009D1DA9" w:rsidRPr="00207864">
        <w:rPr>
          <w:rFonts w:ascii="Times New Roman" w:hAnsi="Times New Roman"/>
          <w:i/>
        </w:rPr>
        <w:t>Lim</w:t>
      </w:r>
      <w:r w:rsidR="009D1DA9" w:rsidRPr="00207864">
        <w:rPr>
          <w:rFonts w:ascii="Times New Roman" w:hAnsi="Times New Roman"/>
        </w:rPr>
        <w:t xml:space="preserve"> principle have a long pedigree under our inherited common law tradition.</w:t>
      </w:r>
      <w:r w:rsidR="006925AD" w:rsidRPr="00207864">
        <w:rPr>
          <w:rFonts w:ascii="Times New Roman" w:hAnsi="Times New Roman"/>
        </w:rPr>
        <w:t xml:space="preserve"> </w:t>
      </w:r>
      <w:r w:rsidR="00682B78" w:rsidRPr="00207864">
        <w:rPr>
          <w:rFonts w:ascii="Times New Roman" w:hAnsi="Times New Roman"/>
        </w:rPr>
        <w:t>Their Honours</w:t>
      </w:r>
      <w:r w:rsidR="008D5F24" w:rsidRPr="00207864">
        <w:rPr>
          <w:rFonts w:ascii="Times New Roman" w:hAnsi="Times New Roman"/>
        </w:rPr>
        <w:t xml:space="preserve"> </w:t>
      </w:r>
      <w:r w:rsidR="008245D9" w:rsidRPr="00207864">
        <w:rPr>
          <w:rFonts w:ascii="Times New Roman" w:hAnsi="Times New Roman"/>
        </w:rPr>
        <w:t>refer</w:t>
      </w:r>
      <w:r w:rsidR="002A6BD6" w:rsidRPr="00207864">
        <w:rPr>
          <w:rFonts w:ascii="Times New Roman" w:hAnsi="Times New Roman"/>
        </w:rPr>
        <w:t xml:space="preserve">enced Blackstone and Coke in support of the </w:t>
      </w:r>
      <w:r w:rsidR="008245D9" w:rsidRPr="00207864">
        <w:rPr>
          <w:rFonts w:ascii="Times New Roman" w:hAnsi="Times New Roman"/>
          <w:i/>
        </w:rPr>
        <w:t>Lim</w:t>
      </w:r>
      <w:r w:rsidR="008245D9" w:rsidRPr="00207864">
        <w:rPr>
          <w:rFonts w:ascii="Times New Roman" w:hAnsi="Times New Roman"/>
        </w:rPr>
        <w:t xml:space="preserve"> general proposition</w:t>
      </w:r>
      <w:r w:rsidR="002A6BD6" w:rsidRPr="00207864">
        <w:rPr>
          <w:rStyle w:val="FootnoteReference"/>
          <w:rFonts w:ascii="Times New Roman" w:hAnsi="Times New Roman"/>
          <w:sz w:val="24"/>
        </w:rPr>
        <w:footnoteReference w:id="49"/>
      </w:r>
      <w:r w:rsidR="009F64C8" w:rsidRPr="00207864">
        <w:rPr>
          <w:rFonts w:ascii="Times New Roman" w:hAnsi="Times New Roman"/>
        </w:rPr>
        <w:t xml:space="preserve"> and </w:t>
      </w:r>
      <w:proofErr w:type="spellStart"/>
      <w:r w:rsidR="008245D9" w:rsidRPr="00207864">
        <w:rPr>
          <w:rFonts w:ascii="Times New Roman" w:hAnsi="Times New Roman"/>
        </w:rPr>
        <w:t>Dicey's</w:t>
      </w:r>
      <w:proofErr w:type="spellEnd"/>
      <w:r w:rsidR="008245D9" w:rsidRPr="00207864">
        <w:rPr>
          <w:rFonts w:ascii="Times New Roman" w:hAnsi="Times New Roman"/>
        </w:rPr>
        <w:t xml:space="preserve"> </w:t>
      </w:r>
      <w:r w:rsidR="002A6BD6" w:rsidRPr="00207864">
        <w:rPr>
          <w:rFonts w:ascii="Times New Roman" w:hAnsi="Times New Roman"/>
        </w:rPr>
        <w:t>celebrated statement that every citizen is "ruled by the law, and by the law alone" and "may with us be pun</w:t>
      </w:r>
      <w:r w:rsidR="008875AD" w:rsidRPr="00207864">
        <w:rPr>
          <w:rFonts w:ascii="Times New Roman" w:hAnsi="Times New Roman"/>
        </w:rPr>
        <w:t>ished</w:t>
      </w:r>
      <w:r w:rsidR="002A6BD6" w:rsidRPr="00207864">
        <w:rPr>
          <w:rFonts w:ascii="Times New Roman" w:hAnsi="Times New Roman"/>
        </w:rPr>
        <w:t xml:space="preserve"> for a breach of law, but he can be punished for nothing else" in </w:t>
      </w:r>
      <w:r w:rsidR="009F64C8" w:rsidRPr="00207864">
        <w:rPr>
          <w:rFonts w:ascii="Times New Roman" w:hAnsi="Times New Roman"/>
        </w:rPr>
        <w:t>support</w:t>
      </w:r>
      <w:r w:rsidR="002A6BD6" w:rsidRPr="00207864">
        <w:rPr>
          <w:rFonts w:ascii="Times New Roman" w:hAnsi="Times New Roman"/>
        </w:rPr>
        <w:t xml:space="preserve"> </w:t>
      </w:r>
      <w:r w:rsidR="009F64C8" w:rsidRPr="00207864">
        <w:rPr>
          <w:rFonts w:ascii="Times New Roman" w:hAnsi="Times New Roman"/>
        </w:rPr>
        <w:t>of</w:t>
      </w:r>
      <w:r w:rsidR="002A6BD6" w:rsidRPr="00207864">
        <w:rPr>
          <w:rFonts w:ascii="Times New Roman" w:hAnsi="Times New Roman"/>
        </w:rPr>
        <w:t xml:space="preserve"> the allied </w:t>
      </w:r>
      <w:r w:rsidR="002A6BD6" w:rsidRPr="00207864">
        <w:rPr>
          <w:rFonts w:ascii="Times New Roman" w:hAnsi="Times New Roman"/>
          <w:i/>
        </w:rPr>
        <w:t>Lim</w:t>
      </w:r>
      <w:r w:rsidR="002A6BD6" w:rsidRPr="00207864">
        <w:rPr>
          <w:rFonts w:ascii="Times New Roman" w:hAnsi="Times New Roman"/>
        </w:rPr>
        <w:t xml:space="preserve"> principle</w:t>
      </w:r>
      <w:r w:rsidR="002A6BD6" w:rsidRPr="00207864">
        <w:rPr>
          <w:rStyle w:val="FootnoteReference"/>
          <w:rFonts w:ascii="Times New Roman" w:hAnsi="Times New Roman"/>
          <w:sz w:val="24"/>
        </w:rPr>
        <w:footnoteReference w:id="50"/>
      </w:r>
      <w:r w:rsidR="002A6BD6" w:rsidRPr="00207864">
        <w:rPr>
          <w:rFonts w:ascii="Times New Roman" w:hAnsi="Times New Roman"/>
        </w:rPr>
        <w:t xml:space="preserve">. </w:t>
      </w:r>
    </w:p>
    <w:p w14:paraId="5E3EE7E3" w14:textId="147BE831" w:rsidR="001E65E7" w:rsidRPr="00207864" w:rsidRDefault="00A75CA8" w:rsidP="00207864">
      <w:pPr>
        <w:pStyle w:val="HeadingL1"/>
        <w:spacing w:after="260" w:line="280" w:lineRule="exact"/>
        <w:ind w:right="0"/>
        <w:jc w:val="both"/>
        <w:rPr>
          <w:rFonts w:ascii="Times New Roman" w:hAnsi="Times New Roman"/>
        </w:rPr>
      </w:pPr>
      <w:bookmarkStart w:id="0" w:name="_Hlk62050886"/>
      <w:r w:rsidRPr="00207864">
        <w:rPr>
          <w:rFonts w:ascii="Times New Roman" w:hAnsi="Times New Roman"/>
        </w:rPr>
        <w:t>An unexplained aspect of acceptance of the challenge</w:t>
      </w:r>
    </w:p>
    <w:bookmarkEnd w:id="0"/>
    <w:p w14:paraId="1E5F5770" w14:textId="28B5527B" w:rsidR="00FF4EAB" w:rsidRPr="00207864" w:rsidRDefault="009F64C8" w:rsidP="00207864">
      <w:pPr>
        <w:pStyle w:val="FixListStyle"/>
        <w:spacing w:after="260" w:line="280" w:lineRule="exact"/>
        <w:ind w:right="0"/>
        <w:jc w:val="both"/>
        <w:rPr>
          <w:rFonts w:ascii="Times New Roman" w:hAnsi="Times New Roman"/>
        </w:rPr>
      </w:pPr>
      <w:r w:rsidRPr="00207864">
        <w:rPr>
          <w:rFonts w:ascii="Times New Roman" w:hAnsi="Times New Roman"/>
        </w:rPr>
        <w:tab/>
        <w:t xml:space="preserve">Before turning to the Qld Act considered in </w:t>
      </w:r>
      <w:proofErr w:type="spellStart"/>
      <w:r w:rsidRPr="00207864">
        <w:rPr>
          <w:rFonts w:ascii="Times New Roman" w:hAnsi="Times New Roman"/>
          <w:i/>
        </w:rPr>
        <w:t>Fardon</w:t>
      </w:r>
      <w:proofErr w:type="spellEnd"/>
      <w:r w:rsidRPr="00207864">
        <w:rPr>
          <w:rFonts w:ascii="Times New Roman" w:hAnsi="Times New Roman"/>
        </w:rPr>
        <w:t xml:space="preserve"> and </w:t>
      </w:r>
      <w:proofErr w:type="spellStart"/>
      <w:r w:rsidRPr="00207864">
        <w:rPr>
          <w:rFonts w:ascii="Times New Roman" w:hAnsi="Times New Roman"/>
        </w:rPr>
        <w:t>Gummow</w:t>
      </w:r>
      <w:proofErr w:type="spellEnd"/>
      <w:r w:rsidRPr="00207864">
        <w:rPr>
          <w:rFonts w:ascii="Times New Roman" w:hAnsi="Times New Roman"/>
        </w:rPr>
        <w:t xml:space="preserve"> J's analysis of federal judicial power on which Mr</w:t>
      </w:r>
      <w:r w:rsidR="006E3A1B" w:rsidRPr="00207864">
        <w:rPr>
          <w:rFonts w:ascii="Times New Roman" w:hAnsi="Times New Roman"/>
        </w:rPr>
        <w:t> </w:t>
      </w:r>
      <w:proofErr w:type="spellStart"/>
      <w:r w:rsidRPr="00207864">
        <w:rPr>
          <w:rFonts w:ascii="Times New Roman" w:hAnsi="Times New Roman"/>
        </w:rPr>
        <w:t>Benbrika's</w:t>
      </w:r>
      <w:proofErr w:type="spellEnd"/>
      <w:r w:rsidRPr="00207864">
        <w:rPr>
          <w:rFonts w:ascii="Times New Roman" w:hAnsi="Times New Roman"/>
        </w:rPr>
        <w:t xml:space="preserve"> argument depends</w:t>
      </w:r>
      <w:r w:rsidR="00FB0769" w:rsidRPr="00207864">
        <w:rPr>
          <w:rFonts w:ascii="Times New Roman" w:hAnsi="Times New Roman"/>
        </w:rPr>
        <w:t xml:space="preserve">, </w:t>
      </w:r>
      <w:r w:rsidR="00374AB9" w:rsidRPr="00207864">
        <w:rPr>
          <w:rFonts w:ascii="Times New Roman" w:hAnsi="Times New Roman"/>
        </w:rPr>
        <w:t xml:space="preserve">one </w:t>
      </w:r>
      <w:r w:rsidR="000874C7" w:rsidRPr="00207864">
        <w:rPr>
          <w:rFonts w:ascii="Times New Roman" w:hAnsi="Times New Roman"/>
        </w:rPr>
        <w:t xml:space="preserve">unexplained </w:t>
      </w:r>
      <w:r w:rsidR="00942CAF" w:rsidRPr="00207864">
        <w:rPr>
          <w:rFonts w:ascii="Times New Roman" w:hAnsi="Times New Roman"/>
        </w:rPr>
        <w:t xml:space="preserve">aspect </w:t>
      </w:r>
      <w:r w:rsidR="000874C7" w:rsidRPr="00207864">
        <w:rPr>
          <w:rFonts w:ascii="Times New Roman" w:hAnsi="Times New Roman"/>
        </w:rPr>
        <w:t xml:space="preserve">of acceptance of </w:t>
      </w:r>
      <w:r w:rsidR="00C35A24" w:rsidRPr="00207864">
        <w:rPr>
          <w:rFonts w:ascii="Times New Roman" w:hAnsi="Times New Roman"/>
        </w:rPr>
        <w:t>his</w:t>
      </w:r>
      <w:r w:rsidR="000874C7" w:rsidRPr="00207864">
        <w:rPr>
          <w:rFonts w:ascii="Times New Roman" w:hAnsi="Times New Roman"/>
        </w:rPr>
        <w:t xml:space="preserve"> argument may be noted. </w:t>
      </w:r>
      <w:r w:rsidR="00DC2614" w:rsidRPr="00207864">
        <w:rPr>
          <w:rFonts w:ascii="Times New Roman" w:hAnsi="Times New Roman"/>
        </w:rPr>
        <w:t xml:space="preserve">Chapter III courts serve as the bulwark of </w:t>
      </w:r>
      <w:r w:rsidR="000874C7" w:rsidRPr="00207864">
        <w:rPr>
          <w:rFonts w:ascii="Times New Roman" w:hAnsi="Times New Roman"/>
        </w:rPr>
        <w:t>liberty</w:t>
      </w:r>
      <w:r w:rsidR="00DC2614" w:rsidRPr="00207864">
        <w:rPr>
          <w:rFonts w:ascii="Times New Roman" w:hAnsi="Times New Roman"/>
        </w:rPr>
        <w:t xml:space="preserve"> </w:t>
      </w:r>
      <w:r w:rsidR="00B71659" w:rsidRPr="00207864">
        <w:rPr>
          <w:rFonts w:ascii="Times New Roman" w:hAnsi="Times New Roman"/>
        </w:rPr>
        <w:t>by</w:t>
      </w:r>
      <w:r w:rsidR="000874C7" w:rsidRPr="00207864">
        <w:rPr>
          <w:rFonts w:ascii="Times New Roman" w:hAnsi="Times New Roman"/>
        </w:rPr>
        <w:t xml:space="preserve"> </w:t>
      </w:r>
      <w:r w:rsidR="00DC2614" w:rsidRPr="00207864">
        <w:rPr>
          <w:rFonts w:ascii="Times New Roman" w:hAnsi="Times New Roman"/>
        </w:rPr>
        <w:t xml:space="preserve">virtue of the </w:t>
      </w:r>
      <w:r w:rsidR="009B0B7A" w:rsidRPr="00207864">
        <w:rPr>
          <w:rFonts w:ascii="Times New Roman" w:hAnsi="Times New Roman"/>
        </w:rPr>
        <w:t xml:space="preserve">qualities of </w:t>
      </w:r>
      <w:r w:rsidR="00DC2614" w:rsidRPr="00207864">
        <w:rPr>
          <w:rFonts w:ascii="Times New Roman" w:hAnsi="Times New Roman"/>
        </w:rPr>
        <w:t xml:space="preserve">independence </w:t>
      </w:r>
      <w:r w:rsidR="009B0B7A" w:rsidRPr="00207864">
        <w:rPr>
          <w:rFonts w:ascii="Times New Roman" w:hAnsi="Times New Roman"/>
        </w:rPr>
        <w:t xml:space="preserve">and impartiality that </w:t>
      </w:r>
      <w:r w:rsidR="00CC5B3D" w:rsidRPr="00207864">
        <w:rPr>
          <w:rFonts w:ascii="Times New Roman" w:hAnsi="Times New Roman"/>
        </w:rPr>
        <w:t>are</w:t>
      </w:r>
      <w:r w:rsidR="009B0B7A" w:rsidRPr="00207864">
        <w:rPr>
          <w:rFonts w:ascii="Times New Roman" w:hAnsi="Times New Roman"/>
        </w:rPr>
        <w:t xml:space="preserve"> </w:t>
      </w:r>
      <w:r w:rsidR="00374AB9" w:rsidRPr="00207864">
        <w:rPr>
          <w:rFonts w:ascii="Times New Roman" w:hAnsi="Times New Roman"/>
        </w:rPr>
        <w:t>secured by the separation of the judicial function from the other functions of government</w:t>
      </w:r>
      <w:r w:rsidR="00374AB9" w:rsidRPr="00207864">
        <w:rPr>
          <w:rStyle w:val="FootnoteReference"/>
          <w:rFonts w:ascii="Times New Roman" w:hAnsi="Times New Roman"/>
          <w:sz w:val="24"/>
        </w:rPr>
        <w:footnoteReference w:id="51"/>
      </w:r>
      <w:r w:rsidR="00374AB9" w:rsidRPr="00207864">
        <w:rPr>
          <w:rFonts w:ascii="Times New Roman" w:hAnsi="Times New Roman"/>
        </w:rPr>
        <w:t xml:space="preserve">. </w:t>
      </w:r>
      <w:r w:rsidR="009B0B7A" w:rsidRPr="00207864">
        <w:rPr>
          <w:rFonts w:ascii="Times New Roman" w:hAnsi="Times New Roman"/>
        </w:rPr>
        <w:t>The absence of separation of powers under the Constitutions of the States allows that non-judicial functions may be conferred on the Supreme</w:t>
      </w:r>
      <w:r w:rsidR="009E3ABD" w:rsidRPr="00207864">
        <w:rPr>
          <w:rFonts w:ascii="Times New Roman" w:hAnsi="Times New Roman"/>
        </w:rPr>
        <w:t> </w:t>
      </w:r>
      <w:r w:rsidR="009B0B7A" w:rsidRPr="00207864">
        <w:rPr>
          <w:rFonts w:ascii="Times New Roman" w:hAnsi="Times New Roman"/>
        </w:rPr>
        <w:t xml:space="preserve">Courts provided </w:t>
      </w:r>
      <w:r w:rsidR="00CC5B3D" w:rsidRPr="00207864">
        <w:rPr>
          <w:rFonts w:ascii="Times New Roman" w:hAnsi="Times New Roman"/>
        </w:rPr>
        <w:t xml:space="preserve">the </w:t>
      </w:r>
      <w:r w:rsidR="009B0B7A" w:rsidRPr="00207864">
        <w:rPr>
          <w:rFonts w:ascii="Times New Roman" w:hAnsi="Times New Roman"/>
        </w:rPr>
        <w:t xml:space="preserve">conferral does not substantially impair the institutional integrity of </w:t>
      </w:r>
      <w:r w:rsidR="00CC5B3D" w:rsidRPr="00207864">
        <w:rPr>
          <w:rFonts w:ascii="Times New Roman" w:hAnsi="Times New Roman"/>
        </w:rPr>
        <w:t>the</w:t>
      </w:r>
      <w:r w:rsidR="009B0B7A" w:rsidRPr="00207864">
        <w:rPr>
          <w:rFonts w:ascii="Times New Roman" w:hAnsi="Times New Roman"/>
        </w:rPr>
        <w:t xml:space="preserve"> Court </w:t>
      </w:r>
      <w:r w:rsidR="00CC5B3D" w:rsidRPr="00207864">
        <w:rPr>
          <w:rFonts w:ascii="Times New Roman" w:hAnsi="Times New Roman"/>
        </w:rPr>
        <w:t xml:space="preserve">as one </w:t>
      </w:r>
      <w:r w:rsidR="009B0B7A" w:rsidRPr="00207864">
        <w:rPr>
          <w:rFonts w:ascii="Times New Roman" w:hAnsi="Times New Roman"/>
        </w:rPr>
        <w:t>in which federal jurisdiction is invested.</w:t>
      </w:r>
      <w:r w:rsidR="00CC5B3D" w:rsidRPr="00207864">
        <w:rPr>
          <w:rFonts w:ascii="Times New Roman" w:hAnsi="Times New Roman"/>
        </w:rPr>
        <w:t xml:space="preserve"> </w:t>
      </w:r>
      <w:r w:rsidR="00B2369C" w:rsidRPr="00207864">
        <w:rPr>
          <w:rFonts w:ascii="Times New Roman" w:hAnsi="Times New Roman"/>
        </w:rPr>
        <w:lastRenderedPageBreak/>
        <w:t xml:space="preserve">On the authority of </w:t>
      </w:r>
      <w:r w:rsidR="00B2369C" w:rsidRPr="00207864">
        <w:rPr>
          <w:rFonts w:ascii="Times New Roman" w:hAnsi="Times New Roman"/>
          <w:i/>
        </w:rPr>
        <w:t>Kable</w:t>
      </w:r>
      <w:r w:rsidR="00DE4D8C" w:rsidRPr="00207864">
        <w:rPr>
          <w:rFonts w:ascii="Times New Roman" w:hAnsi="Times New Roman"/>
          <w:i/>
        </w:rPr>
        <w:t xml:space="preserve"> v Director of Public Prosecutions (NSW)</w:t>
      </w:r>
      <w:r w:rsidR="00DE4D8C" w:rsidRPr="00207864">
        <w:rPr>
          <w:rStyle w:val="FootnoteReference"/>
          <w:rFonts w:ascii="Times New Roman" w:hAnsi="Times New Roman"/>
          <w:sz w:val="24"/>
        </w:rPr>
        <w:footnoteReference w:id="52"/>
      </w:r>
      <w:r w:rsidR="00B2369C" w:rsidRPr="00207864">
        <w:rPr>
          <w:rFonts w:ascii="Times New Roman" w:hAnsi="Times New Roman"/>
        </w:rPr>
        <w:t>, t</w:t>
      </w:r>
      <w:r w:rsidR="00FF4EAB" w:rsidRPr="00207864">
        <w:rPr>
          <w:rFonts w:ascii="Times New Roman" w:hAnsi="Times New Roman"/>
        </w:rPr>
        <w:t xml:space="preserve">he conferral of a non-judicial </w:t>
      </w:r>
      <w:r w:rsidR="00E57441" w:rsidRPr="00207864">
        <w:rPr>
          <w:rFonts w:ascii="Times New Roman" w:hAnsi="Times New Roman"/>
        </w:rPr>
        <w:t>function that undermine</w:t>
      </w:r>
      <w:r w:rsidR="00B755FB" w:rsidRPr="00207864">
        <w:rPr>
          <w:rFonts w:ascii="Times New Roman" w:hAnsi="Times New Roman"/>
        </w:rPr>
        <w:t>s</w:t>
      </w:r>
      <w:r w:rsidR="00E57441" w:rsidRPr="00207864">
        <w:rPr>
          <w:rFonts w:ascii="Times New Roman" w:hAnsi="Times New Roman"/>
        </w:rPr>
        <w:t xml:space="preserve"> the appearance of the independence and impartiality of the Court will </w:t>
      </w:r>
      <w:r w:rsidR="00FF4EAB" w:rsidRPr="00207864">
        <w:rPr>
          <w:rFonts w:ascii="Times New Roman" w:hAnsi="Times New Roman"/>
        </w:rPr>
        <w:t>be beyond legislative power.</w:t>
      </w:r>
      <w:r w:rsidR="005C11D9" w:rsidRPr="00207864">
        <w:rPr>
          <w:rFonts w:ascii="Times New Roman" w:hAnsi="Times New Roman"/>
        </w:rPr>
        <w:t xml:space="preserve"> </w:t>
      </w:r>
      <w:r w:rsidR="00262384" w:rsidRPr="00207864">
        <w:rPr>
          <w:rFonts w:ascii="Times New Roman" w:hAnsi="Times New Roman"/>
        </w:rPr>
        <w:t xml:space="preserve">Informing the </w:t>
      </w:r>
      <w:r w:rsidR="00262384" w:rsidRPr="00207864">
        <w:rPr>
          <w:rFonts w:ascii="Times New Roman" w:hAnsi="Times New Roman"/>
          <w:i/>
        </w:rPr>
        <w:t>Kable</w:t>
      </w:r>
      <w:r w:rsidR="00262384" w:rsidRPr="00207864">
        <w:rPr>
          <w:rFonts w:ascii="Times New Roman" w:hAnsi="Times New Roman"/>
        </w:rPr>
        <w:t xml:space="preserve"> doctrine is the recognition that the </w:t>
      </w:r>
      <w:r w:rsidR="00262384" w:rsidRPr="00207864">
        <w:rPr>
          <w:rFonts w:ascii="Times New Roman" w:hAnsi="Times New Roman"/>
          <w:i/>
        </w:rPr>
        <w:t>Constitution</w:t>
      </w:r>
      <w:r w:rsidR="00262384" w:rsidRPr="00207864">
        <w:rPr>
          <w:rFonts w:ascii="Times New Roman" w:hAnsi="Times New Roman"/>
        </w:rPr>
        <w:t xml:space="preserve"> does not permit different grades or qualities of justice</w:t>
      </w:r>
      <w:r w:rsidR="00262384" w:rsidRPr="00207864">
        <w:rPr>
          <w:rStyle w:val="FootnoteReference"/>
          <w:rFonts w:ascii="Times New Roman" w:hAnsi="Times New Roman"/>
          <w:sz w:val="24"/>
        </w:rPr>
        <w:footnoteReference w:id="53"/>
      </w:r>
      <w:r w:rsidR="00262384" w:rsidRPr="00207864">
        <w:rPr>
          <w:rFonts w:ascii="Times New Roman" w:hAnsi="Times New Roman"/>
        </w:rPr>
        <w:t>.</w:t>
      </w:r>
      <w:r w:rsidR="00B755FB" w:rsidRPr="00207864">
        <w:rPr>
          <w:rFonts w:ascii="Times New Roman" w:hAnsi="Times New Roman"/>
        </w:rPr>
        <w:t xml:space="preserve"> </w:t>
      </w:r>
      <w:r w:rsidR="007E4EDD" w:rsidRPr="00207864">
        <w:rPr>
          <w:rFonts w:ascii="Times New Roman" w:hAnsi="Times New Roman"/>
        </w:rPr>
        <w:t xml:space="preserve">What remains unexplained is why the judicial power to order </w:t>
      </w:r>
      <w:r w:rsidR="005C11D9" w:rsidRPr="00207864">
        <w:rPr>
          <w:rFonts w:ascii="Times New Roman" w:hAnsi="Times New Roman"/>
        </w:rPr>
        <w:t xml:space="preserve">preventative detention </w:t>
      </w:r>
      <w:r w:rsidR="00B755FB" w:rsidRPr="00207864">
        <w:rPr>
          <w:rFonts w:ascii="Times New Roman" w:hAnsi="Times New Roman"/>
        </w:rPr>
        <w:t>conferred on the Supreme Court by the Qld Act</w:t>
      </w:r>
      <w:r w:rsidR="007E4EDD" w:rsidRPr="00207864">
        <w:rPr>
          <w:rFonts w:ascii="Times New Roman" w:hAnsi="Times New Roman"/>
        </w:rPr>
        <w:t>,</w:t>
      </w:r>
      <w:r w:rsidR="00B755FB" w:rsidRPr="00207864">
        <w:rPr>
          <w:rFonts w:ascii="Times New Roman" w:hAnsi="Times New Roman"/>
        </w:rPr>
        <w:t xml:space="preserve"> </w:t>
      </w:r>
      <w:r w:rsidR="007E4EDD" w:rsidRPr="00207864">
        <w:rPr>
          <w:rFonts w:ascii="Times New Roman" w:hAnsi="Times New Roman"/>
        </w:rPr>
        <w:t xml:space="preserve">which does not trench on the Court's independence and impartiality, is not capable of being conferred on the Supreme Court under </w:t>
      </w:r>
      <w:r w:rsidR="005C11D9" w:rsidRPr="00207864">
        <w:rPr>
          <w:rFonts w:ascii="Times New Roman" w:hAnsi="Times New Roman"/>
        </w:rPr>
        <w:t>Commonwealth law</w:t>
      </w:r>
      <w:r w:rsidR="00FF4EAB" w:rsidRPr="00207864">
        <w:rPr>
          <w:rFonts w:ascii="Times New Roman" w:hAnsi="Times New Roman"/>
        </w:rPr>
        <w:t xml:space="preserve">. </w:t>
      </w:r>
    </w:p>
    <w:p w14:paraId="215C91B4" w14:textId="06561912" w:rsidR="00CA417C" w:rsidRPr="00207864" w:rsidRDefault="00CA417C" w:rsidP="00207864">
      <w:pPr>
        <w:pStyle w:val="HeadingL1"/>
        <w:spacing w:after="260" w:line="280" w:lineRule="exact"/>
        <w:ind w:right="0"/>
        <w:jc w:val="both"/>
        <w:rPr>
          <w:rFonts w:ascii="Times New Roman" w:hAnsi="Times New Roman"/>
        </w:rPr>
      </w:pPr>
      <w:proofErr w:type="spellStart"/>
      <w:r w:rsidRPr="00207864">
        <w:rPr>
          <w:rFonts w:ascii="Times New Roman" w:hAnsi="Times New Roman"/>
          <w:i/>
        </w:rPr>
        <w:t>Fardon</w:t>
      </w:r>
      <w:proofErr w:type="spellEnd"/>
    </w:p>
    <w:p w14:paraId="3E6AA90F" w14:textId="33839E3A" w:rsidR="00455A79" w:rsidRPr="00207864" w:rsidRDefault="005C11D9"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455A79" w:rsidRPr="00207864">
        <w:rPr>
          <w:rFonts w:ascii="Times New Roman" w:hAnsi="Times New Roman"/>
        </w:rPr>
        <w:t xml:space="preserve">The Qld Act </w:t>
      </w:r>
      <w:r w:rsidR="008C430A" w:rsidRPr="00207864">
        <w:rPr>
          <w:rFonts w:ascii="Times New Roman" w:hAnsi="Times New Roman"/>
        </w:rPr>
        <w:t xml:space="preserve">considered in </w:t>
      </w:r>
      <w:proofErr w:type="spellStart"/>
      <w:r w:rsidR="008C430A" w:rsidRPr="00207864">
        <w:rPr>
          <w:rFonts w:ascii="Times New Roman" w:hAnsi="Times New Roman"/>
          <w:i/>
        </w:rPr>
        <w:t>Fardon</w:t>
      </w:r>
      <w:proofErr w:type="spellEnd"/>
      <w:r w:rsidR="008C430A" w:rsidRPr="00207864">
        <w:rPr>
          <w:rFonts w:ascii="Times New Roman" w:hAnsi="Times New Roman"/>
        </w:rPr>
        <w:t xml:space="preserve"> ma</w:t>
      </w:r>
      <w:r w:rsidR="00C33433" w:rsidRPr="00207864">
        <w:rPr>
          <w:rFonts w:ascii="Times New Roman" w:hAnsi="Times New Roman"/>
        </w:rPr>
        <w:t>kes</w:t>
      </w:r>
      <w:r w:rsidR="008C430A" w:rsidRPr="00207864">
        <w:rPr>
          <w:rFonts w:ascii="Times New Roman" w:hAnsi="Times New Roman"/>
        </w:rPr>
        <w:t xml:space="preserve"> provision </w:t>
      </w:r>
      <w:r w:rsidR="00455A79" w:rsidRPr="00207864">
        <w:rPr>
          <w:rFonts w:ascii="Times New Roman" w:hAnsi="Times New Roman"/>
        </w:rPr>
        <w:t xml:space="preserve">for the Attorney-General </w:t>
      </w:r>
      <w:r w:rsidR="009C4A22" w:rsidRPr="00207864">
        <w:rPr>
          <w:rFonts w:ascii="Times New Roman" w:hAnsi="Times New Roman"/>
        </w:rPr>
        <w:t>of the State</w:t>
      </w:r>
      <w:r w:rsidR="00AA6ED5" w:rsidRPr="00207864">
        <w:rPr>
          <w:rFonts w:ascii="Times New Roman" w:hAnsi="Times New Roman"/>
        </w:rPr>
        <w:t xml:space="preserve"> of</w:t>
      </w:r>
      <w:r w:rsidR="009C4A22" w:rsidRPr="00207864">
        <w:rPr>
          <w:rFonts w:ascii="Times New Roman" w:hAnsi="Times New Roman"/>
        </w:rPr>
        <w:t xml:space="preserve"> Queensland </w:t>
      </w:r>
      <w:r w:rsidR="00455A79" w:rsidRPr="00207864">
        <w:rPr>
          <w:rFonts w:ascii="Times New Roman" w:hAnsi="Times New Roman"/>
        </w:rPr>
        <w:t>to apply to the Supreme Court of Queensland for an order that a prisoner serving a sentence of imprisonment for a "serious sexual offence" be detained in custody for an indefinite term if</w:t>
      </w:r>
      <w:r w:rsidR="001E739B" w:rsidRPr="00207864">
        <w:rPr>
          <w:rFonts w:ascii="Times New Roman" w:hAnsi="Times New Roman"/>
        </w:rPr>
        <w:t>,</w:t>
      </w:r>
      <w:r w:rsidR="00455A79" w:rsidRPr="00207864">
        <w:rPr>
          <w:rFonts w:ascii="Times New Roman" w:hAnsi="Times New Roman"/>
        </w:rPr>
        <w:t xml:space="preserve"> on the hearing of the application</w:t>
      </w:r>
      <w:r w:rsidR="001E739B" w:rsidRPr="00207864">
        <w:rPr>
          <w:rFonts w:ascii="Times New Roman" w:hAnsi="Times New Roman"/>
        </w:rPr>
        <w:t>,</w:t>
      </w:r>
      <w:r w:rsidR="00455A79" w:rsidRPr="00207864">
        <w:rPr>
          <w:rFonts w:ascii="Times New Roman" w:hAnsi="Times New Roman"/>
        </w:rPr>
        <w:t xml:space="preserve"> the Court </w:t>
      </w:r>
      <w:r w:rsidR="00C33433" w:rsidRPr="00207864">
        <w:rPr>
          <w:rFonts w:ascii="Times New Roman" w:hAnsi="Times New Roman"/>
        </w:rPr>
        <w:t>i</w:t>
      </w:r>
      <w:r w:rsidR="00455A79" w:rsidRPr="00207864">
        <w:rPr>
          <w:rFonts w:ascii="Times New Roman" w:hAnsi="Times New Roman"/>
        </w:rPr>
        <w:t xml:space="preserve">s satisfied that the prisoner </w:t>
      </w:r>
      <w:r w:rsidR="00C33433" w:rsidRPr="00207864">
        <w:rPr>
          <w:rFonts w:ascii="Times New Roman" w:hAnsi="Times New Roman"/>
        </w:rPr>
        <w:t>i</w:t>
      </w:r>
      <w:r w:rsidR="00455A79" w:rsidRPr="00207864">
        <w:rPr>
          <w:rFonts w:ascii="Times New Roman" w:hAnsi="Times New Roman"/>
        </w:rPr>
        <w:t>s "a serious danger to the community"</w:t>
      </w:r>
      <w:r w:rsidR="000B1EE4" w:rsidRPr="00207864">
        <w:rPr>
          <w:rStyle w:val="FootnoteReference"/>
          <w:rFonts w:ascii="Times New Roman" w:hAnsi="Times New Roman"/>
          <w:sz w:val="24"/>
        </w:rPr>
        <w:footnoteReference w:id="54"/>
      </w:r>
      <w:r w:rsidR="00455A79" w:rsidRPr="00207864">
        <w:rPr>
          <w:rFonts w:ascii="Times New Roman" w:hAnsi="Times New Roman"/>
        </w:rPr>
        <w:t xml:space="preserve">. A prisoner </w:t>
      </w:r>
      <w:r w:rsidR="00C33433" w:rsidRPr="00207864">
        <w:rPr>
          <w:rFonts w:ascii="Times New Roman" w:hAnsi="Times New Roman"/>
        </w:rPr>
        <w:t>is</w:t>
      </w:r>
      <w:r w:rsidR="00455A79" w:rsidRPr="00207864">
        <w:rPr>
          <w:rFonts w:ascii="Times New Roman" w:hAnsi="Times New Roman"/>
        </w:rPr>
        <w:t xml:space="preserve"> considered to be a serious danger to the community if, inter alia, there </w:t>
      </w:r>
      <w:r w:rsidR="00C33433" w:rsidRPr="00207864">
        <w:rPr>
          <w:rFonts w:ascii="Times New Roman" w:hAnsi="Times New Roman"/>
        </w:rPr>
        <w:t>is</w:t>
      </w:r>
      <w:r w:rsidR="00455A79" w:rsidRPr="00207864">
        <w:rPr>
          <w:rFonts w:ascii="Times New Roman" w:hAnsi="Times New Roman"/>
        </w:rPr>
        <w:t xml:space="preserve"> "an unacceptable risk that the prisoner </w:t>
      </w:r>
      <w:r w:rsidR="00624566" w:rsidRPr="00207864">
        <w:rPr>
          <w:rFonts w:ascii="Times New Roman" w:hAnsi="Times New Roman"/>
        </w:rPr>
        <w:t>[</w:t>
      </w:r>
      <w:r w:rsidR="00455A79" w:rsidRPr="00207864">
        <w:rPr>
          <w:rFonts w:ascii="Times New Roman" w:hAnsi="Times New Roman"/>
        </w:rPr>
        <w:t>would</w:t>
      </w:r>
      <w:r w:rsidR="00624566" w:rsidRPr="00207864">
        <w:rPr>
          <w:rFonts w:ascii="Times New Roman" w:hAnsi="Times New Roman"/>
        </w:rPr>
        <w:t>]</w:t>
      </w:r>
      <w:r w:rsidR="00455A79" w:rsidRPr="00207864">
        <w:rPr>
          <w:rFonts w:ascii="Times New Roman" w:hAnsi="Times New Roman"/>
        </w:rPr>
        <w:t xml:space="preserve"> commit a serious sexual offence</w:t>
      </w:r>
      <w:r w:rsidR="00A36E16" w:rsidRPr="00207864">
        <w:rPr>
          <w:rFonts w:ascii="Times New Roman" w:hAnsi="Times New Roman"/>
        </w:rPr>
        <w:t>"</w:t>
      </w:r>
      <w:r w:rsidR="00455A79" w:rsidRPr="00207864">
        <w:rPr>
          <w:rFonts w:ascii="Times New Roman" w:hAnsi="Times New Roman"/>
        </w:rPr>
        <w:t xml:space="preserve"> if </w:t>
      </w:r>
      <w:r w:rsidR="008A022F" w:rsidRPr="00207864">
        <w:rPr>
          <w:rFonts w:ascii="Times New Roman" w:hAnsi="Times New Roman"/>
        </w:rPr>
        <w:t xml:space="preserve">the prisoner </w:t>
      </w:r>
      <w:r w:rsidR="00B31251" w:rsidRPr="00207864">
        <w:rPr>
          <w:rFonts w:ascii="Times New Roman" w:hAnsi="Times New Roman"/>
        </w:rPr>
        <w:t>were</w:t>
      </w:r>
      <w:r w:rsidR="008A022F" w:rsidRPr="00207864">
        <w:rPr>
          <w:rFonts w:ascii="Times New Roman" w:hAnsi="Times New Roman"/>
        </w:rPr>
        <w:t xml:space="preserve"> </w:t>
      </w:r>
      <w:r w:rsidR="00455A79" w:rsidRPr="00207864">
        <w:rPr>
          <w:rFonts w:ascii="Times New Roman" w:hAnsi="Times New Roman"/>
        </w:rPr>
        <w:t>released from custody</w:t>
      </w:r>
      <w:r w:rsidR="000B1EE4" w:rsidRPr="00207864">
        <w:rPr>
          <w:rStyle w:val="FootnoteReference"/>
          <w:rFonts w:ascii="Times New Roman" w:hAnsi="Times New Roman"/>
          <w:sz w:val="24"/>
        </w:rPr>
        <w:footnoteReference w:id="55"/>
      </w:r>
      <w:r w:rsidR="00455A79" w:rsidRPr="00207864">
        <w:rPr>
          <w:rFonts w:ascii="Times New Roman" w:hAnsi="Times New Roman"/>
        </w:rPr>
        <w:t xml:space="preserve">. Any application </w:t>
      </w:r>
      <w:r w:rsidR="00C33433" w:rsidRPr="00207864">
        <w:rPr>
          <w:rFonts w:ascii="Times New Roman" w:hAnsi="Times New Roman"/>
        </w:rPr>
        <w:t>is</w:t>
      </w:r>
      <w:r w:rsidR="00455A79" w:rsidRPr="00207864">
        <w:rPr>
          <w:rFonts w:ascii="Times New Roman" w:hAnsi="Times New Roman"/>
        </w:rPr>
        <w:t xml:space="preserve"> required to be made within the last six months of the sentence imposed for the serious sexual offence</w:t>
      </w:r>
      <w:r w:rsidR="000B1EE4" w:rsidRPr="00207864">
        <w:rPr>
          <w:rStyle w:val="FootnoteReference"/>
          <w:rFonts w:ascii="Times New Roman" w:hAnsi="Times New Roman"/>
          <w:sz w:val="24"/>
        </w:rPr>
        <w:footnoteReference w:id="56"/>
      </w:r>
      <w:r w:rsidR="00455A79" w:rsidRPr="00207864">
        <w:rPr>
          <w:rFonts w:ascii="Times New Roman" w:hAnsi="Times New Roman"/>
        </w:rPr>
        <w:t xml:space="preserve">. The Court </w:t>
      </w:r>
      <w:r w:rsidR="00C33433" w:rsidRPr="00207864">
        <w:rPr>
          <w:rFonts w:ascii="Times New Roman" w:hAnsi="Times New Roman"/>
        </w:rPr>
        <w:t>is</w:t>
      </w:r>
      <w:r w:rsidR="00B763B8" w:rsidRPr="00207864">
        <w:rPr>
          <w:rFonts w:ascii="Times New Roman" w:hAnsi="Times New Roman"/>
        </w:rPr>
        <w:t xml:space="preserve"> </w:t>
      </w:r>
      <w:r w:rsidR="00B60FDC" w:rsidRPr="00207864">
        <w:rPr>
          <w:rFonts w:ascii="Times New Roman" w:hAnsi="Times New Roman"/>
        </w:rPr>
        <w:t xml:space="preserve">only </w:t>
      </w:r>
      <w:r w:rsidR="00F35A21" w:rsidRPr="00207864">
        <w:rPr>
          <w:rFonts w:ascii="Times New Roman" w:hAnsi="Times New Roman"/>
        </w:rPr>
        <w:t xml:space="preserve">to </w:t>
      </w:r>
      <w:r w:rsidR="00B60FDC" w:rsidRPr="00207864">
        <w:rPr>
          <w:rFonts w:ascii="Times New Roman" w:hAnsi="Times New Roman"/>
        </w:rPr>
        <w:t>be</w:t>
      </w:r>
      <w:r w:rsidR="00455A79" w:rsidRPr="00207864">
        <w:rPr>
          <w:rFonts w:ascii="Times New Roman" w:hAnsi="Times New Roman"/>
        </w:rPr>
        <w:t xml:space="preserve"> "satisfied" if </w:t>
      </w:r>
      <w:r w:rsidR="00455A79" w:rsidRPr="00207864">
        <w:rPr>
          <w:rFonts w:ascii="Times New Roman" w:hAnsi="Times New Roman"/>
        </w:rPr>
        <w:lastRenderedPageBreak/>
        <w:t>persuaded "by acceptable, cogent evidence</w:t>
      </w:r>
      <w:r w:rsidR="00FD1B46" w:rsidRPr="00207864">
        <w:rPr>
          <w:rFonts w:ascii="Times New Roman" w:hAnsi="Times New Roman"/>
        </w:rPr>
        <w:t>"</w:t>
      </w:r>
      <w:r w:rsidR="00AD4B94" w:rsidRPr="00207864">
        <w:rPr>
          <w:rFonts w:ascii="Times New Roman" w:hAnsi="Times New Roman"/>
        </w:rPr>
        <w:t xml:space="preserve"> and </w:t>
      </w:r>
      <w:r w:rsidR="00FD1B46" w:rsidRPr="00207864">
        <w:rPr>
          <w:rFonts w:ascii="Times New Roman" w:hAnsi="Times New Roman"/>
        </w:rPr>
        <w:t>"</w:t>
      </w:r>
      <w:r w:rsidR="00AD4B94" w:rsidRPr="00207864">
        <w:rPr>
          <w:rFonts w:ascii="Times New Roman" w:hAnsi="Times New Roman"/>
        </w:rPr>
        <w:t>to</w:t>
      </w:r>
      <w:r w:rsidR="001E3354" w:rsidRPr="00207864">
        <w:rPr>
          <w:rFonts w:ascii="Times New Roman" w:hAnsi="Times New Roman"/>
        </w:rPr>
        <w:t xml:space="preserve"> a high degree of probability</w:t>
      </w:r>
      <w:r w:rsidR="00D85957" w:rsidRPr="00207864">
        <w:rPr>
          <w:rFonts w:ascii="Times New Roman" w:hAnsi="Times New Roman"/>
        </w:rPr>
        <w:t>"</w:t>
      </w:r>
      <w:r w:rsidR="00455A79" w:rsidRPr="00207864">
        <w:rPr>
          <w:rFonts w:ascii="Times New Roman" w:hAnsi="Times New Roman"/>
        </w:rPr>
        <w:t xml:space="preserve"> that the evidence </w:t>
      </w:r>
      <w:r w:rsidR="00C33433" w:rsidRPr="00207864">
        <w:rPr>
          <w:rFonts w:ascii="Times New Roman" w:hAnsi="Times New Roman"/>
        </w:rPr>
        <w:t>is</w:t>
      </w:r>
      <w:r w:rsidR="00BE2382" w:rsidRPr="00207864">
        <w:rPr>
          <w:rFonts w:ascii="Times New Roman" w:hAnsi="Times New Roman"/>
        </w:rPr>
        <w:t xml:space="preserve"> </w:t>
      </w:r>
      <w:r w:rsidR="00455A79" w:rsidRPr="00207864">
        <w:rPr>
          <w:rFonts w:ascii="Times New Roman" w:hAnsi="Times New Roman"/>
        </w:rPr>
        <w:t>sufficient to justify the decision</w:t>
      </w:r>
      <w:r w:rsidR="000B1EE4" w:rsidRPr="00207864">
        <w:rPr>
          <w:rStyle w:val="FootnoteReference"/>
          <w:rFonts w:ascii="Times New Roman" w:hAnsi="Times New Roman"/>
          <w:sz w:val="24"/>
        </w:rPr>
        <w:footnoteReference w:id="57"/>
      </w:r>
      <w:r w:rsidR="00455A79" w:rsidRPr="00207864">
        <w:rPr>
          <w:rFonts w:ascii="Times New Roman" w:hAnsi="Times New Roman"/>
        </w:rPr>
        <w:t>.</w:t>
      </w:r>
    </w:p>
    <w:p w14:paraId="2D4B6D47" w14:textId="1FF78117" w:rsidR="0066557E" w:rsidRPr="00207864" w:rsidRDefault="00455A79"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A52432" w:rsidRPr="00207864">
        <w:rPr>
          <w:rFonts w:ascii="Times New Roman" w:hAnsi="Times New Roman"/>
        </w:rPr>
        <w:t xml:space="preserve">It was </w:t>
      </w:r>
      <w:r w:rsidR="00F87FBA" w:rsidRPr="00207864">
        <w:rPr>
          <w:rFonts w:ascii="Times New Roman" w:hAnsi="Times New Roman"/>
        </w:rPr>
        <w:t xml:space="preserve">argued </w:t>
      </w:r>
      <w:r w:rsidR="00944B6A" w:rsidRPr="00207864">
        <w:rPr>
          <w:rFonts w:ascii="Times New Roman" w:hAnsi="Times New Roman"/>
        </w:rPr>
        <w:t xml:space="preserve">in </w:t>
      </w:r>
      <w:proofErr w:type="spellStart"/>
      <w:r w:rsidR="00944B6A" w:rsidRPr="00207864">
        <w:rPr>
          <w:rFonts w:ascii="Times New Roman" w:hAnsi="Times New Roman"/>
          <w:i/>
        </w:rPr>
        <w:t>Fardon</w:t>
      </w:r>
      <w:proofErr w:type="spellEnd"/>
      <w:r w:rsidR="00944B6A" w:rsidRPr="00207864">
        <w:rPr>
          <w:rFonts w:ascii="Times New Roman" w:hAnsi="Times New Roman"/>
        </w:rPr>
        <w:t xml:space="preserve"> </w:t>
      </w:r>
      <w:r w:rsidR="00F87FBA" w:rsidRPr="00207864">
        <w:rPr>
          <w:rFonts w:ascii="Times New Roman" w:hAnsi="Times New Roman"/>
        </w:rPr>
        <w:t xml:space="preserve">that the power to commit a person to prison </w:t>
      </w:r>
      <w:r w:rsidR="002D2953" w:rsidRPr="00207864">
        <w:rPr>
          <w:rFonts w:ascii="Times New Roman" w:hAnsi="Times New Roman"/>
        </w:rPr>
        <w:t xml:space="preserve">because </w:t>
      </w:r>
      <w:r w:rsidR="009B638C" w:rsidRPr="00207864">
        <w:rPr>
          <w:rFonts w:ascii="Times New Roman" w:hAnsi="Times New Roman"/>
        </w:rPr>
        <w:t xml:space="preserve">he or she </w:t>
      </w:r>
      <w:r w:rsidR="002D2953" w:rsidRPr="00207864">
        <w:rPr>
          <w:rFonts w:ascii="Times New Roman" w:hAnsi="Times New Roman"/>
        </w:rPr>
        <w:t>pose</w:t>
      </w:r>
      <w:r w:rsidR="007E696F" w:rsidRPr="00207864">
        <w:rPr>
          <w:rFonts w:ascii="Times New Roman" w:hAnsi="Times New Roman"/>
        </w:rPr>
        <w:t>s</w:t>
      </w:r>
      <w:r w:rsidR="002D2953" w:rsidRPr="00207864">
        <w:rPr>
          <w:rFonts w:ascii="Times New Roman" w:hAnsi="Times New Roman"/>
        </w:rPr>
        <w:t xml:space="preserve"> a risk of re</w:t>
      </w:r>
      <w:r w:rsidR="00664814" w:rsidRPr="00207864">
        <w:rPr>
          <w:rFonts w:ascii="Times New Roman" w:hAnsi="Times New Roman"/>
        </w:rPr>
        <w:noBreakHyphen/>
      </w:r>
      <w:r w:rsidR="002D2953" w:rsidRPr="00207864">
        <w:rPr>
          <w:rFonts w:ascii="Times New Roman" w:hAnsi="Times New Roman"/>
        </w:rPr>
        <w:t>offending</w:t>
      </w:r>
      <w:r w:rsidR="00944B6A" w:rsidRPr="00207864">
        <w:rPr>
          <w:rFonts w:ascii="Times New Roman" w:hAnsi="Times New Roman"/>
        </w:rPr>
        <w:t>,</w:t>
      </w:r>
      <w:r w:rsidR="002D2953" w:rsidRPr="00207864">
        <w:rPr>
          <w:rFonts w:ascii="Times New Roman" w:hAnsi="Times New Roman"/>
        </w:rPr>
        <w:t xml:space="preserve"> and not as punishment for past criminal conduct</w:t>
      </w:r>
      <w:r w:rsidR="00944B6A" w:rsidRPr="00207864">
        <w:rPr>
          <w:rFonts w:ascii="Times New Roman" w:hAnsi="Times New Roman"/>
        </w:rPr>
        <w:t>,</w:t>
      </w:r>
      <w:r w:rsidR="002D2953" w:rsidRPr="00207864">
        <w:rPr>
          <w:rFonts w:ascii="Times New Roman" w:hAnsi="Times New Roman"/>
        </w:rPr>
        <w:t xml:space="preserve"> is repugnant to judicial pro</w:t>
      </w:r>
      <w:r w:rsidR="00DB2CFD" w:rsidRPr="00207864">
        <w:rPr>
          <w:rFonts w:ascii="Times New Roman" w:hAnsi="Times New Roman"/>
        </w:rPr>
        <w:t xml:space="preserve">cess </w:t>
      </w:r>
      <w:r w:rsidR="00F42CC3" w:rsidRPr="00207864">
        <w:rPr>
          <w:rFonts w:ascii="Times New Roman" w:hAnsi="Times New Roman"/>
        </w:rPr>
        <w:t xml:space="preserve">such that </w:t>
      </w:r>
      <w:r w:rsidR="009B638C" w:rsidRPr="00207864">
        <w:rPr>
          <w:rFonts w:ascii="Times New Roman" w:hAnsi="Times New Roman"/>
        </w:rPr>
        <w:t xml:space="preserve">its </w:t>
      </w:r>
      <w:r w:rsidR="00374EEC" w:rsidRPr="00207864">
        <w:rPr>
          <w:rFonts w:ascii="Times New Roman" w:hAnsi="Times New Roman"/>
        </w:rPr>
        <w:t xml:space="preserve">conferral on the Supreme Court </w:t>
      </w:r>
      <w:r w:rsidR="005857D3" w:rsidRPr="00207864">
        <w:rPr>
          <w:rFonts w:ascii="Times New Roman" w:hAnsi="Times New Roman"/>
        </w:rPr>
        <w:t>of Queensland</w:t>
      </w:r>
      <w:r w:rsidR="00C54A1B" w:rsidRPr="00207864">
        <w:rPr>
          <w:rFonts w:ascii="Times New Roman" w:hAnsi="Times New Roman"/>
        </w:rPr>
        <w:t xml:space="preserve"> is</w:t>
      </w:r>
      <w:r w:rsidR="00F42CC3" w:rsidRPr="00207864">
        <w:rPr>
          <w:rFonts w:ascii="Times New Roman" w:hAnsi="Times New Roman"/>
        </w:rPr>
        <w:t xml:space="preserve"> incompatible with th</w:t>
      </w:r>
      <w:r w:rsidR="005857D3" w:rsidRPr="00207864">
        <w:rPr>
          <w:rFonts w:ascii="Times New Roman" w:hAnsi="Times New Roman"/>
        </w:rPr>
        <w:t>at</w:t>
      </w:r>
      <w:r w:rsidR="00F42CC3" w:rsidRPr="00207864">
        <w:rPr>
          <w:rFonts w:ascii="Times New Roman" w:hAnsi="Times New Roman"/>
        </w:rPr>
        <w:t xml:space="preserve"> Court's </w:t>
      </w:r>
      <w:r w:rsidR="005857D3" w:rsidRPr="00207864">
        <w:rPr>
          <w:rFonts w:ascii="Times New Roman" w:hAnsi="Times New Roman"/>
        </w:rPr>
        <w:t xml:space="preserve">role </w:t>
      </w:r>
      <w:r w:rsidR="008B27DB" w:rsidRPr="00207864">
        <w:rPr>
          <w:rFonts w:ascii="Times New Roman" w:hAnsi="Times New Roman"/>
        </w:rPr>
        <w:t xml:space="preserve">as a </w:t>
      </w:r>
      <w:r w:rsidRPr="00207864">
        <w:rPr>
          <w:rFonts w:ascii="Times New Roman" w:hAnsi="Times New Roman"/>
        </w:rPr>
        <w:t xml:space="preserve">repository </w:t>
      </w:r>
      <w:r w:rsidR="00AC4233" w:rsidRPr="00207864">
        <w:rPr>
          <w:rFonts w:ascii="Times New Roman" w:hAnsi="Times New Roman"/>
        </w:rPr>
        <w:t xml:space="preserve">of federal </w:t>
      </w:r>
      <w:r w:rsidR="007451A5" w:rsidRPr="00207864">
        <w:rPr>
          <w:rFonts w:ascii="Times New Roman" w:hAnsi="Times New Roman"/>
        </w:rPr>
        <w:t>judicial power</w:t>
      </w:r>
      <w:r w:rsidR="009C1688" w:rsidRPr="00207864">
        <w:rPr>
          <w:rStyle w:val="FootnoteReference"/>
          <w:rFonts w:ascii="Times New Roman" w:hAnsi="Times New Roman"/>
          <w:sz w:val="24"/>
        </w:rPr>
        <w:footnoteReference w:id="58"/>
      </w:r>
      <w:r w:rsidRPr="00207864">
        <w:rPr>
          <w:rFonts w:ascii="Times New Roman" w:hAnsi="Times New Roman"/>
        </w:rPr>
        <w:t xml:space="preserve">. </w:t>
      </w:r>
      <w:r w:rsidR="0066557E" w:rsidRPr="00207864">
        <w:rPr>
          <w:rFonts w:ascii="Times New Roman" w:hAnsi="Times New Roman"/>
        </w:rPr>
        <w:t>The argument was rejected by six Justices</w:t>
      </w:r>
      <w:r w:rsidR="00BE37A6" w:rsidRPr="00207864">
        <w:rPr>
          <w:rFonts w:ascii="Times New Roman" w:hAnsi="Times New Roman"/>
        </w:rPr>
        <w:t>,</w:t>
      </w:r>
      <w:r w:rsidR="0066557E" w:rsidRPr="00207864">
        <w:rPr>
          <w:rFonts w:ascii="Times New Roman" w:hAnsi="Times New Roman"/>
        </w:rPr>
        <w:t xml:space="preserve"> including Gummow J</w:t>
      </w:r>
      <w:r w:rsidR="000A4703" w:rsidRPr="00207864">
        <w:rPr>
          <w:rStyle w:val="FootnoteReference"/>
          <w:rFonts w:ascii="Times New Roman" w:hAnsi="Times New Roman"/>
          <w:sz w:val="24"/>
        </w:rPr>
        <w:footnoteReference w:id="59"/>
      </w:r>
      <w:r w:rsidR="0066557E" w:rsidRPr="00207864">
        <w:rPr>
          <w:rFonts w:ascii="Times New Roman" w:hAnsi="Times New Roman"/>
        </w:rPr>
        <w:t>.</w:t>
      </w:r>
    </w:p>
    <w:p w14:paraId="44B71727" w14:textId="236518DD" w:rsidR="00BD1257" w:rsidRPr="00207864" w:rsidRDefault="0066557E"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D7604E" w:rsidRPr="00207864">
        <w:rPr>
          <w:rFonts w:ascii="Times New Roman" w:hAnsi="Times New Roman"/>
        </w:rPr>
        <w:t xml:space="preserve">The Attorney-General </w:t>
      </w:r>
      <w:r w:rsidR="00246D08" w:rsidRPr="00207864">
        <w:rPr>
          <w:rFonts w:ascii="Times New Roman" w:hAnsi="Times New Roman"/>
        </w:rPr>
        <w:t>of</w:t>
      </w:r>
      <w:r w:rsidR="00BB5C1F" w:rsidRPr="00207864">
        <w:rPr>
          <w:rFonts w:ascii="Times New Roman" w:hAnsi="Times New Roman"/>
        </w:rPr>
        <w:t xml:space="preserve"> the Commonwealth</w:t>
      </w:r>
      <w:r w:rsidR="008138EA" w:rsidRPr="00207864">
        <w:rPr>
          <w:rFonts w:ascii="Times New Roman" w:hAnsi="Times New Roman"/>
        </w:rPr>
        <w:t>,</w:t>
      </w:r>
      <w:r w:rsidR="00BB5C1F" w:rsidRPr="00207864">
        <w:rPr>
          <w:rFonts w:ascii="Times New Roman" w:hAnsi="Times New Roman"/>
        </w:rPr>
        <w:t xml:space="preserve"> intervening in support of </w:t>
      </w:r>
      <w:r w:rsidR="008138EA" w:rsidRPr="00207864">
        <w:rPr>
          <w:rFonts w:ascii="Times New Roman" w:hAnsi="Times New Roman"/>
        </w:rPr>
        <w:t xml:space="preserve">his Queensland counterpart, </w:t>
      </w:r>
      <w:r w:rsidR="0008150C" w:rsidRPr="00207864">
        <w:rPr>
          <w:rFonts w:ascii="Times New Roman" w:hAnsi="Times New Roman"/>
        </w:rPr>
        <w:t xml:space="preserve">submitted that </w:t>
      </w:r>
      <w:r w:rsidR="009B2009" w:rsidRPr="00207864">
        <w:rPr>
          <w:rFonts w:ascii="Times New Roman" w:hAnsi="Times New Roman"/>
        </w:rPr>
        <w:t xml:space="preserve">the function conferred on the Supreme Court </w:t>
      </w:r>
      <w:r w:rsidR="00652370" w:rsidRPr="00207864">
        <w:rPr>
          <w:rFonts w:ascii="Times New Roman" w:hAnsi="Times New Roman"/>
        </w:rPr>
        <w:t>could not</w:t>
      </w:r>
      <w:r w:rsidR="002258EA" w:rsidRPr="00207864">
        <w:rPr>
          <w:rFonts w:ascii="Times New Roman" w:hAnsi="Times New Roman"/>
        </w:rPr>
        <w:t xml:space="preserve"> contravene the </w:t>
      </w:r>
      <w:r w:rsidR="00872E1E" w:rsidRPr="00207864">
        <w:rPr>
          <w:rFonts w:ascii="Times New Roman" w:hAnsi="Times New Roman"/>
          <w:i/>
        </w:rPr>
        <w:t>Kable</w:t>
      </w:r>
      <w:r w:rsidR="00872E1E" w:rsidRPr="00207864">
        <w:rPr>
          <w:rFonts w:ascii="Times New Roman" w:hAnsi="Times New Roman"/>
        </w:rPr>
        <w:t xml:space="preserve"> </w:t>
      </w:r>
      <w:r w:rsidR="002258EA" w:rsidRPr="00207864">
        <w:rPr>
          <w:rFonts w:ascii="Times New Roman" w:hAnsi="Times New Roman"/>
        </w:rPr>
        <w:t>principle</w:t>
      </w:r>
      <w:r w:rsidR="001A7936" w:rsidRPr="00207864">
        <w:rPr>
          <w:rFonts w:ascii="Times New Roman" w:hAnsi="Times New Roman"/>
        </w:rPr>
        <w:t xml:space="preserve"> </w:t>
      </w:r>
      <w:r w:rsidR="00872E1E" w:rsidRPr="00207864">
        <w:rPr>
          <w:rFonts w:ascii="Times New Roman" w:hAnsi="Times New Roman"/>
        </w:rPr>
        <w:t xml:space="preserve">because </w:t>
      </w:r>
      <w:r w:rsidR="00335D45" w:rsidRPr="00207864">
        <w:rPr>
          <w:rFonts w:ascii="Times New Roman" w:hAnsi="Times New Roman"/>
        </w:rPr>
        <w:t xml:space="preserve">the same function </w:t>
      </w:r>
      <w:r w:rsidR="00042A46" w:rsidRPr="00207864">
        <w:rPr>
          <w:rFonts w:ascii="Times New Roman" w:hAnsi="Times New Roman"/>
        </w:rPr>
        <w:t xml:space="preserve">could validly be conferred </w:t>
      </w:r>
      <w:r w:rsidR="00335D45" w:rsidRPr="00207864">
        <w:rPr>
          <w:rFonts w:ascii="Times New Roman" w:hAnsi="Times New Roman"/>
        </w:rPr>
        <w:t>on</w:t>
      </w:r>
      <w:r w:rsidR="00042A46" w:rsidRPr="00207864">
        <w:rPr>
          <w:rFonts w:ascii="Times New Roman" w:hAnsi="Times New Roman"/>
        </w:rPr>
        <w:t xml:space="preserve"> </w:t>
      </w:r>
      <w:r w:rsidR="00014A5C" w:rsidRPr="00207864">
        <w:rPr>
          <w:rFonts w:ascii="Times New Roman" w:hAnsi="Times New Roman"/>
        </w:rPr>
        <w:t xml:space="preserve">the </w:t>
      </w:r>
      <w:r w:rsidR="00042A46" w:rsidRPr="00207864">
        <w:rPr>
          <w:rFonts w:ascii="Times New Roman" w:hAnsi="Times New Roman"/>
        </w:rPr>
        <w:t>Supreme C</w:t>
      </w:r>
      <w:r w:rsidR="0065427B" w:rsidRPr="00207864">
        <w:rPr>
          <w:rFonts w:ascii="Times New Roman" w:hAnsi="Times New Roman"/>
        </w:rPr>
        <w:t xml:space="preserve">ourt </w:t>
      </w:r>
      <w:r w:rsidR="005B3CCE" w:rsidRPr="00207864">
        <w:rPr>
          <w:rFonts w:ascii="Times New Roman" w:hAnsi="Times New Roman"/>
        </w:rPr>
        <w:t xml:space="preserve">under </w:t>
      </w:r>
      <w:r w:rsidR="0065427B" w:rsidRPr="00207864">
        <w:rPr>
          <w:rFonts w:ascii="Times New Roman" w:hAnsi="Times New Roman"/>
        </w:rPr>
        <w:t>Commonwealth</w:t>
      </w:r>
      <w:r w:rsidR="005B3CCE" w:rsidRPr="00207864">
        <w:rPr>
          <w:rFonts w:ascii="Times New Roman" w:hAnsi="Times New Roman"/>
        </w:rPr>
        <w:t xml:space="preserve"> </w:t>
      </w:r>
      <w:r w:rsidR="00950149" w:rsidRPr="00207864">
        <w:rPr>
          <w:rFonts w:ascii="Times New Roman" w:hAnsi="Times New Roman"/>
        </w:rPr>
        <w:t>law</w:t>
      </w:r>
      <w:r w:rsidR="005C3B46" w:rsidRPr="00207864">
        <w:rPr>
          <w:rStyle w:val="FootnoteReference"/>
          <w:rFonts w:ascii="Times New Roman" w:hAnsi="Times New Roman"/>
          <w:sz w:val="24"/>
        </w:rPr>
        <w:footnoteReference w:id="60"/>
      </w:r>
      <w:r w:rsidR="0065427B" w:rsidRPr="00207864">
        <w:rPr>
          <w:rFonts w:ascii="Times New Roman" w:hAnsi="Times New Roman"/>
        </w:rPr>
        <w:t xml:space="preserve">. </w:t>
      </w:r>
      <w:r w:rsidR="00455A79" w:rsidRPr="00207864">
        <w:rPr>
          <w:rFonts w:ascii="Times New Roman" w:hAnsi="Times New Roman"/>
        </w:rPr>
        <w:t>Gummow </w:t>
      </w:r>
      <w:r w:rsidR="002B62C1" w:rsidRPr="00207864">
        <w:rPr>
          <w:rFonts w:ascii="Times New Roman" w:hAnsi="Times New Roman"/>
        </w:rPr>
        <w:t>J</w:t>
      </w:r>
      <w:r w:rsidR="002258EA" w:rsidRPr="00207864">
        <w:rPr>
          <w:rFonts w:ascii="Times New Roman" w:hAnsi="Times New Roman"/>
        </w:rPr>
        <w:t>, with whose reasons in this respect Kirby J agreed</w:t>
      </w:r>
      <w:r w:rsidR="00B25DD4" w:rsidRPr="00207864">
        <w:rPr>
          <w:rStyle w:val="FootnoteReference"/>
          <w:rFonts w:ascii="Times New Roman" w:hAnsi="Times New Roman"/>
          <w:sz w:val="24"/>
        </w:rPr>
        <w:footnoteReference w:id="61"/>
      </w:r>
      <w:r w:rsidR="002258EA" w:rsidRPr="00207864">
        <w:rPr>
          <w:rFonts w:ascii="Times New Roman" w:hAnsi="Times New Roman"/>
        </w:rPr>
        <w:t xml:space="preserve">, </w:t>
      </w:r>
      <w:r w:rsidR="00B665DF" w:rsidRPr="00207864">
        <w:rPr>
          <w:rFonts w:ascii="Times New Roman" w:hAnsi="Times New Roman"/>
        </w:rPr>
        <w:t xml:space="preserve">was the only member of the Court to </w:t>
      </w:r>
      <w:r w:rsidR="006E054C" w:rsidRPr="00207864">
        <w:rPr>
          <w:rFonts w:ascii="Times New Roman" w:hAnsi="Times New Roman"/>
        </w:rPr>
        <w:t>express a conclu</w:t>
      </w:r>
      <w:r w:rsidR="00982A3D" w:rsidRPr="00207864">
        <w:rPr>
          <w:rFonts w:ascii="Times New Roman" w:hAnsi="Times New Roman"/>
        </w:rPr>
        <w:t>ded</w:t>
      </w:r>
      <w:r w:rsidR="006E054C" w:rsidRPr="00207864">
        <w:rPr>
          <w:rFonts w:ascii="Times New Roman" w:hAnsi="Times New Roman"/>
        </w:rPr>
        <w:t xml:space="preserve"> view on</w:t>
      </w:r>
      <w:r w:rsidR="00476FDB" w:rsidRPr="00207864">
        <w:rPr>
          <w:rFonts w:ascii="Times New Roman" w:hAnsi="Times New Roman"/>
        </w:rPr>
        <w:t xml:space="preserve"> th</w:t>
      </w:r>
      <w:r w:rsidR="002258EA" w:rsidRPr="00207864">
        <w:rPr>
          <w:rFonts w:ascii="Times New Roman" w:hAnsi="Times New Roman"/>
        </w:rPr>
        <w:t>e Attorney</w:t>
      </w:r>
      <w:r w:rsidR="00C37F9D" w:rsidRPr="00207864">
        <w:rPr>
          <w:rFonts w:ascii="Times New Roman" w:hAnsi="Times New Roman"/>
        </w:rPr>
        <w:noBreakHyphen/>
      </w:r>
      <w:r w:rsidR="002258EA" w:rsidRPr="00207864">
        <w:rPr>
          <w:rFonts w:ascii="Times New Roman" w:hAnsi="Times New Roman"/>
        </w:rPr>
        <w:t xml:space="preserve">General </w:t>
      </w:r>
      <w:r w:rsidR="006E054C" w:rsidRPr="00207864">
        <w:rPr>
          <w:rFonts w:ascii="Times New Roman" w:hAnsi="Times New Roman"/>
        </w:rPr>
        <w:t>of</w:t>
      </w:r>
      <w:r w:rsidR="002258EA" w:rsidRPr="00207864">
        <w:rPr>
          <w:rFonts w:ascii="Times New Roman" w:hAnsi="Times New Roman"/>
        </w:rPr>
        <w:t xml:space="preserve"> the Commonwealth's</w:t>
      </w:r>
      <w:r w:rsidR="00E66077" w:rsidRPr="00207864">
        <w:rPr>
          <w:rFonts w:ascii="Times New Roman" w:hAnsi="Times New Roman"/>
        </w:rPr>
        <w:t xml:space="preserve"> </w:t>
      </w:r>
      <w:r w:rsidR="00476FDB" w:rsidRPr="00207864">
        <w:rPr>
          <w:rFonts w:ascii="Times New Roman" w:hAnsi="Times New Roman"/>
        </w:rPr>
        <w:t>submission. His Honour rejected it</w:t>
      </w:r>
      <w:r w:rsidR="00E52FCE" w:rsidRPr="00207864">
        <w:rPr>
          <w:rFonts w:ascii="Times New Roman" w:hAnsi="Times New Roman"/>
        </w:rPr>
        <w:t>,</w:t>
      </w:r>
      <w:r w:rsidR="00476FDB" w:rsidRPr="00207864">
        <w:rPr>
          <w:rFonts w:ascii="Times New Roman" w:hAnsi="Times New Roman"/>
        </w:rPr>
        <w:t xml:space="preserve"> </w:t>
      </w:r>
      <w:r w:rsidR="00AC2540" w:rsidRPr="00207864">
        <w:rPr>
          <w:rFonts w:ascii="Times New Roman" w:hAnsi="Times New Roman"/>
        </w:rPr>
        <w:t>holding</w:t>
      </w:r>
      <w:r w:rsidR="00C00454" w:rsidRPr="00207864">
        <w:rPr>
          <w:rFonts w:ascii="Times New Roman" w:hAnsi="Times New Roman"/>
        </w:rPr>
        <w:t>,</w:t>
      </w:r>
      <w:r w:rsidR="00AC2540" w:rsidRPr="00207864">
        <w:rPr>
          <w:rFonts w:ascii="Times New Roman" w:hAnsi="Times New Roman"/>
        </w:rPr>
        <w:t xml:space="preserve"> </w:t>
      </w:r>
      <w:r w:rsidR="00E52FCE" w:rsidRPr="00207864">
        <w:rPr>
          <w:rFonts w:ascii="Times New Roman" w:hAnsi="Times New Roman"/>
        </w:rPr>
        <w:t xml:space="preserve">on the authority of </w:t>
      </w:r>
      <w:r w:rsidR="0057294C" w:rsidRPr="00207864">
        <w:rPr>
          <w:rFonts w:ascii="Times New Roman" w:hAnsi="Times New Roman"/>
          <w:i/>
        </w:rPr>
        <w:t>Lim</w:t>
      </w:r>
      <w:r w:rsidR="00AE607A" w:rsidRPr="00207864">
        <w:rPr>
          <w:rFonts w:ascii="Times New Roman" w:hAnsi="Times New Roman"/>
        </w:rPr>
        <w:t>,</w:t>
      </w:r>
      <w:r w:rsidR="0057294C" w:rsidRPr="00207864">
        <w:rPr>
          <w:rFonts w:ascii="Times New Roman" w:hAnsi="Times New Roman"/>
        </w:rPr>
        <w:t xml:space="preserve"> </w:t>
      </w:r>
      <w:r w:rsidR="00AC2540" w:rsidRPr="00207864">
        <w:rPr>
          <w:rFonts w:ascii="Times New Roman" w:hAnsi="Times New Roman"/>
        </w:rPr>
        <w:t xml:space="preserve">that </w:t>
      </w:r>
      <w:r w:rsidR="0084545F" w:rsidRPr="00207864">
        <w:rPr>
          <w:rFonts w:ascii="Times New Roman" w:hAnsi="Times New Roman"/>
        </w:rPr>
        <w:t>detention for apprehended conduct is inconsistent with "the central constitutional conception of detention as a consequence of judicial determination of engagement in past conduct"</w:t>
      </w:r>
      <w:r w:rsidR="0084545F" w:rsidRPr="00207864">
        <w:rPr>
          <w:rStyle w:val="FootnoteReference"/>
          <w:rFonts w:ascii="Times New Roman" w:hAnsi="Times New Roman"/>
          <w:sz w:val="24"/>
        </w:rPr>
        <w:footnoteReference w:id="62"/>
      </w:r>
      <w:r w:rsidR="0084545F" w:rsidRPr="00207864">
        <w:rPr>
          <w:rFonts w:ascii="Times New Roman" w:hAnsi="Times New Roman"/>
        </w:rPr>
        <w:t>.</w:t>
      </w:r>
    </w:p>
    <w:p w14:paraId="067DA32C" w14:textId="53D5708A" w:rsidR="00455A79" w:rsidRPr="00207864" w:rsidRDefault="00BE1A50" w:rsidP="00207864">
      <w:pPr>
        <w:pStyle w:val="FixListStyle"/>
        <w:spacing w:after="260" w:line="280" w:lineRule="exact"/>
        <w:ind w:right="0"/>
        <w:jc w:val="both"/>
        <w:rPr>
          <w:rFonts w:ascii="Times New Roman" w:hAnsi="Times New Roman"/>
        </w:rPr>
      </w:pPr>
      <w:r w:rsidRPr="00207864">
        <w:rPr>
          <w:rFonts w:ascii="Times New Roman" w:hAnsi="Times New Roman"/>
        </w:rPr>
        <w:tab/>
        <w:t xml:space="preserve">Gummow J </w:t>
      </w:r>
      <w:r w:rsidR="0038406A" w:rsidRPr="00207864">
        <w:rPr>
          <w:rFonts w:ascii="Times New Roman" w:hAnsi="Times New Roman"/>
        </w:rPr>
        <w:t xml:space="preserve">favoured reformulating the </w:t>
      </w:r>
      <w:r w:rsidR="005857D3" w:rsidRPr="00207864">
        <w:rPr>
          <w:rFonts w:ascii="Times New Roman" w:hAnsi="Times New Roman"/>
          <w:i/>
        </w:rPr>
        <w:t>Lim</w:t>
      </w:r>
      <w:r w:rsidR="005857D3" w:rsidRPr="00207864">
        <w:rPr>
          <w:rFonts w:ascii="Times New Roman" w:hAnsi="Times New Roman"/>
        </w:rPr>
        <w:t xml:space="preserve"> </w:t>
      </w:r>
      <w:r w:rsidR="00455A79" w:rsidRPr="00207864">
        <w:rPr>
          <w:rFonts w:ascii="Times New Roman" w:hAnsi="Times New Roman"/>
        </w:rPr>
        <w:t xml:space="preserve">principle </w:t>
      </w:r>
      <w:r w:rsidR="00496D4B" w:rsidRPr="00207864">
        <w:rPr>
          <w:rFonts w:ascii="Times New Roman" w:hAnsi="Times New Roman"/>
        </w:rPr>
        <w:t xml:space="preserve">by </w:t>
      </w:r>
      <w:r w:rsidR="00CB24EF" w:rsidRPr="00207864">
        <w:rPr>
          <w:rFonts w:ascii="Times New Roman" w:hAnsi="Times New Roman"/>
        </w:rPr>
        <w:t>rem</w:t>
      </w:r>
      <w:r w:rsidR="001C58A9" w:rsidRPr="00207864">
        <w:rPr>
          <w:rFonts w:ascii="Times New Roman" w:hAnsi="Times New Roman"/>
        </w:rPr>
        <w:t xml:space="preserve">oving reference to whether the detention is </w:t>
      </w:r>
      <w:r w:rsidR="00346930" w:rsidRPr="00207864">
        <w:rPr>
          <w:rFonts w:ascii="Times New Roman" w:hAnsi="Times New Roman"/>
        </w:rPr>
        <w:t>"</w:t>
      </w:r>
      <w:r w:rsidR="001C58A9" w:rsidRPr="00207864">
        <w:rPr>
          <w:rFonts w:ascii="Times New Roman" w:hAnsi="Times New Roman"/>
        </w:rPr>
        <w:t xml:space="preserve">penal or punitive in </w:t>
      </w:r>
      <w:r w:rsidR="00784141" w:rsidRPr="00207864">
        <w:rPr>
          <w:rFonts w:ascii="Times New Roman" w:hAnsi="Times New Roman"/>
        </w:rPr>
        <w:t>character</w:t>
      </w:r>
      <w:r w:rsidR="001E0FE3" w:rsidRPr="00207864">
        <w:rPr>
          <w:rFonts w:ascii="Times New Roman" w:hAnsi="Times New Roman"/>
        </w:rPr>
        <w:t>"</w:t>
      </w:r>
      <w:r w:rsidR="00EA37E2" w:rsidRPr="00207864">
        <w:rPr>
          <w:rFonts w:ascii="Times New Roman" w:hAnsi="Times New Roman"/>
        </w:rPr>
        <w:t>,</w:t>
      </w:r>
      <w:r w:rsidR="00784141" w:rsidRPr="00207864">
        <w:rPr>
          <w:rFonts w:ascii="Times New Roman" w:hAnsi="Times New Roman"/>
        </w:rPr>
        <w:t xml:space="preserve"> </w:t>
      </w:r>
      <w:r w:rsidR="005857D3" w:rsidRPr="00207864">
        <w:rPr>
          <w:rFonts w:ascii="Times New Roman" w:hAnsi="Times New Roman"/>
        </w:rPr>
        <w:t xml:space="preserve">in order </w:t>
      </w:r>
      <w:r w:rsidR="00643601" w:rsidRPr="00207864">
        <w:rPr>
          <w:rFonts w:ascii="Times New Roman" w:hAnsi="Times New Roman"/>
        </w:rPr>
        <w:t xml:space="preserve">to </w:t>
      </w:r>
      <w:r w:rsidR="00643601" w:rsidRPr="00207864">
        <w:rPr>
          <w:rFonts w:ascii="Times New Roman" w:hAnsi="Times New Roman"/>
        </w:rPr>
        <w:lastRenderedPageBreak/>
        <w:t xml:space="preserve">emphasise that </w:t>
      </w:r>
      <w:r w:rsidR="001E0FE3" w:rsidRPr="00207864">
        <w:rPr>
          <w:rFonts w:ascii="Times New Roman" w:hAnsi="Times New Roman"/>
        </w:rPr>
        <w:t xml:space="preserve">the constitutional concern is with </w:t>
      </w:r>
      <w:r w:rsidR="005427CE" w:rsidRPr="00207864">
        <w:rPr>
          <w:rFonts w:ascii="Times New Roman" w:hAnsi="Times New Roman"/>
        </w:rPr>
        <w:t xml:space="preserve">the deprivation of </w:t>
      </w:r>
      <w:r w:rsidR="00F3414D" w:rsidRPr="00207864">
        <w:rPr>
          <w:rFonts w:ascii="Times New Roman" w:hAnsi="Times New Roman"/>
        </w:rPr>
        <w:t>liberty</w:t>
      </w:r>
      <w:r w:rsidR="005427CE" w:rsidRPr="00207864">
        <w:rPr>
          <w:rFonts w:ascii="Times New Roman" w:hAnsi="Times New Roman"/>
        </w:rPr>
        <w:t xml:space="preserve"> without adjudication of guilt. </w:t>
      </w:r>
      <w:r w:rsidR="00E322BE" w:rsidRPr="00207864">
        <w:rPr>
          <w:rFonts w:ascii="Times New Roman" w:hAnsi="Times New Roman"/>
        </w:rPr>
        <w:t>His</w:t>
      </w:r>
      <w:r w:rsidR="00D8287D" w:rsidRPr="00207864">
        <w:rPr>
          <w:rFonts w:ascii="Times New Roman" w:hAnsi="Times New Roman"/>
        </w:rPr>
        <w:t> </w:t>
      </w:r>
      <w:r w:rsidR="00E322BE" w:rsidRPr="00207864">
        <w:rPr>
          <w:rFonts w:ascii="Times New Roman" w:hAnsi="Times New Roman"/>
        </w:rPr>
        <w:t>Honour</w:t>
      </w:r>
      <w:r w:rsidR="002725C2" w:rsidRPr="00207864">
        <w:rPr>
          <w:rFonts w:ascii="Times New Roman" w:hAnsi="Times New Roman"/>
        </w:rPr>
        <w:t>'s</w:t>
      </w:r>
      <w:r w:rsidR="00E322BE" w:rsidRPr="00207864">
        <w:rPr>
          <w:rFonts w:ascii="Times New Roman" w:hAnsi="Times New Roman"/>
        </w:rPr>
        <w:t xml:space="preserve"> stat</w:t>
      </w:r>
      <w:r w:rsidR="002725C2" w:rsidRPr="00207864">
        <w:rPr>
          <w:rFonts w:ascii="Times New Roman" w:hAnsi="Times New Roman"/>
        </w:rPr>
        <w:t xml:space="preserve">ement of </w:t>
      </w:r>
      <w:r w:rsidR="00E322BE" w:rsidRPr="00207864">
        <w:rPr>
          <w:rFonts w:ascii="Times New Roman" w:hAnsi="Times New Roman"/>
        </w:rPr>
        <w:t xml:space="preserve">the principle </w:t>
      </w:r>
      <w:r w:rsidR="00C37B40" w:rsidRPr="00207864">
        <w:rPr>
          <w:rFonts w:ascii="Times New Roman" w:hAnsi="Times New Roman"/>
        </w:rPr>
        <w:t xml:space="preserve">was </w:t>
      </w:r>
      <w:r w:rsidR="00E322BE" w:rsidRPr="00207864">
        <w:rPr>
          <w:rFonts w:ascii="Times New Roman" w:hAnsi="Times New Roman"/>
        </w:rPr>
        <w:t>in these terms</w:t>
      </w:r>
      <w:r w:rsidR="00455A79" w:rsidRPr="00207864">
        <w:rPr>
          <w:rStyle w:val="FootnoteReference"/>
          <w:rFonts w:ascii="Times New Roman" w:hAnsi="Times New Roman"/>
          <w:sz w:val="24"/>
        </w:rPr>
        <w:footnoteReference w:id="63"/>
      </w:r>
      <w:r w:rsidR="00455A79" w:rsidRPr="00207864">
        <w:rPr>
          <w:rFonts w:ascii="Times New Roman" w:hAnsi="Times New Roman"/>
        </w:rPr>
        <w:t xml:space="preserve">: </w:t>
      </w:r>
    </w:p>
    <w:p w14:paraId="2F30F8F9" w14:textId="77777777" w:rsidR="00207864" w:rsidRDefault="00455A79" w:rsidP="00207864">
      <w:pPr>
        <w:pStyle w:val="LeftrightafterHC"/>
        <w:spacing w:before="0" w:after="260" w:line="280" w:lineRule="exact"/>
        <w:ind w:right="0"/>
        <w:jc w:val="both"/>
        <w:rPr>
          <w:rFonts w:ascii="Times New Roman" w:hAnsi="Times New Roman"/>
        </w:rPr>
      </w:pPr>
      <w:r w:rsidRPr="00207864">
        <w:rPr>
          <w:rFonts w:ascii="Times New Roman" w:hAnsi="Times New Roman"/>
        </w:rPr>
        <w:t>"'</w:t>
      </w:r>
      <w:r w:rsidR="00A94AF6" w:rsidRPr="00207864">
        <w:rPr>
          <w:rFonts w:ascii="Times New Roman" w:hAnsi="Times New Roman"/>
        </w:rPr>
        <w:t>[</w:t>
      </w:r>
      <w:r w:rsidRPr="00207864">
        <w:rPr>
          <w:rFonts w:ascii="Times New Roman" w:hAnsi="Times New Roman"/>
        </w:rPr>
        <w:t>E</w:t>
      </w:r>
      <w:r w:rsidR="00A94AF6" w:rsidRPr="00207864">
        <w:rPr>
          <w:rFonts w:ascii="Times New Roman" w:hAnsi="Times New Roman"/>
        </w:rPr>
        <w:t>]</w:t>
      </w:r>
      <w:proofErr w:type="spellStart"/>
      <w:r w:rsidRPr="00207864">
        <w:rPr>
          <w:rFonts w:ascii="Times New Roman" w:hAnsi="Times New Roman"/>
        </w:rPr>
        <w:t>xceptional</w:t>
      </w:r>
      <w:proofErr w:type="spellEnd"/>
      <w:r w:rsidRPr="00207864">
        <w:rPr>
          <w:rFonts w:ascii="Times New Roman" w:hAnsi="Times New Roman"/>
        </w:rPr>
        <w:t xml:space="preserve"> cases</w:t>
      </w:r>
      <w:r w:rsidR="00BD20E5" w:rsidRPr="00207864">
        <w:rPr>
          <w:rFonts w:ascii="Times New Roman" w:hAnsi="Times New Roman"/>
        </w:rPr>
        <w:t>'</w:t>
      </w:r>
      <w:r w:rsidRPr="00207864">
        <w:rPr>
          <w:rFonts w:ascii="Times New Roman" w:hAnsi="Times New Roman"/>
        </w:rPr>
        <w:t xml:space="preserve"> aside, the involuntary detention of a citizen in custody by the State is permissible only as a consequential step in the adjudication of criminal guilt of that citizen for past acts.</w:t>
      </w:r>
      <w:r w:rsidR="001277BD" w:rsidRPr="00207864">
        <w:rPr>
          <w:rFonts w:ascii="Times New Roman" w:hAnsi="Times New Roman"/>
        </w:rPr>
        <w:t>"</w:t>
      </w:r>
    </w:p>
    <w:p w14:paraId="142FC360" w14:textId="680F54B1" w:rsidR="00455A79" w:rsidRPr="00207864" w:rsidRDefault="0090665D" w:rsidP="00207864">
      <w:pPr>
        <w:pStyle w:val="NormalBody"/>
        <w:spacing w:after="260" w:line="280" w:lineRule="exact"/>
        <w:ind w:right="0"/>
        <w:jc w:val="both"/>
        <w:rPr>
          <w:rFonts w:ascii="Times New Roman" w:hAnsi="Times New Roman"/>
        </w:rPr>
      </w:pPr>
      <w:r w:rsidRPr="00207864">
        <w:rPr>
          <w:rFonts w:ascii="Times New Roman" w:hAnsi="Times New Roman"/>
        </w:rPr>
        <w:t xml:space="preserve">In his Honour's </w:t>
      </w:r>
      <w:r w:rsidR="00A7567D" w:rsidRPr="00207864">
        <w:rPr>
          <w:rFonts w:ascii="Times New Roman" w:hAnsi="Times New Roman"/>
        </w:rPr>
        <w:t>judgment</w:t>
      </w:r>
      <w:r w:rsidR="00800224" w:rsidRPr="00207864">
        <w:rPr>
          <w:rFonts w:ascii="Times New Roman" w:hAnsi="Times New Roman"/>
        </w:rPr>
        <w:t>, t</w:t>
      </w:r>
      <w:r w:rsidR="00455A79" w:rsidRPr="00207864">
        <w:rPr>
          <w:rFonts w:ascii="Times New Roman" w:hAnsi="Times New Roman"/>
        </w:rPr>
        <w:t xml:space="preserve">he fact that a statutory scheme </w:t>
      </w:r>
      <w:r w:rsidR="00800224" w:rsidRPr="00207864">
        <w:rPr>
          <w:rFonts w:ascii="Times New Roman" w:hAnsi="Times New Roman"/>
        </w:rPr>
        <w:t xml:space="preserve">of </w:t>
      </w:r>
      <w:r w:rsidR="00455A79" w:rsidRPr="00207864">
        <w:rPr>
          <w:rFonts w:ascii="Times New Roman" w:hAnsi="Times New Roman"/>
        </w:rPr>
        <w:t>preventative detention employ</w:t>
      </w:r>
      <w:r w:rsidR="005A3DEF" w:rsidRPr="00207864">
        <w:rPr>
          <w:rFonts w:ascii="Times New Roman" w:hAnsi="Times New Roman"/>
        </w:rPr>
        <w:t>s</w:t>
      </w:r>
      <w:r w:rsidR="00455A79" w:rsidRPr="00207864">
        <w:rPr>
          <w:rFonts w:ascii="Times New Roman" w:hAnsi="Times New Roman"/>
        </w:rPr>
        <w:t xml:space="preserve"> a judicial process of "some refinement" would not</w:t>
      </w:r>
      <w:r w:rsidR="005A3DEF" w:rsidRPr="00207864">
        <w:rPr>
          <w:rFonts w:ascii="Times New Roman" w:hAnsi="Times New Roman"/>
        </w:rPr>
        <w:t xml:space="preserve"> </w:t>
      </w:r>
      <w:r w:rsidR="00C82EBB" w:rsidRPr="00207864">
        <w:rPr>
          <w:rFonts w:ascii="Times New Roman" w:hAnsi="Times New Roman"/>
        </w:rPr>
        <w:t xml:space="preserve">save it from invalidity </w:t>
      </w:r>
      <w:r w:rsidR="00455A79" w:rsidRPr="00207864">
        <w:rPr>
          <w:rFonts w:ascii="Times New Roman" w:hAnsi="Times New Roman"/>
        </w:rPr>
        <w:t xml:space="preserve">because </w:t>
      </w:r>
      <w:r w:rsidR="005857D3" w:rsidRPr="00207864">
        <w:rPr>
          <w:rFonts w:ascii="Times New Roman" w:hAnsi="Times New Roman"/>
        </w:rPr>
        <w:t xml:space="preserve">the vice </w:t>
      </w:r>
      <w:r w:rsidR="00C37B40" w:rsidRPr="00207864">
        <w:rPr>
          <w:rFonts w:ascii="Times New Roman" w:hAnsi="Times New Roman"/>
        </w:rPr>
        <w:t xml:space="preserve">for a Ch III court </w:t>
      </w:r>
      <w:r w:rsidR="00455A79" w:rsidRPr="00207864">
        <w:rPr>
          <w:rFonts w:ascii="Times New Roman" w:hAnsi="Times New Roman"/>
        </w:rPr>
        <w:t>in such a scheme</w:t>
      </w:r>
      <w:r w:rsidR="0068044F" w:rsidRPr="00207864">
        <w:rPr>
          <w:rFonts w:ascii="Times New Roman" w:hAnsi="Times New Roman"/>
        </w:rPr>
        <w:t xml:space="preserve"> </w:t>
      </w:r>
      <w:r w:rsidR="000615BD" w:rsidRPr="00207864">
        <w:rPr>
          <w:rFonts w:ascii="Times New Roman" w:hAnsi="Times New Roman"/>
        </w:rPr>
        <w:t>inhere</w:t>
      </w:r>
      <w:r w:rsidR="0068044F" w:rsidRPr="00207864">
        <w:rPr>
          <w:rFonts w:ascii="Times New Roman" w:hAnsi="Times New Roman"/>
        </w:rPr>
        <w:t>s</w:t>
      </w:r>
      <w:r w:rsidR="000615BD" w:rsidRPr="00207864">
        <w:rPr>
          <w:rFonts w:ascii="Times New Roman" w:hAnsi="Times New Roman"/>
        </w:rPr>
        <w:t xml:space="preserve"> </w:t>
      </w:r>
      <w:r w:rsidR="00455A79" w:rsidRPr="00207864">
        <w:rPr>
          <w:rFonts w:ascii="Times New Roman" w:hAnsi="Times New Roman"/>
        </w:rPr>
        <w:t xml:space="preserve">in the outcome and not the means by which </w:t>
      </w:r>
      <w:r w:rsidR="00946E02" w:rsidRPr="00207864">
        <w:rPr>
          <w:rFonts w:ascii="Times New Roman" w:hAnsi="Times New Roman"/>
        </w:rPr>
        <w:t>the outcome</w:t>
      </w:r>
      <w:r w:rsidR="00455A79" w:rsidRPr="00207864">
        <w:rPr>
          <w:rFonts w:ascii="Times New Roman" w:hAnsi="Times New Roman"/>
        </w:rPr>
        <w:t xml:space="preserve"> </w:t>
      </w:r>
      <w:r w:rsidR="005949A9" w:rsidRPr="00207864">
        <w:rPr>
          <w:rFonts w:ascii="Times New Roman" w:hAnsi="Times New Roman"/>
        </w:rPr>
        <w:t xml:space="preserve">is </w:t>
      </w:r>
      <w:r w:rsidR="00455A79" w:rsidRPr="00207864">
        <w:rPr>
          <w:rFonts w:ascii="Times New Roman" w:hAnsi="Times New Roman"/>
        </w:rPr>
        <w:t>obtained</w:t>
      </w:r>
      <w:r w:rsidR="00455A79" w:rsidRPr="00207864">
        <w:rPr>
          <w:rStyle w:val="FootnoteReference"/>
          <w:rFonts w:ascii="Times New Roman" w:hAnsi="Times New Roman"/>
          <w:sz w:val="24"/>
        </w:rPr>
        <w:footnoteReference w:id="64"/>
      </w:r>
      <w:r w:rsidR="008758F0" w:rsidRPr="00207864">
        <w:rPr>
          <w:rFonts w:ascii="Times New Roman" w:hAnsi="Times New Roman"/>
        </w:rPr>
        <w:t>.</w:t>
      </w:r>
    </w:p>
    <w:p w14:paraId="44921E8C" w14:textId="604CFFC0" w:rsidR="00511723" w:rsidRPr="00207864" w:rsidRDefault="009D3AE4" w:rsidP="00207864">
      <w:pPr>
        <w:pStyle w:val="HeadingL1"/>
        <w:spacing w:after="260" w:line="280" w:lineRule="exact"/>
        <w:ind w:right="0"/>
        <w:jc w:val="both"/>
        <w:rPr>
          <w:rFonts w:ascii="Times New Roman" w:hAnsi="Times New Roman"/>
        </w:rPr>
      </w:pPr>
      <w:r w:rsidRPr="00207864">
        <w:rPr>
          <w:rFonts w:ascii="Times New Roman" w:hAnsi="Times New Roman"/>
        </w:rPr>
        <w:t>T</w:t>
      </w:r>
      <w:r w:rsidR="001A6FCC" w:rsidRPr="00207864">
        <w:rPr>
          <w:rFonts w:ascii="Times New Roman" w:hAnsi="Times New Roman"/>
        </w:rPr>
        <w:t>he C</w:t>
      </w:r>
      <w:r w:rsidR="00BB7ED9" w:rsidRPr="00207864">
        <w:rPr>
          <w:rFonts w:ascii="Times New Roman" w:hAnsi="Times New Roman"/>
        </w:rPr>
        <w:t>ommonwealth's</w:t>
      </w:r>
      <w:r w:rsidR="005857D3" w:rsidRPr="00207864">
        <w:rPr>
          <w:rFonts w:ascii="Times New Roman" w:hAnsi="Times New Roman"/>
        </w:rPr>
        <w:t xml:space="preserve"> submission</w:t>
      </w:r>
    </w:p>
    <w:p w14:paraId="6D31EAF4" w14:textId="4148C024" w:rsidR="009811B3" w:rsidRPr="00207864" w:rsidRDefault="00511723"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AC55B2" w:rsidRPr="00207864">
        <w:rPr>
          <w:rFonts w:ascii="Times New Roman" w:hAnsi="Times New Roman"/>
        </w:rPr>
        <w:t>T</w:t>
      </w:r>
      <w:r w:rsidR="00CA4634" w:rsidRPr="00207864">
        <w:rPr>
          <w:rFonts w:ascii="Times New Roman" w:hAnsi="Times New Roman"/>
        </w:rPr>
        <w:t xml:space="preserve">he </w:t>
      </w:r>
      <w:r w:rsidR="00BC0209" w:rsidRPr="00207864">
        <w:rPr>
          <w:rFonts w:ascii="Times New Roman" w:hAnsi="Times New Roman"/>
        </w:rPr>
        <w:t xml:space="preserve">Commonwealth </w:t>
      </w:r>
      <w:r w:rsidR="005857D3" w:rsidRPr="00207864">
        <w:rPr>
          <w:rFonts w:ascii="Times New Roman" w:hAnsi="Times New Roman"/>
        </w:rPr>
        <w:t xml:space="preserve">is critical of </w:t>
      </w:r>
      <w:r w:rsidR="00BC0209" w:rsidRPr="00207864">
        <w:rPr>
          <w:rFonts w:ascii="Times New Roman" w:hAnsi="Times New Roman"/>
        </w:rPr>
        <w:t xml:space="preserve">Gummow J's </w:t>
      </w:r>
      <w:r w:rsidR="00392DCC" w:rsidRPr="00207864">
        <w:rPr>
          <w:rFonts w:ascii="Times New Roman" w:hAnsi="Times New Roman"/>
        </w:rPr>
        <w:t>formulation</w:t>
      </w:r>
      <w:r w:rsidR="00021A50" w:rsidRPr="00207864">
        <w:rPr>
          <w:rFonts w:ascii="Times New Roman" w:hAnsi="Times New Roman"/>
        </w:rPr>
        <w:t>, characterising it</w:t>
      </w:r>
      <w:r w:rsidR="00392DCC" w:rsidRPr="00207864">
        <w:rPr>
          <w:rFonts w:ascii="Times New Roman" w:hAnsi="Times New Roman"/>
        </w:rPr>
        <w:t xml:space="preserve"> </w:t>
      </w:r>
      <w:r w:rsidR="000C5432" w:rsidRPr="00207864">
        <w:rPr>
          <w:rFonts w:ascii="Times New Roman" w:hAnsi="Times New Roman"/>
        </w:rPr>
        <w:t xml:space="preserve">as </w:t>
      </w:r>
      <w:r w:rsidR="00392DCC" w:rsidRPr="00207864">
        <w:rPr>
          <w:rFonts w:ascii="Times New Roman" w:hAnsi="Times New Roman"/>
        </w:rPr>
        <w:t xml:space="preserve">a radical </w:t>
      </w:r>
      <w:r w:rsidR="00DB77A4" w:rsidRPr="00207864">
        <w:rPr>
          <w:rFonts w:ascii="Times New Roman" w:hAnsi="Times New Roman"/>
        </w:rPr>
        <w:t xml:space="preserve">reworking </w:t>
      </w:r>
      <w:r w:rsidR="006638DC" w:rsidRPr="00207864">
        <w:rPr>
          <w:rFonts w:ascii="Times New Roman" w:hAnsi="Times New Roman"/>
        </w:rPr>
        <w:t xml:space="preserve">that </w:t>
      </w:r>
      <w:r w:rsidR="00BC0209" w:rsidRPr="00207864">
        <w:rPr>
          <w:rFonts w:ascii="Times New Roman" w:hAnsi="Times New Roman"/>
        </w:rPr>
        <w:t xml:space="preserve">converts a principle </w:t>
      </w:r>
      <w:r w:rsidR="00BC08AC" w:rsidRPr="00207864">
        <w:rPr>
          <w:rFonts w:ascii="Times New Roman" w:hAnsi="Times New Roman"/>
        </w:rPr>
        <w:t>which articulates</w:t>
      </w:r>
      <w:r w:rsidR="00BC0209" w:rsidRPr="00207864">
        <w:rPr>
          <w:rFonts w:ascii="Times New Roman" w:hAnsi="Times New Roman"/>
        </w:rPr>
        <w:t xml:space="preserve"> why the </w:t>
      </w:r>
      <w:r w:rsidR="00106D31" w:rsidRPr="00207864">
        <w:rPr>
          <w:rFonts w:ascii="Times New Roman" w:hAnsi="Times New Roman"/>
        </w:rPr>
        <w:t>e</w:t>
      </w:r>
      <w:r w:rsidR="000A0112" w:rsidRPr="00207864">
        <w:rPr>
          <w:rFonts w:ascii="Times New Roman" w:hAnsi="Times New Roman"/>
        </w:rPr>
        <w:t>xecutive</w:t>
      </w:r>
      <w:r w:rsidR="00BC0209" w:rsidRPr="00207864">
        <w:rPr>
          <w:rFonts w:ascii="Times New Roman" w:hAnsi="Times New Roman"/>
        </w:rPr>
        <w:t xml:space="preserve"> may not detain </w:t>
      </w:r>
      <w:r w:rsidR="00420579" w:rsidRPr="00207864">
        <w:rPr>
          <w:rFonts w:ascii="Times New Roman" w:hAnsi="Times New Roman"/>
        </w:rPr>
        <w:t xml:space="preserve">a person </w:t>
      </w:r>
      <w:r w:rsidR="00BC0209" w:rsidRPr="00207864">
        <w:rPr>
          <w:rFonts w:ascii="Times New Roman" w:hAnsi="Times New Roman"/>
        </w:rPr>
        <w:t xml:space="preserve">for a punitive purpose into a principle that precludes any detention for non-punitive purposes under Commonwealth law whether by the </w:t>
      </w:r>
      <w:r w:rsidR="00106D31" w:rsidRPr="00207864">
        <w:rPr>
          <w:rFonts w:ascii="Times New Roman" w:hAnsi="Times New Roman"/>
        </w:rPr>
        <w:t>e</w:t>
      </w:r>
      <w:r w:rsidR="000A0112" w:rsidRPr="00207864">
        <w:rPr>
          <w:rFonts w:ascii="Times New Roman" w:hAnsi="Times New Roman"/>
        </w:rPr>
        <w:t>xecutive</w:t>
      </w:r>
      <w:r w:rsidR="00BC0209" w:rsidRPr="00207864">
        <w:rPr>
          <w:rFonts w:ascii="Times New Roman" w:hAnsi="Times New Roman"/>
        </w:rPr>
        <w:t xml:space="preserve"> or </w:t>
      </w:r>
      <w:r w:rsidR="00B21E1A" w:rsidRPr="00207864">
        <w:rPr>
          <w:rFonts w:ascii="Times New Roman" w:hAnsi="Times New Roman"/>
        </w:rPr>
        <w:t xml:space="preserve">by a </w:t>
      </w:r>
      <w:r w:rsidR="00BC0209" w:rsidRPr="00207864">
        <w:rPr>
          <w:rFonts w:ascii="Times New Roman" w:hAnsi="Times New Roman"/>
        </w:rPr>
        <w:t xml:space="preserve">Ch III court. </w:t>
      </w:r>
      <w:r w:rsidR="00941C21" w:rsidRPr="00207864">
        <w:rPr>
          <w:rFonts w:ascii="Times New Roman" w:hAnsi="Times New Roman"/>
        </w:rPr>
        <w:t>In the result</w:t>
      </w:r>
      <w:r w:rsidR="005857D3" w:rsidRPr="00207864">
        <w:rPr>
          <w:rFonts w:ascii="Times New Roman" w:hAnsi="Times New Roman"/>
        </w:rPr>
        <w:t>,</w:t>
      </w:r>
      <w:r w:rsidR="00941C21" w:rsidRPr="00207864">
        <w:rPr>
          <w:rFonts w:ascii="Times New Roman" w:hAnsi="Times New Roman"/>
        </w:rPr>
        <w:t xml:space="preserve"> t</w:t>
      </w:r>
      <w:r w:rsidR="00BC0209" w:rsidRPr="00207864">
        <w:rPr>
          <w:rFonts w:ascii="Times New Roman" w:hAnsi="Times New Roman"/>
        </w:rPr>
        <w:t xml:space="preserve">he </w:t>
      </w:r>
      <w:r w:rsidR="005857D3" w:rsidRPr="00207864">
        <w:rPr>
          <w:rFonts w:ascii="Times New Roman" w:hAnsi="Times New Roman"/>
        </w:rPr>
        <w:t>Commonwealth submits</w:t>
      </w:r>
      <w:r w:rsidR="002F38AC" w:rsidRPr="00207864">
        <w:rPr>
          <w:rFonts w:ascii="Times New Roman" w:hAnsi="Times New Roman"/>
        </w:rPr>
        <w:t>,</w:t>
      </w:r>
      <w:r w:rsidR="005857D3" w:rsidRPr="00207864">
        <w:rPr>
          <w:rFonts w:ascii="Times New Roman" w:hAnsi="Times New Roman"/>
        </w:rPr>
        <w:t xml:space="preserve"> the </w:t>
      </w:r>
      <w:r w:rsidR="00BC0209" w:rsidRPr="00207864">
        <w:rPr>
          <w:rFonts w:ascii="Times New Roman" w:hAnsi="Times New Roman"/>
        </w:rPr>
        <w:t>separation of powers operates to deny to each arm</w:t>
      </w:r>
      <w:r w:rsidR="00F51CAC" w:rsidRPr="00207864">
        <w:rPr>
          <w:rFonts w:ascii="Times New Roman" w:hAnsi="Times New Roman"/>
        </w:rPr>
        <w:t xml:space="preserve"> </w:t>
      </w:r>
      <w:r w:rsidR="00BC0209" w:rsidRPr="00207864">
        <w:rPr>
          <w:rFonts w:ascii="Times New Roman" w:hAnsi="Times New Roman"/>
        </w:rPr>
        <w:t xml:space="preserve">of government the </w:t>
      </w:r>
      <w:r w:rsidR="005857D3" w:rsidRPr="00207864">
        <w:rPr>
          <w:rFonts w:ascii="Times New Roman" w:hAnsi="Times New Roman"/>
        </w:rPr>
        <w:t xml:space="preserve">ability </w:t>
      </w:r>
      <w:r w:rsidR="00BC0209" w:rsidRPr="00207864">
        <w:rPr>
          <w:rFonts w:ascii="Times New Roman" w:hAnsi="Times New Roman"/>
        </w:rPr>
        <w:t xml:space="preserve">to detain </w:t>
      </w:r>
      <w:r w:rsidR="00F51CAC" w:rsidRPr="00207864">
        <w:rPr>
          <w:rFonts w:ascii="Times New Roman" w:hAnsi="Times New Roman"/>
        </w:rPr>
        <w:t xml:space="preserve">a person </w:t>
      </w:r>
      <w:r w:rsidR="00BC0209" w:rsidRPr="00207864">
        <w:rPr>
          <w:rFonts w:ascii="Times New Roman" w:hAnsi="Times New Roman"/>
        </w:rPr>
        <w:t>in the custody of the State for a non-punitive purpose.</w:t>
      </w:r>
      <w:r w:rsidR="009338AE" w:rsidRPr="00207864">
        <w:rPr>
          <w:rFonts w:ascii="Times New Roman" w:hAnsi="Times New Roman"/>
        </w:rPr>
        <w:t xml:space="preserve"> </w:t>
      </w:r>
      <w:r w:rsidR="009811B3" w:rsidRPr="00207864">
        <w:rPr>
          <w:rFonts w:ascii="Times New Roman" w:hAnsi="Times New Roman"/>
        </w:rPr>
        <w:t xml:space="preserve">The Commonwealth invokes Gaudron J's analysis in </w:t>
      </w:r>
      <w:r w:rsidR="009811B3" w:rsidRPr="00207864">
        <w:rPr>
          <w:rFonts w:ascii="Times New Roman" w:hAnsi="Times New Roman"/>
          <w:i/>
        </w:rPr>
        <w:t>Kruger v The Commonwealth</w:t>
      </w:r>
      <w:r w:rsidR="009811B3" w:rsidRPr="00207864">
        <w:rPr>
          <w:rFonts w:ascii="Times New Roman" w:hAnsi="Times New Roman"/>
        </w:rPr>
        <w:t xml:space="preserve"> in support of </w:t>
      </w:r>
      <w:r w:rsidR="001F0A0F" w:rsidRPr="00207864">
        <w:rPr>
          <w:rFonts w:ascii="Times New Roman" w:hAnsi="Times New Roman"/>
        </w:rPr>
        <w:t>the</w:t>
      </w:r>
      <w:r w:rsidR="009811B3" w:rsidRPr="00207864">
        <w:rPr>
          <w:rFonts w:ascii="Times New Roman" w:hAnsi="Times New Roman"/>
        </w:rPr>
        <w:t xml:space="preserve"> contention that the exceptions to </w:t>
      </w:r>
      <w:r w:rsidR="001F0A0F" w:rsidRPr="00207864">
        <w:rPr>
          <w:rFonts w:ascii="Times New Roman" w:hAnsi="Times New Roman"/>
        </w:rPr>
        <w:t xml:space="preserve">the </w:t>
      </w:r>
      <w:r w:rsidR="002258EA" w:rsidRPr="00207864">
        <w:rPr>
          <w:rFonts w:ascii="Times New Roman" w:hAnsi="Times New Roman"/>
          <w:i/>
        </w:rPr>
        <w:t xml:space="preserve">Lim </w:t>
      </w:r>
      <w:r w:rsidR="001F0A0F" w:rsidRPr="00207864">
        <w:rPr>
          <w:rFonts w:ascii="Times New Roman" w:hAnsi="Times New Roman"/>
        </w:rPr>
        <w:t xml:space="preserve">general proposition </w:t>
      </w:r>
      <w:r w:rsidR="009811B3" w:rsidRPr="00207864">
        <w:rPr>
          <w:rFonts w:ascii="Times New Roman" w:hAnsi="Times New Roman"/>
        </w:rPr>
        <w:t xml:space="preserve">are so numerous as to belie </w:t>
      </w:r>
      <w:r w:rsidR="00C26A31" w:rsidRPr="00207864">
        <w:rPr>
          <w:rFonts w:ascii="Times New Roman" w:hAnsi="Times New Roman"/>
        </w:rPr>
        <w:t>the claim</w:t>
      </w:r>
      <w:r w:rsidR="009811B3" w:rsidRPr="00207864">
        <w:rPr>
          <w:rFonts w:ascii="Times New Roman" w:hAnsi="Times New Roman"/>
        </w:rPr>
        <w:t xml:space="preserve"> that the power to authorise detention in the custody of the State is exclusively judicial</w:t>
      </w:r>
      <w:r w:rsidR="009811B3" w:rsidRPr="00207864">
        <w:rPr>
          <w:rStyle w:val="FootnoteReference"/>
          <w:rFonts w:ascii="Times New Roman" w:hAnsi="Times New Roman"/>
          <w:sz w:val="24"/>
        </w:rPr>
        <w:footnoteReference w:id="65"/>
      </w:r>
      <w:r w:rsidR="009811B3" w:rsidRPr="00207864">
        <w:rPr>
          <w:rFonts w:ascii="Times New Roman" w:hAnsi="Times New Roman"/>
        </w:rPr>
        <w:t>.</w:t>
      </w:r>
    </w:p>
    <w:p w14:paraId="7006E97F" w14:textId="1903979D" w:rsidR="00AF65D4" w:rsidRPr="00207864" w:rsidRDefault="001F0A0F"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9811B3" w:rsidRPr="00207864">
        <w:rPr>
          <w:rFonts w:ascii="Times New Roman" w:hAnsi="Times New Roman"/>
        </w:rPr>
        <w:t>T</w:t>
      </w:r>
      <w:r w:rsidR="00206B5B" w:rsidRPr="00207864">
        <w:rPr>
          <w:rFonts w:ascii="Times New Roman" w:hAnsi="Times New Roman"/>
        </w:rPr>
        <w:t xml:space="preserve">he </w:t>
      </w:r>
      <w:r w:rsidR="00425881" w:rsidRPr="00207864">
        <w:rPr>
          <w:rFonts w:ascii="Times New Roman" w:hAnsi="Times New Roman"/>
        </w:rPr>
        <w:t>Co</w:t>
      </w:r>
      <w:r w:rsidR="00240F11" w:rsidRPr="00207864">
        <w:rPr>
          <w:rFonts w:ascii="Times New Roman" w:hAnsi="Times New Roman"/>
        </w:rPr>
        <w:t xml:space="preserve">mmonwealth is </w:t>
      </w:r>
      <w:r w:rsidR="009811B3" w:rsidRPr="00207864">
        <w:rPr>
          <w:rFonts w:ascii="Times New Roman" w:hAnsi="Times New Roman"/>
        </w:rPr>
        <w:t xml:space="preserve">also </w:t>
      </w:r>
      <w:r w:rsidR="00240F11" w:rsidRPr="00207864">
        <w:rPr>
          <w:rFonts w:ascii="Times New Roman" w:hAnsi="Times New Roman"/>
        </w:rPr>
        <w:t xml:space="preserve">critical of Gummow J's rejection of the </w:t>
      </w:r>
      <w:r w:rsidR="000A0D2F" w:rsidRPr="00207864">
        <w:rPr>
          <w:rFonts w:ascii="Times New Roman" w:hAnsi="Times New Roman"/>
        </w:rPr>
        <w:t>utility of the distinction between detention for punitive and non</w:t>
      </w:r>
      <w:r w:rsidR="002054DF" w:rsidRPr="00207864">
        <w:rPr>
          <w:rFonts w:ascii="Times New Roman" w:hAnsi="Times New Roman"/>
        </w:rPr>
        <w:noBreakHyphen/>
      </w:r>
      <w:r w:rsidR="000A0D2F" w:rsidRPr="00207864">
        <w:rPr>
          <w:rFonts w:ascii="Times New Roman" w:hAnsi="Times New Roman"/>
        </w:rPr>
        <w:t>punitive purposes</w:t>
      </w:r>
      <w:r w:rsidR="0081040A" w:rsidRPr="00207864">
        <w:rPr>
          <w:rFonts w:ascii="Times New Roman" w:hAnsi="Times New Roman"/>
        </w:rPr>
        <w:t xml:space="preserve"> –</w:t>
      </w:r>
      <w:r w:rsidR="008646B9" w:rsidRPr="00207864">
        <w:rPr>
          <w:rFonts w:ascii="Times New Roman" w:hAnsi="Times New Roman"/>
        </w:rPr>
        <w:t xml:space="preserve"> a distinction</w:t>
      </w:r>
      <w:r w:rsidR="00E75C1B" w:rsidRPr="00207864">
        <w:rPr>
          <w:rFonts w:ascii="Times New Roman" w:hAnsi="Times New Roman"/>
        </w:rPr>
        <w:t>,</w:t>
      </w:r>
      <w:r w:rsidR="00F219BB" w:rsidRPr="00207864">
        <w:rPr>
          <w:rFonts w:ascii="Times New Roman" w:hAnsi="Times New Roman"/>
        </w:rPr>
        <w:t xml:space="preserve"> </w:t>
      </w:r>
      <w:r w:rsidR="00116CA3" w:rsidRPr="00207864">
        <w:rPr>
          <w:rFonts w:ascii="Times New Roman" w:hAnsi="Times New Roman"/>
        </w:rPr>
        <w:t xml:space="preserve">the Commonwealth </w:t>
      </w:r>
      <w:r w:rsidR="007F088A" w:rsidRPr="00207864">
        <w:rPr>
          <w:rFonts w:ascii="Times New Roman" w:hAnsi="Times New Roman"/>
        </w:rPr>
        <w:t>submits</w:t>
      </w:r>
      <w:r w:rsidR="00E75C1B" w:rsidRPr="00207864">
        <w:rPr>
          <w:rFonts w:ascii="Times New Roman" w:hAnsi="Times New Roman"/>
        </w:rPr>
        <w:t xml:space="preserve">, </w:t>
      </w:r>
      <w:r w:rsidR="008646B9" w:rsidRPr="00207864">
        <w:rPr>
          <w:rFonts w:ascii="Times New Roman" w:hAnsi="Times New Roman"/>
        </w:rPr>
        <w:t xml:space="preserve">that has been </w:t>
      </w:r>
      <w:r w:rsidR="0071085A" w:rsidRPr="00207864">
        <w:rPr>
          <w:rFonts w:ascii="Times New Roman" w:hAnsi="Times New Roman"/>
        </w:rPr>
        <w:t xml:space="preserve">endorsed </w:t>
      </w:r>
      <w:r w:rsidR="005943FE" w:rsidRPr="00207864">
        <w:rPr>
          <w:rFonts w:ascii="Times New Roman" w:hAnsi="Times New Roman"/>
        </w:rPr>
        <w:t xml:space="preserve">in a line of decisions since </w:t>
      </w:r>
      <w:r w:rsidR="005943FE" w:rsidRPr="00207864">
        <w:rPr>
          <w:rFonts w:ascii="Times New Roman" w:hAnsi="Times New Roman"/>
          <w:i/>
        </w:rPr>
        <w:t>Lim</w:t>
      </w:r>
      <w:r w:rsidR="000A0D2F" w:rsidRPr="00207864">
        <w:rPr>
          <w:rStyle w:val="FootnoteReference"/>
          <w:rFonts w:ascii="Times New Roman" w:hAnsi="Times New Roman"/>
          <w:sz w:val="24"/>
        </w:rPr>
        <w:footnoteReference w:id="66"/>
      </w:r>
      <w:r w:rsidR="000A0D2F" w:rsidRPr="00207864">
        <w:rPr>
          <w:rFonts w:ascii="Times New Roman" w:hAnsi="Times New Roman"/>
        </w:rPr>
        <w:t xml:space="preserve">. </w:t>
      </w:r>
      <w:r w:rsidR="00351549" w:rsidRPr="00207864">
        <w:rPr>
          <w:rFonts w:ascii="Times New Roman" w:hAnsi="Times New Roman"/>
        </w:rPr>
        <w:t>In the Commonwealth's submission, t</w:t>
      </w:r>
      <w:r w:rsidR="00C11A5E" w:rsidRPr="00207864">
        <w:rPr>
          <w:rFonts w:ascii="Times New Roman" w:hAnsi="Times New Roman"/>
        </w:rPr>
        <w:t xml:space="preserve">he principle </w:t>
      </w:r>
      <w:r w:rsidR="00832B23" w:rsidRPr="00207864">
        <w:rPr>
          <w:rFonts w:ascii="Times New Roman" w:hAnsi="Times New Roman"/>
        </w:rPr>
        <w:t xml:space="preserve">to be </w:t>
      </w:r>
      <w:r w:rsidR="00832B23" w:rsidRPr="00207864">
        <w:rPr>
          <w:rFonts w:ascii="Times New Roman" w:hAnsi="Times New Roman"/>
        </w:rPr>
        <w:lastRenderedPageBreak/>
        <w:t xml:space="preserve">distilled </w:t>
      </w:r>
      <w:r w:rsidR="00C11A5E" w:rsidRPr="00207864">
        <w:rPr>
          <w:rFonts w:ascii="Times New Roman" w:hAnsi="Times New Roman"/>
        </w:rPr>
        <w:t xml:space="preserve">from this line of authority is </w:t>
      </w:r>
      <w:r w:rsidR="006915BF" w:rsidRPr="00207864">
        <w:rPr>
          <w:rFonts w:ascii="Times New Roman" w:hAnsi="Times New Roman"/>
        </w:rPr>
        <w:t xml:space="preserve">that </w:t>
      </w:r>
      <w:r w:rsidR="000A0D2F" w:rsidRPr="00207864">
        <w:rPr>
          <w:rFonts w:ascii="Times New Roman" w:hAnsi="Times New Roman"/>
        </w:rPr>
        <w:t>whether</w:t>
      </w:r>
      <w:r w:rsidR="003A33AD" w:rsidRPr="00207864">
        <w:rPr>
          <w:rFonts w:ascii="Times New Roman" w:hAnsi="Times New Roman"/>
        </w:rPr>
        <w:t xml:space="preserve"> power to order </w:t>
      </w:r>
      <w:r w:rsidR="000A0D2F" w:rsidRPr="00207864">
        <w:rPr>
          <w:rFonts w:ascii="Times New Roman" w:hAnsi="Times New Roman"/>
        </w:rPr>
        <w:t xml:space="preserve">detention in </w:t>
      </w:r>
      <w:r w:rsidR="00DA3199" w:rsidRPr="00207864">
        <w:rPr>
          <w:rFonts w:ascii="Times New Roman" w:hAnsi="Times New Roman"/>
        </w:rPr>
        <w:t xml:space="preserve">the </w:t>
      </w:r>
      <w:r w:rsidR="000A0D2F" w:rsidRPr="00207864">
        <w:rPr>
          <w:rFonts w:ascii="Times New Roman" w:hAnsi="Times New Roman"/>
        </w:rPr>
        <w:t xml:space="preserve">custody </w:t>
      </w:r>
      <w:r w:rsidR="00DA3199" w:rsidRPr="00207864">
        <w:rPr>
          <w:rFonts w:ascii="Times New Roman" w:hAnsi="Times New Roman"/>
        </w:rPr>
        <w:t xml:space="preserve">of the State </w:t>
      </w:r>
      <w:r w:rsidR="000A0D2F" w:rsidRPr="00207864">
        <w:rPr>
          <w:rFonts w:ascii="Times New Roman" w:hAnsi="Times New Roman"/>
        </w:rPr>
        <w:t>is exclusively entrusted to Ch</w:t>
      </w:r>
      <w:r w:rsidR="00437C7A" w:rsidRPr="00207864">
        <w:rPr>
          <w:rFonts w:ascii="Times New Roman" w:hAnsi="Times New Roman"/>
        </w:rPr>
        <w:t> </w:t>
      </w:r>
      <w:r w:rsidR="000A0D2F" w:rsidRPr="00207864">
        <w:rPr>
          <w:rFonts w:ascii="Times New Roman" w:hAnsi="Times New Roman"/>
        </w:rPr>
        <w:t xml:space="preserve">III courts depends upon whether </w:t>
      </w:r>
      <w:r w:rsidR="007527D8" w:rsidRPr="00207864">
        <w:rPr>
          <w:rFonts w:ascii="Times New Roman" w:hAnsi="Times New Roman"/>
        </w:rPr>
        <w:t>the detention</w:t>
      </w:r>
      <w:r w:rsidR="0034758D" w:rsidRPr="00207864">
        <w:rPr>
          <w:rFonts w:ascii="Times New Roman" w:hAnsi="Times New Roman"/>
        </w:rPr>
        <w:t xml:space="preserve"> </w:t>
      </w:r>
      <w:r w:rsidR="000A0D2F" w:rsidRPr="00207864">
        <w:rPr>
          <w:rFonts w:ascii="Times New Roman" w:hAnsi="Times New Roman"/>
        </w:rPr>
        <w:t>is imposed as punishment for a breach of the law.</w:t>
      </w:r>
    </w:p>
    <w:p w14:paraId="2EA7DCA4" w14:textId="5C7212CF" w:rsidR="00B51A14" w:rsidRPr="00207864" w:rsidRDefault="00AF65D4"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1620DC" w:rsidRPr="00207864">
        <w:rPr>
          <w:rFonts w:ascii="Times New Roman" w:hAnsi="Times New Roman"/>
        </w:rPr>
        <w:t>The decisions to which the</w:t>
      </w:r>
      <w:r w:rsidR="00C5308E" w:rsidRPr="00207864">
        <w:rPr>
          <w:rFonts w:ascii="Times New Roman" w:hAnsi="Times New Roman"/>
        </w:rPr>
        <w:t xml:space="preserve"> Commonwealth</w:t>
      </w:r>
      <w:r w:rsidR="000146A0" w:rsidRPr="00207864">
        <w:rPr>
          <w:rFonts w:ascii="Times New Roman" w:hAnsi="Times New Roman"/>
        </w:rPr>
        <w:t xml:space="preserve"> </w:t>
      </w:r>
      <w:r w:rsidR="00635398" w:rsidRPr="00207864">
        <w:rPr>
          <w:rFonts w:ascii="Times New Roman" w:hAnsi="Times New Roman"/>
        </w:rPr>
        <w:t>refers involv</w:t>
      </w:r>
      <w:r w:rsidR="001F0A0F" w:rsidRPr="00207864">
        <w:rPr>
          <w:rFonts w:ascii="Times New Roman" w:hAnsi="Times New Roman"/>
        </w:rPr>
        <w:t>e</w:t>
      </w:r>
      <w:r w:rsidR="00635398" w:rsidRPr="00207864">
        <w:rPr>
          <w:rFonts w:ascii="Times New Roman" w:hAnsi="Times New Roman"/>
        </w:rPr>
        <w:t xml:space="preserve"> </w:t>
      </w:r>
      <w:r w:rsidR="001620DC" w:rsidRPr="00207864">
        <w:rPr>
          <w:rFonts w:ascii="Times New Roman" w:hAnsi="Times New Roman"/>
        </w:rPr>
        <w:t>administ</w:t>
      </w:r>
      <w:r w:rsidR="009811B3" w:rsidRPr="00207864">
        <w:rPr>
          <w:rFonts w:ascii="Times New Roman" w:hAnsi="Times New Roman"/>
        </w:rPr>
        <w:t xml:space="preserve">rative </w:t>
      </w:r>
      <w:r w:rsidR="00F9392A" w:rsidRPr="00207864">
        <w:rPr>
          <w:rFonts w:ascii="Times New Roman" w:hAnsi="Times New Roman"/>
        </w:rPr>
        <w:t>detention</w:t>
      </w:r>
      <w:r w:rsidR="001F0A0F" w:rsidRPr="00207864">
        <w:rPr>
          <w:rFonts w:ascii="Times New Roman" w:hAnsi="Times New Roman"/>
        </w:rPr>
        <w:t xml:space="preserve"> of a kind that </w:t>
      </w:r>
      <w:r w:rsidR="00C917E2" w:rsidRPr="00207864">
        <w:rPr>
          <w:rFonts w:ascii="Times New Roman" w:hAnsi="Times New Roman"/>
        </w:rPr>
        <w:t>is</w:t>
      </w:r>
      <w:r w:rsidR="00351549" w:rsidRPr="00207864">
        <w:rPr>
          <w:rFonts w:ascii="Times New Roman" w:hAnsi="Times New Roman"/>
        </w:rPr>
        <w:t xml:space="preserve"> </w:t>
      </w:r>
      <w:r w:rsidR="001F0A0F" w:rsidRPr="00207864">
        <w:rPr>
          <w:rFonts w:ascii="Times New Roman" w:hAnsi="Times New Roman"/>
        </w:rPr>
        <w:t>acknowledged to be among the</w:t>
      </w:r>
      <w:r w:rsidR="006917A1" w:rsidRPr="00207864">
        <w:rPr>
          <w:rFonts w:ascii="Times New Roman" w:hAnsi="Times New Roman"/>
        </w:rPr>
        <w:t xml:space="preserve"> </w:t>
      </w:r>
      <w:r w:rsidR="001F0A0F" w:rsidRPr="00207864">
        <w:rPr>
          <w:rFonts w:ascii="Times New Roman" w:hAnsi="Times New Roman"/>
        </w:rPr>
        <w:t>exception</w:t>
      </w:r>
      <w:r w:rsidR="006917A1" w:rsidRPr="00207864">
        <w:rPr>
          <w:rFonts w:ascii="Times New Roman" w:hAnsi="Times New Roman"/>
        </w:rPr>
        <w:t xml:space="preserve">s </w:t>
      </w:r>
      <w:r w:rsidR="001F0A0F" w:rsidRPr="00207864">
        <w:rPr>
          <w:rFonts w:ascii="Times New Roman" w:hAnsi="Times New Roman"/>
        </w:rPr>
        <w:t>that qualif</w:t>
      </w:r>
      <w:r w:rsidR="00351549" w:rsidRPr="00207864">
        <w:rPr>
          <w:rFonts w:ascii="Times New Roman" w:hAnsi="Times New Roman"/>
        </w:rPr>
        <w:t>y</w:t>
      </w:r>
      <w:r w:rsidR="001F0A0F" w:rsidRPr="00207864">
        <w:rPr>
          <w:rFonts w:ascii="Times New Roman" w:hAnsi="Times New Roman"/>
        </w:rPr>
        <w:t xml:space="preserve"> the </w:t>
      </w:r>
      <w:r w:rsidR="001F0A0F" w:rsidRPr="00207864">
        <w:rPr>
          <w:rFonts w:ascii="Times New Roman" w:hAnsi="Times New Roman"/>
          <w:i/>
        </w:rPr>
        <w:t>Lim</w:t>
      </w:r>
      <w:r w:rsidR="001F0A0F" w:rsidRPr="00207864">
        <w:rPr>
          <w:rFonts w:ascii="Times New Roman" w:hAnsi="Times New Roman"/>
        </w:rPr>
        <w:t xml:space="preserve"> general proposition</w:t>
      </w:r>
      <w:r w:rsidR="00931175" w:rsidRPr="00207864">
        <w:rPr>
          <w:rFonts w:ascii="Times New Roman" w:hAnsi="Times New Roman"/>
        </w:rPr>
        <w:t>.</w:t>
      </w:r>
      <w:r w:rsidR="001F0A0F" w:rsidRPr="00207864">
        <w:rPr>
          <w:rFonts w:ascii="Times New Roman" w:hAnsi="Times New Roman"/>
        </w:rPr>
        <w:t xml:space="preserve"> </w:t>
      </w:r>
      <w:r w:rsidR="001620DC" w:rsidRPr="00207864">
        <w:rPr>
          <w:rFonts w:ascii="Times New Roman" w:hAnsi="Times New Roman"/>
        </w:rPr>
        <w:t>Th</w:t>
      </w:r>
      <w:r w:rsidR="00A030EC" w:rsidRPr="00207864">
        <w:rPr>
          <w:rFonts w:ascii="Times New Roman" w:hAnsi="Times New Roman"/>
        </w:rPr>
        <w:t xml:space="preserve">e </w:t>
      </w:r>
      <w:r w:rsidR="00931175" w:rsidRPr="00207864">
        <w:rPr>
          <w:rFonts w:ascii="Times New Roman" w:hAnsi="Times New Roman"/>
        </w:rPr>
        <w:t xml:space="preserve">contention </w:t>
      </w:r>
      <w:r w:rsidR="003A589F" w:rsidRPr="00207864">
        <w:rPr>
          <w:rFonts w:ascii="Times New Roman" w:hAnsi="Times New Roman"/>
        </w:rPr>
        <w:t>that</w:t>
      </w:r>
      <w:r w:rsidR="00B42620" w:rsidRPr="00207864">
        <w:rPr>
          <w:rFonts w:ascii="Times New Roman" w:hAnsi="Times New Roman"/>
        </w:rPr>
        <w:t xml:space="preserve"> </w:t>
      </w:r>
      <w:r w:rsidR="00A07EC1" w:rsidRPr="00207864">
        <w:rPr>
          <w:rFonts w:ascii="Times New Roman" w:hAnsi="Times New Roman"/>
        </w:rPr>
        <w:t xml:space="preserve">the Parliament may empower the </w:t>
      </w:r>
      <w:r w:rsidR="00F12B01" w:rsidRPr="00207864">
        <w:rPr>
          <w:rFonts w:ascii="Times New Roman" w:hAnsi="Times New Roman"/>
        </w:rPr>
        <w:t>e</w:t>
      </w:r>
      <w:r w:rsidR="000A0112" w:rsidRPr="00207864">
        <w:rPr>
          <w:rFonts w:ascii="Times New Roman" w:hAnsi="Times New Roman"/>
        </w:rPr>
        <w:t>xecutive</w:t>
      </w:r>
      <w:r w:rsidR="00A07EC1" w:rsidRPr="00207864">
        <w:rPr>
          <w:rFonts w:ascii="Times New Roman" w:hAnsi="Times New Roman"/>
        </w:rPr>
        <w:t xml:space="preserve"> or </w:t>
      </w:r>
      <w:r w:rsidR="00FC1E20" w:rsidRPr="00207864">
        <w:rPr>
          <w:rFonts w:ascii="Times New Roman" w:hAnsi="Times New Roman"/>
        </w:rPr>
        <w:t xml:space="preserve">Ch III courts to detain a person in </w:t>
      </w:r>
      <w:r w:rsidR="00E16C30" w:rsidRPr="00207864">
        <w:rPr>
          <w:rFonts w:ascii="Times New Roman" w:hAnsi="Times New Roman"/>
        </w:rPr>
        <w:t xml:space="preserve">the </w:t>
      </w:r>
      <w:r w:rsidR="00FC1E20" w:rsidRPr="00207864">
        <w:rPr>
          <w:rFonts w:ascii="Times New Roman" w:hAnsi="Times New Roman"/>
        </w:rPr>
        <w:t xml:space="preserve">custody </w:t>
      </w:r>
      <w:r w:rsidR="00E16C30" w:rsidRPr="00207864">
        <w:rPr>
          <w:rFonts w:ascii="Times New Roman" w:hAnsi="Times New Roman"/>
        </w:rPr>
        <w:t xml:space="preserve">of the State </w:t>
      </w:r>
      <w:r w:rsidR="00FC1E20" w:rsidRPr="00207864">
        <w:rPr>
          <w:rFonts w:ascii="Times New Roman" w:hAnsi="Times New Roman"/>
        </w:rPr>
        <w:t xml:space="preserve">for any </w:t>
      </w:r>
      <w:r w:rsidR="00B92A12" w:rsidRPr="00207864">
        <w:rPr>
          <w:rFonts w:ascii="Times New Roman" w:hAnsi="Times New Roman"/>
        </w:rPr>
        <w:t xml:space="preserve">purpose other than as punishment for breach of the law </w:t>
      </w:r>
      <w:r w:rsidR="00AD50C2" w:rsidRPr="00207864">
        <w:rPr>
          <w:rFonts w:ascii="Times New Roman" w:hAnsi="Times New Roman"/>
        </w:rPr>
        <w:t xml:space="preserve">may be thought to be </w:t>
      </w:r>
      <w:r w:rsidR="005A45F3" w:rsidRPr="00207864">
        <w:rPr>
          <w:rFonts w:ascii="Times New Roman" w:hAnsi="Times New Roman"/>
        </w:rPr>
        <w:t>a radical re</w:t>
      </w:r>
      <w:r w:rsidR="004D2820" w:rsidRPr="00207864">
        <w:rPr>
          <w:rFonts w:ascii="Times New Roman" w:hAnsi="Times New Roman"/>
        </w:rPr>
        <w:t xml:space="preserve">working of </w:t>
      </w:r>
      <w:r w:rsidR="00545C7E" w:rsidRPr="00207864">
        <w:rPr>
          <w:rFonts w:ascii="Times New Roman" w:hAnsi="Times New Roman"/>
        </w:rPr>
        <w:t xml:space="preserve">the </w:t>
      </w:r>
      <w:r w:rsidR="009811B3" w:rsidRPr="00207864">
        <w:rPr>
          <w:rFonts w:ascii="Times New Roman" w:hAnsi="Times New Roman"/>
          <w:i/>
        </w:rPr>
        <w:t xml:space="preserve">Lim </w:t>
      </w:r>
      <w:r w:rsidR="000811D0" w:rsidRPr="00207864">
        <w:rPr>
          <w:rFonts w:ascii="Times New Roman" w:hAnsi="Times New Roman"/>
        </w:rPr>
        <w:t>general proposition</w:t>
      </w:r>
      <w:r w:rsidR="00AD50C2" w:rsidRPr="00207864">
        <w:rPr>
          <w:rStyle w:val="FootnoteReference"/>
          <w:rFonts w:ascii="Times New Roman" w:hAnsi="Times New Roman"/>
          <w:sz w:val="24"/>
        </w:rPr>
        <w:footnoteReference w:id="67"/>
      </w:r>
      <w:r w:rsidR="000811D0" w:rsidRPr="00207864">
        <w:rPr>
          <w:rFonts w:ascii="Times New Roman" w:hAnsi="Times New Roman"/>
        </w:rPr>
        <w:t xml:space="preserve">. </w:t>
      </w:r>
    </w:p>
    <w:p w14:paraId="57BCF966" w14:textId="1EA66436" w:rsidR="00931175" w:rsidRPr="00207864" w:rsidRDefault="00873053" w:rsidP="00207864">
      <w:pPr>
        <w:pStyle w:val="HeadingL1"/>
        <w:spacing w:after="260" w:line="280" w:lineRule="exact"/>
        <w:ind w:right="0"/>
        <w:jc w:val="both"/>
        <w:rPr>
          <w:rFonts w:ascii="Times New Roman" w:hAnsi="Times New Roman"/>
        </w:rPr>
      </w:pPr>
      <w:r w:rsidRPr="00207864">
        <w:rPr>
          <w:rFonts w:ascii="Times New Roman" w:hAnsi="Times New Roman"/>
        </w:rPr>
        <w:t>T</w:t>
      </w:r>
      <w:r w:rsidR="00931175" w:rsidRPr="00207864">
        <w:rPr>
          <w:rFonts w:ascii="Times New Roman" w:hAnsi="Times New Roman"/>
        </w:rPr>
        <w:t>he exceptions t</w:t>
      </w:r>
      <w:r w:rsidR="00351549" w:rsidRPr="00207864">
        <w:rPr>
          <w:rFonts w:ascii="Times New Roman" w:hAnsi="Times New Roman"/>
        </w:rPr>
        <w:t xml:space="preserve">o </w:t>
      </w:r>
      <w:r w:rsidR="00351549" w:rsidRPr="00207864">
        <w:rPr>
          <w:rFonts w:ascii="Times New Roman" w:hAnsi="Times New Roman"/>
          <w:i/>
        </w:rPr>
        <w:t>Lim</w:t>
      </w:r>
    </w:p>
    <w:p w14:paraId="2600BA14" w14:textId="4DBDCC3D" w:rsidR="00DC5F37" w:rsidRPr="00207864" w:rsidRDefault="00B51A14"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742A4A" w:rsidRPr="00207864">
        <w:rPr>
          <w:rFonts w:ascii="Times New Roman" w:hAnsi="Times New Roman"/>
        </w:rPr>
        <w:t xml:space="preserve">The </w:t>
      </w:r>
      <w:r w:rsidR="00931175" w:rsidRPr="00207864">
        <w:rPr>
          <w:rFonts w:ascii="Times New Roman" w:hAnsi="Times New Roman"/>
        </w:rPr>
        <w:t xml:space="preserve">answer to the </w:t>
      </w:r>
      <w:r w:rsidR="00742A4A" w:rsidRPr="00207864">
        <w:rPr>
          <w:rFonts w:ascii="Times New Roman" w:hAnsi="Times New Roman"/>
        </w:rPr>
        <w:t xml:space="preserve">question reserved does not require consideration </w:t>
      </w:r>
      <w:r w:rsidR="00F338E0" w:rsidRPr="00207864">
        <w:rPr>
          <w:rFonts w:ascii="Times New Roman" w:hAnsi="Times New Roman"/>
        </w:rPr>
        <w:t xml:space="preserve">of the scope of exceptions </w:t>
      </w:r>
      <w:r w:rsidR="006C2EAA" w:rsidRPr="00207864">
        <w:rPr>
          <w:rFonts w:ascii="Times New Roman" w:hAnsi="Times New Roman"/>
        </w:rPr>
        <w:t xml:space="preserve">to the </w:t>
      </w:r>
      <w:r w:rsidR="00931175" w:rsidRPr="00207864">
        <w:rPr>
          <w:rFonts w:ascii="Times New Roman" w:hAnsi="Times New Roman"/>
          <w:i/>
        </w:rPr>
        <w:t xml:space="preserve">Lim </w:t>
      </w:r>
      <w:r w:rsidR="00F338E0" w:rsidRPr="00207864">
        <w:rPr>
          <w:rFonts w:ascii="Times New Roman" w:hAnsi="Times New Roman"/>
        </w:rPr>
        <w:t>general proposition</w:t>
      </w:r>
      <w:r w:rsidR="00BF5C66" w:rsidRPr="00207864">
        <w:rPr>
          <w:rFonts w:ascii="Times New Roman" w:hAnsi="Times New Roman"/>
        </w:rPr>
        <w:t xml:space="preserve"> that the power to order </w:t>
      </w:r>
      <w:r w:rsidR="00276777" w:rsidRPr="00207864">
        <w:rPr>
          <w:rFonts w:ascii="Times New Roman" w:hAnsi="Times New Roman"/>
        </w:rPr>
        <w:t xml:space="preserve">that a person be involuntarily </w:t>
      </w:r>
      <w:r w:rsidR="00567FFE" w:rsidRPr="00207864">
        <w:rPr>
          <w:rFonts w:ascii="Times New Roman" w:hAnsi="Times New Roman"/>
        </w:rPr>
        <w:t xml:space="preserve">detained in </w:t>
      </w:r>
      <w:r w:rsidR="0099273C" w:rsidRPr="00207864">
        <w:rPr>
          <w:rFonts w:ascii="Times New Roman" w:hAnsi="Times New Roman"/>
        </w:rPr>
        <w:t xml:space="preserve">the </w:t>
      </w:r>
      <w:r w:rsidR="00567FFE" w:rsidRPr="00207864">
        <w:rPr>
          <w:rFonts w:ascii="Times New Roman" w:hAnsi="Times New Roman"/>
        </w:rPr>
        <w:t xml:space="preserve">custody </w:t>
      </w:r>
      <w:r w:rsidR="0099273C" w:rsidRPr="00207864">
        <w:rPr>
          <w:rFonts w:ascii="Times New Roman" w:hAnsi="Times New Roman"/>
        </w:rPr>
        <w:t xml:space="preserve">of the State </w:t>
      </w:r>
      <w:r w:rsidR="00567FFE" w:rsidRPr="00207864">
        <w:rPr>
          <w:rFonts w:ascii="Times New Roman" w:hAnsi="Times New Roman"/>
        </w:rPr>
        <w:t xml:space="preserve">is entrusted exclusively to Ch III courts. </w:t>
      </w:r>
      <w:r w:rsidR="007D1408" w:rsidRPr="00207864">
        <w:rPr>
          <w:rFonts w:ascii="Times New Roman" w:hAnsi="Times New Roman"/>
        </w:rPr>
        <w:t xml:space="preserve">Division </w:t>
      </w:r>
      <w:r w:rsidR="009C6049" w:rsidRPr="00207864">
        <w:rPr>
          <w:rFonts w:ascii="Times New Roman" w:hAnsi="Times New Roman"/>
        </w:rPr>
        <w:t>105A confers power on a Ch III court</w:t>
      </w:r>
      <w:r w:rsidR="001A789C" w:rsidRPr="00207864">
        <w:rPr>
          <w:rFonts w:ascii="Times New Roman" w:hAnsi="Times New Roman"/>
        </w:rPr>
        <w:t xml:space="preserve">. </w:t>
      </w:r>
      <w:r w:rsidR="00D72688" w:rsidRPr="00207864">
        <w:rPr>
          <w:rFonts w:ascii="Times New Roman" w:hAnsi="Times New Roman"/>
        </w:rPr>
        <w:t xml:space="preserve">The question reserved </w:t>
      </w:r>
      <w:r w:rsidR="008176C1" w:rsidRPr="00207864">
        <w:rPr>
          <w:rFonts w:ascii="Times New Roman" w:hAnsi="Times New Roman"/>
        </w:rPr>
        <w:t xml:space="preserve">is concerned with the allied </w:t>
      </w:r>
      <w:r w:rsidR="00931175" w:rsidRPr="00207864">
        <w:rPr>
          <w:rFonts w:ascii="Times New Roman" w:hAnsi="Times New Roman"/>
          <w:i/>
        </w:rPr>
        <w:t xml:space="preserve">Lim </w:t>
      </w:r>
      <w:r w:rsidR="008176C1" w:rsidRPr="00207864">
        <w:rPr>
          <w:rFonts w:ascii="Times New Roman" w:hAnsi="Times New Roman"/>
        </w:rPr>
        <w:t xml:space="preserve">principle that </w:t>
      </w:r>
      <w:r w:rsidR="00DF3995" w:rsidRPr="00207864">
        <w:rPr>
          <w:rFonts w:ascii="Times New Roman" w:hAnsi="Times New Roman"/>
        </w:rPr>
        <w:t xml:space="preserve">involuntary detention in the custody of the State </w:t>
      </w:r>
      <w:r w:rsidR="00F20605" w:rsidRPr="00207864">
        <w:rPr>
          <w:rFonts w:ascii="Times New Roman" w:hAnsi="Times New Roman"/>
        </w:rPr>
        <w:t xml:space="preserve">under our system of government </w:t>
      </w:r>
      <w:r w:rsidR="00415E4C" w:rsidRPr="00207864">
        <w:rPr>
          <w:rFonts w:ascii="Times New Roman" w:hAnsi="Times New Roman"/>
        </w:rPr>
        <w:t xml:space="preserve">exists only as </w:t>
      </w:r>
      <w:r w:rsidR="00924B08" w:rsidRPr="00207864">
        <w:rPr>
          <w:rFonts w:ascii="Times New Roman" w:hAnsi="Times New Roman"/>
        </w:rPr>
        <w:t xml:space="preserve">an incident of the adjudgment and punishment of criminal guilt. </w:t>
      </w:r>
    </w:p>
    <w:p w14:paraId="49A0DBC5" w14:textId="516BB676" w:rsidR="00C265D3" w:rsidRPr="00207864" w:rsidRDefault="00DC5F37"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0E6832" w:rsidRPr="00207864">
        <w:rPr>
          <w:rFonts w:ascii="Times New Roman" w:hAnsi="Times New Roman"/>
        </w:rPr>
        <w:t>A</w:t>
      </w:r>
      <w:r w:rsidR="00DE1C51" w:rsidRPr="00207864">
        <w:rPr>
          <w:rFonts w:ascii="Times New Roman" w:hAnsi="Times New Roman"/>
        </w:rPr>
        <w:t xml:space="preserve">s the joint reasons </w:t>
      </w:r>
      <w:r w:rsidR="009833FA" w:rsidRPr="00207864">
        <w:rPr>
          <w:rFonts w:ascii="Times New Roman" w:hAnsi="Times New Roman"/>
        </w:rPr>
        <w:t xml:space="preserve">in </w:t>
      </w:r>
      <w:r w:rsidR="009833FA" w:rsidRPr="00207864">
        <w:rPr>
          <w:rFonts w:ascii="Times New Roman" w:hAnsi="Times New Roman"/>
          <w:i/>
        </w:rPr>
        <w:t>Lim</w:t>
      </w:r>
      <w:r w:rsidR="009833FA" w:rsidRPr="00207864">
        <w:rPr>
          <w:rFonts w:ascii="Times New Roman" w:hAnsi="Times New Roman"/>
        </w:rPr>
        <w:t xml:space="preserve"> </w:t>
      </w:r>
      <w:r w:rsidR="00DE1C51" w:rsidRPr="00207864">
        <w:rPr>
          <w:rFonts w:ascii="Times New Roman" w:hAnsi="Times New Roman"/>
        </w:rPr>
        <w:t>acknowledged</w:t>
      </w:r>
      <w:r w:rsidR="00A82D33" w:rsidRPr="00207864">
        <w:rPr>
          <w:rFonts w:ascii="Times New Roman" w:hAnsi="Times New Roman"/>
        </w:rPr>
        <w:t>,</w:t>
      </w:r>
      <w:r w:rsidR="00DE1C51" w:rsidRPr="00207864">
        <w:rPr>
          <w:rFonts w:ascii="Times New Roman" w:hAnsi="Times New Roman"/>
        </w:rPr>
        <w:t xml:space="preserve"> the</w:t>
      </w:r>
      <w:r w:rsidR="009946BF" w:rsidRPr="00207864">
        <w:rPr>
          <w:rFonts w:ascii="Times New Roman" w:hAnsi="Times New Roman"/>
        </w:rPr>
        <w:t xml:space="preserve">re are exceptions to </w:t>
      </w:r>
      <w:r w:rsidR="000E6832" w:rsidRPr="00207864">
        <w:rPr>
          <w:rFonts w:ascii="Times New Roman" w:hAnsi="Times New Roman"/>
        </w:rPr>
        <w:t>the characterisation of detention by the State as penal or punitive in character</w:t>
      </w:r>
      <w:r w:rsidR="009946BF" w:rsidRPr="00207864">
        <w:rPr>
          <w:rFonts w:ascii="Times New Roman" w:hAnsi="Times New Roman"/>
        </w:rPr>
        <w:t xml:space="preserve">. </w:t>
      </w:r>
      <w:r w:rsidR="00163BDE" w:rsidRPr="00207864">
        <w:rPr>
          <w:rFonts w:ascii="Times New Roman" w:hAnsi="Times New Roman"/>
        </w:rPr>
        <w:t xml:space="preserve">It is </w:t>
      </w:r>
      <w:r w:rsidR="00163BDE" w:rsidRPr="00207864">
        <w:rPr>
          <w:rFonts w:ascii="Times New Roman" w:hAnsi="Times New Roman"/>
        </w:rPr>
        <w:lastRenderedPageBreak/>
        <w:t>Mr</w:t>
      </w:r>
      <w:r w:rsidR="00DC7C10" w:rsidRPr="00207864">
        <w:rPr>
          <w:rFonts w:ascii="Times New Roman" w:hAnsi="Times New Roman"/>
        </w:rPr>
        <w:t> </w:t>
      </w:r>
      <w:proofErr w:type="spellStart"/>
      <w:r w:rsidR="00163BDE" w:rsidRPr="00207864">
        <w:rPr>
          <w:rFonts w:ascii="Times New Roman" w:hAnsi="Times New Roman"/>
        </w:rPr>
        <w:t>Benbrika's</w:t>
      </w:r>
      <w:proofErr w:type="spellEnd"/>
      <w:r w:rsidR="00163BDE" w:rsidRPr="00207864">
        <w:rPr>
          <w:rFonts w:ascii="Times New Roman" w:hAnsi="Times New Roman"/>
        </w:rPr>
        <w:t xml:space="preserve"> case </w:t>
      </w:r>
      <w:r w:rsidR="0046639C" w:rsidRPr="00207864">
        <w:rPr>
          <w:rFonts w:ascii="Times New Roman" w:hAnsi="Times New Roman"/>
        </w:rPr>
        <w:t xml:space="preserve">that the </w:t>
      </w:r>
      <w:r w:rsidR="00163BDE" w:rsidRPr="00207864">
        <w:rPr>
          <w:rFonts w:ascii="Times New Roman" w:hAnsi="Times New Roman"/>
        </w:rPr>
        <w:t xml:space="preserve">exceptions </w:t>
      </w:r>
      <w:r w:rsidR="006914A5" w:rsidRPr="00207864">
        <w:rPr>
          <w:rFonts w:ascii="Times New Roman" w:hAnsi="Times New Roman"/>
        </w:rPr>
        <w:t xml:space="preserve">identified in </w:t>
      </w:r>
      <w:r w:rsidR="006914A5" w:rsidRPr="00207864">
        <w:rPr>
          <w:rFonts w:ascii="Times New Roman" w:hAnsi="Times New Roman"/>
          <w:i/>
        </w:rPr>
        <w:t xml:space="preserve">Lim </w:t>
      </w:r>
      <w:r w:rsidR="00F10410" w:rsidRPr="00207864">
        <w:rPr>
          <w:rFonts w:ascii="Times New Roman" w:hAnsi="Times New Roman"/>
        </w:rPr>
        <w:t xml:space="preserve">– </w:t>
      </w:r>
      <w:r w:rsidR="0046639C" w:rsidRPr="00207864">
        <w:rPr>
          <w:rFonts w:ascii="Times New Roman" w:hAnsi="Times New Roman"/>
        </w:rPr>
        <w:t>committal to custody awaiting trial</w:t>
      </w:r>
      <w:r w:rsidR="00353B07" w:rsidRPr="00207864">
        <w:rPr>
          <w:rFonts w:ascii="Times New Roman" w:hAnsi="Times New Roman"/>
        </w:rPr>
        <w:t xml:space="preserve"> and</w:t>
      </w:r>
      <w:r w:rsidR="00950EB6" w:rsidRPr="00207864">
        <w:rPr>
          <w:rFonts w:ascii="Times New Roman" w:hAnsi="Times New Roman"/>
        </w:rPr>
        <w:t xml:space="preserve"> </w:t>
      </w:r>
      <w:r w:rsidR="0046639C" w:rsidRPr="00207864">
        <w:rPr>
          <w:rFonts w:ascii="Times New Roman" w:hAnsi="Times New Roman"/>
        </w:rPr>
        <w:t xml:space="preserve">detention of the mentally ill or those suffering from infectious disease </w:t>
      </w:r>
      <w:r w:rsidR="00F10410" w:rsidRPr="00207864">
        <w:rPr>
          <w:rFonts w:ascii="Times New Roman" w:hAnsi="Times New Roman"/>
        </w:rPr>
        <w:t>–</w:t>
      </w:r>
      <w:r w:rsidR="0046639C" w:rsidRPr="00207864">
        <w:rPr>
          <w:rFonts w:ascii="Times New Roman" w:hAnsi="Times New Roman"/>
        </w:rPr>
        <w:t xml:space="preserve"> all pre-date federation and </w:t>
      </w:r>
      <w:r w:rsidR="00931175" w:rsidRPr="00207864">
        <w:rPr>
          <w:rFonts w:ascii="Times New Roman" w:hAnsi="Times New Roman"/>
        </w:rPr>
        <w:t xml:space="preserve">are to </w:t>
      </w:r>
      <w:r w:rsidR="0046639C" w:rsidRPr="00207864">
        <w:rPr>
          <w:rFonts w:ascii="Times New Roman" w:hAnsi="Times New Roman"/>
        </w:rPr>
        <w:t xml:space="preserve">be taken to have been intended to fall within the judicial power of the Commonwealth. </w:t>
      </w:r>
      <w:r w:rsidR="00505DB5" w:rsidRPr="00207864">
        <w:rPr>
          <w:rFonts w:ascii="Times New Roman" w:hAnsi="Times New Roman"/>
        </w:rPr>
        <w:t>T</w:t>
      </w:r>
      <w:r w:rsidR="0046639C" w:rsidRPr="00207864">
        <w:rPr>
          <w:rFonts w:ascii="Times New Roman" w:hAnsi="Times New Roman"/>
        </w:rPr>
        <w:t>he absence of pre</w:t>
      </w:r>
      <w:r w:rsidR="008529D8" w:rsidRPr="00207864">
        <w:rPr>
          <w:rFonts w:ascii="Times New Roman" w:hAnsi="Times New Roman"/>
        </w:rPr>
        <w:noBreakHyphen/>
      </w:r>
      <w:r w:rsidR="0046639C" w:rsidRPr="00207864">
        <w:rPr>
          <w:rFonts w:ascii="Times New Roman" w:hAnsi="Times New Roman"/>
        </w:rPr>
        <w:t>federation precedent for court</w:t>
      </w:r>
      <w:r w:rsidR="007D10FC" w:rsidRPr="00207864">
        <w:rPr>
          <w:rFonts w:ascii="Times New Roman" w:hAnsi="Times New Roman"/>
        </w:rPr>
        <w:t>-</w:t>
      </w:r>
      <w:r w:rsidR="0046639C" w:rsidRPr="00207864">
        <w:rPr>
          <w:rFonts w:ascii="Times New Roman" w:hAnsi="Times New Roman"/>
        </w:rPr>
        <w:t xml:space="preserve">ordered committal to prison for apprehended conduct, divorced from any finding of criminal guilt or mental impairment, </w:t>
      </w:r>
      <w:r w:rsidR="00C7505D" w:rsidRPr="00207864">
        <w:rPr>
          <w:rFonts w:ascii="Times New Roman" w:hAnsi="Times New Roman"/>
        </w:rPr>
        <w:t>is</w:t>
      </w:r>
      <w:r w:rsidR="0046639C" w:rsidRPr="00207864">
        <w:rPr>
          <w:rFonts w:ascii="Times New Roman" w:hAnsi="Times New Roman"/>
        </w:rPr>
        <w:t xml:space="preserve"> </w:t>
      </w:r>
      <w:r w:rsidR="00505DB5" w:rsidRPr="00207864">
        <w:rPr>
          <w:rFonts w:ascii="Times New Roman" w:hAnsi="Times New Roman"/>
        </w:rPr>
        <w:t xml:space="preserve">submitted to </w:t>
      </w:r>
      <w:r w:rsidR="00931175" w:rsidRPr="00207864">
        <w:rPr>
          <w:rFonts w:ascii="Times New Roman" w:hAnsi="Times New Roman"/>
        </w:rPr>
        <w:t xml:space="preserve">be </w:t>
      </w:r>
      <w:r w:rsidR="0046639C" w:rsidRPr="00207864">
        <w:rPr>
          <w:rFonts w:ascii="Times New Roman" w:hAnsi="Times New Roman"/>
        </w:rPr>
        <w:t xml:space="preserve">against finding that </w:t>
      </w:r>
      <w:r w:rsidR="00505DB5" w:rsidRPr="00207864">
        <w:rPr>
          <w:rFonts w:ascii="Times New Roman" w:hAnsi="Times New Roman"/>
        </w:rPr>
        <w:t xml:space="preserve">the power conferred by </w:t>
      </w:r>
      <w:r w:rsidR="000B433E" w:rsidRPr="00207864">
        <w:rPr>
          <w:rFonts w:ascii="Times New Roman" w:hAnsi="Times New Roman"/>
        </w:rPr>
        <w:t xml:space="preserve">Div 105A </w:t>
      </w:r>
      <w:r w:rsidR="00D57248" w:rsidRPr="00207864">
        <w:rPr>
          <w:rFonts w:ascii="Times New Roman" w:hAnsi="Times New Roman"/>
        </w:rPr>
        <w:t>can fall within</w:t>
      </w:r>
      <w:r w:rsidR="000B433E" w:rsidRPr="00207864">
        <w:rPr>
          <w:rFonts w:ascii="Times New Roman" w:hAnsi="Times New Roman"/>
        </w:rPr>
        <w:t xml:space="preserve"> an exception to the</w:t>
      </w:r>
      <w:r w:rsidR="00931175" w:rsidRPr="00207864">
        <w:rPr>
          <w:rFonts w:ascii="Times New Roman" w:hAnsi="Times New Roman"/>
        </w:rPr>
        <w:t xml:space="preserve"> </w:t>
      </w:r>
      <w:r w:rsidR="00931175" w:rsidRPr="00207864">
        <w:rPr>
          <w:rFonts w:ascii="Times New Roman" w:hAnsi="Times New Roman"/>
          <w:i/>
        </w:rPr>
        <w:t>Lim</w:t>
      </w:r>
      <w:r w:rsidR="000B433E" w:rsidRPr="00207864">
        <w:rPr>
          <w:rFonts w:ascii="Times New Roman" w:hAnsi="Times New Roman"/>
        </w:rPr>
        <w:t xml:space="preserve"> principle</w:t>
      </w:r>
      <w:r w:rsidR="0046639C" w:rsidRPr="00207864">
        <w:rPr>
          <w:rFonts w:ascii="Times New Roman" w:hAnsi="Times New Roman"/>
        </w:rPr>
        <w:t>.</w:t>
      </w:r>
    </w:p>
    <w:p w14:paraId="24257618" w14:textId="1F487A20" w:rsidR="0067405D" w:rsidRPr="00207864" w:rsidRDefault="00E158DD"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67405D" w:rsidRPr="00207864">
        <w:rPr>
          <w:rFonts w:ascii="Times New Roman" w:hAnsi="Times New Roman"/>
        </w:rPr>
        <w:t xml:space="preserve">Acceptance of Mr </w:t>
      </w:r>
      <w:proofErr w:type="spellStart"/>
      <w:r w:rsidR="0067405D" w:rsidRPr="00207864">
        <w:rPr>
          <w:rFonts w:ascii="Times New Roman" w:hAnsi="Times New Roman"/>
        </w:rPr>
        <w:t>Benbrika's</w:t>
      </w:r>
      <w:proofErr w:type="spellEnd"/>
      <w:r w:rsidR="0067405D" w:rsidRPr="00207864">
        <w:rPr>
          <w:rFonts w:ascii="Times New Roman" w:hAnsi="Times New Roman"/>
        </w:rPr>
        <w:t xml:space="preserve"> primary argument </w:t>
      </w:r>
      <w:r w:rsidR="00897199" w:rsidRPr="00207864">
        <w:rPr>
          <w:rFonts w:ascii="Times New Roman" w:hAnsi="Times New Roman"/>
        </w:rPr>
        <w:t>would</w:t>
      </w:r>
      <w:r w:rsidR="0067405D" w:rsidRPr="00207864">
        <w:rPr>
          <w:rFonts w:ascii="Times New Roman" w:hAnsi="Times New Roman"/>
        </w:rPr>
        <w:t xml:space="preserve"> produce the consequence that no arm of </w:t>
      </w:r>
      <w:r w:rsidR="00646B5A" w:rsidRPr="00207864">
        <w:rPr>
          <w:rFonts w:ascii="Times New Roman" w:hAnsi="Times New Roman"/>
        </w:rPr>
        <w:t xml:space="preserve">the </w:t>
      </w:r>
      <w:r w:rsidR="005171B9" w:rsidRPr="00207864" w:rsidDel="00646B5A">
        <w:rPr>
          <w:rFonts w:ascii="Times New Roman" w:hAnsi="Times New Roman"/>
        </w:rPr>
        <w:t xml:space="preserve">federal </w:t>
      </w:r>
      <w:r w:rsidR="0067405D" w:rsidRPr="00207864">
        <w:rPr>
          <w:rFonts w:ascii="Times New Roman" w:hAnsi="Times New Roman"/>
        </w:rPr>
        <w:t xml:space="preserve">government may authorise the detention of a person in custody for the purpose of protecting the community against the unacceptable risk of harm posed by a terrorist offender. Mr </w:t>
      </w:r>
      <w:proofErr w:type="spellStart"/>
      <w:r w:rsidR="0067405D" w:rsidRPr="00207864">
        <w:rPr>
          <w:rFonts w:ascii="Times New Roman" w:hAnsi="Times New Roman"/>
        </w:rPr>
        <w:t>Benbrika's</w:t>
      </w:r>
      <w:proofErr w:type="spellEnd"/>
      <w:r w:rsidR="0067405D" w:rsidRPr="00207864">
        <w:rPr>
          <w:rFonts w:ascii="Times New Roman" w:hAnsi="Times New Roman"/>
        </w:rPr>
        <w:t xml:space="preserve"> alternative, distinctly unattractive</w:t>
      </w:r>
      <w:r w:rsidR="00A925F1" w:rsidRPr="00207864">
        <w:rPr>
          <w:rStyle w:val="FootnoteReference"/>
          <w:rFonts w:ascii="Times New Roman" w:hAnsi="Times New Roman"/>
          <w:sz w:val="24"/>
        </w:rPr>
        <w:footnoteReference w:id="68"/>
      </w:r>
      <w:r w:rsidR="0067405D" w:rsidRPr="00207864">
        <w:rPr>
          <w:rFonts w:ascii="Times New Roman" w:hAnsi="Times New Roman"/>
        </w:rPr>
        <w:t xml:space="preserve">, argument is that the </w:t>
      </w:r>
      <w:r w:rsidR="00106D31" w:rsidRPr="00207864">
        <w:rPr>
          <w:rFonts w:ascii="Times New Roman" w:hAnsi="Times New Roman"/>
        </w:rPr>
        <w:t>e</w:t>
      </w:r>
      <w:r w:rsidR="000A0112" w:rsidRPr="00207864">
        <w:rPr>
          <w:rFonts w:ascii="Times New Roman" w:hAnsi="Times New Roman"/>
        </w:rPr>
        <w:t xml:space="preserve">xecutive </w:t>
      </w:r>
      <w:r w:rsidR="0067405D" w:rsidRPr="00207864">
        <w:rPr>
          <w:rFonts w:ascii="Times New Roman" w:hAnsi="Times New Roman"/>
        </w:rPr>
        <w:t>may authorise detention in such a case but a Ch III court may not.</w:t>
      </w:r>
    </w:p>
    <w:p w14:paraId="162263DC" w14:textId="38CB9274" w:rsidR="0066557E" w:rsidRPr="00207864" w:rsidRDefault="0067405D"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2464E9" w:rsidRPr="00207864">
        <w:rPr>
          <w:rFonts w:ascii="Times New Roman" w:hAnsi="Times New Roman"/>
        </w:rPr>
        <w:t xml:space="preserve">In </w:t>
      </w:r>
      <w:proofErr w:type="spellStart"/>
      <w:r w:rsidR="002464E9" w:rsidRPr="00207864">
        <w:rPr>
          <w:rFonts w:ascii="Times New Roman" w:hAnsi="Times New Roman"/>
          <w:i/>
        </w:rPr>
        <w:t>Fardon</w:t>
      </w:r>
      <w:proofErr w:type="spellEnd"/>
      <w:r w:rsidR="002464E9" w:rsidRPr="00207864">
        <w:rPr>
          <w:rFonts w:ascii="Times New Roman" w:hAnsi="Times New Roman"/>
        </w:rPr>
        <w:t xml:space="preserve">, </w:t>
      </w:r>
      <w:proofErr w:type="spellStart"/>
      <w:r w:rsidRPr="00207864">
        <w:rPr>
          <w:rFonts w:ascii="Times New Roman" w:hAnsi="Times New Roman"/>
        </w:rPr>
        <w:t>Gummow</w:t>
      </w:r>
      <w:proofErr w:type="spellEnd"/>
      <w:r w:rsidRPr="00207864">
        <w:rPr>
          <w:rFonts w:ascii="Times New Roman" w:hAnsi="Times New Roman"/>
        </w:rPr>
        <w:t xml:space="preserve"> J </w:t>
      </w:r>
      <w:r w:rsidR="00EB063C" w:rsidRPr="00207864">
        <w:rPr>
          <w:rFonts w:ascii="Times New Roman" w:hAnsi="Times New Roman"/>
        </w:rPr>
        <w:t>d</w:t>
      </w:r>
      <w:r w:rsidR="003F28D2" w:rsidRPr="00207864">
        <w:rPr>
          <w:rFonts w:ascii="Times New Roman" w:hAnsi="Times New Roman"/>
        </w:rPr>
        <w:t>rew a d</w:t>
      </w:r>
      <w:r w:rsidR="00EB063C" w:rsidRPr="00207864">
        <w:rPr>
          <w:rFonts w:ascii="Times New Roman" w:hAnsi="Times New Roman"/>
        </w:rPr>
        <w:t>istin</w:t>
      </w:r>
      <w:r w:rsidR="003F28D2" w:rsidRPr="00207864">
        <w:rPr>
          <w:rFonts w:ascii="Times New Roman" w:hAnsi="Times New Roman"/>
        </w:rPr>
        <w:t>ction between</w:t>
      </w:r>
      <w:r w:rsidR="00FD4BB0" w:rsidRPr="00207864">
        <w:rPr>
          <w:rFonts w:ascii="Times New Roman" w:hAnsi="Times New Roman"/>
        </w:rPr>
        <w:t xml:space="preserve"> the Qld Act </w:t>
      </w:r>
      <w:r w:rsidR="003F28D2" w:rsidRPr="00207864">
        <w:rPr>
          <w:rFonts w:ascii="Times New Roman" w:hAnsi="Times New Roman"/>
        </w:rPr>
        <w:t>and</w:t>
      </w:r>
      <w:r w:rsidR="00EB063C" w:rsidRPr="00207864">
        <w:rPr>
          <w:rFonts w:ascii="Times New Roman" w:hAnsi="Times New Roman"/>
        </w:rPr>
        <w:t xml:space="preserve"> </w:t>
      </w:r>
      <w:r w:rsidR="00453CEB" w:rsidRPr="00207864">
        <w:rPr>
          <w:rFonts w:ascii="Times New Roman" w:hAnsi="Times New Roman"/>
        </w:rPr>
        <w:t>earlier</w:t>
      </w:r>
      <w:r w:rsidR="00AB2B61" w:rsidRPr="00207864">
        <w:rPr>
          <w:rFonts w:ascii="Times New Roman" w:hAnsi="Times New Roman"/>
        </w:rPr>
        <w:t xml:space="preserve"> </w:t>
      </w:r>
      <w:r w:rsidR="00EB063C" w:rsidRPr="00207864">
        <w:rPr>
          <w:rFonts w:ascii="Times New Roman" w:hAnsi="Times New Roman"/>
        </w:rPr>
        <w:t>schemes for preventative detention</w:t>
      </w:r>
      <w:r w:rsidR="00AB2B61" w:rsidRPr="00207864">
        <w:rPr>
          <w:rStyle w:val="FootnoteReference"/>
          <w:rFonts w:ascii="Times New Roman" w:hAnsi="Times New Roman"/>
          <w:sz w:val="24"/>
        </w:rPr>
        <w:footnoteReference w:id="69"/>
      </w:r>
      <w:r w:rsidR="00EB063C" w:rsidRPr="00207864">
        <w:rPr>
          <w:rFonts w:ascii="Times New Roman" w:hAnsi="Times New Roman"/>
        </w:rPr>
        <w:t xml:space="preserve"> </w:t>
      </w:r>
      <w:r w:rsidR="00267A11" w:rsidRPr="00207864">
        <w:rPr>
          <w:rFonts w:ascii="Times New Roman" w:hAnsi="Times New Roman"/>
        </w:rPr>
        <w:t>by pointing out</w:t>
      </w:r>
      <w:r w:rsidR="00931175" w:rsidRPr="00207864">
        <w:rPr>
          <w:rFonts w:ascii="Times New Roman" w:hAnsi="Times New Roman"/>
        </w:rPr>
        <w:t xml:space="preserve"> that </w:t>
      </w:r>
      <w:r w:rsidR="005623B3" w:rsidRPr="00207864">
        <w:rPr>
          <w:rFonts w:ascii="Times New Roman" w:hAnsi="Times New Roman"/>
        </w:rPr>
        <w:t>those schemes</w:t>
      </w:r>
      <w:r w:rsidR="00EB063C" w:rsidRPr="00207864">
        <w:rPr>
          <w:rFonts w:ascii="Times New Roman" w:hAnsi="Times New Roman"/>
        </w:rPr>
        <w:t xml:space="preserve"> </w:t>
      </w:r>
      <w:r w:rsidR="00AB2B61" w:rsidRPr="00207864">
        <w:rPr>
          <w:rFonts w:ascii="Times New Roman" w:hAnsi="Times New Roman"/>
        </w:rPr>
        <w:t>we</w:t>
      </w:r>
      <w:r w:rsidR="00931175" w:rsidRPr="00207864">
        <w:rPr>
          <w:rFonts w:ascii="Times New Roman" w:hAnsi="Times New Roman"/>
        </w:rPr>
        <w:t>re "attached" to, and derive</w:t>
      </w:r>
      <w:r w:rsidR="000D07CF" w:rsidRPr="00207864">
        <w:rPr>
          <w:rFonts w:ascii="Times New Roman" w:hAnsi="Times New Roman"/>
        </w:rPr>
        <w:t>d</w:t>
      </w:r>
      <w:r w:rsidR="00931175" w:rsidRPr="00207864">
        <w:rPr>
          <w:rFonts w:ascii="Times New Roman" w:hAnsi="Times New Roman"/>
        </w:rPr>
        <w:t xml:space="preserve"> their authority from, the sentencing of the offender for past conduct</w:t>
      </w:r>
      <w:r w:rsidR="00EB063C" w:rsidRPr="00207864">
        <w:rPr>
          <w:rStyle w:val="FootnoteReference"/>
          <w:rFonts w:ascii="Times New Roman" w:hAnsi="Times New Roman"/>
          <w:sz w:val="24"/>
        </w:rPr>
        <w:footnoteReference w:id="70"/>
      </w:r>
      <w:r w:rsidR="00931175" w:rsidRPr="00207864">
        <w:rPr>
          <w:rFonts w:ascii="Times New Roman" w:hAnsi="Times New Roman"/>
        </w:rPr>
        <w:t xml:space="preserve">. By contrast, the </w:t>
      </w:r>
      <w:r w:rsidR="001013B9" w:rsidRPr="00207864">
        <w:rPr>
          <w:rFonts w:ascii="Times New Roman" w:hAnsi="Times New Roman"/>
        </w:rPr>
        <w:t xml:space="preserve">legislative scheme his Honour was </w:t>
      </w:r>
      <w:r w:rsidR="000A4A35" w:rsidRPr="00207864">
        <w:rPr>
          <w:rFonts w:ascii="Times New Roman" w:hAnsi="Times New Roman"/>
        </w:rPr>
        <w:t>considering</w:t>
      </w:r>
      <w:r w:rsidR="00931175" w:rsidRPr="00207864">
        <w:rPr>
          <w:rFonts w:ascii="Times New Roman" w:hAnsi="Times New Roman"/>
        </w:rPr>
        <w:t xml:space="preserve"> took as the factum for engagement </w:t>
      </w:r>
      <w:r w:rsidR="00EB063C" w:rsidRPr="00207864">
        <w:rPr>
          <w:rFonts w:ascii="Times New Roman" w:hAnsi="Times New Roman"/>
        </w:rPr>
        <w:t>of the power</w:t>
      </w:r>
      <w:r w:rsidR="003213A1" w:rsidRPr="00207864">
        <w:rPr>
          <w:rFonts w:ascii="Times New Roman" w:hAnsi="Times New Roman"/>
        </w:rPr>
        <w:t xml:space="preserve"> </w:t>
      </w:r>
      <w:r w:rsidR="00931175" w:rsidRPr="00207864">
        <w:rPr>
          <w:rFonts w:ascii="Times New Roman" w:hAnsi="Times New Roman"/>
        </w:rPr>
        <w:t>the status of the person as a prisoner serving a sentence</w:t>
      </w:r>
      <w:r w:rsidR="00A23F67" w:rsidRPr="00207864">
        <w:rPr>
          <w:rFonts w:ascii="Times New Roman" w:hAnsi="Times New Roman"/>
        </w:rPr>
        <w:t>,</w:t>
      </w:r>
      <w:r w:rsidR="00931175" w:rsidRPr="00207864">
        <w:rPr>
          <w:rFonts w:ascii="Times New Roman" w:hAnsi="Times New Roman"/>
        </w:rPr>
        <w:t xml:space="preserve"> but the sentencing itself was complete and the making of a continuing detention order could not be said to form part of it.</w:t>
      </w:r>
    </w:p>
    <w:p w14:paraId="2935C775" w14:textId="55A3D8A5" w:rsidR="00913E6D" w:rsidRPr="00207864" w:rsidRDefault="0066557E"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3213A1" w:rsidRPr="00207864">
        <w:rPr>
          <w:rFonts w:ascii="Times New Roman" w:hAnsi="Times New Roman"/>
        </w:rPr>
        <w:t xml:space="preserve">It </w:t>
      </w:r>
      <w:r w:rsidR="0061190A" w:rsidRPr="00207864">
        <w:rPr>
          <w:rFonts w:ascii="Times New Roman" w:hAnsi="Times New Roman"/>
        </w:rPr>
        <w:t>may be</w:t>
      </w:r>
      <w:r w:rsidR="00351549" w:rsidRPr="00207864">
        <w:rPr>
          <w:rFonts w:ascii="Times New Roman" w:hAnsi="Times New Roman"/>
        </w:rPr>
        <w:t xml:space="preserve"> </w:t>
      </w:r>
      <w:r w:rsidR="003213A1" w:rsidRPr="00207864">
        <w:rPr>
          <w:rFonts w:ascii="Times New Roman" w:hAnsi="Times New Roman"/>
        </w:rPr>
        <w:t xml:space="preserve">observed that </w:t>
      </w:r>
      <w:r w:rsidR="00351549" w:rsidRPr="00207864">
        <w:rPr>
          <w:rFonts w:ascii="Times New Roman" w:hAnsi="Times New Roman"/>
        </w:rPr>
        <w:t xml:space="preserve">the </w:t>
      </w:r>
      <w:r w:rsidR="0067405D" w:rsidRPr="00207864">
        <w:rPr>
          <w:rFonts w:ascii="Times New Roman" w:hAnsi="Times New Roman"/>
        </w:rPr>
        <w:t xml:space="preserve">exceptions </w:t>
      </w:r>
      <w:r w:rsidR="00D81123" w:rsidRPr="00207864">
        <w:rPr>
          <w:rFonts w:ascii="Times New Roman" w:hAnsi="Times New Roman"/>
        </w:rPr>
        <w:t xml:space="preserve">to the </w:t>
      </w:r>
      <w:r w:rsidR="00D81123" w:rsidRPr="00207864">
        <w:rPr>
          <w:rFonts w:ascii="Times New Roman" w:hAnsi="Times New Roman"/>
          <w:i/>
        </w:rPr>
        <w:t xml:space="preserve">Lim </w:t>
      </w:r>
      <w:r w:rsidR="00D81123" w:rsidRPr="00207864">
        <w:rPr>
          <w:rFonts w:ascii="Times New Roman" w:hAnsi="Times New Roman"/>
        </w:rPr>
        <w:t>principle</w:t>
      </w:r>
      <w:r w:rsidR="0067405D" w:rsidRPr="00207864">
        <w:rPr>
          <w:rFonts w:ascii="Times New Roman" w:hAnsi="Times New Roman"/>
        </w:rPr>
        <w:t xml:space="preserve"> involving the involuntary detention of those suffering from mental illness or infectious disease share a purpose of protection of the community</w:t>
      </w:r>
      <w:r w:rsidR="007A23DF" w:rsidRPr="00207864">
        <w:rPr>
          <w:rFonts w:ascii="Times New Roman" w:hAnsi="Times New Roman"/>
        </w:rPr>
        <w:t xml:space="preserve"> from harm</w:t>
      </w:r>
      <w:r w:rsidR="00B4114F" w:rsidRPr="00207864">
        <w:rPr>
          <w:rStyle w:val="FootnoteReference"/>
          <w:rFonts w:ascii="Times New Roman" w:hAnsi="Times New Roman"/>
          <w:sz w:val="24"/>
        </w:rPr>
        <w:footnoteReference w:id="71"/>
      </w:r>
      <w:r w:rsidR="0067405D" w:rsidRPr="00207864">
        <w:rPr>
          <w:rFonts w:ascii="Times New Roman" w:hAnsi="Times New Roman"/>
        </w:rPr>
        <w:t xml:space="preserve">. His Honour did not explain why an appropriately tailored scheme for the protection of the community </w:t>
      </w:r>
      <w:r w:rsidR="0067405D" w:rsidRPr="00207864">
        <w:rPr>
          <w:rFonts w:ascii="Times New Roman" w:hAnsi="Times New Roman"/>
        </w:rPr>
        <w:lastRenderedPageBreak/>
        <w:t xml:space="preserve">from the harm </w:t>
      </w:r>
      <w:r w:rsidR="00EB063C" w:rsidRPr="00207864">
        <w:rPr>
          <w:rFonts w:ascii="Times New Roman" w:hAnsi="Times New Roman"/>
        </w:rPr>
        <w:t>that</w:t>
      </w:r>
      <w:r w:rsidR="003213A1" w:rsidRPr="00207864">
        <w:rPr>
          <w:rFonts w:ascii="Times New Roman" w:hAnsi="Times New Roman"/>
        </w:rPr>
        <w:t xml:space="preserve"> particular </w:t>
      </w:r>
      <w:r w:rsidR="00EB063C" w:rsidRPr="00207864">
        <w:rPr>
          <w:rFonts w:ascii="Times New Roman" w:hAnsi="Times New Roman"/>
        </w:rPr>
        <w:t xml:space="preserve">forms of criminal activity may pose is </w:t>
      </w:r>
      <w:r w:rsidR="003213A1" w:rsidRPr="00207864">
        <w:rPr>
          <w:rFonts w:ascii="Times New Roman" w:hAnsi="Times New Roman"/>
        </w:rPr>
        <w:t>in</w:t>
      </w:r>
      <w:r w:rsidR="00EB063C" w:rsidRPr="00207864">
        <w:rPr>
          <w:rFonts w:ascii="Times New Roman" w:hAnsi="Times New Roman"/>
        </w:rPr>
        <w:t>capable of coming within an analogous exception. H</w:t>
      </w:r>
      <w:r w:rsidR="003213A1" w:rsidRPr="00207864">
        <w:rPr>
          <w:rFonts w:ascii="Times New Roman" w:hAnsi="Times New Roman"/>
        </w:rPr>
        <w:t>is Honour noted that</w:t>
      </w:r>
      <w:r w:rsidR="003213A1" w:rsidRPr="00207864">
        <w:rPr>
          <w:rStyle w:val="FootnoteReference"/>
          <w:rFonts w:ascii="Times New Roman" w:hAnsi="Times New Roman"/>
          <w:sz w:val="24"/>
        </w:rPr>
        <w:footnoteReference w:id="72"/>
      </w:r>
      <w:r w:rsidR="00EB063C" w:rsidRPr="00207864">
        <w:rPr>
          <w:rFonts w:ascii="Times New Roman" w:hAnsi="Times New Roman"/>
        </w:rPr>
        <w:t>:</w:t>
      </w:r>
    </w:p>
    <w:p w14:paraId="60333AB3" w14:textId="77777777" w:rsidR="00207864" w:rsidRDefault="00FC5C5B" w:rsidP="00207864">
      <w:pPr>
        <w:pStyle w:val="LeftrightafterHC"/>
        <w:spacing w:before="0" w:after="260" w:line="280" w:lineRule="exact"/>
        <w:ind w:right="0"/>
        <w:jc w:val="both"/>
        <w:rPr>
          <w:rFonts w:ascii="Times New Roman" w:hAnsi="Times New Roman"/>
        </w:rPr>
      </w:pPr>
      <w:r w:rsidRPr="00207864">
        <w:rPr>
          <w:rFonts w:ascii="Times New Roman" w:hAnsi="Times New Roman"/>
        </w:rPr>
        <w:t>"</w:t>
      </w:r>
      <w:r w:rsidR="00080F21" w:rsidRPr="00207864">
        <w:rPr>
          <w:rFonts w:ascii="Times New Roman" w:hAnsi="Times New Roman"/>
        </w:rPr>
        <w:t xml:space="preserve">It may be accepted that the list of exceptions to </w:t>
      </w:r>
      <w:r w:rsidR="006F2D48" w:rsidRPr="00207864">
        <w:rPr>
          <w:rFonts w:ascii="Times New Roman" w:hAnsi="Times New Roman"/>
        </w:rPr>
        <w:t xml:space="preserve">which reference was made in </w:t>
      </w:r>
      <w:r w:rsidR="006F2D48" w:rsidRPr="00207864">
        <w:rPr>
          <w:rFonts w:ascii="Times New Roman" w:hAnsi="Times New Roman"/>
          <w:i/>
        </w:rPr>
        <w:t>Lim</w:t>
      </w:r>
      <w:r w:rsidR="006F2D48" w:rsidRPr="00207864">
        <w:rPr>
          <w:rFonts w:ascii="Times New Roman" w:hAnsi="Times New Roman"/>
        </w:rPr>
        <w:t xml:space="preserve"> is not closed. But it is not suggested that </w:t>
      </w:r>
      <w:r w:rsidR="003D6044" w:rsidRPr="00207864">
        <w:rPr>
          <w:rFonts w:ascii="Times New Roman" w:hAnsi="Times New Roman"/>
        </w:rPr>
        <w:t xml:space="preserve">regimes </w:t>
      </w:r>
      <w:r w:rsidR="00835864" w:rsidRPr="00207864">
        <w:rPr>
          <w:rFonts w:ascii="Times New Roman" w:hAnsi="Times New Roman"/>
        </w:rPr>
        <w:t>imposing upon the courts functions detached from the sentencing process</w:t>
      </w:r>
      <w:r w:rsidR="007E3A2A" w:rsidRPr="00207864">
        <w:rPr>
          <w:rFonts w:ascii="Times New Roman" w:hAnsi="Times New Roman"/>
        </w:rPr>
        <w:t xml:space="preserve"> form a new exceptional class</w:t>
      </w:r>
      <w:r w:rsidR="00584970" w:rsidRPr="00207864">
        <w:rPr>
          <w:rFonts w:ascii="Times New Roman" w:hAnsi="Times New Roman"/>
        </w:rPr>
        <w:t xml:space="preserve">, nor that the detention of the mentally ill for treatment </w:t>
      </w:r>
      <w:r w:rsidR="00E2130A" w:rsidRPr="00207864">
        <w:rPr>
          <w:rFonts w:ascii="Times New Roman" w:hAnsi="Times New Roman"/>
        </w:rPr>
        <w:t xml:space="preserve">is of the same character as the incarceration of those </w:t>
      </w:r>
      <w:r w:rsidR="00D026E3" w:rsidRPr="00207864">
        <w:rPr>
          <w:rFonts w:ascii="Times New Roman" w:hAnsi="Times New Roman"/>
        </w:rPr>
        <w:t>'</w:t>
      </w:r>
      <w:r w:rsidR="00E2130A" w:rsidRPr="00207864">
        <w:rPr>
          <w:rFonts w:ascii="Times New Roman" w:hAnsi="Times New Roman"/>
        </w:rPr>
        <w:t>likely to</w:t>
      </w:r>
      <w:r w:rsidR="00D026E3" w:rsidRPr="00207864">
        <w:rPr>
          <w:rFonts w:ascii="Times New Roman" w:hAnsi="Times New Roman"/>
        </w:rPr>
        <w:t>'</w:t>
      </w:r>
      <w:r w:rsidR="00E2130A" w:rsidRPr="00207864">
        <w:rPr>
          <w:rFonts w:ascii="Times New Roman" w:hAnsi="Times New Roman"/>
        </w:rPr>
        <w:t xml:space="preserve"> </w:t>
      </w:r>
      <w:r w:rsidR="003F3219" w:rsidRPr="00207864">
        <w:rPr>
          <w:rFonts w:ascii="Times New Roman" w:hAnsi="Times New Roman"/>
        </w:rPr>
        <w:t>commit certain classes of offence</w:t>
      </w:r>
      <w:r w:rsidR="00EA2E66" w:rsidRPr="00207864">
        <w:rPr>
          <w:rFonts w:ascii="Times New Roman" w:hAnsi="Times New Roman"/>
        </w:rPr>
        <w:t>.</w:t>
      </w:r>
      <w:r w:rsidR="003F3219" w:rsidRPr="00207864">
        <w:rPr>
          <w:rFonts w:ascii="Times New Roman" w:hAnsi="Times New Roman"/>
        </w:rPr>
        <w:t>"</w:t>
      </w:r>
      <w:r w:rsidR="00501FC6" w:rsidRPr="00207864">
        <w:rPr>
          <w:rFonts w:ascii="Times New Roman" w:hAnsi="Times New Roman"/>
        </w:rPr>
        <w:t xml:space="preserve"> (</w:t>
      </w:r>
      <w:r w:rsidR="00F7410B" w:rsidRPr="00207864">
        <w:rPr>
          <w:rFonts w:ascii="Times New Roman" w:hAnsi="Times New Roman"/>
        </w:rPr>
        <w:t>footnote</w:t>
      </w:r>
      <w:r w:rsidR="00501FC6" w:rsidRPr="00207864">
        <w:rPr>
          <w:rFonts w:ascii="Times New Roman" w:hAnsi="Times New Roman"/>
        </w:rPr>
        <w:t xml:space="preserve"> omitted)</w:t>
      </w:r>
    </w:p>
    <w:p w14:paraId="0A7FBECA" w14:textId="48AE4253" w:rsidR="003213A1" w:rsidRPr="00207864" w:rsidRDefault="00081BC7"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A66E27" w:rsidRPr="00207864">
        <w:rPr>
          <w:rFonts w:ascii="Times New Roman" w:hAnsi="Times New Roman"/>
        </w:rPr>
        <w:t xml:space="preserve">His Honour's evident concern was with detention for apprehended conduct. </w:t>
      </w:r>
      <w:r w:rsidR="006B2BDA" w:rsidRPr="00207864">
        <w:rPr>
          <w:rFonts w:ascii="Times New Roman" w:hAnsi="Times New Roman"/>
        </w:rPr>
        <w:t>Yet</w:t>
      </w:r>
      <w:r w:rsidR="003213A1" w:rsidRPr="00207864">
        <w:rPr>
          <w:rFonts w:ascii="Times New Roman" w:hAnsi="Times New Roman"/>
        </w:rPr>
        <w:t xml:space="preserve">, </w:t>
      </w:r>
      <w:r w:rsidR="006B2BDA" w:rsidRPr="00207864">
        <w:rPr>
          <w:rFonts w:ascii="Times New Roman" w:hAnsi="Times New Roman"/>
        </w:rPr>
        <w:t>as his Honour acknowledged</w:t>
      </w:r>
      <w:r w:rsidR="009219C7" w:rsidRPr="00207864">
        <w:rPr>
          <w:rStyle w:val="FootnoteReference"/>
          <w:rFonts w:ascii="Times New Roman" w:hAnsi="Times New Roman"/>
          <w:sz w:val="24"/>
        </w:rPr>
        <w:footnoteReference w:id="73"/>
      </w:r>
      <w:r w:rsidR="003213A1" w:rsidRPr="00207864">
        <w:rPr>
          <w:rFonts w:ascii="Times New Roman" w:hAnsi="Times New Roman"/>
        </w:rPr>
        <w:t xml:space="preserve">, </w:t>
      </w:r>
      <w:r w:rsidR="00D852DE" w:rsidRPr="00207864">
        <w:rPr>
          <w:rFonts w:ascii="Times New Roman" w:hAnsi="Times New Roman"/>
        </w:rPr>
        <w:t>schemes for preventative detention have a long history</w:t>
      </w:r>
      <w:r w:rsidR="003213A1" w:rsidRPr="00207864">
        <w:rPr>
          <w:rFonts w:ascii="Times New Roman" w:hAnsi="Times New Roman"/>
        </w:rPr>
        <w:t xml:space="preserve"> in common law countries</w:t>
      </w:r>
      <w:r w:rsidR="002D44BF" w:rsidRPr="00207864">
        <w:rPr>
          <w:rStyle w:val="FootnoteReference"/>
          <w:rFonts w:ascii="Times New Roman" w:hAnsi="Times New Roman"/>
          <w:sz w:val="24"/>
        </w:rPr>
        <w:footnoteReference w:id="74"/>
      </w:r>
      <w:r w:rsidR="003213A1" w:rsidRPr="00207864">
        <w:rPr>
          <w:rFonts w:ascii="Times New Roman" w:hAnsi="Times New Roman"/>
        </w:rPr>
        <w:t xml:space="preserve">. </w:t>
      </w:r>
      <w:r w:rsidR="001C065C" w:rsidRPr="00207864">
        <w:rPr>
          <w:rFonts w:ascii="Times New Roman" w:hAnsi="Times New Roman"/>
        </w:rPr>
        <w:t xml:space="preserve">The </w:t>
      </w:r>
      <w:r w:rsidR="00F03596" w:rsidRPr="00207864">
        <w:rPr>
          <w:rFonts w:ascii="Times New Roman" w:hAnsi="Times New Roman"/>
        </w:rPr>
        <w:t xml:space="preserve">scheme </w:t>
      </w:r>
      <w:r w:rsidR="00A40467" w:rsidRPr="00207864">
        <w:rPr>
          <w:rFonts w:ascii="Times New Roman" w:hAnsi="Times New Roman"/>
        </w:rPr>
        <w:t xml:space="preserve">considered in </w:t>
      </w:r>
      <w:r w:rsidR="00A40467" w:rsidRPr="00207864">
        <w:rPr>
          <w:rFonts w:ascii="Times New Roman" w:hAnsi="Times New Roman"/>
          <w:i/>
        </w:rPr>
        <w:t>McGarry v The Queen</w:t>
      </w:r>
      <w:r w:rsidR="00A40467" w:rsidRPr="00207864">
        <w:rPr>
          <w:rStyle w:val="FootnoteReference"/>
          <w:rFonts w:ascii="Times New Roman" w:hAnsi="Times New Roman"/>
          <w:sz w:val="24"/>
        </w:rPr>
        <w:footnoteReference w:id="75"/>
      </w:r>
      <w:r w:rsidR="00475AEE" w:rsidRPr="00207864">
        <w:rPr>
          <w:rFonts w:ascii="Times New Roman" w:hAnsi="Times New Roman"/>
          <w:i/>
        </w:rPr>
        <w:t xml:space="preserve"> </w:t>
      </w:r>
      <w:r w:rsidR="00E65B27" w:rsidRPr="00207864">
        <w:rPr>
          <w:rFonts w:ascii="Times New Roman" w:hAnsi="Times New Roman"/>
        </w:rPr>
        <w:t xml:space="preserve">empowers a superior court </w:t>
      </w:r>
      <w:r w:rsidR="008F673B" w:rsidRPr="00207864">
        <w:rPr>
          <w:rFonts w:ascii="Times New Roman" w:hAnsi="Times New Roman"/>
        </w:rPr>
        <w:t xml:space="preserve">when </w:t>
      </w:r>
      <w:r w:rsidR="00E65B27" w:rsidRPr="00207864">
        <w:rPr>
          <w:rFonts w:ascii="Times New Roman" w:hAnsi="Times New Roman"/>
        </w:rPr>
        <w:t>sentencing a person for an indictable offence</w:t>
      </w:r>
      <w:r w:rsidR="008F673B" w:rsidRPr="00207864">
        <w:rPr>
          <w:rFonts w:ascii="Times New Roman" w:hAnsi="Times New Roman"/>
        </w:rPr>
        <w:t>,</w:t>
      </w:r>
      <w:r w:rsidR="00E65B27" w:rsidRPr="00207864">
        <w:rPr>
          <w:rFonts w:ascii="Times New Roman" w:hAnsi="Times New Roman"/>
        </w:rPr>
        <w:t xml:space="preserve"> </w:t>
      </w:r>
      <w:r w:rsidR="001A4106" w:rsidRPr="00207864">
        <w:rPr>
          <w:rFonts w:ascii="Times New Roman" w:hAnsi="Times New Roman"/>
        </w:rPr>
        <w:t xml:space="preserve">in addition to </w:t>
      </w:r>
      <w:r w:rsidR="009204FF" w:rsidRPr="00207864">
        <w:rPr>
          <w:rFonts w:ascii="Times New Roman" w:hAnsi="Times New Roman"/>
        </w:rPr>
        <w:t xml:space="preserve">imposing </w:t>
      </w:r>
      <w:r w:rsidR="00CA4B44" w:rsidRPr="00207864">
        <w:rPr>
          <w:rFonts w:ascii="Times New Roman" w:hAnsi="Times New Roman"/>
        </w:rPr>
        <w:t xml:space="preserve">the </w:t>
      </w:r>
      <w:r w:rsidR="008F5E79" w:rsidRPr="00207864">
        <w:rPr>
          <w:rFonts w:ascii="Times New Roman" w:hAnsi="Times New Roman"/>
        </w:rPr>
        <w:t xml:space="preserve">appropriate </w:t>
      </w:r>
      <w:r w:rsidR="00CA4B44" w:rsidRPr="00207864">
        <w:rPr>
          <w:rFonts w:ascii="Times New Roman" w:hAnsi="Times New Roman"/>
        </w:rPr>
        <w:t>term of imprisonment for the offence</w:t>
      </w:r>
      <w:r w:rsidR="004D58EC" w:rsidRPr="00207864">
        <w:rPr>
          <w:rFonts w:ascii="Times New Roman" w:hAnsi="Times New Roman"/>
        </w:rPr>
        <w:t xml:space="preserve"> ("the nominal sentence")</w:t>
      </w:r>
      <w:r w:rsidR="008F5E79" w:rsidRPr="00207864">
        <w:rPr>
          <w:rFonts w:ascii="Times New Roman" w:hAnsi="Times New Roman"/>
        </w:rPr>
        <w:t>,</w:t>
      </w:r>
      <w:r w:rsidR="00CA4B44" w:rsidRPr="00207864">
        <w:rPr>
          <w:rFonts w:ascii="Times New Roman" w:hAnsi="Times New Roman"/>
        </w:rPr>
        <w:t xml:space="preserve"> to order that </w:t>
      </w:r>
      <w:r w:rsidR="00917A30" w:rsidRPr="00207864">
        <w:rPr>
          <w:rFonts w:ascii="Times New Roman" w:hAnsi="Times New Roman"/>
        </w:rPr>
        <w:t>the offender be imprisoned indefinitely</w:t>
      </w:r>
      <w:r w:rsidR="003213A1" w:rsidRPr="00207864">
        <w:rPr>
          <w:rFonts w:ascii="Times New Roman" w:hAnsi="Times New Roman"/>
        </w:rPr>
        <w:t xml:space="preserve">. The making of such an order is conditioned on the </w:t>
      </w:r>
      <w:r w:rsidR="00817CC7" w:rsidRPr="00207864">
        <w:rPr>
          <w:rFonts w:ascii="Times New Roman" w:hAnsi="Times New Roman"/>
        </w:rPr>
        <w:t>c</w:t>
      </w:r>
      <w:r w:rsidR="003213A1" w:rsidRPr="00207864">
        <w:rPr>
          <w:rFonts w:ascii="Times New Roman" w:hAnsi="Times New Roman"/>
        </w:rPr>
        <w:t xml:space="preserve">ourt's satisfaction </w:t>
      </w:r>
      <w:r w:rsidR="00361E40" w:rsidRPr="00207864">
        <w:rPr>
          <w:rFonts w:ascii="Times New Roman" w:hAnsi="Times New Roman"/>
        </w:rPr>
        <w:t xml:space="preserve">on the balance of probabilities </w:t>
      </w:r>
      <w:r w:rsidR="008F5E79" w:rsidRPr="00207864">
        <w:rPr>
          <w:rFonts w:ascii="Times New Roman" w:hAnsi="Times New Roman"/>
        </w:rPr>
        <w:t xml:space="preserve">that when the offender </w:t>
      </w:r>
      <w:r w:rsidR="00C820B2" w:rsidRPr="00207864">
        <w:rPr>
          <w:rFonts w:ascii="Times New Roman" w:hAnsi="Times New Roman"/>
        </w:rPr>
        <w:t xml:space="preserve">would otherwise be </w:t>
      </w:r>
      <w:r w:rsidR="008F5E79" w:rsidRPr="00207864">
        <w:rPr>
          <w:rFonts w:ascii="Times New Roman" w:hAnsi="Times New Roman"/>
        </w:rPr>
        <w:t xml:space="preserve">released </w:t>
      </w:r>
      <w:r w:rsidR="00FA7684" w:rsidRPr="00207864">
        <w:rPr>
          <w:rFonts w:ascii="Times New Roman" w:hAnsi="Times New Roman"/>
        </w:rPr>
        <w:t xml:space="preserve">he or she would be a danger to society, or </w:t>
      </w:r>
      <w:r w:rsidR="00C53FBA" w:rsidRPr="00207864">
        <w:rPr>
          <w:rFonts w:ascii="Times New Roman" w:hAnsi="Times New Roman"/>
        </w:rPr>
        <w:t xml:space="preserve">a part of it, because of factors </w:t>
      </w:r>
      <w:r w:rsidR="00AF68DD" w:rsidRPr="00207864">
        <w:rPr>
          <w:rFonts w:ascii="Times New Roman" w:hAnsi="Times New Roman"/>
        </w:rPr>
        <w:t>includ</w:t>
      </w:r>
      <w:r w:rsidR="003213A1" w:rsidRPr="00207864">
        <w:rPr>
          <w:rFonts w:ascii="Times New Roman" w:hAnsi="Times New Roman"/>
        </w:rPr>
        <w:t>ing</w:t>
      </w:r>
      <w:r w:rsidR="00AF68DD" w:rsidRPr="00207864">
        <w:rPr>
          <w:rFonts w:ascii="Times New Roman" w:hAnsi="Times New Roman"/>
        </w:rPr>
        <w:t xml:space="preserve"> the risk of the commission of further offences</w:t>
      </w:r>
      <w:r w:rsidR="00AF68DD" w:rsidRPr="00207864">
        <w:rPr>
          <w:rStyle w:val="FootnoteReference"/>
          <w:rFonts w:ascii="Times New Roman" w:hAnsi="Times New Roman"/>
          <w:sz w:val="24"/>
        </w:rPr>
        <w:footnoteReference w:id="76"/>
      </w:r>
      <w:r w:rsidR="00AF68DD" w:rsidRPr="00207864">
        <w:rPr>
          <w:rFonts w:ascii="Times New Roman" w:hAnsi="Times New Roman"/>
        </w:rPr>
        <w:t>.</w:t>
      </w:r>
    </w:p>
    <w:p w14:paraId="47AD038D" w14:textId="7FDC8706" w:rsidR="0024723B" w:rsidRPr="00207864" w:rsidRDefault="003213A1"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5320A8" w:rsidRPr="00207864">
        <w:rPr>
          <w:rFonts w:ascii="Times New Roman" w:hAnsi="Times New Roman"/>
        </w:rPr>
        <w:t xml:space="preserve">The order for indefinite </w:t>
      </w:r>
      <w:r w:rsidR="00F3414D" w:rsidRPr="00207864">
        <w:rPr>
          <w:rFonts w:ascii="Times New Roman" w:hAnsi="Times New Roman"/>
        </w:rPr>
        <w:t>detention</w:t>
      </w:r>
      <w:r w:rsidR="005320A8" w:rsidRPr="00207864">
        <w:rPr>
          <w:rFonts w:ascii="Times New Roman" w:hAnsi="Times New Roman"/>
        </w:rPr>
        <w:t xml:space="preserve"> </w:t>
      </w:r>
      <w:r w:rsidRPr="00207864">
        <w:rPr>
          <w:rFonts w:ascii="Times New Roman" w:hAnsi="Times New Roman"/>
        </w:rPr>
        <w:t>under th</w:t>
      </w:r>
      <w:r w:rsidR="00AC037A" w:rsidRPr="00207864">
        <w:rPr>
          <w:rFonts w:ascii="Times New Roman" w:hAnsi="Times New Roman"/>
        </w:rPr>
        <w:t>at</w:t>
      </w:r>
      <w:r w:rsidRPr="00207864">
        <w:rPr>
          <w:rFonts w:ascii="Times New Roman" w:hAnsi="Times New Roman"/>
        </w:rPr>
        <w:t xml:space="preserve"> scheme </w:t>
      </w:r>
      <w:r w:rsidR="005320A8" w:rsidRPr="00207864">
        <w:rPr>
          <w:rFonts w:ascii="Times New Roman" w:hAnsi="Times New Roman"/>
        </w:rPr>
        <w:t xml:space="preserve">is </w:t>
      </w:r>
      <w:r w:rsidR="0097051B" w:rsidRPr="00207864">
        <w:rPr>
          <w:rFonts w:ascii="Times New Roman" w:hAnsi="Times New Roman"/>
        </w:rPr>
        <w:t xml:space="preserve">to be </w:t>
      </w:r>
      <w:r w:rsidR="005320A8" w:rsidRPr="00207864">
        <w:rPr>
          <w:rFonts w:ascii="Times New Roman" w:hAnsi="Times New Roman"/>
        </w:rPr>
        <w:t>made at the time of sentencing but the detention for which it provides is not founded on the offender's</w:t>
      </w:r>
      <w:r w:rsidR="00F60F44" w:rsidRPr="00207864">
        <w:rPr>
          <w:rFonts w:ascii="Times New Roman" w:hAnsi="Times New Roman"/>
        </w:rPr>
        <w:t xml:space="preserve"> </w:t>
      </w:r>
      <w:r w:rsidR="003267B2" w:rsidRPr="00207864">
        <w:rPr>
          <w:rFonts w:ascii="Times New Roman" w:hAnsi="Times New Roman"/>
        </w:rPr>
        <w:t>past criminal conduct</w:t>
      </w:r>
      <w:r w:rsidRPr="00207864">
        <w:rPr>
          <w:rFonts w:ascii="Times New Roman" w:hAnsi="Times New Roman"/>
        </w:rPr>
        <w:t>:</w:t>
      </w:r>
      <w:r w:rsidR="003267B2" w:rsidRPr="00207864">
        <w:rPr>
          <w:rFonts w:ascii="Times New Roman" w:hAnsi="Times New Roman"/>
        </w:rPr>
        <w:t xml:space="preserve"> </w:t>
      </w:r>
      <w:r w:rsidRPr="00207864">
        <w:rPr>
          <w:rFonts w:ascii="Times New Roman" w:hAnsi="Times New Roman"/>
        </w:rPr>
        <w:t>t</w:t>
      </w:r>
      <w:r w:rsidR="00F22478" w:rsidRPr="00207864">
        <w:rPr>
          <w:rFonts w:ascii="Times New Roman" w:hAnsi="Times New Roman"/>
        </w:rPr>
        <w:t xml:space="preserve">he nominal sentence </w:t>
      </w:r>
      <w:r w:rsidR="00886757" w:rsidRPr="00207864">
        <w:rPr>
          <w:rFonts w:ascii="Times New Roman" w:hAnsi="Times New Roman"/>
        </w:rPr>
        <w:t>is imposed for</w:t>
      </w:r>
      <w:r w:rsidR="003E511B" w:rsidRPr="00207864">
        <w:rPr>
          <w:rFonts w:ascii="Times New Roman" w:hAnsi="Times New Roman"/>
        </w:rPr>
        <w:t xml:space="preserve"> </w:t>
      </w:r>
      <w:r w:rsidRPr="00207864">
        <w:rPr>
          <w:rFonts w:ascii="Times New Roman" w:hAnsi="Times New Roman"/>
        </w:rPr>
        <w:t xml:space="preserve">that </w:t>
      </w:r>
      <w:r w:rsidR="00886757" w:rsidRPr="00207864">
        <w:rPr>
          <w:rFonts w:ascii="Times New Roman" w:hAnsi="Times New Roman"/>
        </w:rPr>
        <w:t xml:space="preserve">conduct </w:t>
      </w:r>
      <w:r w:rsidR="00886757" w:rsidRPr="00207864">
        <w:rPr>
          <w:rFonts w:ascii="Times New Roman" w:hAnsi="Times New Roman"/>
        </w:rPr>
        <w:lastRenderedPageBreak/>
        <w:t xml:space="preserve">and </w:t>
      </w:r>
      <w:r w:rsidR="003E511B" w:rsidRPr="00207864">
        <w:rPr>
          <w:rFonts w:ascii="Times New Roman" w:hAnsi="Times New Roman"/>
        </w:rPr>
        <w:t xml:space="preserve">reflects the </w:t>
      </w:r>
      <w:r w:rsidR="002224A7" w:rsidRPr="00207864">
        <w:rPr>
          <w:rFonts w:ascii="Times New Roman" w:hAnsi="Times New Roman"/>
        </w:rPr>
        <w:t>various purposes of punishment</w:t>
      </w:r>
      <w:r w:rsidRPr="00207864">
        <w:rPr>
          <w:rFonts w:ascii="Times New Roman" w:hAnsi="Times New Roman"/>
        </w:rPr>
        <w:t xml:space="preserve"> including protection of the community and general deterrence. </w:t>
      </w:r>
      <w:r w:rsidR="00A27840" w:rsidRPr="00207864">
        <w:rPr>
          <w:rFonts w:ascii="Times New Roman" w:hAnsi="Times New Roman"/>
        </w:rPr>
        <w:t xml:space="preserve">The order for indefinite detention </w:t>
      </w:r>
      <w:r w:rsidR="005320A8" w:rsidRPr="00207864">
        <w:rPr>
          <w:rFonts w:ascii="Times New Roman" w:hAnsi="Times New Roman"/>
        </w:rPr>
        <w:t xml:space="preserve">is founded on </w:t>
      </w:r>
      <w:r w:rsidR="00A27840" w:rsidRPr="00207864">
        <w:rPr>
          <w:rFonts w:ascii="Times New Roman" w:hAnsi="Times New Roman"/>
        </w:rPr>
        <w:t xml:space="preserve">the </w:t>
      </w:r>
      <w:r w:rsidR="00817CC7" w:rsidRPr="00207864">
        <w:rPr>
          <w:rFonts w:ascii="Times New Roman" w:hAnsi="Times New Roman"/>
        </w:rPr>
        <w:t>c</w:t>
      </w:r>
      <w:r w:rsidR="00A27840" w:rsidRPr="00207864">
        <w:rPr>
          <w:rFonts w:ascii="Times New Roman" w:hAnsi="Times New Roman"/>
        </w:rPr>
        <w:t xml:space="preserve">ourt's </w:t>
      </w:r>
      <w:r w:rsidR="005320A8" w:rsidRPr="00207864">
        <w:rPr>
          <w:rFonts w:ascii="Times New Roman" w:hAnsi="Times New Roman"/>
        </w:rPr>
        <w:t>assessment</w:t>
      </w:r>
      <w:r w:rsidR="00A1075B" w:rsidRPr="00207864">
        <w:rPr>
          <w:rFonts w:ascii="Times New Roman" w:hAnsi="Times New Roman"/>
        </w:rPr>
        <w:t>,</w:t>
      </w:r>
      <w:r w:rsidR="005320A8" w:rsidRPr="00207864">
        <w:rPr>
          <w:rFonts w:ascii="Times New Roman" w:hAnsi="Times New Roman"/>
        </w:rPr>
        <w:t xml:space="preserve"> </w:t>
      </w:r>
      <w:r w:rsidR="001959DF" w:rsidRPr="00207864">
        <w:rPr>
          <w:rFonts w:ascii="Times New Roman" w:hAnsi="Times New Roman"/>
        </w:rPr>
        <w:t>in the exercise of State judicial power</w:t>
      </w:r>
      <w:r w:rsidR="00A1075B" w:rsidRPr="00207864">
        <w:rPr>
          <w:rFonts w:ascii="Times New Roman" w:hAnsi="Times New Roman"/>
        </w:rPr>
        <w:t>,</w:t>
      </w:r>
      <w:r w:rsidR="001959DF" w:rsidRPr="00207864">
        <w:rPr>
          <w:rFonts w:ascii="Times New Roman" w:hAnsi="Times New Roman"/>
        </w:rPr>
        <w:t xml:space="preserve"> </w:t>
      </w:r>
      <w:r w:rsidR="005320A8" w:rsidRPr="00207864">
        <w:rPr>
          <w:rFonts w:ascii="Times New Roman" w:hAnsi="Times New Roman"/>
        </w:rPr>
        <w:t xml:space="preserve">of the danger to society that the offender would present at the completion of </w:t>
      </w:r>
      <w:r w:rsidR="00F35C58" w:rsidRPr="00207864">
        <w:rPr>
          <w:rFonts w:ascii="Times New Roman" w:hAnsi="Times New Roman"/>
        </w:rPr>
        <w:t>the nominal</w:t>
      </w:r>
      <w:r w:rsidR="00F73FC9" w:rsidRPr="00207864">
        <w:rPr>
          <w:rFonts w:ascii="Times New Roman" w:hAnsi="Times New Roman"/>
        </w:rPr>
        <w:t xml:space="preserve"> sentence</w:t>
      </w:r>
      <w:r w:rsidR="005320A8" w:rsidRPr="00207864">
        <w:rPr>
          <w:rFonts w:ascii="Times New Roman" w:hAnsi="Times New Roman"/>
        </w:rPr>
        <w:t xml:space="preserve">. </w:t>
      </w:r>
      <w:r w:rsidR="00747460" w:rsidRPr="00207864">
        <w:rPr>
          <w:rFonts w:ascii="Times New Roman" w:hAnsi="Times New Roman"/>
        </w:rPr>
        <w:t xml:space="preserve">As </w:t>
      </w:r>
      <w:r w:rsidR="00F702C2" w:rsidRPr="00207864">
        <w:rPr>
          <w:rFonts w:ascii="Times New Roman" w:hAnsi="Times New Roman"/>
        </w:rPr>
        <w:t>Gleeson</w:t>
      </w:r>
      <w:r w:rsidR="00737D1B" w:rsidRPr="00207864">
        <w:rPr>
          <w:rFonts w:ascii="Times New Roman" w:hAnsi="Times New Roman"/>
        </w:rPr>
        <w:t> </w:t>
      </w:r>
      <w:r w:rsidR="00A94949" w:rsidRPr="00207864">
        <w:rPr>
          <w:rFonts w:ascii="Times New Roman" w:hAnsi="Times New Roman"/>
        </w:rPr>
        <w:t>CJ</w:t>
      </w:r>
      <w:r w:rsidR="00747460" w:rsidRPr="00207864">
        <w:rPr>
          <w:rFonts w:ascii="Times New Roman" w:hAnsi="Times New Roman"/>
        </w:rPr>
        <w:t xml:space="preserve"> </w:t>
      </w:r>
      <w:r w:rsidR="00A94949" w:rsidRPr="00207864">
        <w:rPr>
          <w:rFonts w:ascii="Times New Roman" w:hAnsi="Times New Roman"/>
        </w:rPr>
        <w:t>obser</w:t>
      </w:r>
      <w:r w:rsidR="00734E9E" w:rsidRPr="00207864">
        <w:rPr>
          <w:rFonts w:ascii="Times New Roman" w:hAnsi="Times New Roman"/>
        </w:rPr>
        <w:t>ved</w:t>
      </w:r>
      <w:r w:rsidRPr="00207864">
        <w:rPr>
          <w:rFonts w:ascii="Times New Roman" w:hAnsi="Times New Roman"/>
        </w:rPr>
        <w:t xml:space="preserve"> in </w:t>
      </w:r>
      <w:proofErr w:type="spellStart"/>
      <w:r w:rsidRPr="00207864">
        <w:rPr>
          <w:rFonts w:ascii="Times New Roman" w:hAnsi="Times New Roman"/>
          <w:i/>
        </w:rPr>
        <w:t>Fardon</w:t>
      </w:r>
      <w:proofErr w:type="spellEnd"/>
      <w:r w:rsidRPr="00207864">
        <w:rPr>
          <w:rFonts w:ascii="Times New Roman" w:hAnsi="Times New Roman"/>
        </w:rPr>
        <w:t>,</w:t>
      </w:r>
      <w:r w:rsidR="00734E9E" w:rsidRPr="00207864">
        <w:rPr>
          <w:rFonts w:ascii="Times New Roman" w:hAnsi="Times New Roman"/>
        </w:rPr>
        <w:t xml:space="preserve"> </w:t>
      </w:r>
      <w:r w:rsidR="00A94949" w:rsidRPr="00207864">
        <w:rPr>
          <w:rFonts w:ascii="Times New Roman" w:hAnsi="Times New Roman"/>
        </w:rPr>
        <w:t xml:space="preserve">if the lawful </w:t>
      </w:r>
      <w:r w:rsidR="00ED3D0A" w:rsidRPr="00207864">
        <w:rPr>
          <w:rFonts w:ascii="Times New Roman" w:hAnsi="Times New Roman"/>
        </w:rPr>
        <w:t xml:space="preserve">exercise of judicial power </w:t>
      </w:r>
      <w:r w:rsidR="00B314E3" w:rsidRPr="00207864">
        <w:rPr>
          <w:rFonts w:ascii="Times New Roman" w:hAnsi="Times New Roman"/>
        </w:rPr>
        <w:t>admits of the</w:t>
      </w:r>
      <w:r w:rsidR="00ED3D0A" w:rsidRPr="00207864">
        <w:rPr>
          <w:rFonts w:ascii="Times New Roman" w:hAnsi="Times New Roman"/>
        </w:rPr>
        <w:t xml:space="preserve"> </w:t>
      </w:r>
      <w:r w:rsidR="005C1FEC" w:rsidRPr="00207864">
        <w:rPr>
          <w:rFonts w:ascii="Times New Roman" w:hAnsi="Times New Roman"/>
        </w:rPr>
        <w:t>judge asses</w:t>
      </w:r>
      <w:r w:rsidR="003B623F" w:rsidRPr="00207864">
        <w:rPr>
          <w:rFonts w:ascii="Times New Roman" w:hAnsi="Times New Roman"/>
        </w:rPr>
        <w:t>s</w:t>
      </w:r>
      <w:r w:rsidR="00FC2270" w:rsidRPr="00207864">
        <w:rPr>
          <w:rFonts w:ascii="Times New Roman" w:hAnsi="Times New Roman"/>
        </w:rPr>
        <w:t xml:space="preserve">ing the </w:t>
      </w:r>
      <w:r w:rsidR="005C1FEC" w:rsidRPr="00207864">
        <w:rPr>
          <w:rFonts w:ascii="Times New Roman" w:hAnsi="Times New Roman"/>
        </w:rPr>
        <w:t xml:space="preserve">danger </w:t>
      </w:r>
      <w:r w:rsidR="00FC2270" w:rsidRPr="00207864">
        <w:rPr>
          <w:rFonts w:ascii="Times New Roman" w:hAnsi="Times New Roman"/>
        </w:rPr>
        <w:t xml:space="preserve">an offender </w:t>
      </w:r>
      <w:r w:rsidR="002A6F07" w:rsidRPr="00207864">
        <w:rPr>
          <w:rFonts w:ascii="Times New Roman" w:hAnsi="Times New Roman"/>
        </w:rPr>
        <w:t xml:space="preserve">poses </w:t>
      </w:r>
      <w:r w:rsidR="005C1FEC" w:rsidRPr="00207864">
        <w:rPr>
          <w:rFonts w:ascii="Times New Roman" w:hAnsi="Times New Roman"/>
        </w:rPr>
        <w:t>to the community at the time of sentencing it</w:t>
      </w:r>
      <w:r w:rsidR="00B314E3" w:rsidRPr="00207864">
        <w:rPr>
          <w:rFonts w:ascii="Times New Roman" w:hAnsi="Times New Roman"/>
        </w:rPr>
        <w:t xml:space="preserve"> </w:t>
      </w:r>
      <w:r w:rsidR="002A6F07" w:rsidRPr="00207864">
        <w:rPr>
          <w:rFonts w:ascii="Times New Roman" w:hAnsi="Times New Roman"/>
        </w:rPr>
        <w:t xml:space="preserve">is </w:t>
      </w:r>
      <w:r w:rsidR="001134AC" w:rsidRPr="00207864">
        <w:rPr>
          <w:rFonts w:ascii="Times New Roman" w:hAnsi="Times New Roman"/>
        </w:rPr>
        <w:t xml:space="preserve">curious that it does not </w:t>
      </w:r>
      <w:r w:rsidR="00157DBC" w:rsidRPr="00207864">
        <w:rPr>
          <w:rFonts w:ascii="Times New Roman" w:hAnsi="Times New Roman"/>
        </w:rPr>
        <w:t xml:space="preserve">admit of the </w:t>
      </w:r>
      <w:r w:rsidR="005C1FEC" w:rsidRPr="00207864">
        <w:rPr>
          <w:rFonts w:ascii="Times New Roman" w:hAnsi="Times New Roman"/>
        </w:rPr>
        <w:t>judge mak</w:t>
      </w:r>
      <w:r w:rsidR="002921A9" w:rsidRPr="00207864">
        <w:rPr>
          <w:rFonts w:ascii="Times New Roman" w:hAnsi="Times New Roman"/>
        </w:rPr>
        <w:t>ing</w:t>
      </w:r>
      <w:r w:rsidR="005C1FEC" w:rsidRPr="00207864">
        <w:rPr>
          <w:rFonts w:ascii="Times New Roman" w:hAnsi="Times New Roman"/>
        </w:rPr>
        <w:t xml:space="preserve"> such an assessment at or near the time of imminent release when that danger might be assessed more accurately</w:t>
      </w:r>
      <w:r w:rsidR="005C1FEC" w:rsidRPr="00207864">
        <w:rPr>
          <w:rStyle w:val="FootnoteReference"/>
          <w:rFonts w:ascii="Times New Roman" w:hAnsi="Times New Roman"/>
          <w:sz w:val="24"/>
        </w:rPr>
        <w:footnoteReference w:id="77"/>
      </w:r>
      <w:r w:rsidR="005C1FEC" w:rsidRPr="00207864">
        <w:rPr>
          <w:rFonts w:ascii="Times New Roman" w:hAnsi="Times New Roman"/>
        </w:rPr>
        <w:t>.</w:t>
      </w:r>
    </w:p>
    <w:p w14:paraId="28D6A907" w14:textId="085183D0" w:rsidR="0004471D" w:rsidRPr="00207864" w:rsidRDefault="00B844AD"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611871" w:rsidRPr="00207864">
        <w:rPr>
          <w:rFonts w:ascii="Times New Roman" w:hAnsi="Times New Roman"/>
        </w:rPr>
        <w:t xml:space="preserve">The question reserved does not raise consideration of the </w:t>
      </w:r>
      <w:r w:rsidR="00455D99" w:rsidRPr="00207864">
        <w:rPr>
          <w:rFonts w:ascii="Times New Roman" w:hAnsi="Times New Roman"/>
          <w:i/>
        </w:rPr>
        <w:t>Kable</w:t>
      </w:r>
      <w:r w:rsidR="00455D99" w:rsidRPr="00207864">
        <w:rPr>
          <w:rFonts w:ascii="Times New Roman" w:hAnsi="Times New Roman"/>
        </w:rPr>
        <w:t xml:space="preserve"> </w:t>
      </w:r>
      <w:r w:rsidR="00611871" w:rsidRPr="00207864">
        <w:rPr>
          <w:rFonts w:ascii="Times New Roman" w:hAnsi="Times New Roman"/>
        </w:rPr>
        <w:t xml:space="preserve">limitation, if any, on legislative power to confer on the Supreme Court of a State or Territory the function of ordering the detention in custody </w:t>
      </w:r>
      <w:r w:rsidR="00455D99" w:rsidRPr="00207864">
        <w:rPr>
          <w:rFonts w:ascii="Times New Roman" w:hAnsi="Times New Roman"/>
        </w:rPr>
        <w:t>of a</w:t>
      </w:r>
      <w:r w:rsidR="007E4EDD" w:rsidRPr="00207864">
        <w:rPr>
          <w:rFonts w:ascii="Times New Roman" w:hAnsi="Times New Roman"/>
        </w:rPr>
        <w:t xml:space="preserve"> person</w:t>
      </w:r>
      <w:r w:rsidR="00455D99" w:rsidRPr="00207864">
        <w:rPr>
          <w:rFonts w:ascii="Times New Roman" w:hAnsi="Times New Roman"/>
        </w:rPr>
        <w:t xml:space="preserve"> in circumstances that do not fall within an exception to the </w:t>
      </w:r>
      <w:r w:rsidR="00455D99" w:rsidRPr="00207864">
        <w:rPr>
          <w:rFonts w:ascii="Times New Roman" w:hAnsi="Times New Roman"/>
          <w:i/>
        </w:rPr>
        <w:t>Lim</w:t>
      </w:r>
      <w:r w:rsidR="00455D99" w:rsidRPr="00207864">
        <w:rPr>
          <w:rFonts w:ascii="Times New Roman" w:hAnsi="Times New Roman"/>
        </w:rPr>
        <w:t xml:space="preserve"> principle. </w:t>
      </w:r>
      <w:r w:rsidR="008E45D8" w:rsidRPr="00207864">
        <w:rPr>
          <w:rFonts w:ascii="Times New Roman" w:hAnsi="Times New Roman"/>
        </w:rPr>
        <w:t xml:space="preserve">For </w:t>
      </w:r>
      <w:r w:rsidR="00DB0375" w:rsidRPr="00207864">
        <w:rPr>
          <w:rFonts w:ascii="Times New Roman" w:hAnsi="Times New Roman"/>
        </w:rPr>
        <w:t>present</w:t>
      </w:r>
      <w:r w:rsidR="008E45D8" w:rsidRPr="00207864">
        <w:rPr>
          <w:rFonts w:ascii="Times New Roman" w:hAnsi="Times New Roman"/>
        </w:rPr>
        <w:t xml:space="preserve"> purposes </w:t>
      </w:r>
      <w:r w:rsidR="000D7D4B" w:rsidRPr="00207864">
        <w:rPr>
          <w:rFonts w:ascii="Times New Roman" w:hAnsi="Times New Roman"/>
        </w:rPr>
        <w:t>t</w:t>
      </w:r>
      <w:r w:rsidR="00455D99" w:rsidRPr="00207864">
        <w:rPr>
          <w:rFonts w:ascii="Times New Roman" w:hAnsi="Times New Roman"/>
        </w:rPr>
        <w:t xml:space="preserve">he </w:t>
      </w:r>
      <w:r w:rsidR="005E001E" w:rsidRPr="00207864">
        <w:rPr>
          <w:rFonts w:ascii="Times New Roman" w:hAnsi="Times New Roman"/>
        </w:rPr>
        <w:t xml:space="preserve">conclusion </w:t>
      </w:r>
      <w:r w:rsidR="0095160E" w:rsidRPr="00207864">
        <w:rPr>
          <w:rFonts w:ascii="Times New Roman" w:hAnsi="Times New Roman"/>
        </w:rPr>
        <w:t xml:space="preserve">in </w:t>
      </w:r>
      <w:proofErr w:type="spellStart"/>
      <w:r w:rsidR="0095160E" w:rsidRPr="00207864">
        <w:rPr>
          <w:rFonts w:ascii="Times New Roman" w:hAnsi="Times New Roman"/>
          <w:i/>
        </w:rPr>
        <w:t>Fardon</w:t>
      </w:r>
      <w:proofErr w:type="spellEnd"/>
      <w:r w:rsidR="0095160E" w:rsidRPr="00207864">
        <w:rPr>
          <w:rFonts w:ascii="Times New Roman" w:hAnsi="Times New Roman"/>
          <w:i/>
        </w:rPr>
        <w:t xml:space="preserve"> </w:t>
      </w:r>
      <w:r w:rsidR="005E001E" w:rsidRPr="00207864">
        <w:rPr>
          <w:rFonts w:ascii="Times New Roman" w:hAnsi="Times New Roman"/>
        </w:rPr>
        <w:t xml:space="preserve">that the power conferred by the Qld Act to order the continuing detention of a prisoner who is found to be a danger to society is a judicial power </w:t>
      </w:r>
      <w:r w:rsidR="00455D99" w:rsidRPr="00207864">
        <w:rPr>
          <w:rFonts w:ascii="Times New Roman" w:hAnsi="Times New Roman"/>
        </w:rPr>
        <w:t>that does not compr</w:t>
      </w:r>
      <w:r w:rsidR="0004471D" w:rsidRPr="00207864">
        <w:rPr>
          <w:rFonts w:ascii="Times New Roman" w:hAnsi="Times New Roman"/>
        </w:rPr>
        <w:t>o</w:t>
      </w:r>
      <w:r w:rsidR="00455D99" w:rsidRPr="00207864">
        <w:rPr>
          <w:rFonts w:ascii="Times New Roman" w:hAnsi="Times New Roman"/>
        </w:rPr>
        <w:t xml:space="preserve">mise the Supreme Court's institutional integrity as a court that may be invested </w:t>
      </w:r>
      <w:r w:rsidR="00611871" w:rsidRPr="00207864">
        <w:rPr>
          <w:rFonts w:ascii="Times New Roman" w:hAnsi="Times New Roman"/>
        </w:rPr>
        <w:t xml:space="preserve">with federal jurisdiction </w:t>
      </w:r>
      <w:r w:rsidR="004337CA" w:rsidRPr="00207864">
        <w:rPr>
          <w:rFonts w:ascii="Times New Roman" w:hAnsi="Times New Roman"/>
        </w:rPr>
        <w:t xml:space="preserve">points powerfully </w:t>
      </w:r>
      <w:r w:rsidR="00611871" w:rsidRPr="00207864">
        <w:rPr>
          <w:rFonts w:ascii="Times New Roman" w:hAnsi="Times New Roman"/>
        </w:rPr>
        <w:t xml:space="preserve">against </w:t>
      </w:r>
      <w:r w:rsidR="00455D99" w:rsidRPr="00207864">
        <w:rPr>
          <w:rFonts w:ascii="Times New Roman" w:hAnsi="Times New Roman"/>
        </w:rPr>
        <w:t xml:space="preserve">acceptance of Mr </w:t>
      </w:r>
      <w:proofErr w:type="spellStart"/>
      <w:r w:rsidR="00455D99" w:rsidRPr="00207864">
        <w:rPr>
          <w:rFonts w:ascii="Times New Roman" w:hAnsi="Times New Roman"/>
        </w:rPr>
        <w:t>Benbrika's</w:t>
      </w:r>
      <w:proofErr w:type="spellEnd"/>
      <w:r w:rsidR="00455D99" w:rsidRPr="00207864">
        <w:rPr>
          <w:rFonts w:ascii="Times New Roman" w:hAnsi="Times New Roman"/>
        </w:rPr>
        <w:t xml:space="preserve"> challenge.</w:t>
      </w:r>
    </w:p>
    <w:p w14:paraId="52A390EF" w14:textId="187CBCCE" w:rsidR="00696AF1" w:rsidRPr="00207864" w:rsidRDefault="0004471D" w:rsidP="00207864">
      <w:pPr>
        <w:pStyle w:val="FixListStyle"/>
        <w:spacing w:after="260" w:line="280" w:lineRule="exact"/>
        <w:ind w:right="0"/>
        <w:jc w:val="both"/>
        <w:rPr>
          <w:rFonts w:ascii="Times New Roman" w:hAnsi="Times New Roman"/>
        </w:rPr>
      </w:pPr>
      <w:r w:rsidRPr="00207864">
        <w:rPr>
          <w:rFonts w:ascii="Times New Roman" w:hAnsi="Times New Roman"/>
        </w:rPr>
        <w:tab/>
        <w:t>Terrorism poses a singular threat to civil society</w:t>
      </w:r>
      <w:r w:rsidR="007D1EEB" w:rsidRPr="00207864">
        <w:rPr>
          <w:rStyle w:val="FootnoteReference"/>
          <w:rFonts w:ascii="Times New Roman" w:hAnsi="Times New Roman"/>
          <w:sz w:val="24"/>
        </w:rPr>
        <w:footnoteReference w:id="78"/>
      </w:r>
      <w:r w:rsidRPr="00207864">
        <w:rPr>
          <w:rFonts w:ascii="Times New Roman" w:hAnsi="Times New Roman"/>
        </w:rPr>
        <w:t xml:space="preserve">. The contention that the exceptions to the </w:t>
      </w:r>
      <w:r w:rsidRPr="00207864">
        <w:rPr>
          <w:rFonts w:ascii="Times New Roman" w:hAnsi="Times New Roman"/>
          <w:i/>
        </w:rPr>
        <w:t>Lim</w:t>
      </w:r>
      <w:r w:rsidRPr="00207864">
        <w:rPr>
          <w:rFonts w:ascii="Times New Roman" w:hAnsi="Times New Roman"/>
        </w:rPr>
        <w:t xml:space="preserve"> principle are con</w:t>
      </w:r>
      <w:r w:rsidR="007E4EDD" w:rsidRPr="00207864">
        <w:rPr>
          <w:rFonts w:ascii="Times New Roman" w:hAnsi="Times New Roman"/>
        </w:rPr>
        <w:t>fined</w:t>
      </w:r>
      <w:r w:rsidRPr="00207864">
        <w:rPr>
          <w:rFonts w:ascii="Times New Roman" w:hAnsi="Times New Roman"/>
        </w:rPr>
        <w:t xml:space="preserve"> by history and </w:t>
      </w:r>
      <w:r w:rsidR="004337CA" w:rsidRPr="00207864">
        <w:rPr>
          <w:rFonts w:ascii="Times New Roman" w:hAnsi="Times New Roman"/>
        </w:rPr>
        <w:t xml:space="preserve">are </w:t>
      </w:r>
      <w:r w:rsidRPr="00207864">
        <w:rPr>
          <w:rFonts w:ascii="Times New Roman" w:hAnsi="Times New Roman"/>
        </w:rPr>
        <w:t xml:space="preserve">insusceptible of analogical development cannot be accepted. </w:t>
      </w:r>
      <w:r w:rsidR="0024723B" w:rsidRPr="00207864">
        <w:rPr>
          <w:rFonts w:ascii="Times New Roman" w:hAnsi="Times New Roman"/>
        </w:rPr>
        <w:t xml:space="preserve">There is no principled </w:t>
      </w:r>
      <w:r w:rsidR="00D32C8D" w:rsidRPr="00207864">
        <w:rPr>
          <w:rFonts w:ascii="Times New Roman" w:hAnsi="Times New Roman"/>
        </w:rPr>
        <w:t xml:space="preserve">reason </w:t>
      </w:r>
      <w:r w:rsidR="0024723B" w:rsidRPr="00207864">
        <w:rPr>
          <w:rFonts w:ascii="Times New Roman" w:hAnsi="Times New Roman"/>
        </w:rPr>
        <w:t xml:space="preserve">for distinguishing the power of a Ch III court to order that a mentally ill person be detained in custody for the protection of the community </w:t>
      </w:r>
      <w:r w:rsidR="00314343" w:rsidRPr="00207864">
        <w:rPr>
          <w:rFonts w:ascii="Times New Roman" w:hAnsi="Times New Roman"/>
        </w:rPr>
        <w:t xml:space="preserve">from harm </w:t>
      </w:r>
      <w:r w:rsidR="0024723B" w:rsidRPr="00207864">
        <w:rPr>
          <w:rFonts w:ascii="Times New Roman" w:hAnsi="Times New Roman"/>
        </w:rPr>
        <w:t>and the power to order that a terrorist offender be detained in custody for th</w:t>
      </w:r>
      <w:r w:rsidR="00D32C8D" w:rsidRPr="00207864">
        <w:rPr>
          <w:rFonts w:ascii="Times New Roman" w:hAnsi="Times New Roman"/>
        </w:rPr>
        <w:t xml:space="preserve">e same </w:t>
      </w:r>
      <w:r w:rsidR="0024723B" w:rsidRPr="00207864">
        <w:rPr>
          <w:rFonts w:ascii="Times New Roman" w:hAnsi="Times New Roman"/>
        </w:rPr>
        <w:t>purpose.</w:t>
      </w:r>
      <w:r w:rsidR="00FA70A6" w:rsidRPr="00207864">
        <w:rPr>
          <w:rFonts w:ascii="Times New Roman" w:hAnsi="Times New Roman"/>
        </w:rPr>
        <w:t xml:space="preserve"> </w:t>
      </w:r>
      <w:r w:rsidR="00625554" w:rsidRPr="00207864">
        <w:rPr>
          <w:rFonts w:ascii="Times New Roman" w:hAnsi="Times New Roman"/>
        </w:rPr>
        <w:t xml:space="preserve">It is the protective purpose that </w:t>
      </w:r>
      <w:r w:rsidR="00E36C43" w:rsidRPr="00207864">
        <w:rPr>
          <w:rFonts w:ascii="Times New Roman" w:hAnsi="Times New Roman"/>
        </w:rPr>
        <w:t xml:space="preserve">qualifies </w:t>
      </w:r>
      <w:r w:rsidR="004337CA" w:rsidRPr="00207864">
        <w:rPr>
          <w:rFonts w:ascii="Times New Roman" w:hAnsi="Times New Roman"/>
        </w:rPr>
        <w:t xml:space="preserve">a power </w:t>
      </w:r>
      <w:r w:rsidR="00E36C43" w:rsidRPr="00207864">
        <w:rPr>
          <w:rFonts w:ascii="Times New Roman" w:hAnsi="Times New Roman"/>
        </w:rPr>
        <w:t>as an exception to</w:t>
      </w:r>
      <w:r w:rsidR="004337CA" w:rsidRPr="00207864">
        <w:rPr>
          <w:rFonts w:ascii="Times New Roman" w:hAnsi="Times New Roman"/>
        </w:rPr>
        <w:t xml:space="preserve"> a </w:t>
      </w:r>
      <w:r w:rsidR="00E36C43" w:rsidRPr="00207864">
        <w:rPr>
          <w:rFonts w:ascii="Times New Roman" w:hAnsi="Times New Roman"/>
        </w:rPr>
        <w:t>principle</w:t>
      </w:r>
      <w:r w:rsidR="004337CA" w:rsidRPr="00207864">
        <w:rPr>
          <w:rFonts w:ascii="Times New Roman" w:hAnsi="Times New Roman"/>
        </w:rPr>
        <w:t xml:space="preserve"> that is recognised under our system of government as a safeguard on liberty</w:t>
      </w:r>
      <w:r w:rsidR="00E36C43" w:rsidRPr="00207864">
        <w:rPr>
          <w:rFonts w:ascii="Times New Roman" w:hAnsi="Times New Roman"/>
        </w:rPr>
        <w:t xml:space="preserve">. </w:t>
      </w:r>
      <w:r w:rsidR="0024723B" w:rsidRPr="00207864">
        <w:rPr>
          <w:rFonts w:ascii="Times New Roman" w:hAnsi="Times New Roman"/>
        </w:rPr>
        <w:t>Demonstration that Div 105A is non</w:t>
      </w:r>
      <w:r w:rsidR="00FC6FC2" w:rsidRPr="00207864">
        <w:rPr>
          <w:rFonts w:ascii="Times New Roman" w:hAnsi="Times New Roman"/>
        </w:rPr>
        <w:noBreakHyphen/>
      </w:r>
      <w:r w:rsidR="0024723B" w:rsidRPr="00207864">
        <w:rPr>
          <w:rFonts w:ascii="Times New Roman" w:hAnsi="Times New Roman"/>
        </w:rPr>
        <w:t>punitive is essential to a conclusion that the regime that it establishes can validly be conferred on a Ch III court</w:t>
      </w:r>
      <w:r w:rsidR="00217277" w:rsidRPr="00207864">
        <w:rPr>
          <w:rFonts w:ascii="Times New Roman" w:hAnsi="Times New Roman"/>
        </w:rPr>
        <w:t>,</w:t>
      </w:r>
      <w:r w:rsidR="004337CA" w:rsidRPr="00207864">
        <w:rPr>
          <w:rFonts w:ascii="Times New Roman" w:hAnsi="Times New Roman"/>
        </w:rPr>
        <w:t xml:space="preserve"> but</w:t>
      </w:r>
      <w:r w:rsidR="0024723B" w:rsidRPr="00207864">
        <w:rPr>
          <w:rFonts w:ascii="Times New Roman" w:hAnsi="Times New Roman"/>
        </w:rPr>
        <w:t xml:space="preserve"> th</w:t>
      </w:r>
      <w:r w:rsidR="0021475D" w:rsidRPr="00207864">
        <w:rPr>
          <w:rFonts w:ascii="Times New Roman" w:hAnsi="Times New Roman"/>
        </w:rPr>
        <w:t xml:space="preserve">at </w:t>
      </w:r>
      <w:r w:rsidR="0024723B" w:rsidRPr="00207864">
        <w:rPr>
          <w:rFonts w:ascii="Times New Roman" w:hAnsi="Times New Roman"/>
        </w:rPr>
        <w:t xml:space="preserve">conclusion </w:t>
      </w:r>
      <w:r w:rsidR="0021475D" w:rsidRPr="00207864">
        <w:rPr>
          <w:rFonts w:ascii="Times New Roman" w:hAnsi="Times New Roman"/>
        </w:rPr>
        <w:t xml:space="preserve">does not suffice. As a matter of </w:t>
      </w:r>
      <w:r w:rsidR="001F02FC" w:rsidRPr="00207864">
        <w:rPr>
          <w:rFonts w:ascii="Times New Roman" w:hAnsi="Times New Roman"/>
        </w:rPr>
        <w:t>substance,</w:t>
      </w:r>
      <w:r w:rsidR="0021475D" w:rsidRPr="00207864">
        <w:rPr>
          <w:rFonts w:ascii="Times New Roman" w:hAnsi="Times New Roman"/>
        </w:rPr>
        <w:t xml:space="preserve"> the</w:t>
      </w:r>
      <w:r w:rsidR="00E36C43" w:rsidRPr="00207864">
        <w:rPr>
          <w:rFonts w:ascii="Times New Roman" w:hAnsi="Times New Roman"/>
        </w:rPr>
        <w:t xml:space="preserve"> power</w:t>
      </w:r>
      <w:r w:rsidR="0021475D" w:rsidRPr="00207864">
        <w:rPr>
          <w:rFonts w:ascii="Times New Roman" w:hAnsi="Times New Roman"/>
        </w:rPr>
        <w:t xml:space="preserve"> must have as its object the protection of the community</w:t>
      </w:r>
      <w:r w:rsidR="009B7F79" w:rsidRPr="00207864">
        <w:rPr>
          <w:rFonts w:ascii="Times New Roman" w:hAnsi="Times New Roman"/>
        </w:rPr>
        <w:t xml:space="preserve"> from harm</w:t>
      </w:r>
      <w:r w:rsidR="0021475D" w:rsidRPr="00207864">
        <w:rPr>
          <w:rFonts w:ascii="Times New Roman" w:hAnsi="Times New Roman"/>
        </w:rPr>
        <w:t>.</w:t>
      </w:r>
    </w:p>
    <w:p w14:paraId="7E3DEB97" w14:textId="4A34E5FE" w:rsidR="000231BE" w:rsidRPr="00207864" w:rsidRDefault="003E552F" w:rsidP="00207864">
      <w:pPr>
        <w:pStyle w:val="HeadingL1"/>
        <w:spacing w:after="260" w:line="280" w:lineRule="exact"/>
        <w:ind w:right="0"/>
        <w:jc w:val="both"/>
        <w:rPr>
          <w:rFonts w:ascii="Times New Roman" w:hAnsi="Times New Roman"/>
        </w:rPr>
      </w:pPr>
      <w:r w:rsidRPr="00207864">
        <w:rPr>
          <w:rFonts w:ascii="Times New Roman" w:hAnsi="Times New Roman"/>
        </w:rPr>
        <w:lastRenderedPageBreak/>
        <w:t>C</w:t>
      </w:r>
      <w:r w:rsidR="00E2107B" w:rsidRPr="00207864">
        <w:rPr>
          <w:rFonts w:ascii="Times New Roman" w:hAnsi="Times New Roman"/>
        </w:rPr>
        <w:t xml:space="preserve">haracterisation of </w:t>
      </w:r>
      <w:r w:rsidR="000231BE" w:rsidRPr="00207864">
        <w:rPr>
          <w:rFonts w:ascii="Times New Roman" w:hAnsi="Times New Roman"/>
        </w:rPr>
        <w:t xml:space="preserve">Div 105A </w:t>
      </w:r>
      <w:r w:rsidRPr="00207864">
        <w:rPr>
          <w:rFonts w:ascii="Times New Roman" w:hAnsi="Times New Roman"/>
        </w:rPr>
        <w:t xml:space="preserve">as </w:t>
      </w:r>
      <w:r w:rsidR="001152A0" w:rsidRPr="00207864">
        <w:rPr>
          <w:rFonts w:ascii="Times New Roman" w:hAnsi="Times New Roman"/>
        </w:rPr>
        <w:t xml:space="preserve">punitive or </w:t>
      </w:r>
      <w:r w:rsidR="000231BE" w:rsidRPr="00207864">
        <w:rPr>
          <w:rFonts w:ascii="Times New Roman" w:hAnsi="Times New Roman"/>
        </w:rPr>
        <w:t>non-punitive</w:t>
      </w:r>
    </w:p>
    <w:p w14:paraId="62700C92" w14:textId="1CD243D3" w:rsidR="003358C7" w:rsidRPr="00207864" w:rsidRDefault="000231BE"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BA6D6C" w:rsidRPr="00207864">
        <w:rPr>
          <w:rFonts w:ascii="Times New Roman" w:hAnsi="Times New Roman"/>
        </w:rPr>
        <w:t xml:space="preserve">Mr </w:t>
      </w:r>
      <w:r w:rsidR="00404A8E" w:rsidRPr="00207864">
        <w:rPr>
          <w:rFonts w:ascii="Times New Roman" w:hAnsi="Times New Roman"/>
        </w:rPr>
        <w:t xml:space="preserve">Benbrika </w:t>
      </w:r>
      <w:r w:rsidR="009B1655" w:rsidRPr="00207864">
        <w:rPr>
          <w:rFonts w:ascii="Times New Roman" w:hAnsi="Times New Roman"/>
        </w:rPr>
        <w:t xml:space="preserve">submits </w:t>
      </w:r>
      <w:r w:rsidR="003104E3" w:rsidRPr="00207864">
        <w:rPr>
          <w:rFonts w:ascii="Times New Roman" w:hAnsi="Times New Roman"/>
        </w:rPr>
        <w:t xml:space="preserve">that </w:t>
      </w:r>
      <w:r w:rsidR="00816B9B" w:rsidRPr="00207864">
        <w:rPr>
          <w:rFonts w:ascii="Times New Roman" w:hAnsi="Times New Roman"/>
        </w:rPr>
        <w:t xml:space="preserve">the detention authorised by </w:t>
      </w:r>
      <w:r w:rsidR="003104E3" w:rsidRPr="00207864">
        <w:rPr>
          <w:rFonts w:ascii="Times New Roman" w:hAnsi="Times New Roman"/>
        </w:rPr>
        <w:t>Div</w:t>
      </w:r>
      <w:r w:rsidR="006A2110" w:rsidRPr="00207864">
        <w:rPr>
          <w:rFonts w:ascii="Times New Roman" w:hAnsi="Times New Roman"/>
        </w:rPr>
        <w:t> </w:t>
      </w:r>
      <w:r w:rsidR="003104E3" w:rsidRPr="00207864">
        <w:rPr>
          <w:rFonts w:ascii="Times New Roman" w:hAnsi="Times New Roman"/>
        </w:rPr>
        <w:t xml:space="preserve">105A </w:t>
      </w:r>
      <w:r w:rsidR="009B1655" w:rsidRPr="00207864">
        <w:rPr>
          <w:rFonts w:ascii="Times New Roman" w:hAnsi="Times New Roman"/>
        </w:rPr>
        <w:t xml:space="preserve">is not correctly characterised as </w:t>
      </w:r>
      <w:r w:rsidR="00A41C82" w:rsidRPr="00207864">
        <w:rPr>
          <w:rFonts w:ascii="Times New Roman" w:hAnsi="Times New Roman"/>
        </w:rPr>
        <w:t xml:space="preserve">non-penal or </w:t>
      </w:r>
      <w:r w:rsidR="00371A3E" w:rsidRPr="00207864">
        <w:rPr>
          <w:rFonts w:ascii="Times New Roman" w:hAnsi="Times New Roman"/>
        </w:rPr>
        <w:t>non</w:t>
      </w:r>
      <w:r w:rsidR="00371A3E" w:rsidRPr="00207864">
        <w:rPr>
          <w:rFonts w:ascii="Times New Roman" w:hAnsi="Times New Roman"/>
        </w:rPr>
        <w:noBreakHyphen/>
      </w:r>
      <w:r w:rsidR="00A41C82" w:rsidRPr="00207864">
        <w:rPr>
          <w:rFonts w:ascii="Times New Roman" w:hAnsi="Times New Roman"/>
        </w:rPr>
        <w:t xml:space="preserve">punitive. </w:t>
      </w:r>
      <w:r w:rsidR="00F54555" w:rsidRPr="00207864">
        <w:rPr>
          <w:rFonts w:ascii="Times New Roman" w:hAnsi="Times New Roman"/>
        </w:rPr>
        <w:t>The fact of detention in custody</w:t>
      </w:r>
      <w:r w:rsidR="004A30F4" w:rsidRPr="00207864">
        <w:rPr>
          <w:rFonts w:ascii="Times New Roman" w:hAnsi="Times New Roman"/>
        </w:rPr>
        <w:t>,</w:t>
      </w:r>
      <w:r w:rsidR="00F54555" w:rsidRPr="00207864">
        <w:rPr>
          <w:rFonts w:ascii="Times New Roman" w:hAnsi="Times New Roman"/>
        </w:rPr>
        <w:t xml:space="preserve"> </w:t>
      </w:r>
      <w:r w:rsidR="009B1655" w:rsidRPr="00207864">
        <w:rPr>
          <w:rFonts w:ascii="Times New Roman" w:hAnsi="Times New Roman"/>
        </w:rPr>
        <w:t>in his submission</w:t>
      </w:r>
      <w:r w:rsidR="004A30F4" w:rsidRPr="00207864">
        <w:rPr>
          <w:rFonts w:ascii="Times New Roman" w:hAnsi="Times New Roman"/>
        </w:rPr>
        <w:t>,</w:t>
      </w:r>
      <w:r w:rsidR="009B1655" w:rsidRPr="00207864">
        <w:rPr>
          <w:rFonts w:ascii="Times New Roman" w:hAnsi="Times New Roman"/>
        </w:rPr>
        <w:t xml:space="preserve"> </w:t>
      </w:r>
      <w:r w:rsidR="00A21272" w:rsidRPr="00207864">
        <w:rPr>
          <w:rFonts w:ascii="Times New Roman" w:hAnsi="Times New Roman"/>
        </w:rPr>
        <w:t xml:space="preserve">is </w:t>
      </w:r>
      <w:r w:rsidR="00284539" w:rsidRPr="00207864">
        <w:rPr>
          <w:rFonts w:ascii="Times New Roman" w:hAnsi="Times New Roman"/>
        </w:rPr>
        <w:t>prima facie</w:t>
      </w:r>
      <w:r w:rsidR="00A21272" w:rsidRPr="00207864">
        <w:rPr>
          <w:rFonts w:ascii="Times New Roman" w:hAnsi="Times New Roman"/>
        </w:rPr>
        <w:t xml:space="preserve"> punitive whatever the reason may be for </w:t>
      </w:r>
      <w:r w:rsidR="009B1655" w:rsidRPr="00207864">
        <w:rPr>
          <w:rFonts w:ascii="Times New Roman" w:hAnsi="Times New Roman"/>
        </w:rPr>
        <w:t>its imposition</w:t>
      </w:r>
      <w:r w:rsidR="00B42E5F" w:rsidRPr="00207864">
        <w:rPr>
          <w:rFonts w:ascii="Times New Roman" w:hAnsi="Times New Roman"/>
        </w:rPr>
        <w:t xml:space="preserve">. </w:t>
      </w:r>
      <w:r w:rsidR="00E2067C" w:rsidRPr="00207864">
        <w:rPr>
          <w:rFonts w:ascii="Times New Roman" w:hAnsi="Times New Roman"/>
        </w:rPr>
        <w:t>He argues that i</w:t>
      </w:r>
      <w:r w:rsidR="00C63631" w:rsidRPr="00207864">
        <w:rPr>
          <w:rFonts w:ascii="Times New Roman" w:hAnsi="Times New Roman"/>
        </w:rPr>
        <w:t xml:space="preserve">f the overriding object of the scheme were the protection of the community </w:t>
      </w:r>
      <w:r w:rsidR="009B1655" w:rsidRPr="00207864">
        <w:rPr>
          <w:rFonts w:ascii="Times New Roman" w:hAnsi="Times New Roman"/>
        </w:rPr>
        <w:t xml:space="preserve">and not any </w:t>
      </w:r>
      <w:r w:rsidR="00A67AF3" w:rsidRPr="00207864">
        <w:rPr>
          <w:rFonts w:ascii="Times New Roman" w:hAnsi="Times New Roman"/>
        </w:rPr>
        <w:t>purpose of punishment</w:t>
      </w:r>
      <w:r w:rsidR="00E2067C" w:rsidRPr="00207864">
        <w:rPr>
          <w:rFonts w:ascii="Times New Roman" w:hAnsi="Times New Roman"/>
        </w:rPr>
        <w:t xml:space="preserve"> </w:t>
      </w:r>
      <w:r w:rsidR="00F24AAF" w:rsidRPr="00207864">
        <w:rPr>
          <w:rFonts w:ascii="Times New Roman" w:hAnsi="Times New Roman"/>
        </w:rPr>
        <w:t xml:space="preserve">it </w:t>
      </w:r>
      <w:r w:rsidR="009B1655" w:rsidRPr="00207864">
        <w:rPr>
          <w:rFonts w:ascii="Times New Roman" w:hAnsi="Times New Roman"/>
        </w:rPr>
        <w:t xml:space="preserve">is to </w:t>
      </w:r>
      <w:r w:rsidR="00F24AAF" w:rsidRPr="00207864">
        <w:rPr>
          <w:rFonts w:ascii="Times New Roman" w:hAnsi="Times New Roman"/>
        </w:rPr>
        <w:t xml:space="preserve">be expected that </w:t>
      </w:r>
      <w:r w:rsidR="00AA3286" w:rsidRPr="00207864">
        <w:rPr>
          <w:rFonts w:ascii="Times New Roman" w:hAnsi="Times New Roman"/>
        </w:rPr>
        <w:t>the Parliament would provide that any person found to pose an unacceptable risk of committing a serious Pt 5.3 offence</w:t>
      </w:r>
      <w:r w:rsidR="00AC4453" w:rsidRPr="00207864">
        <w:rPr>
          <w:rFonts w:ascii="Times New Roman" w:hAnsi="Times New Roman"/>
        </w:rPr>
        <w:t xml:space="preserve">, including </w:t>
      </w:r>
      <w:r w:rsidR="00AD185F" w:rsidRPr="00207864">
        <w:rPr>
          <w:rFonts w:ascii="Times New Roman" w:hAnsi="Times New Roman"/>
        </w:rPr>
        <w:t>persons</w:t>
      </w:r>
      <w:r w:rsidR="00AC4453" w:rsidRPr="00207864">
        <w:rPr>
          <w:rFonts w:ascii="Times New Roman" w:hAnsi="Times New Roman"/>
        </w:rPr>
        <w:t xml:space="preserve"> not presently in detention, </w:t>
      </w:r>
      <w:r w:rsidR="00AA3286" w:rsidRPr="00207864">
        <w:rPr>
          <w:rFonts w:ascii="Times New Roman" w:hAnsi="Times New Roman"/>
        </w:rPr>
        <w:t>might be detained</w:t>
      </w:r>
      <w:r w:rsidR="003A7565" w:rsidRPr="00207864">
        <w:rPr>
          <w:rFonts w:ascii="Times New Roman" w:hAnsi="Times New Roman"/>
        </w:rPr>
        <w:t xml:space="preserve"> under </w:t>
      </w:r>
      <w:r w:rsidR="00FA2BEB" w:rsidRPr="00207864">
        <w:rPr>
          <w:rFonts w:ascii="Times New Roman" w:hAnsi="Times New Roman"/>
        </w:rPr>
        <w:t xml:space="preserve">it. Given that the condition for </w:t>
      </w:r>
      <w:r w:rsidR="00265666" w:rsidRPr="00207864">
        <w:rPr>
          <w:rFonts w:ascii="Times New Roman" w:hAnsi="Times New Roman"/>
        </w:rPr>
        <w:t>the engagement of the power is that the person is a "terrorist offender"</w:t>
      </w:r>
      <w:r w:rsidR="0075224A" w:rsidRPr="00207864">
        <w:rPr>
          <w:rFonts w:ascii="Times New Roman" w:hAnsi="Times New Roman"/>
        </w:rPr>
        <w:t>,</w:t>
      </w:r>
      <w:r w:rsidR="00265666" w:rsidRPr="00207864">
        <w:rPr>
          <w:rFonts w:ascii="Times New Roman" w:hAnsi="Times New Roman"/>
        </w:rPr>
        <w:t xml:space="preserve"> </w:t>
      </w:r>
      <w:r w:rsidR="004E2EA2" w:rsidRPr="00207864">
        <w:rPr>
          <w:rFonts w:ascii="Times New Roman" w:hAnsi="Times New Roman"/>
        </w:rPr>
        <w:t xml:space="preserve">he </w:t>
      </w:r>
      <w:r w:rsidR="00195B9B" w:rsidRPr="00207864">
        <w:rPr>
          <w:rFonts w:ascii="Times New Roman" w:hAnsi="Times New Roman"/>
        </w:rPr>
        <w:t xml:space="preserve">submits that </w:t>
      </w:r>
      <w:r w:rsidR="000F1F50" w:rsidRPr="00207864">
        <w:rPr>
          <w:rFonts w:ascii="Times New Roman" w:hAnsi="Times New Roman"/>
        </w:rPr>
        <w:t>a purpose of punishment cannot be quarantined from any p</w:t>
      </w:r>
      <w:r w:rsidR="0043114E" w:rsidRPr="00207864">
        <w:rPr>
          <w:rFonts w:ascii="Times New Roman" w:hAnsi="Times New Roman"/>
        </w:rPr>
        <w:t xml:space="preserve">urpose of protection. </w:t>
      </w:r>
      <w:r w:rsidR="00752DBD" w:rsidRPr="00207864">
        <w:rPr>
          <w:rFonts w:ascii="Times New Roman" w:hAnsi="Times New Roman"/>
        </w:rPr>
        <w:t>He points out that the prevention of future harm is itself an a</w:t>
      </w:r>
      <w:r w:rsidR="00A118F9" w:rsidRPr="00207864">
        <w:rPr>
          <w:rFonts w:ascii="Times New Roman" w:hAnsi="Times New Roman"/>
        </w:rPr>
        <w:t>spect of punishment.</w:t>
      </w:r>
      <w:r w:rsidR="004E2EA2" w:rsidRPr="00207864">
        <w:rPr>
          <w:rFonts w:ascii="Times New Roman" w:hAnsi="Times New Roman"/>
        </w:rPr>
        <w:t xml:space="preserve"> </w:t>
      </w:r>
      <w:r w:rsidR="00950CC3" w:rsidRPr="00207864">
        <w:rPr>
          <w:rFonts w:ascii="Times New Roman" w:hAnsi="Times New Roman"/>
        </w:rPr>
        <w:t xml:space="preserve">Other features of the scheme which </w:t>
      </w:r>
      <w:r w:rsidR="00B729BF" w:rsidRPr="00207864">
        <w:rPr>
          <w:rFonts w:ascii="Times New Roman" w:hAnsi="Times New Roman"/>
        </w:rPr>
        <w:t xml:space="preserve">he submits do not displace its prima facie characterisation as punitive are that the detention for which it provides is </w:t>
      </w:r>
      <w:r w:rsidR="00E233DC" w:rsidRPr="00207864">
        <w:rPr>
          <w:rFonts w:ascii="Times New Roman" w:hAnsi="Times New Roman"/>
        </w:rPr>
        <w:t>in a prison and no provision is made for the treatment and rehabilita</w:t>
      </w:r>
      <w:r w:rsidR="006B58A3" w:rsidRPr="00207864">
        <w:rPr>
          <w:rFonts w:ascii="Times New Roman" w:hAnsi="Times New Roman"/>
        </w:rPr>
        <w:t xml:space="preserve">tion of </w:t>
      </w:r>
      <w:r w:rsidR="00750261" w:rsidRPr="00207864">
        <w:rPr>
          <w:rFonts w:ascii="Times New Roman" w:hAnsi="Times New Roman"/>
        </w:rPr>
        <w:t>detainees</w:t>
      </w:r>
      <w:r w:rsidR="00B32B92" w:rsidRPr="00207864">
        <w:rPr>
          <w:rFonts w:ascii="Times New Roman" w:hAnsi="Times New Roman"/>
        </w:rPr>
        <w:t>.</w:t>
      </w:r>
    </w:p>
    <w:p w14:paraId="375370CC" w14:textId="1A8DB4EF" w:rsidR="008F5487" w:rsidRPr="00207864" w:rsidRDefault="002F256F"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B54205" w:rsidRPr="00207864">
        <w:rPr>
          <w:rFonts w:ascii="Times New Roman" w:hAnsi="Times New Roman"/>
        </w:rPr>
        <w:t xml:space="preserve">To observe that </w:t>
      </w:r>
      <w:r w:rsidR="009C45FA" w:rsidRPr="00207864">
        <w:rPr>
          <w:rFonts w:ascii="Times New Roman" w:hAnsi="Times New Roman"/>
        </w:rPr>
        <w:t xml:space="preserve">the </w:t>
      </w:r>
      <w:r w:rsidR="00B54205" w:rsidRPr="00207864">
        <w:rPr>
          <w:rFonts w:ascii="Times New Roman" w:hAnsi="Times New Roman"/>
        </w:rPr>
        <w:t xml:space="preserve">protection of the community is a factor </w:t>
      </w:r>
      <w:r w:rsidR="009C45FA" w:rsidRPr="00207864">
        <w:rPr>
          <w:rFonts w:ascii="Times New Roman" w:hAnsi="Times New Roman"/>
        </w:rPr>
        <w:t xml:space="preserve">that is relevant </w:t>
      </w:r>
      <w:r w:rsidR="00FB6303" w:rsidRPr="00207864">
        <w:rPr>
          <w:rFonts w:ascii="Times New Roman" w:hAnsi="Times New Roman"/>
        </w:rPr>
        <w:t xml:space="preserve">in sentencing </w:t>
      </w:r>
      <w:r w:rsidR="00B25DF2" w:rsidRPr="00207864">
        <w:rPr>
          <w:rFonts w:ascii="Times New Roman" w:hAnsi="Times New Roman"/>
        </w:rPr>
        <w:t>an offender for an offence against Commonwealth law</w:t>
      </w:r>
      <w:r w:rsidR="00D66CBB" w:rsidRPr="00207864">
        <w:rPr>
          <w:rStyle w:val="FootnoteReference"/>
          <w:rFonts w:ascii="Times New Roman" w:hAnsi="Times New Roman"/>
          <w:sz w:val="24"/>
        </w:rPr>
        <w:footnoteReference w:id="79"/>
      </w:r>
      <w:r w:rsidR="00B25DF2" w:rsidRPr="00207864">
        <w:rPr>
          <w:rFonts w:ascii="Times New Roman" w:hAnsi="Times New Roman"/>
        </w:rPr>
        <w:t xml:space="preserve"> </w:t>
      </w:r>
      <w:r w:rsidR="009F6C65" w:rsidRPr="00207864">
        <w:rPr>
          <w:rFonts w:ascii="Times New Roman" w:hAnsi="Times New Roman"/>
        </w:rPr>
        <w:t xml:space="preserve">says nothing </w:t>
      </w:r>
      <w:r w:rsidR="004171CF" w:rsidRPr="00207864">
        <w:rPr>
          <w:rFonts w:ascii="Times New Roman" w:hAnsi="Times New Roman"/>
        </w:rPr>
        <w:t xml:space="preserve">as to the </w:t>
      </w:r>
      <w:r w:rsidR="009F6C65" w:rsidRPr="00207864">
        <w:rPr>
          <w:rFonts w:ascii="Times New Roman" w:hAnsi="Times New Roman"/>
        </w:rPr>
        <w:t xml:space="preserve">characterisation of the power </w:t>
      </w:r>
      <w:r w:rsidR="00EA4EE2" w:rsidRPr="00207864">
        <w:rPr>
          <w:rFonts w:ascii="Times New Roman" w:hAnsi="Times New Roman"/>
        </w:rPr>
        <w:t xml:space="preserve">to make a continuing detention order. </w:t>
      </w:r>
      <w:r w:rsidR="00270F04" w:rsidRPr="00207864">
        <w:rPr>
          <w:rFonts w:ascii="Times New Roman" w:hAnsi="Times New Roman"/>
        </w:rPr>
        <w:t>A</w:t>
      </w:r>
      <w:r w:rsidR="00EA4EE2" w:rsidRPr="00207864">
        <w:rPr>
          <w:rFonts w:ascii="Times New Roman" w:hAnsi="Times New Roman"/>
        </w:rPr>
        <w:t xml:space="preserve"> court sentencing an offender for a terrorist offence is required to impose a sentence that is of a severity that is appropriate in all the circumstances of the offence</w:t>
      </w:r>
      <w:r w:rsidR="00EA4EE2" w:rsidRPr="00207864">
        <w:rPr>
          <w:rStyle w:val="FootnoteReference"/>
          <w:rFonts w:ascii="Times New Roman" w:hAnsi="Times New Roman"/>
          <w:sz w:val="24"/>
        </w:rPr>
        <w:footnoteReference w:id="80"/>
      </w:r>
      <w:r w:rsidR="00EA4EE2" w:rsidRPr="00207864">
        <w:rPr>
          <w:rFonts w:ascii="Times New Roman" w:hAnsi="Times New Roman"/>
        </w:rPr>
        <w:t xml:space="preserve">. </w:t>
      </w:r>
      <w:r w:rsidR="008F5487" w:rsidRPr="00207864">
        <w:rPr>
          <w:rFonts w:ascii="Times New Roman" w:hAnsi="Times New Roman"/>
        </w:rPr>
        <w:t xml:space="preserve">The power conferred by s 105A.7 </w:t>
      </w:r>
      <w:r w:rsidR="00F25FDB" w:rsidRPr="00207864">
        <w:rPr>
          <w:rFonts w:ascii="Times New Roman" w:hAnsi="Times New Roman"/>
        </w:rPr>
        <w:t>of the Code</w:t>
      </w:r>
      <w:r w:rsidR="008F5487" w:rsidRPr="00207864">
        <w:rPr>
          <w:rFonts w:ascii="Times New Roman" w:hAnsi="Times New Roman"/>
        </w:rPr>
        <w:t xml:space="preserve"> is an extraordinary power to detain a terrorist offender in prison notwithstanding that the purposes of punishment have been vindicated and the sentence served. </w:t>
      </w:r>
      <w:r w:rsidR="004171CF" w:rsidRPr="00207864">
        <w:rPr>
          <w:rFonts w:ascii="Times New Roman" w:hAnsi="Times New Roman"/>
        </w:rPr>
        <w:t>The power is conditioned on the status of the offender as a prisoner serving a sentence for a terrorist offence (or having been in custody continuously since having been convicted of such an offence) but its making is divorced from sentencing the offender for the terrorist offence. The requirement that the sentencing court warn the offender that an application for a continuing detention order may be made in the future does not alter that fact</w:t>
      </w:r>
      <w:r w:rsidR="004171CF" w:rsidRPr="00207864">
        <w:rPr>
          <w:rStyle w:val="FootnoteReference"/>
          <w:rFonts w:ascii="Times New Roman" w:hAnsi="Times New Roman"/>
          <w:sz w:val="24"/>
        </w:rPr>
        <w:footnoteReference w:id="81"/>
      </w:r>
      <w:r w:rsidR="004171CF" w:rsidRPr="00207864">
        <w:rPr>
          <w:rFonts w:ascii="Times New Roman" w:hAnsi="Times New Roman"/>
        </w:rPr>
        <w:t xml:space="preserve">. </w:t>
      </w:r>
    </w:p>
    <w:p w14:paraId="1CDC108F" w14:textId="272A462A" w:rsidR="00612955" w:rsidRPr="00207864" w:rsidRDefault="004171CF"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00044D" w:rsidRPr="00207864">
        <w:rPr>
          <w:rFonts w:ascii="Times New Roman" w:hAnsi="Times New Roman"/>
        </w:rPr>
        <w:t>The object of Div 105A</w:t>
      </w:r>
      <w:r w:rsidR="00A6353D" w:rsidRPr="00207864">
        <w:rPr>
          <w:rFonts w:ascii="Times New Roman" w:hAnsi="Times New Roman"/>
        </w:rPr>
        <w:t xml:space="preserve">, </w:t>
      </w:r>
      <w:r w:rsidR="0000044D" w:rsidRPr="00207864">
        <w:rPr>
          <w:rFonts w:ascii="Times New Roman" w:hAnsi="Times New Roman"/>
        </w:rPr>
        <w:t>set out earlier in these reasons</w:t>
      </w:r>
      <w:r w:rsidR="00A6353D" w:rsidRPr="00207864">
        <w:rPr>
          <w:rFonts w:ascii="Times New Roman" w:hAnsi="Times New Roman"/>
        </w:rPr>
        <w:t>,</w:t>
      </w:r>
      <w:r w:rsidR="0000044D" w:rsidRPr="00207864">
        <w:rPr>
          <w:rFonts w:ascii="Times New Roman" w:hAnsi="Times New Roman"/>
        </w:rPr>
        <w:t xml:space="preserve"> is plainly directed to the protection of the community</w:t>
      </w:r>
      <w:r w:rsidR="009B741A" w:rsidRPr="00207864">
        <w:rPr>
          <w:rFonts w:ascii="Times New Roman" w:hAnsi="Times New Roman"/>
        </w:rPr>
        <w:t xml:space="preserve"> from harm</w:t>
      </w:r>
      <w:r w:rsidR="0000044D" w:rsidRPr="00207864">
        <w:rPr>
          <w:rFonts w:ascii="Times New Roman" w:hAnsi="Times New Roman"/>
        </w:rPr>
        <w:t xml:space="preserve">. The fact that the Parliament has chosen not to pursue this object by a more extreme measure </w:t>
      </w:r>
      <w:r w:rsidR="00140D29" w:rsidRPr="00207864">
        <w:rPr>
          <w:rFonts w:ascii="Times New Roman" w:hAnsi="Times New Roman"/>
        </w:rPr>
        <w:t xml:space="preserve">that is </w:t>
      </w:r>
      <w:r w:rsidR="0000044D" w:rsidRPr="00207864">
        <w:rPr>
          <w:rFonts w:ascii="Times New Roman" w:hAnsi="Times New Roman"/>
        </w:rPr>
        <w:t>not con</w:t>
      </w:r>
      <w:r w:rsidR="00140D29" w:rsidRPr="00207864">
        <w:rPr>
          <w:rFonts w:ascii="Times New Roman" w:hAnsi="Times New Roman"/>
        </w:rPr>
        <w:t xml:space="preserve">ditioned </w:t>
      </w:r>
      <w:r w:rsidR="00140D29" w:rsidRPr="00207864">
        <w:rPr>
          <w:rFonts w:ascii="Times New Roman" w:hAnsi="Times New Roman"/>
        </w:rPr>
        <w:lastRenderedPageBreak/>
        <w:t xml:space="preserve">on the subject </w:t>
      </w:r>
      <w:r w:rsidR="0099538F" w:rsidRPr="00207864">
        <w:rPr>
          <w:rFonts w:ascii="Times New Roman" w:hAnsi="Times New Roman"/>
        </w:rPr>
        <w:t xml:space="preserve">being a </w:t>
      </w:r>
      <w:r w:rsidR="0000044D" w:rsidRPr="00207864">
        <w:rPr>
          <w:rFonts w:ascii="Times New Roman" w:hAnsi="Times New Roman"/>
        </w:rPr>
        <w:t xml:space="preserve">"terrorist offender" does not gainsay that the object of </w:t>
      </w:r>
      <w:r w:rsidR="00484DD3" w:rsidRPr="00207864">
        <w:rPr>
          <w:rFonts w:ascii="Times New Roman" w:hAnsi="Times New Roman"/>
        </w:rPr>
        <w:t xml:space="preserve">the </w:t>
      </w:r>
      <w:r w:rsidR="0000044D" w:rsidRPr="00207864">
        <w:rPr>
          <w:rFonts w:ascii="Times New Roman" w:hAnsi="Times New Roman"/>
        </w:rPr>
        <w:t>continuing detention order is community protection and not punishment.</w:t>
      </w:r>
      <w:r w:rsidR="00484DD3" w:rsidRPr="00207864">
        <w:rPr>
          <w:rFonts w:ascii="Times New Roman" w:hAnsi="Times New Roman"/>
        </w:rPr>
        <w:t xml:space="preserve"> </w:t>
      </w:r>
      <w:r w:rsidRPr="00207864">
        <w:rPr>
          <w:rFonts w:ascii="Times New Roman" w:hAnsi="Times New Roman"/>
        </w:rPr>
        <w:t xml:space="preserve">Nor does the </w:t>
      </w:r>
      <w:r w:rsidR="00DB783A" w:rsidRPr="00207864">
        <w:rPr>
          <w:rFonts w:ascii="Times New Roman" w:hAnsi="Times New Roman"/>
        </w:rPr>
        <w:t xml:space="preserve">fact that </w:t>
      </w:r>
      <w:r w:rsidR="00A31C6C" w:rsidRPr="00207864">
        <w:rPr>
          <w:rFonts w:ascii="Times New Roman" w:hAnsi="Times New Roman"/>
        </w:rPr>
        <w:t xml:space="preserve">the </w:t>
      </w:r>
      <w:r w:rsidR="00DB783A" w:rsidRPr="00207864">
        <w:rPr>
          <w:rFonts w:ascii="Times New Roman" w:hAnsi="Times New Roman"/>
        </w:rPr>
        <w:t xml:space="preserve">detention </w:t>
      </w:r>
      <w:r w:rsidR="00A31C6C" w:rsidRPr="00207864">
        <w:rPr>
          <w:rFonts w:ascii="Times New Roman" w:hAnsi="Times New Roman"/>
        </w:rPr>
        <w:t>for which Div</w:t>
      </w:r>
      <w:r w:rsidR="000365C7" w:rsidRPr="00207864">
        <w:rPr>
          <w:rFonts w:ascii="Times New Roman" w:hAnsi="Times New Roman"/>
        </w:rPr>
        <w:t> </w:t>
      </w:r>
      <w:r w:rsidR="00A31C6C" w:rsidRPr="00207864">
        <w:rPr>
          <w:rFonts w:ascii="Times New Roman" w:hAnsi="Times New Roman"/>
        </w:rPr>
        <w:t xml:space="preserve">105A provides </w:t>
      </w:r>
      <w:r w:rsidR="00DB783A" w:rsidRPr="00207864">
        <w:rPr>
          <w:rFonts w:ascii="Times New Roman" w:hAnsi="Times New Roman"/>
        </w:rPr>
        <w:t xml:space="preserve">is in a prison detract from the conclusion that its </w:t>
      </w:r>
      <w:r w:rsidRPr="00207864">
        <w:rPr>
          <w:rFonts w:ascii="Times New Roman" w:hAnsi="Times New Roman"/>
        </w:rPr>
        <w:t>purpose</w:t>
      </w:r>
      <w:r w:rsidR="00DB783A" w:rsidRPr="00207864">
        <w:rPr>
          <w:rFonts w:ascii="Times New Roman" w:hAnsi="Times New Roman"/>
        </w:rPr>
        <w:t xml:space="preserve"> is pr</w:t>
      </w:r>
      <w:r w:rsidRPr="00207864">
        <w:rPr>
          <w:rFonts w:ascii="Times New Roman" w:hAnsi="Times New Roman"/>
        </w:rPr>
        <w:t>otective</w:t>
      </w:r>
      <w:r w:rsidR="00DB783A" w:rsidRPr="00207864">
        <w:rPr>
          <w:rFonts w:ascii="Times New Roman" w:hAnsi="Times New Roman"/>
        </w:rPr>
        <w:t xml:space="preserve"> and not punitive. </w:t>
      </w:r>
      <w:r w:rsidRPr="00207864">
        <w:rPr>
          <w:rFonts w:ascii="Times New Roman" w:hAnsi="Times New Roman"/>
        </w:rPr>
        <w:t xml:space="preserve">That </w:t>
      </w:r>
      <w:r w:rsidR="001652DD" w:rsidRPr="00207864">
        <w:rPr>
          <w:rFonts w:ascii="Times New Roman" w:hAnsi="Times New Roman"/>
        </w:rPr>
        <w:t>protection</w:t>
      </w:r>
      <w:r w:rsidRPr="00207864">
        <w:rPr>
          <w:rFonts w:ascii="Times New Roman" w:hAnsi="Times New Roman"/>
        </w:rPr>
        <w:t xml:space="preserve"> is its purpose is reinforced by the requirement that a</w:t>
      </w:r>
      <w:r w:rsidR="00DB783A" w:rsidRPr="00207864">
        <w:rPr>
          <w:rFonts w:ascii="Times New Roman" w:hAnsi="Times New Roman"/>
        </w:rPr>
        <w:t xml:space="preserve"> person detained </w:t>
      </w:r>
      <w:r w:rsidR="000C543A" w:rsidRPr="00207864">
        <w:rPr>
          <w:rFonts w:ascii="Times New Roman" w:hAnsi="Times New Roman"/>
        </w:rPr>
        <w:t xml:space="preserve">under </w:t>
      </w:r>
      <w:r w:rsidR="00DB783A" w:rsidRPr="00207864">
        <w:rPr>
          <w:rFonts w:ascii="Times New Roman" w:hAnsi="Times New Roman"/>
        </w:rPr>
        <w:t xml:space="preserve">a continuing detention order, as far as reasonably possible, </w:t>
      </w:r>
      <w:r w:rsidRPr="00207864">
        <w:rPr>
          <w:rFonts w:ascii="Times New Roman" w:hAnsi="Times New Roman"/>
        </w:rPr>
        <w:t>is to</w:t>
      </w:r>
      <w:r w:rsidR="00DB783A" w:rsidRPr="00207864">
        <w:rPr>
          <w:rFonts w:ascii="Times New Roman" w:hAnsi="Times New Roman"/>
        </w:rPr>
        <w:t xml:space="preserve"> be treated in a way that is appropriate to his or her status as a person who is not serving a sentence of imprisonment. </w:t>
      </w:r>
      <w:r w:rsidRPr="00207864">
        <w:rPr>
          <w:rFonts w:ascii="Times New Roman" w:hAnsi="Times New Roman"/>
        </w:rPr>
        <w:t xml:space="preserve">Such a detainee </w:t>
      </w:r>
      <w:r w:rsidR="00DB783A" w:rsidRPr="00207864">
        <w:rPr>
          <w:rFonts w:ascii="Times New Roman" w:hAnsi="Times New Roman"/>
        </w:rPr>
        <w:t xml:space="preserve">is not to be accommodated in the same area of the prison as prisoners serving sentences of imprisonment unless that is necessary, or unless </w:t>
      </w:r>
      <w:r w:rsidRPr="00207864">
        <w:rPr>
          <w:rFonts w:ascii="Times New Roman" w:hAnsi="Times New Roman"/>
        </w:rPr>
        <w:t xml:space="preserve">the person </w:t>
      </w:r>
      <w:r w:rsidR="00DB783A" w:rsidRPr="00207864">
        <w:rPr>
          <w:rFonts w:ascii="Times New Roman" w:hAnsi="Times New Roman"/>
        </w:rPr>
        <w:t>elects to be so accommodated</w:t>
      </w:r>
      <w:r w:rsidR="00DB783A" w:rsidRPr="00207864">
        <w:rPr>
          <w:rStyle w:val="FootnoteReference"/>
          <w:rFonts w:ascii="Times New Roman" w:hAnsi="Times New Roman"/>
          <w:sz w:val="24"/>
        </w:rPr>
        <w:footnoteReference w:id="82"/>
      </w:r>
      <w:r w:rsidR="00DB783A" w:rsidRPr="00207864">
        <w:rPr>
          <w:rFonts w:ascii="Times New Roman" w:hAnsi="Times New Roman"/>
        </w:rPr>
        <w:t>.</w:t>
      </w:r>
      <w:r w:rsidR="009755A0" w:rsidRPr="00207864">
        <w:rPr>
          <w:rFonts w:ascii="Times New Roman" w:hAnsi="Times New Roman"/>
        </w:rPr>
        <w:t xml:space="preserve"> </w:t>
      </w:r>
      <w:r w:rsidR="001908F3" w:rsidRPr="00207864">
        <w:rPr>
          <w:rFonts w:ascii="Times New Roman" w:hAnsi="Times New Roman"/>
        </w:rPr>
        <w:t xml:space="preserve">A detainee under a continuing detention order is not </w:t>
      </w:r>
      <w:r w:rsidR="00081185" w:rsidRPr="00207864">
        <w:rPr>
          <w:rFonts w:ascii="Times New Roman" w:hAnsi="Times New Roman"/>
        </w:rPr>
        <w:t xml:space="preserve">denied access to such </w:t>
      </w:r>
      <w:r w:rsidR="00F34693" w:rsidRPr="00207864">
        <w:rPr>
          <w:rFonts w:ascii="Times New Roman" w:hAnsi="Times New Roman"/>
        </w:rPr>
        <w:t xml:space="preserve">treatment and rehabilitation programs as may be available </w:t>
      </w:r>
      <w:r w:rsidR="00487286" w:rsidRPr="00207864">
        <w:rPr>
          <w:rFonts w:ascii="Times New Roman" w:hAnsi="Times New Roman"/>
        </w:rPr>
        <w:t>in the prison. The</w:t>
      </w:r>
      <w:r w:rsidR="009755A0" w:rsidRPr="00207864">
        <w:rPr>
          <w:rFonts w:ascii="Times New Roman" w:hAnsi="Times New Roman"/>
        </w:rPr>
        <w:t xml:space="preserve"> abs</w:t>
      </w:r>
      <w:r w:rsidR="00BF1644" w:rsidRPr="00207864">
        <w:rPr>
          <w:rFonts w:ascii="Times New Roman" w:hAnsi="Times New Roman"/>
        </w:rPr>
        <w:t xml:space="preserve">ence </w:t>
      </w:r>
      <w:r w:rsidR="009755A0" w:rsidRPr="00207864">
        <w:rPr>
          <w:rFonts w:ascii="Times New Roman" w:hAnsi="Times New Roman"/>
        </w:rPr>
        <w:t xml:space="preserve">of </w:t>
      </w:r>
      <w:r w:rsidR="001908F3" w:rsidRPr="00207864">
        <w:rPr>
          <w:rFonts w:ascii="Times New Roman" w:hAnsi="Times New Roman"/>
        </w:rPr>
        <w:t xml:space="preserve">special </w:t>
      </w:r>
      <w:r w:rsidR="00BF1644" w:rsidRPr="00207864">
        <w:rPr>
          <w:rFonts w:ascii="Times New Roman" w:hAnsi="Times New Roman"/>
        </w:rPr>
        <w:t xml:space="preserve">provision for treatment and rehabilitation </w:t>
      </w:r>
      <w:r w:rsidR="006911CD" w:rsidRPr="00207864">
        <w:rPr>
          <w:rFonts w:ascii="Times New Roman" w:hAnsi="Times New Roman"/>
        </w:rPr>
        <w:t xml:space="preserve">of detainees </w:t>
      </w:r>
      <w:r w:rsidR="0039571B" w:rsidRPr="00207864">
        <w:rPr>
          <w:rFonts w:ascii="Times New Roman" w:hAnsi="Times New Roman"/>
        </w:rPr>
        <w:t>under Div 105A</w:t>
      </w:r>
      <w:r w:rsidR="006911CD" w:rsidRPr="00207864">
        <w:rPr>
          <w:rFonts w:ascii="Times New Roman" w:hAnsi="Times New Roman"/>
        </w:rPr>
        <w:t xml:space="preserve"> does not deprive the scheme of its character as protective</w:t>
      </w:r>
      <w:r w:rsidR="00B93A28" w:rsidRPr="00207864">
        <w:rPr>
          <w:rFonts w:ascii="Times New Roman" w:hAnsi="Times New Roman"/>
        </w:rPr>
        <w:t xml:space="preserve">. </w:t>
      </w:r>
    </w:p>
    <w:p w14:paraId="28BFCD61" w14:textId="2E60234C" w:rsidR="00BF23F7" w:rsidRPr="00207864" w:rsidRDefault="00612955"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E2067C" w:rsidRPr="00207864">
        <w:rPr>
          <w:rFonts w:ascii="Times New Roman" w:hAnsi="Times New Roman"/>
        </w:rPr>
        <w:t xml:space="preserve">The power is only enlivened in the last 12 months of the offender's sentence. </w:t>
      </w:r>
      <w:r w:rsidR="008F648A" w:rsidRPr="00207864">
        <w:rPr>
          <w:rFonts w:ascii="Times New Roman" w:hAnsi="Times New Roman"/>
        </w:rPr>
        <w:t xml:space="preserve">In determining whether the conditions </w:t>
      </w:r>
      <w:r w:rsidR="00F0664A" w:rsidRPr="00207864">
        <w:rPr>
          <w:rFonts w:ascii="Times New Roman" w:hAnsi="Times New Roman"/>
        </w:rPr>
        <w:t xml:space="preserve">for the making of a continuing detention order </w:t>
      </w:r>
      <w:r w:rsidR="008F648A" w:rsidRPr="00207864">
        <w:rPr>
          <w:rFonts w:ascii="Times New Roman" w:hAnsi="Times New Roman"/>
        </w:rPr>
        <w:t xml:space="preserve">are met the </w:t>
      </w:r>
      <w:r w:rsidR="00F708E9" w:rsidRPr="00207864">
        <w:rPr>
          <w:rFonts w:ascii="Times New Roman" w:hAnsi="Times New Roman"/>
        </w:rPr>
        <w:t>C</w:t>
      </w:r>
      <w:r w:rsidR="008F648A" w:rsidRPr="00207864">
        <w:rPr>
          <w:rFonts w:ascii="Times New Roman" w:hAnsi="Times New Roman"/>
        </w:rPr>
        <w:t>ourt is</w:t>
      </w:r>
      <w:r w:rsidR="00DD75E6" w:rsidRPr="00207864">
        <w:rPr>
          <w:rFonts w:ascii="Times New Roman" w:hAnsi="Times New Roman"/>
        </w:rPr>
        <w:t xml:space="preserve">, relevantly, </w:t>
      </w:r>
      <w:r w:rsidR="008F648A" w:rsidRPr="00207864">
        <w:rPr>
          <w:rFonts w:ascii="Times New Roman" w:hAnsi="Times New Roman"/>
        </w:rPr>
        <w:t xml:space="preserve">to have regard to expert </w:t>
      </w:r>
      <w:r w:rsidR="00314343" w:rsidRPr="00207864">
        <w:rPr>
          <w:rFonts w:ascii="Times New Roman" w:hAnsi="Times New Roman"/>
        </w:rPr>
        <w:t xml:space="preserve">opinion </w:t>
      </w:r>
      <w:r w:rsidR="008F648A" w:rsidRPr="00207864">
        <w:rPr>
          <w:rFonts w:ascii="Times New Roman" w:hAnsi="Times New Roman"/>
        </w:rPr>
        <w:t>about the risk of the offender committing a serious Pt 5.3 offence if released into the community</w:t>
      </w:r>
      <w:r w:rsidR="008F648A" w:rsidRPr="00207864">
        <w:rPr>
          <w:rStyle w:val="FootnoteReference"/>
          <w:rFonts w:ascii="Times New Roman" w:hAnsi="Times New Roman"/>
          <w:sz w:val="24"/>
        </w:rPr>
        <w:footnoteReference w:id="83"/>
      </w:r>
      <w:r w:rsidR="008F648A" w:rsidRPr="00207864">
        <w:rPr>
          <w:rFonts w:ascii="Times New Roman" w:hAnsi="Times New Roman"/>
        </w:rPr>
        <w:t xml:space="preserve">; </w:t>
      </w:r>
      <w:r w:rsidR="001E125E" w:rsidRPr="00207864">
        <w:rPr>
          <w:rFonts w:ascii="Times New Roman" w:hAnsi="Times New Roman"/>
        </w:rPr>
        <w:t xml:space="preserve">any report relating to </w:t>
      </w:r>
      <w:r w:rsidR="008F648A" w:rsidRPr="00207864">
        <w:rPr>
          <w:rFonts w:ascii="Times New Roman" w:hAnsi="Times New Roman"/>
        </w:rPr>
        <w:t>the extent to which the offender can be managed in the community</w:t>
      </w:r>
      <w:r w:rsidR="008F648A" w:rsidRPr="00207864">
        <w:rPr>
          <w:rStyle w:val="FootnoteReference"/>
          <w:rFonts w:ascii="Times New Roman" w:hAnsi="Times New Roman"/>
          <w:sz w:val="24"/>
        </w:rPr>
        <w:footnoteReference w:id="84"/>
      </w:r>
      <w:r w:rsidR="008F648A" w:rsidRPr="00207864">
        <w:rPr>
          <w:rFonts w:ascii="Times New Roman" w:hAnsi="Times New Roman"/>
        </w:rPr>
        <w:t xml:space="preserve">; and any treatment or rehabilitation programs </w:t>
      </w:r>
      <w:r w:rsidR="00613F9B" w:rsidRPr="00207864">
        <w:rPr>
          <w:rFonts w:ascii="Times New Roman" w:hAnsi="Times New Roman"/>
        </w:rPr>
        <w:t xml:space="preserve">in which </w:t>
      </w:r>
      <w:r w:rsidR="008F648A" w:rsidRPr="00207864">
        <w:rPr>
          <w:rFonts w:ascii="Times New Roman" w:hAnsi="Times New Roman"/>
        </w:rPr>
        <w:t>the offender has had the opportunity to participate</w:t>
      </w:r>
      <w:r w:rsidR="008F648A" w:rsidRPr="00207864">
        <w:rPr>
          <w:rStyle w:val="FootnoteReference"/>
          <w:rFonts w:ascii="Times New Roman" w:hAnsi="Times New Roman"/>
          <w:sz w:val="24"/>
        </w:rPr>
        <w:footnoteReference w:id="85"/>
      </w:r>
      <w:r w:rsidR="008F648A" w:rsidRPr="00207864">
        <w:rPr>
          <w:rFonts w:ascii="Times New Roman" w:hAnsi="Times New Roman"/>
        </w:rPr>
        <w:t xml:space="preserve">. The evident focus is on the assessment of the risk the offender poses of future harm to the community upon release and not </w:t>
      </w:r>
      <w:r w:rsidR="00314343" w:rsidRPr="00207864">
        <w:rPr>
          <w:rFonts w:ascii="Times New Roman" w:hAnsi="Times New Roman"/>
        </w:rPr>
        <w:t>on</w:t>
      </w:r>
      <w:r w:rsidR="008F648A" w:rsidRPr="00207864">
        <w:rPr>
          <w:rFonts w:ascii="Times New Roman" w:hAnsi="Times New Roman"/>
        </w:rPr>
        <w:t xml:space="preserve"> punishing the offender for the offence for which he or she was sentenced. </w:t>
      </w:r>
      <w:r w:rsidR="00065D16" w:rsidRPr="00207864">
        <w:rPr>
          <w:rFonts w:ascii="Times New Roman" w:hAnsi="Times New Roman"/>
        </w:rPr>
        <w:t>Similarly</w:t>
      </w:r>
      <w:r w:rsidR="00631884" w:rsidRPr="00207864">
        <w:rPr>
          <w:rFonts w:ascii="Times New Roman" w:hAnsi="Times New Roman"/>
        </w:rPr>
        <w:t xml:space="preserve">, </w:t>
      </w:r>
      <w:r w:rsidR="00BF23F7" w:rsidRPr="00207864">
        <w:rPr>
          <w:rFonts w:ascii="Times New Roman" w:hAnsi="Times New Roman"/>
        </w:rPr>
        <w:t>t</w:t>
      </w:r>
      <w:r w:rsidR="009755A0" w:rsidRPr="00207864">
        <w:rPr>
          <w:rFonts w:ascii="Times New Roman" w:hAnsi="Times New Roman"/>
        </w:rPr>
        <w:t>he provision for annual reviews</w:t>
      </w:r>
      <w:r w:rsidR="009755A0" w:rsidRPr="00207864">
        <w:rPr>
          <w:rStyle w:val="FootnoteReference"/>
          <w:rFonts w:ascii="Times New Roman" w:hAnsi="Times New Roman"/>
          <w:sz w:val="24"/>
        </w:rPr>
        <w:footnoteReference w:id="86"/>
      </w:r>
      <w:r w:rsidR="00B250A7" w:rsidRPr="00207864">
        <w:rPr>
          <w:rFonts w:ascii="Times New Roman" w:hAnsi="Times New Roman"/>
        </w:rPr>
        <w:t>,</w:t>
      </w:r>
      <w:r w:rsidR="009755A0" w:rsidRPr="00207864">
        <w:rPr>
          <w:rFonts w:ascii="Times New Roman" w:hAnsi="Times New Roman"/>
        </w:rPr>
        <w:t xml:space="preserve"> and the requirement that the </w:t>
      </w:r>
      <w:r w:rsidR="009305C2" w:rsidRPr="00207864">
        <w:rPr>
          <w:rFonts w:ascii="Times New Roman" w:hAnsi="Times New Roman"/>
        </w:rPr>
        <w:t>C</w:t>
      </w:r>
      <w:r w:rsidR="009755A0" w:rsidRPr="00207864">
        <w:rPr>
          <w:rFonts w:ascii="Times New Roman" w:hAnsi="Times New Roman"/>
        </w:rPr>
        <w:t>ourt revoke the continuing detention order unless satisfied</w:t>
      </w:r>
      <w:r w:rsidR="002E508C" w:rsidRPr="00207864">
        <w:rPr>
          <w:rFonts w:ascii="Times New Roman" w:hAnsi="Times New Roman"/>
        </w:rPr>
        <w:t>: (1)</w:t>
      </w:r>
      <w:r w:rsidR="009755A0" w:rsidRPr="00207864">
        <w:rPr>
          <w:rFonts w:ascii="Times New Roman" w:hAnsi="Times New Roman"/>
        </w:rPr>
        <w:t xml:space="preserve"> </w:t>
      </w:r>
      <w:r w:rsidR="002E508C" w:rsidRPr="00207864">
        <w:rPr>
          <w:rFonts w:ascii="Times New Roman" w:hAnsi="Times New Roman"/>
        </w:rPr>
        <w:t>to a high degree of probability,</w:t>
      </w:r>
      <w:r w:rsidR="009755A0" w:rsidRPr="00207864">
        <w:rPr>
          <w:rFonts w:ascii="Times New Roman" w:hAnsi="Times New Roman"/>
        </w:rPr>
        <w:t xml:space="preserve"> on the basis of admissible evidence</w:t>
      </w:r>
      <w:r w:rsidR="002E508C" w:rsidRPr="00207864">
        <w:rPr>
          <w:rFonts w:ascii="Times New Roman" w:hAnsi="Times New Roman"/>
        </w:rPr>
        <w:t>,</w:t>
      </w:r>
      <w:r w:rsidR="009755A0" w:rsidRPr="00207864">
        <w:rPr>
          <w:rFonts w:ascii="Times New Roman" w:hAnsi="Times New Roman"/>
        </w:rPr>
        <w:t xml:space="preserve"> that the offender poses an unacceptable risk of committing a serious Pt 5.3 offence if released into the community</w:t>
      </w:r>
      <w:r w:rsidR="002E508C" w:rsidRPr="00207864">
        <w:rPr>
          <w:rFonts w:ascii="Times New Roman" w:hAnsi="Times New Roman"/>
        </w:rPr>
        <w:t xml:space="preserve">; </w:t>
      </w:r>
      <w:r w:rsidR="009755A0" w:rsidRPr="00207864">
        <w:rPr>
          <w:rFonts w:ascii="Times New Roman" w:hAnsi="Times New Roman"/>
        </w:rPr>
        <w:t xml:space="preserve">and </w:t>
      </w:r>
      <w:r w:rsidR="002E508C" w:rsidRPr="00207864">
        <w:rPr>
          <w:rFonts w:ascii="Times New Roman" w:hAnsi="Times New Roman"/>
        </w:rPr>
        <w:t>(2)</w:t>
      </w:r>
      <w:r w:rsidR="009755A0" w:rsidRPr="00207864">
        <w:rPr>
          <w:rFonts w:ascii="Times New Roman" w:hAnsi="Times New Roman"/>
        </w:rPr>
        <w:t xml:space="preserve"> that there is no other</w:t>
      </w:r>
      <w:r w:rsidR="007E11E5" w:rsidRPr="00207864">
        <w:rPr>
          <w:rFonts w:ascii="Times New Roman" w:hAnsi="Times New Roman"/>
        </w:rPr>
        <w:t>,</w:t>
      </w:r>
      <w:r w:rsidR="009755A0" w:rsidRPr="00207864">
        <w:rPr>
          <w:rFonts w:ascii="Times New Roman" w:hAnsi="Times New Roman"/>
        </w:rPr>
        <w:t xml:space="preserve"> less restrictive measure that would be </w:t>
      </w:r>
      <w:r w:rsidR="009755A0" w:rsidRPr="00207864">
        <w:rPr>
          <w:rFonts w:ascii="Times New Roman" w:hAnsi="Times New Roman"/>
        </w:rPr>
        <w:lastRenderedPageBreak/>
        <w:t>effective in preventing that unacceptable risk</w:t>
      </w:r>
      <w:r w:rsidR="009755A0" w:rsidRPr="00207864">
        <w:rPr>
          <w:rStyle w:val="FootnoteReference"/>
          <w:rFonts w:ascii="Times New Roman" w:hAnsi="Times New Roman"/>
          <w:sz w:val="24"/>
        </w:rPr>
        <w:footnoteReference w:id="87"/>
      </w:r>
      <w:r w:rsidR="00053745" w:rsidRPr="00207864">
        <w:rPr>
          <w:rFonts w:ascii="Times New Roman" w:hAnsi="Times New Roman"/>
        </w:rPr>
        <w:t>,</w:t>
      </w:r>
      <w:r w:rsidR="00D604F7" w:rsidRPr="00207864">
        <w:rPr>
          <w:rFonts w:ascii="Times New Roman" w:hAnsi="Times New Roman"/>
        </w:rPr>
        <w:t xml:space="preserve"> </w:t>
      </w:r>
      <w:r w:rsidR="00D946C5" w:rsidRPr="00207864">
        <w:rPr>
          <w:rFonts w:ascii="Times New Roman" w:hAnsi="Times New Roman"/>
        </w:rPr>
        <w:t xml:space="preserve">bespeak </w:t>
      </w:r>
      <w:r w:rsidR="00D870DC" w:rsidRPr="00207864">
        <w:rPr>
          <w:rFonts w:ascii="Times New Roman" w:hAnsi="Times New Roman"/>
        </w:rPr>
        <w:t xml:space="preserve">that </w:t>
      </w:r>
      <w:r w:rsidR="009755A0" w:rsidRPr="00207864">
        <w:rPr>
          <w:rFonts w:ascii="Times New Roman" w:hAnsi="Times New Roman"/>
        </w:rPr>
        <w:t xml:space="preserve">the regime </w:t>
      </w:r>
      <w:r w:rsidR="00D870DC" w:rsidRPr="00207864">
        <w:rPr>
          <w:rFonts w:ascii="Times New Roman" w:hAnsi="Times New Roman"/>
        </w:rPr>
        <w:t>has</w:t>
      </w:r>
      <w:r w:rsidR="00595439" w:rsidRPr="00207864">
        <w:rPr>
          <w:rFonts w:ascii="Times New Roman" w:hAnsi="Times New Roman"/>
        </w:rPr>
        <w:t xml:space="preserve"> as its object </w:t>
      </w:r>
      <w:r w:rsidR="008925CB" w:rsidRPr="00207864">
        <w:rPr>
          <w:rFonts w:ascii="Times New Roman" w:hAnsi="Times New Roman"/>
        </w:rPr>
        <w:t xml:space="preserve">the </w:t>
      </w:r>
      <w:r w:rsidR="009755A0" w:rsidRPr="00207864">
        <w:rPr>
          <w:rFonts w:ascii="Times New Roman" w:hAnsi="Times New Roman"/>
        </w:rPr>
        <w:t>protecti</w:t>
      </w:r>
      <w:r w:rsidR="00923090" w:rsidRPr="00207864">
        <w:rPr>
          <w:rFonts w:ascii="Times New Roman" w:hAnsi="Times New Roman"/>
        </w:rPr>
        <w:t xml:space="preserve">on </w:t>
      </w:r>
      <w:r w:rsidR="009755A0" w:rsidRPr="00207864">
        <w:rPr>
          <w:rFonts w:ascii="Times New Roman" w:hAnsi="Times New Roman"/>
        </w:rPr>
        <w:t>of the community</w:t>
      </w:r>
      <w:r w:rsidR="00923090" w:rsidRPr="00207864">
        <w:rPr>
          <w:rFonts w:ascii="Times New Roman" w:hAnsi="Times New Roman"/>
        </w:rPr>
        <w:t xml:space="preserve"> </w:t>
      </w:r>
      <w:r w:rsidR="00D557D0" w:rsidRPr="00207864">
        <w:rPr>
          <w:rFonts w:ascii="Times New Roman" w:hAnsi="Times New Roman"/>
        </w:rPr>
        <w:t>rather than</w:t>
      </w:r>
      <w:r w:rsidR="00923090" w:rsidRPr="00207864">
        <w:rPr>
          <w:rFonts w:ascii="Times New Roman" w:hAnsi="Times New Roman"/>
        </w:rPr>
        <w:t xml:space="preserve"> punishment. </w:t>
      </w:r>
      <w:r w:rsidR="005B42E0" w:rsidRPr="00207864">
        <w:rPr>
          <w:rFonts w:ascii="Times New Roman" w:hAnsi="Times New Roman"/>
        </w:rPr>
        <w:t>Detention in prison is prima facie penal or punitive</w:t>
      </w:r>
      <w:r w:rsidR="00D66AE0" w:rsidRPr="00207864">
        <w:rPr>
          <w:rFonts w:ascii="Times New Roman" w:hAnsi="Times New Roman"/>
        </w:rPr>
        <w:t>;</w:t>
      </w:r>
      <w:r w:rsidR="005B42E0" w:rsidRPr="00207864">
        <w:rPr>
          <w:rFonts w:ascii="Times New Roman" w:hAnsi="Times New Roman"/>
        </w:rPr>
        <w:t xml:space="preserve"> however</w:t>
      </w:r>
      <w:r w:rsidR="00D66AE0" w:rsidRPr="00207864">
        <w:rPr>
          <w:rFonts w:ascii="Times New Roman" w:hAnsi="Times New Roman"/>
        </w:rPr>
        <w:t>,</w:t>
      </w:r>
      <w:r w:rsidR="005B42E0" w:rsidRPr="00207864">
        <w:rPr>
          <w:rFonts w:ascii="Times New Roman" w:hAnsi="Times New Roman"/>
        </w:rPr>
        <w:t xml:space="preserve"> that characterisation may be displaced by an evident non-punitive purpose</w:t>
      </w:r>
      <w:r w:rsidR="005B42E0" w:rsidRPr="00207864">
        <w:rPr>
          <w:rStyle w:val="FootnoteReference"/>
          <w:rFonts w:ascii="Times New Roman" w:hAnsi="Times New Roman"/>
          <w:sz w:val="24"/>
        </w:rPr>
        <w:footnoteReference w:id="88"/>
      </w:r>
      <w:r w:rsidR="005B42E0" w:rsidRPr="00207864">
        <w:rPr>
          <w:rFonts w:ascii="Times New Roman" w:hAnsi="Times New Roman"/>
        </w:rPr>
        <w:t>. Division 105A has an evident non-punitive</w:t>
      </w:r>
      <w:r w:rsidR="004337CA" w:rsidRPr="00207864">
        <w:rPr>
          <w:rFonts w:ascii="Times New Roman" w:hAnsi="Times New Roman"/>
        </w:rPr>
        <w:t>, protective</w:t>
      </w:r>
      <w:r w:rsidR="005B42E0" w:rsidRPr="00207864">
        <w:rPr>
          <w:rFonts w:ascii="Times New Roman" w:hAnsi="Times New Roman"/>
        </w:rPr>
        <w:t xml:space="preserve"> purpose.</w:t>
      </w:r>
    </w:p>
    <w:p w14:paraId="3936E803" w14:textId="10B38C4B" w:rsidR="00C86C72" w:rsidRPr="00207864" w:rsidRDefault="00C86C72" w:rsidP="00207864">
      <w:pPr>
        <w:pStyle w:val="FixListStyle"/>
        <w:spacing w:after="260" w:line="280" w:lineRule="exact"/>
        <w:ind w:right="0"/>
        <w:jc w:val="both"/>
        <w:rPr>
          <w:rFonts w:ascii="Times New Roman" w:hAnsi="Times New Roman"/>
        </w:rPr>
      </w:pPr>
      <w:r w:rsidRPr="00207864">
        <w:rPr>
          <w:rFonts w:ascii="Times New Roman" w:hAnsi="Times New Roman"/>
        </w:rPr>
        <w:tab/>
        <w:t>This Court has consistently</w:t>
      </w:r>
      <w:r w:rsidR="006828EE" w:rsidRPr="00207864">
        <w:rPr>
          <w:rFonts w:ascii="Times New Roman" w:hAnsi="Times New Roman"/>
        </w:rPr>
        <w:t xml:space="preserve"> held</w:t>
      </w:r>
      <w:r w:rsidR="005E36BB" w:rsidRPr="00207864">
        <w:rPr>
          <w:rFonts w:ascii="Times New Roman" w:hAnsi="Times New Roman"/>
        </w:rPr>
        <w:t xml:space="preserve">, and most recently in </w:t>
      </w:r>
      <w:proofErr w:type="spellStart"/>
      <w:r w:rsidR="005E36BB" w:rsidRPr="00207864">
        <w:rPr>
          <w:rFonts w:ascii="Times New Roman" w:hAnsi="Times New Roman"/>
          <w:i/>
        </w:rPr>
        <w:t>Fardon</w:t>
      </w:r>
      <w:proofErr w:type="spellEnd"/>
      <w:r w:rsidR="005E36BB" w:rsidRPr="00207864">
        <w:rPr>
          <w:rFonts w:ascii="Times New Roman" w:hAnsi="Times New Roman"/>
        </w:rPr>
        <w:t>,</w:t>
      </w:r>
      <w:r w:rsidR="006828EE" w:rsidRPr="00207864">
        <w:rPr>
          <w:rFonts w:ascii="Times New Roman" w:hAnsi="Times New Roman"/>
        </w:rPr>
        <w:t xml:space="preserve"> </w:t>
      </w:r>
      <w:r w:rsidR="005E36BB" w:rsidRPr="00207864">
        <w:rPr>
          <w:rFonts w:ascii="Times New Roman" w:hAnsi="Times New Roman"/>
        </w:rPr>
        <w:t>that detention that has as its purpose the protection of the community is not punishment</w:t>
      </w:r>
      <w:r w:rsidR="006828EE" w:rsidRPr="00207864">
        <w:rPr>
          <w:rStyle w:val="FootnoteReference"/>
          <w:rFonts w:ascii="Times New Roman" w:hAnsi="Times New Roman"/>
          <w:sz w:val="24"/>
        </w:rPr>
        <w:footnoteReference w:id="89"/>
      </w:r>
      <w:r w:rsidR="005E36BB" w:rsidRPr="00207864">
        <w:rPr>
          <w:rFonts w:ascii="Times New Roman" w:hAnsi="Times New Roman"/>
        </w:rPr>
        <w:t xml:space="preserve">. </w:t>
      </w:r>
      <w:r w:rsidR="00D10898" w:rsidRPr="00207864">
        <w:rPr>
          <w:rFonts w:ascii="Times New Roman" w:hAnsi="Times New Roman"/>
        </w:rPr>
        <w:t>As Gummow J explained</w:t>
      </w:r>
      <w:r w:rsidR="0001689C" w:rsidRPr="00207864">
        <w:rPr>
          <w:rFonts w:ascii="Times New Roman" w:hAnsi="Times New Roman"/>
        </w:rPr>
        <w:t xml:space="preserve">, the making of a continuing detention order under the Qld Act did not punish </w:t>
      </w:r>
      <w:proofErr w:type="spellStart"/>
      <w:r w:rsidR="0001689C" w:rsidRPr="00207864">
        <w:rPr>
          <w:rFonts w:ascii="Times New Roman" w:hAnsi="Times New Roman"/>
        </w:rPr>
        <w:t>Fardon</w:t>
      </w:r>
      <w:proofErr w:type="spellEnd"/>
      <w:r w:rsidR="0001689C" w:rsidRPr="00207864">
        <w:rPr>
          <w:rFonts w:ascii="Times New Roman" w:hAnsi="Times New Roman"/>
        </w:rPr>
        <w:t xml:space="preserve"> twice, nor did it increase his punishment for the offences of which he had been convicted</w:t>
      </w:r>
      <w:r w:rsidR="00DA5B32" w:rsidRPr="00207864">
        <w:rPr>
          <w:rStyle w:val="FootnoteReference"/>
          <w:rFonts w:ascii="Times New Roman" w:hAnsi="Times New Roman"/>
          <w:sz w:val="24"/>
        </w:rPr>
        <w:footnoteReference w:id="90"/>
      </w:r>
      <w:r w:rsidR="0001689C" w:rsidRPr="00207864">
        <w:rPr>
          <w:rFonts w:ascii="Times New Roman" w:hAnsi="Times New Roman"/>
        </w:rPr>
        <w:t>. Plainly enough</w:t>
      </w:r>
      <w:r w:rsidR="00C17D7D" w:rsidRPr="00207864">
        <w:rPr>
          <w:rFonts w:ascii="Times New Roman" w:hAnsi="Times New Roman"/>
        </w:rPr>
        <w:t xml:space="preserve">, any suggestion that detention under a scheme such as that considered in </w:t>
      </w:r>
      <w:proofErr w:type="spellStart"/>
      <w:r w:rsidR="00C17D7D" w:rsidRPr="00207864">
        <w:rPr>
          <w:rFonts w:ascii="Times New Roman" w:hAnsi="Times New Roman"/>
          <w:i/>
        </w:rPr>
        <w:t>Fardon</w:t>
      </w:r>
      <w:proofErr w:type="spellEnd"/>
      <w:r w:rsidR="00C17D7D" w:rsidRPr="00207864">
        <w:rPr>
          <w:rFonts w:ascii="Times New Roman" w:hAnsi="Times New Roman"/>
        </w:rPr>
        <w:t xml:space="preserve"> is to supplement </w:t>
      </w:r>
      <w:r w:rsidR="00D20938" w:rsidRPr="00207864">
        <w:rPr>
          <w:rFonts w:ascii="Times New Roman" w:hAnsi="Times New Roman"/>
        </w:rPr>
        <w:t>punishment for a crime would raise a large question as to double</w:t>
      </w:r>
      <w:r w:rsidR="00E6332C" w:rsidRPr="00207864">
        <w:rPr>
          <w:rFonts w:ascii="Times New Roman" w:hAnsi="Times New Roman"/>
        </w:rPr>
        <w:noBreakHyphen/>
      </w:r>
      <w:r w:rsidR="00D20938" w:rsidRPr="00207864">
        <w:rPr>
          <w:rFonts w:ascii="Times New Roman" w:hAnsi="Times New Roman"/>
        </w:rPr>
        <w:t xml:space="preserve">punishment. </w:t>
      </w:r>
      <w:r w:rsidR="006C1353" w:rsidRPr="00207864">
        <w:rPr>
          <w:rFonts w:ascii="Times New Roman" w:hAnsi="Times New Roman"/>
        </w:rPr>
        <w:t xml:space="preserve">It is precisely because a just sentence </w:t>
      </w:r>
      <w:r w:rsidR="002D7CE0" w:rsidRPr="00207864">
        <w:rPr>
          <w:rFonts w:ascii="Times New Roman" w:hAnsi="Times New Roman"/>
        </w:rPr>
        <w:t xml:space="preserve">must be proportionate to the offending being punished that adequate protection </w:t>
      </w:r>
      <w:r w:rsidR="002A4D10" w:rsidRPr="00207864">
        <w:rPr>
          <w:rFonts w:ascii="Times New Roman" w:hAnsi="Times New Roman"/>
        </w:rPr>
        <w:t>for</w:t>
      </w:r>
      <w:r w:rsidR="002D7CE0" w:rsidRPr="00207864">
        <w:rPr>
          <w:rFonts w:ascii="Times New Roman" w:hAnsi="Times New Roman"/>
        </w:rPr>
        <w:t xml:space="preserve"> the safety of the community from demonstrable threats </w:t>
      </w:r>
      <w:r w:rsidR="00EE1955" w:rsidRPr="00207864">
        <w:rPr>
          <w:rFonts w:ascii="Times New Roman" w:hAnsi="Times New Roman"/>
        </w:rPr>
        <w:t xml:space="preserve">cannot be assured under the ordinary criminal law (and sentences imposed thereunder). As Gleeson CJ noted in </w:t>
      </w:r>
      <w:proofErr w:type="spellStart"/>
      <w:r w:rsidR="00EE1955" w:rsidRPr="00207864">
        <w:rPr>
          <w:rFonts w:ascii="Times New Roman" w:hAnsi="Times New Roman"/>
          <w:i/>
        </w:rPr>
        <w:t>Fardon</w:t>
      </w:r>
      <w:proofErr w:type="spellEnd"/>
      <w:r w:rsidR="0035459F" w:rsidRPr="00207864">
        <w:rPr>
          <w:rStyle w:val="FootnoteReference"/>
          <w:rFonts w:ascii="Times New Roman" w:hAnsi="Times New Roman"/>
          <w:sz w:val="24"/>
        </w:rPr>
        <w:footnoteReference w:id="91"/>
      </w:r>
      <w:r w:rsidR="008C3F36" w:rsidRPr="00207864">
        <w:rPr>
          <w:rFonts w:ascii="Times New Roman" w:hAnsi="Times New Roman"/>
        </w:rPr>
        <w:t xml:space="preserve">, the statement of Deane J in </w:t>
      </w:r>
      <w:r w:rsidR="008C3F36" w:rsidRPr="00207864">
        <w:rPr>
          <w:rFonts w:ascii="Times New Roman" w:hAnsi="Times New Roman"/>
          <w:i/>
        </w:rPr>
        <w:t xml:space="preserve">Veen v The Queen </w:t>
      </w:r>
      <w:r w:rsidR="007D0725" w:rsidRPr="00207864">
        <w:rPr>
          <w:rFonts w:ascii="Times New Roman" w:hAnsi="Times New Roman"/>
          <w:i/>
        </w:rPr>
        <w:t>[</w:t>
      </w:r>
      <w:r w:rsidR="008C3F36" w:rsidRPr="00207864">
        <w:rPr>
          <w:rFonts w:ascii="Times New Roman" w:hAnsi="Times New Roman"/>
          <w:i/>
        </w:rPr>
        <w:t>No 2</w:t>
      </w:r>
      <w:r w:rsidR="007D0725" w:rsidRPr="00207864">
        <w:rPr>
          <w:rFonts w:ascii="Times New Roman" w:hAnsi="Times New Roman"/>
          <w:i/>
        </w:rPr>
        <w:t>]</w:t>
      </w:r>
      <w:r w:rsidR="00774022" w:rsidRPr="00207864">
        <w:rPr>
          <w:rStyle w:val="FootnoteReference"/>
          <w:rFonts w:ascii="Times New Roman" w:hAnsi="Times New Roman"/>
          <w:sz w:val="24"/>
        </w:rPr>
        <w:footnoteReference w:id="92"/>
      </w:r>
      <w:r w:rsidR="008C3F36" w:rsidRPr="00207864">
        <w:rPr>
          <w:rFonts w:ascii="Times New Roman" w:hAnsi="Times New Roman"/>
        </w:rPr>
        <w:t xml:space="preserve"> is necessari</w:t>
      </w:r>
      <w:r w:rsidR="005D20C5" w:rsidRPr="00207864">
        <w:rPr>
          <w:rFonts w:ascii="Times New Roman" w:hAnsi="Times New Roman"/>
        </w:rPr>
        <w:t>ly predicated upon a positive view of the legitimacy of prevent</w:t>
      </w:r>
      <w:r w:rsidR="00323F37" w:rsidRPr="00207864">
        <w:rPr>
          <w:rFonts w:ascii="Times New Roman" w:hAnsi="Times New Roman"/>
        </w:rPr>
        <w:t>at</w:t>
      </w:r>
      <w:r w:rsidR="005D20C5" w:rsidRPr="00207864">
        <w:rPr>
          <w:rFonts w:ascii="Times New Roman" w:hAnsi="Times New Roman"/>
        </w:rPr>
        <w:t>ive detention independently of punishment of crime.</w:t>
      </w:r>
    </w:p>
    <w:p w14:paraId="416D43EE" w14:textId="24A531AD" w:rsidR="000276D0" w:rsidRPr="00207864" w:rsidRDefault="00BF23F7"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0276D0" w:rsidRPr="00207864">
        <w:rPr>
          <w:rFonts w:ascii="Times New Roman" w:hAnsi="Times New Roman"/>
        </w:rPr>
        <w:t>Mr Benbrika submits that if it is accepted that Div 105A does not have a punitive purpose</w:t>
      </w:r>
      <w:r w:rsidR="00D34079" w:rsidRPr="00207864">
        <w:rPr>
          <w:rFonts w:ascii="Times New Roman" w:hAnsi="Times New Roman"/>
        </w:rPr>
        <w:t>,</w:t>
      </w:r>
      <w:r w:rsidR="000276D0" w:rsidRPr="00207864">
        <w:rPr>
          <w:rFonts w:ascii="Times New Roman" w:hAnsi="Times New Roman"/>
        </w:rPr>
        <w:t xml:space="preserve"> nonetheless it should not come within an exception to the </w:t>
      </w:r>
      <w:r w:rsidR="000276D0" w:rsidRPr="00207864">
        <w:rPr>
          <w:rFonts w:ascii="Times New Roman" w:hAnsi="Times New Roman"/>
          <w:i/>
        </w:rPr>
        <w:t xml:space="preserve">Lim </w:t>
      </w:r>
      <w:r w:rsidR="000276D0" w:rsidRPr="00207864">
        <w:rPr>
          <w:rFonts w:ascii="Times New Roman" w:hAnsi="Times New Roman"/>
        </w:rPr>
        <w:t xml:space="preserve">principle because the non-punitive object that it pursues is the prevention of crime </w:t>
      </w:r>
      <w:r w:rsidR="000276D0" w:rsidRPr="00207864">
        <w:rPr>
          <w:rFonts w:ascii="Times New Roman" w:hAnsi="Times New Roman"/>
        </w:rPr>
        <w:lastRenderedPageBreak/>
        <w:t xml:space="preserve">as distinct from the protection of the community from harm. The unacceptable risk of which the </w:t>
      </w:r>
      <w:r w:rsidR="00B91306" w:rsidRPr="00207864">
        <w:rPr>
          <w:rFonts w:ascii="Times New Roman" w:hAnsi="Times New Roman"/>
        </w:rPr>
        <w:t>C</w:t>
      </w:r>
      <w:r w:rsidR="000276D0" w:rsidRPr="00207864">
        <w:rPr>
          <w:rFonts w:ascii="Times New Roman" w:hAnsi="Times New Roman"/>
        </w:rPr>
        <w:t xml:space="preserve">ourt must be satisfied is the commission of any serious Pt 5.3 offence. </w:t>
      </w:r>
      <w:r w:rsidR="00E2067C" w:rsidRPr="00207864">
        <w:rPr>
          <w:rFonts w:ascii="Times New Roman" w:hAnsi="Times New Roman"/>
        </w:rPr>
        <w:t>Mr Benbrika points out that s</w:t>
      </w:r>
      <w:r w:rsidR="000276D0" w:rsidRPr="00207864">
        <w:rPr>
          <w:rFonts w:ascii="Times New Roman" w:hAnsi="Times New Roman"/>
        </w:rPr>
        <w:t>erious Pt 5.3 offences cover a wide range of conduct including preparatory conduct that would not in other contexts amount to criminal conduct.</w:t>
      </w:r>
    </w:p>
    <w:p w14:paraId="7327C0C7" w14:textId="2A874D96" w:rsidR="000276D0" w:rsidRPr="00207864" w:rsidRDefault="000276D0" w:rsidP="00207864">
      <w:pPr>
        <w:pStyle w:val="FixListStyle"/>
        <w:spacing w:after="260" w:line="280" w:lineRule="exact"/>
        <w:ind w:right="0"/>
        <w:jc w:val="both"/>
        <w:rPr>
          <w:rFonts w:ascii="Times New Roman" w:hAnsi="Times New Roman"/>
        </w:rPr>
      </w:pPr>
      <w:r w:rsidRPr="00207864">
        <w:rPr>
          <w:rFonts w:ascii="Times New Roman" w:hAnsi="Times New Roman"/>
        </w:rPr>
        <w:tab/>
        <w:t xml:space="preserve">The submission raises </w:t>
      </w:r>
      <w:r w:rsidR="005B42E0" w:rsidRPr="00207864">
        <w:rPr>
          <w:rFonts w:ascii="Times New Roman" w:hAnsi="Times New Roman"/>
        </w:rPr>
        <w:t>an</w:t>
      </w:r>
      <w:r w:rsidRPr="00207864">
        <w:rPr>
          <w:rFonts w:ascii="Times New Roman" w:hAnsi="Times New Roman"/>
        </w:rPr>
        <w:t xml:space="preserve"> issue </w:t>
      </w:r>
      <w:r w:rsidR="005B42E0" w:rsidRPr="00207864">
        <w:rPr>
          <w:rFonts w:ascii="Times New Roman" w:hAnsi="Times New Roman"/>
        </w:rPr>
        <w:t xml:space="preserve">touched on </w:t>
      </w:r>
      <w:r w:rsidRPr="00207864">
        <w:rPr>
          <w:rFonts w:ascii="Times New Roman" w:hAnsi="Times New Roman"/>
        </w:rPr>
        <w:t xml:space="preserve">in </w:t>
      </w:r>
      <w:r w:rsidRPr="00207864">
        <w:rPr>
          <w:rFonts w:ascii="Times New Roman" w:hAnsi="Times New Roman"/>
          <w:i/>
        </w:rPr>
        <w:t>McGarry</w:t>
      </w:r>
      <w:r w:rsidRPr="00207864">
        <w:rPr>
          <w:rFonts w:ascii="Times New Roman" w:hAnsi="Times New Roman"/>
        </w:rPr>
        <w:t>. It will be recalled that the regime in that case conditio</w:t>
      </w:r>
      <w:r w:rsidR="005B42E0" w:rsidRPr="00207864">
        <w:rPr>
          <w:rFonts w:ascii="Times New Roman" w:hAnsi="Times New Roman"/>
        </w:rPr>
        <w:t>n</w:t>
      </w:r>
      <w:r w:rsidR="009B7C59" w:rsidRPr="00207864">
        <w:rPr>
          <w:rFonts w:ascii="Times New Roman" w:hAnsi="Times New Roman"/>
        </w:rPr>
        <w:t>s</w:t>
      </w:r>
      <w:r w:rsidRPr="00207864">
        <w:rPr>
          <w:rFonts w:ascii="Times New Roman" w:hAnsi="Times New Roman"/>
        </w:rPr>
        <w:t xml:space="preserve"> the making of an indefinite detention order on </w:t>
      </w:r>
      <w:r w:rsidR="00B82CBA" w:rsidRPr="00207864">
        <w:rPr>
          <w:rFonts w:ascii="Times New Roman" w:hAnsi="Times New Roman"/>
        </w:rPr>
        <w:t>a</w:t>
      </w:r>
      <w:r w:rsidRPr="00207864">
        <w:rPr>
          <w:rFonts w:ascii="Times New Roman" w:hAnsi="Times New Roman"/>
        </w:rPr>
        <w:t xml:space="preserve"> </w:t>
      </w:r>
      <w:r w:rsidR="00B82CBA" w:rsidRPr="00207864">
        <w:rPr>
          <w:rFonts w:ascii="Times New Roman" w:hAnsi="Times New Roman"/>
        </w:rPr>
        <w:t>c</w:t>
      </w:r>
      <w:r w:rsidRPr="00207864">
        <w:rPr>
          <w:rFonts w:ascii="Times New Roman" w:hAnsi="Times New Roman"/>
        </w:rPr>
        <w:t xml:space="preserve">ourt's satisfaction that the offender </w:t>
      </w:r>
      <w:r w:rsidR="005B42E0" w:rsidRPr="00207864">
        <w:rPr>
          <w:rFonts w:ascii="Times New Roman" w:hAnsi="Times New Roman"/>
        </w:rPr>
        <w:t xml:space="preserve">is </w:t>
      </w:r>
      <w:r w:rsidRPr="00207864">
        <w:rPr>
          <w:rFonts w:ascii="Times New Roman" w:hAnsi="Times New Roman"/>
        </w:rPr>
        <w:t>a danger to society, or some part of it</w:t>
      </w:r>
      <w:r w:rsidR="00FC311B" w:rsidRPr="00207864">
        <w:rPr>
          <w:rFonts w:ascii="Times New Roman" w:hAnsi="Times New Roman"/>
        </w:rPr>
        <w:t>,</w:t>
      </w:r>
      <w:r w:rsidRPr="00207864">
        <w:rPr>
          <w:rFonts w:ascii="Times New Roman" w:hAnsi="Times New Roman"/>
        </w:rPr>
        <w:t xml:space="preserve"> by reason of factors that include</w:t>
      </w:r>
      <w:r w:rsidR="005B42E0" w:rsidRPr="00207864">
        <w:rPr>
          <w:rFonts w:ascii="Times New Roman" w:hAnsi="Times New Roman"/>
        </w:rPr>
        <w:t xml:space="preserve"> </w:t>
      </w:r>
      <w:r w:rsidRPr="00207864">
        <w:rPr>
          <w:rFonts w:ascii="Times New Roman" w:hAnsi="Times New Roman"/>
        </w:rPr>
        <w:t>the risk that the offender would commit further indictable offences if released. As the</w:t>
      </w:r>
      <w:r w:rsidR="005B42E0" w:rsidRPr="00207864">
        <w:rPr>
          <w:rFonts w:ascii="Times New Roman" w:hAnsi="Times New Roman"/>
        </w:rPr>
        <w:t xml:space="preserve"> joint reasons </w:t>
      </w:r>
      <w:r w:rsidRPr="00207864">
        <w:rPr>
          <w:rFonts w:ascii="Times New Roman" w:hAnsi="Times New Roman"/>
        </w:rPr>
        <w:t>observed, the association between being a "danger to society" and recidivism is not without difficulty</w:t>
      </w:r>
      <w:r w:rsidR="005B42E0" w:rsidRPr="00207864">
        <w:rPr>
          <w:rFonts w:ascii="Times New Roman" w:hAnsi="Times New Roman"/>
        </w:rPr>
        <w:t xml:space="preserve"> given that </w:t>
      </w:r>
      <w:r w:rsidRPr="00207864">
        <w:rPr>
          <w:rFonts w:ascii="Times New Roman" w:hAnsi="Times New Roman"/>
        </w:rPr>
        <w:t>a fundamental premise of the criminal law is that conduct is regarded as criminal for the very reason that its commission harms society</w:t>
      </w:r>
      <w:r w:rsidR="003124C0" w:rsidRPr="00207864">
        <w:rPr>
          <w:rFonts w:ascii="Times New Roman" w:hAnsi="Times New Roman"/>
        </w:rPr>
        <w:t>, or some part of it</w:t>
      </w:r>
      <w:r w:rsidRPr="00207864">
        <w:rPr>
          <w:rFonts w:ascii="Times New Roman" w:hAnsi="Times New Roman"/>
        </w:rPr>
        <w:t xml:space="preserve">. </w:t>
      </w:r>
      <w:r w:rsidR="005B42E0" w:rsidRPr="00207864">
        <w:rPr>
          <w:rFonts w:ascii="Times New Roman" w:hAnsi="Times New Roman"/>
        </w:rPr>
        <w:t>On th</w:t>
      </w:r>
      <w:r w:rsidR="0018475E" w:rsidRPr="00207864">
        <w:rPr>
          <w:rFonts w:ascii="Times New Roman" w:hAnsi="Times New Roman"/>
        </w:rPr>
        <w:t>at</w:t>
      </w:r>
      <w:r w:rsidR="005B42E0" w:rsidRPr="00207864">
        <w:rPr>
          <w:rFonts w:ascii="Times New Roman" w:hAnsi="Times New Roman"/>
        </w:rPr>
        <w:t xml:space="preserve"> view, the </w:t>
      </w:r>
      <w:r w:rsidR="007B2104" w:rsidRPr="00207864">
        <w:rPr>
          <w:rFonts w:ascii="Times New Roman" w:hAnsi="Times New Roman"/>
        </w:rPr>
        <w:t>c</w:t>
      </w:r>
      <w:r w:rsidR="005B42E0" w:rsidRPr="00207864">
        <w:rPr>
          <w:rFonts w:ascii="Times New Roman" w:hAnsi="Times New Roman"/>
        </w:rPr>
        <w:t xml:space="preserve">ourt's satisfaction of the risk of </w:t>
      </w:r>
      <w:r w:rsidRPr="00207864">
        <w:rPr>
          <w:rFonts w:ascii="Times New Roman" w:hAnsi="Times New Roman"/>
        </w:rPr>
        <w:t xml:space="preserve">re-offending </w:t>
      </w:r>
      <w:r w:rsidR="005B42E0" w:rsidRPr="00207864">
        <w:rPr>
          <w:rFonts w:ascii="Times New Roman" w:hAnsi="Times New Roman"/>
        </w:rPr>
        <w:t xml:space="preserve">would suffice to establish </w:t>
      </w:r>
      <w:r w:rsidRPr="00207864">
        <w:rPr>
          <w:rFonts w:ascii="Times New Roman" w:hAnsi="Times New Roman"/>
        </w:rPr>
        <w:t xml:space="preserve">that the offender </w:t>
      </w:r>
      <w:r w:rsidR="005B42E0" w:rsidRPr="00207864">
        <w:rPr>
          <w:rFonts w:ascii="Times New Roman" w:hAnsi="Times New Roman"/>
        </w:rPr>
        <w:t>i</w:t>
      </w:r>
      <w:r w:rsidRPr="00207864">
        <w:rPr>
          <w:rFonts w:ascii="Times New Roman" w:hAnsi="Times New Roman"/>
        </w:rPr>
        <w:t xml:space="preserve">s a danger to society and support the making of an </w:t>
      </w:r>
      <w:r w:rsidR="005B42E0" w:rsidRPr="00207864">
        <w:rPr>
          <w:rFonts w:ascii="Times New Roman" w:hAnsi="Times New Roman"/>
        </w:rPr>
        <w:t xml:space="preserve">indefinite detention </w:t>
      </w:r>
      <w:r w:rsidRPr="00207864">
        <w:rPr>
          <w:rFonts w:ascii="Times New Roman" w:hAnsi="Times New Roman"/>
        </w:rPr>
        <w:t xml:space="preserve">order. </w:t>
      </w:r>
      <w:r w:rsidR="0018475E" w:rsidRPr="00207864">
        <w:rPr>
          <w:rFonts w:ascii="Times New Roman" w:hAnsi="Times New Roman"/>
        </w:rPr>
        <w:t>However</w:t>
      </w:r>
      <w:r w:rsidR="0036603D" w:rsidRPr="00207864">
        <w:rPr>
          <w:rFonts w:ascii="Times New Roman" w:hAnsi="Times New Roman"/>
        </w:rPr>
        <w:t xml:space="preserve">, </w:t>
      </w:r>
      <w:r w:rsidR="00ED757E" w:rsidRPr="00207864">
        <w:rPr>
          <w:rFonts w:ascii="Times New Roman" w:hAnsi="Times New Roman"/>
        </w:rPr>
        <w:t xml:space="preserve">it was held that </w:t>
      </w:r>
      <w:r w:rsidR="0036603D" w:rsidRPr="00207864">
        <w:rPr>
          <w:rFonts w:ascii="Times New Roman" w:hAnsi="Times New Roman"/>
        </w:rPr>
        <w:t>c</w:t>
      </w:r>
      <w:r w:rsidR="005B42E0" w:rsidRPr="00207864">
        <w:rPr>
          <w:rFonts w:ascii="Times New Roman" w:hAnsi="Times New Roman"/>
        </w:rPr>
        <w:t xml:space="preserve">orrectly understood the </w:t>
      </w:r>
      <w:r w:rsidRPr="00207864">
        <w:rPr>
          <w:rFonts w:ascii="Times New Roman" w:hAnsi="Times New Roman"/>
        </w:rPr>
        <w:t xml:space="preserve">power to make </w:t>
      </w:r>
      <w:r w:rsidR="005B42E0" w:rsidRPr="00207864">
        <w:rPr>
          <w:rFonts w:ascii="Times New Roman" w:hAnsi="Times New Roman"/>
        </w:rPr>
        <w:t xml:space="preserve">the </w:t>
      </w:r>
      <w:r w:rsidRPr="00207864">
        <w:rPr>
          <w:rFonts w:ascii="Times New Roman" w:hAnsi="Times New Roman"/>
        </w:rPr>
        <w:t xml:space="preserve">order </w:t>
      </w:r>
      <w:r w:rsidR="0028076C" w:rsidRPr="00207864">
        <w:rPr>
          <w:rFonts w:ascii="Times New Roman" w:hAnsi="Times New Roman"/>
        </w:rPr>
        <w:t>i</w:t>
      </w:r>
      <w:r w:rsidRPr="00207864">
        <w:rPr>
          <w:rFonts w:ascii="Times New Roman" w:hAnsi="Times New Roman"/>
        </w:rPr>
        <w:t xml:space="preserve">s </w:t>
      </w:r>
      <w:r w:rsidR="005B42E0" w:rsidRPr="00207864">
        <w:rPr>
          <w:rFonts w:ascii="Times New Roman" w:hAnsi="Times New Roman"/>
        </w:rPr>
        <w:t xml:space="preserve">only </w:t>
      </w:r>
      <w:r w:rsidRPr="00207864">
        <w:rPr>
          <w:rFonts w:ascii="Times New Roman" w:hAnsi="Times New Roman"/>
        </w:rPr>
        <w:t xml:space="preserve">enlivened </w:t>
      </w:r>
      <w:r w:rsidR="005B42E0" w:rsidRPr="00207864">
        <w:rPr>
          <w:rFonts w:ascii="Times New Roman" w:hAnsi="Times New Roman"/>
        </w:rPr>
        <w:t>up</w:t>
      </w:r>
      <w:r w:rsidRPr="00207864">
        <w:rPr>
          <w:rFonts w:ascii="Times New Roman" w:hAnsi="Times New Roman"/>
        </w:rPr>
        <w:t>on finding that the offender would engage in conduct the consequences of which would be grave or serious for society as a whole, or some part of it</w:t>
      </w:r>
      <w:r w:rsidR="009A2E75" w:rsidRPr="00207864">
        <w:rPr>
          <w:rFonts w:ascii="Times New Roman" w:hAnsi="Times New Roman"/>
        </w:rPr>
        <w:t xml:space="preserve">; </w:t>
      </w:r>
      <w:r w:rsidR="00AF13A0" w:rsidRPr="00207864">
        <w:rPr>
          <w:rFonts w:ascii="Times New Roman" w:hAnsi="Times New Roman"/>
        </w:rPr>
        <w:t>a bare conclusion that it was pro</w:t>
      </w:r>
      <w:r w:rsidR="008F36BB" w:rsidRPr="00207864">
        <w:rPr>
          <w:rFonts w:ascii="Times New Roman" w:hAnsi="Times New Roman"/>
        </w:rPr>
        <w:t xml:space="preserve">bable the </w:t>
      </w:r>
      <w:r w:rsidR="0016214F" w:rsidRPr="00207864">
        <w:rPr>
          <w:rFonts w:ascii="Times New Roman" w:hAnsi="Times New Roman"/>
        </w:rPr>
        <w:t xml:space="preserve">offender </w:t>
      </w:r>
      <w:r w:rsidR="00A71F4F" w:rsidRPr="00207864">
        <w:rPr>
          <w:rFonts w:ascii="Times New Roman" w:hAnsi="Times New Roman"/>
        </w:rPr>
        <w:t>would commit some indictable offence in the future would not suffice</w:t>
      </w:r>
      <w:r w:rsidRPr="00207864">
        <w:rPr>
          <w:rStyle w:val="FootnoteReference"/>
          <w:rFonts w:ascii="Times New Roman" w:hAnsi="Times New Roman"/>
          <w:sz w:val="24"/>
        </w:rPr>
        <w:footnoteReference w:id="93"/>
      </w:r>
      <w:r w:rsidRPr="00207864">
        <w:rPr>
          <w:rFonts w:ascii="Times New Roman" w:hAnsi="Times New Roman"/>
        </w:rPr>
        <w:t xml:space="preserve">. </w:t>
      </w:r>
    </w:p>
    <w:p w14:paraId="5D0D237C" w14:textId="23B83DD3" w:rsidR="003632BB" w:rsidRPr="00207864" w:rsidRDefault="000276D0"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F2627E" w:rsidRPr="00207864">
        <w:rPr>
          <w:rFonts w:ascii="Times New Roman" w:hAnsi="Times New Roman"/>
        </w:rPr>
        <w:t xml:space="preserve">Part 5.3 </w:t>
      </w:r>
      <w:r w:rsidR="00FB23E9" w:rsidRPr="00207864">
        <w:rPr>
          <w:rFonts w:ascii="Times New Roman" w:hAnsi="Times New Roman"/>
        </w:rPr>
        <w:t xml:space="preserve">enacts offences involving </w:t>
      </w:r>
      <w:r w:rsidR="00573374" w:rsidRPr="00207864">
        <w:rPr>
          <w:rFonts w:ascii="Times New Roman" w:hAnsi="Times New Roman"/>
        </w:rPr>
        <w:t>"</w:t>
      </w:r>
      <w:r w:rsidR="00EA17CE" w:rsidRPr="00207864">
        <w:rPr>
          <w:rFonts w:ascii="Times New Roman" w:hAnsi="Times New Roman"/>
        </w:rPr>
        <w:t>terrorist acts</w:t>
      </w:r>
      <w:r w:rsidR="00573374" w:rsidRPr="00207864">
        <w:rPr>
          <w:rFonts w:ascii="Times New Roman" w:hAnsi="Times New Roman"/>
        </w:rPr>
        <w:t>"</w:t>
      </w:r>
      <w:r w:rsidR="00EA17CE" w:rsidRPr="00207864">
        <w:rPr>
          <w:rFonts w:ascii="Times New Roman" w:hAnsi="Times New Roman"/>
        </w:rPr>
        <w:t xml:space="preserve"> and offences </w:t>
      </w:r>
      <w:r w:rsidR="00573374" w:rsidRPr="00207864">
        <w:rPr>
          <w:rFonts w:ascii="Times New Roman" w:hAnsi="Times New Roman"/>
        </w:rPr>
        <w:t>involving "terrorist organisations"</w:t>
      </w:r>
      <w:r w:rsidR="002D7081" w:rsidRPr="00207864">
        <w:rPr>
          <w:rStyle w:val="FootnoteReference"/>
          <w:rFonts w:ascii="Times New Roman" w:hAnsi="Times New Roman"/>
          <w:sz w:val="24"/>
        </w:rPr>
        <w:footnoteReference w:id="94"/>
      </w:r>
      <w:r w:rsidR="00573374" w:rsidRPr="00207864">
        <w:rPr>
          <w:rFonts w:ascii="Times New Roman" w:hAnsi="Times New Roman"/>
        </w:rPr>
        <w:t xml:space="preserve">. </w:t>
      </w:r>
      <w:r w:rsidR="00F2627E" w:rsidRPr="00207864">
        <w:rPr>
          <w:rFonts w:ascii="Times New Roman" w:hAnsi="Times New Roman"/>
        </w:rPr>
        <w:t>Terrorist acts are actions</w:t>
      </w:r>
      <w:r w:rsidR="001A1912" w:rsidRPr="00207864">
        <w:rPr>
          <w:rFonts w:ascii="Times New Roman" w:hAnsi="Times New Roman"/>
        </w:rPr>
        <w:t>,</w:t>
      </w:r>
      <w:r w:rsidR="00227FA0" w:rsidRPr="00207864">
        <w:rPr>
          <w:rFonts w:ascii="Times New Roman" w:hAnsi="Times New Roman"/>
        </w:rPr>
        <w:t xml:space="preserve"> </w:t>
      </w:r>
      <w:r w:rsidR="00F2627E" w:rsidRPr="00207864">
        <w:rPr>
          <w:rFonts w:ascii="Times New Roman" w:hAnsi="Times New Roman"/>
        </w:rPr>
        <w:t>or threats</w:t>
      </w:r>
      <w:r w:rsidR="00EC25D7" w:rsidRPr="00207864">
        <w:rPr>
          <w:rFonts w:ascii="Times New Roman" w:hAnsi="Times New Roman"/>
        </w:rPr>
        <w:t xml:space="preserve"> to </w:t>
      </w:r>
      <w:r w:rsidR="007502BB" w:rsidRPr="00207864">
        <w:rPr>
          <w:rFonts w:ascii="Times New Roman" w:hAnsi="Times New Roman"/>
        </w:rPr>
        <w:t>take action</w:t>
      </w:r>
      <w:r w:rsidR="001B5214" w:rsidRPr="00207864">
        <w:rPr>
          <w:rFonts w:ascii="Times New Roman" w:hAnsi="Times New Roman"/>
        </w:rPr>
        <w:t>s</w:t>
      </w:r>
      <w:r w:rsidR="001A1912" w:rsidRPr="00207864">
        <w:rPr>
          <w:rFonts w:ascii="Times New Roman" w:hAnsi="Times New Roman"/>
        </w:rPr>
        <w:t>,</w:t>
      </w:r>
      <w:r w:rsidR="00F2627E" w:rsidRPr="00207864">
        <w:rPr>
          <w:rFonts w:ascii="Times New Roman" w:hAnsi="Times New Roman"/>
        </w:rPr>
        <w:t xml:space="preserve"> that cause serious physical harm to a person or serious damage to property or which endanger human life (other than the life of the person taking the action) or which create a serious risk to the health or safety of the public, or a section of the public, or which seriously interfere with</w:t>
      </w:r>
      <w:r w:rsidR="00282112" w:rsidRPr="00207864">
        <w:rPr>
          <w:rFonts w:ascii="Times New Roman" w:hAnsi="Times New Roman"/>
        </w:rPr>
        <w:t>, disrupt or destroy</w:t>
      </w:r>
      <w:r w:rsidR="00F2627E" w:rsidRPr="00207864">
        <w:rPr>
          <w:rFonts w:ascii="Times New Roman" w:hAnsi="Times New Roman"/>
        </w:rPr>
        <w:t xml:space="preserve"> various forms of infrastructure</w:t>
      </w:r>
      <w:r w:rsidR="00A76D70" w:rsidRPr="00207864">
        <w:rPr>
          <w:rFonts w:ascii="Times New Roman" w:hAnsi="Times New Roman"/>
        </w:rPr>
        <w:t xml:space="preserve">. The action or threat of action must be </w:t>
      </w:r>
      <w:r w:rsidR="00F2627E" w:rsidRPr="00207864">
        <w:rPr>
          <w:rFonts w:ascii="Times New Roman" w:hAnsi="Times New Roman"/>
        </w:rPr>
        <w:t>carried out</w:t>
      </w:r>
      <w:r w:rsidR="00D82416" w:rsidRPr="00207864">
        <w:rPr>
          <w:rFonts w:ascii="Times New Roman" w:hAnsi="Times New Roman"/>
        </w:rPr>
        <w:t>,</w:t>
      </w:r>
      <w:r w:rsidR="00F2627E" w:rsidRPr="00207864">
        <w:rPr>
          <w:rFonts w:ascii="Times New Roman" w:hAnsi="Times New Roman"/>
        </w:rPr>
        <w:t xml:space="preserve"> or threatened</w:t>
      </w:r>
      <w:r w:rsidR="00D82416" w:rsidRPr="00207864">
        <w:rPr>
          <w:rFonts w:ascii="Times New Roman" w:hAnsi="Times New Roman"/>
        </w:rPr>
        <w:t>,</w:t>
      </w:r>
      <w:r w:rsidR="00F2627E" w:rsidRPr="00207864">
        <w:rPr>
          <w:rFonts w:ascii="Times New Roman" w:hAnsi="Times New Roman"/>
        </w:rPr>
        <w:t xml:space="preserve"> with the intention of advancing a political, religious or ideological cause </w:t>
      </w:r>
      <w:r w:rsidR="005724C2" w:rsidRPr="00207864">
        <w:rPr>
          <w:rFonts w:ascii="Times New Roman" w:hAnsi="Times New Roman"/>
        </w:rPr>
        <w:t xml:space="preserve">and </w:t>
      </w:r>
      <w:r w:rsidR="00F2627E" w:rsidRPr="00207864">
        <w:rPr>
          <w:rFonts w:ascii="Times New Roman" w:hAnsi="Times New Roman"/>
        </w:rPr>
        <w:t>coerc</w:t>
      </w:r>
      <w:r w:rsidR="001F42DE" w:rsidRPr="00207864">
        <w:rPr>
          <w:rFonts w:ascii="Times New Roman" w:hAnsi="Times New Roman"/>
        </w:rPr>
        <w:t>ing</w:t>
      </w:r>
      <w:r w:rsidR="00F2627E" w:rsidRPr="00207864">
        <w:rPr>
          <w:rFonts w:ascii="Times New Roman" w:hAnsi="Times New Roman"/>
        </w:rPr>
        <w:t xml:space="preserve"> </w:t>
      </w:r>
      <w:r w:rsidR="000135CB" w:rsidRPr="00207864">
        <w:rPr>
          <w:rFonts w:ascii="Times New Roman" w:hAnsi="Times New Roman"/>
        </w:rPr>
        <w:t>or influencing by intimidation</w:t>
      </w:r>
      <w:r w:rsidR="00F2627E" w:rsidRPr="00207864">
        <w:rPr>
          <w:rFonts w:ascii="Times New Roman" w:hAnsi="Times New Roman"/>
        </w:rPr>
        <w:t xml:space="preserve"> a government</w:t>
      </w:r>
      <w:r w:rsidR="00D82416" w:rsidRPr="00207864">
        <w:rPr>
          <w:rFonts w:ascii="Times New Roman" w:hAnsi="Times New Roman"/>
        </w:rPr>
        <w:t xml:space="preserve"> </w:t>
      </w:r>
      <w:r w:rsidR="00F2627E" w:rsidRPr="00207864">
        <w:rPr>
          <w:rFonts w:ascii="Times New Roman" w:hAnsi="Times New Roman"/>
        </w:rPr>
        <w:t xml:space="preserve">or </w:t>
      </w:r>
      <w:r w:rsidR="000135CB" w:rsidRPr="00207864">
        <w:rPr>
          <w:rFonts w:ascii="Times New Roman" w:hAnsi="Times New Roman"/>
        </w:rPr>
        <w:t>intimidating</w:t>
      </w:r>
      <w:r w:rsidR="00F2627E" w:rsidRPr="00207864">
        <w:rPr>
          <w:rFonts w:ascii="Times New Roman" w:hAnsi="Times New Roman"/>
        </w:rPr>
        <w:t xml:space="preserve"> the public or a section of the public</w:t>
      </w:r>
      <w:r w:rsidR="00F2627E" w:rsidRPr="00207864">
        <w:rPr>
          <w:rStyle w:val="FootnoteReference"/>
          <w:rFonts w:ascii="Times New Roman" w:hAnsi="Times New Roman"/>
          <w:sz w:val="24"/>
        </w:rPr>
        <w:footnoteReference w:id="95"/>
      </w:r>
      <w:r w:rsidR="00F2627E" w:rsidRPr="00207864">
        <w:rPr>
          <w:rFonts w:ascii="Times New Roman" w:hAnsi="Times New Roman"/>
        </w:rPr>
        <w:t xml:space="preserve">. </w:t>
      </w:r>
      <w:r w:rsidR="007A5553" w:rsidRPr="00207864">
        <w:rPr>
          <w:rFonts w:ascii="Times New Roman" w:hAnsi="Times New Roman"/>
        </w:rPr>
        <w:lastRenderedPageBreak/>
        <w:t>Serious P</w:t>
      </w:r>
      <w:r w:rsidR="00F2627E" w:rsidRPr="00207864">
        <w:rPr>
          <w:rFonts w:ascii="Times New Roman" w:hAnsi="Times New Roman"/>
        </w:rPr>
        <w:t xml:space="preserve">t 5.3 offences </w:t>
      </w:r>
      <w:r w:rsidR="003632BB" w:rsidRPr="00207864">
        <w:rPr>
          <w:rFonts w:ascii="Times New Roman" w:hAnsi="Times New Roman"/>
        </w:rPr>
        <w:t xml:space="preserve">involving terrorist acts </w:t>
      </w:r>
      <w:r w:rsidR="00F2627E" w:rsidRPr="00207864">
        <w:rPr>
          <w:rFonts w:ascii="Times New Roman" w:hAnsi="Times New Roman"/>
        </w:rPr>
        <w:t>include engaging in a terrorist act</w:t>
      </w:r>
      <w:r w:rsidR="00F2627E" w:rsidRPr="00207864">
        <w:rPr>
          <w:rStyle w:val="FootnoteReference"/>
          <w:rFonts w:ascii="Times New Roman" w:hAnsi="Times New Roman"/>
          <w:sz w:val="24"/>
        </w:rPr>
        <w:footnoteReference w:id="96"/>
      </w:r>
      <w:r w:rsidR="00F2627E" w:rsidRPr="00207864">
        <w:rPr>
          <w:rFonts w:ascii="Times New Roman" w:hAnsi="Times New Roman"/>
        </w:rPr>
        <w:t>; providing or receiving training connected with terrorist act</w:t>
      </w:r>
      <w:r w:rsidR="0072375E" w:rsidRPr="00207864">
        <w:rPr>
          <w:rFonts w:ascii="Times New Roman" w:hAnsi="Times New Roman"/>
        </w:rPr>
        <w:t>s</w:t>
      </w:r>
      <w:r w:rsidR="00F2627E" w:rsidRPr="00207864">
        <w:rPr>
          <w:rStyle w:val="FootnoteReference"/>
          <w:rFonts w:ascii="Times New Roman" w:hAnsi="Times New Roman"/>
          <w:sz w:val="24"/>
        </w:rPr>
        <w:footnoteReference w:id="97"/>
      </w:r>
      <w:r w:rsidR="00F2627E" w:rsidRPr="00207864">
        <w:rPr>
          <w:rFonts w:ascii="Times New Roman" w:hAnsi="Times New Roman"/>
        </w:rPr>
        <w:t>; possessing things connected with terrorist act</w:t>
      </w:r>
      <w:r w:rsidR="0072375E" w:rsidRPr="00207864">
        <w:rPr>
          <w:rFonts w:ascii="Times New Roman" w:hAnsi="Times New Roman"/>
        </w:rPr>
        <w:t>s</w:t>
      </w:r>
      <w:r w:rsidR="00F2627E" w:rsidRPr="00207864">
        <w:rPr>
          <w:rStyle w:val="FootnoteReference"/>
          <w:rFonts w:ascii="Times New Roman" w:hAnsi="Times New Roman"/>
          <w:sz w:val="24"/>
        </w:rPr>
        <w:footnoteReference w:id="98"/>
      </w:r>
      <w:r w:rsidR="00F2627E" w:rsidRPr="00207864">
        <w:rPr>
          <w:rFonts w:ascii="Times New Roman" w:hAnsi="Times New Roman"/>
        </w:rPr>
        <w:t xml:space="preserve">; collecting or making documents </w:t>
      </w:r>
      <w:r w:rsidR="00E30B62" w:rsidRPr="00207864">
        <w:rPr>
          <w:rFonts w:ascii="Times New Roman" w:hAnsi="Times New Roman"/>
        </w:rPr>
        <w:t>connected with preparation for, the engagement of a person in, or assistance in a terrorist act</w:t>
      </w:r>
      <w:r w:rsidR="00F2627E" w:rsidRPr="00207864">
        <w:rPr>
          <w:rStyle w:val="FootnoteReference"/>
          <w:rFonts w:ascii="Times New Roman" w:hAnsi="Times New Roman"/>
          <w:sz w:val="24"/>
        </w:rPr>
        <w:footnoteReference w:id="99"/>
      </w:r>
      <w:r w:rsidR="00F2627E" w:rsidRPr="00207864">
        <w:rPr>
          <w:rFonts w:ascii="Times New Roman" w:hAnsi="Times New Roman"/>
        </w:rPr>
        <w:t>; doing an act in preparation for, or planning, a terrorist act</w:t>
      </w:r>
      <w:r w:rsidR="00F2627E" w:rsidRPr="00207864">
        <w:rPr>
          <w:rStyle w:val="FootnoteReference"/>
          <w:rFonts w:ascii="Times New Roman" w:hAnsi="Times New Roman"/>
          <w:sz w:val="24"/>
        </w:rPr>
        <w:footnoteReference w:id="100"/>
      </w:r>
      <w:r w:rsidR="001C470B" w:rsidRPr="00207864">
        <w:rPr>
          <w:rFonts w:ascii="Times New Roman" w:hAnsi="Times New Roman"/>
        </w:rPr>
        <w:t xml:space="preserve">; </w:t>
      </w:r>
      <w:r w:rsidR="00164069" w:rsidRPr="00207864">
        <w:rPr>
          <w:rFonts w:ascii="Times New Roman" w:hAnsi="Times New Roman"/>
        </w:rPr>
        <w:t>providing or collecting funds reckless as to whether the funds will be used to facilitate or engage in a terrorist act</w:t>
      </w:r>
      <w:r w:rsidR="006C6F1F" w:rsidRPr="00207864">
        <w:rPr>
          <w:rStyle w:val="FootnoteReference"/>
          <w:rFonts w:ascii="Times New Roman" w:hAnsi="Times New Roman"/>
          <w:sz w:val="24"/>
        </w:rPr>
        <w:footnoteReference w:id="101"/>
      </w:r>
      <w:r w:rsidR="006C6F1F" w:rsidRPr="00207864">
        <w:rPr>
          <w:rFonts w:ascii="Times New Roman" w:hAnsi="Times New Roman"/>
        </w:rPr>
        <w:t>;</w:t>
      </w:r>
      <w:r w:rsidR="00164069" w:rsidRPr="00207864">
        <w:rPr>
          <w:rFonts w:ascii="Times New Roman" w:hAnsi="Times New Roman"/>
        </w:rPr>
        <w:t xml:space="preserve"> and making funds available to another person or collecting funds for, or on behalf of, another person and being reckless as to whether the other person will use the funds to facilitate or engage in a terrorist act</w:t>
      </w:r>
      <w:r w:rsidR="00164069" w:rsidRPr="00207864">
        <w:rPr>
          <w:rStyle w:val="FootnoteReference"/>
          <w:rFonts w:ascii="Times New Roman" w:hAnsi="Times New Roman"/>
          <w:sz w:val="24"/>
        </w:rPr>
        <w:footnoteReference w:id="102"/>
      </w:r>
      <w:r w:rsidR="00164069" w:rsidRPr="00207864">
        <w:rPr>
          <w:rFonts w:ascii="Times New Roman" w:hAnsi="Times New Roman"/>
        </w:rPr>
        <w:t xml:space="preserve">. </w:t>
      </w:r>
    </w:p>
    <w:p w14:paraId="407A9F51" w14:textId="702C80FA" w:rsidR="00F2627E" w:rsidRPr="00207864" w:rsidRDefault="003632BB" w:rsidP="00207864">
      <w:pPr>
        <w:pStyle w:val="FixListStyle"/>
        <w:spacing w:after="260" w:line="280" w:lineRule="exact"/>
        <w:ind w:right="0"/>
        <w:jc w:val="both"/>
        <w:rPr>
          <w:rFonts w:ascii="Times New Roman" w:hAnsi="Times New Roman"/>
        </w:rPr>
      </w:pPr>
      <w:r w:rsidRPr="00207864">
        <w:rPr>
          <w:rFonts w:ascii="Times New Roman" w:hAnsi="Times New Roman"/>
        </w:rPr>
        <w:tab/>
        <w:t xml:space="preserve">A </w:t>
      </w:r>
      <w:r w:rsidR="00F2627E" w:rsidRPr="00207864">
        <w:rPr>
          <w:rFonts w:ascii="Times New Roman" w:hAnsi="Times New Roman"/>
        </w:rPr>
        <w:t>"</w:t>
      </w:r>
      <w:r w:rsidR="007A5553" w:rsidRPr="00207864">
        <w:rPr>
          <w:rFonts w:ascii="Times New Roman" w:hAnsi="Times New Roman"/>
        </w:rPr>
        <w:t>t</w:t>
      </w:r>
      <w:r w:rsidR="00F2627E" w:rsidRPr="00207864">
        <w:rPr>
          <w:rFonts w:ascii="Times New Roman" w:hAnsi="Times New Roman"/>
        </w:rPr>
        <w:t>errorist organisation" is an organisation that is directly or indirectly engaged in</w:t>
      </w:r>
      <w:r w:rsidR="00D96B69" w:rsidRPr="00207864">
        <w:rPr>
          <w:rFonts w:ascii="Times New Roman" w:hAnsi="Times New Roman"/>
        </w:rPr>
        <w:t>,</w:t>
      </w:r>
      <w:r w:rsidR="00F2627E" w:rsidRPr="00207864">
        <w:rPr>
          <w:rFonts w:ascii="Times New Roman" w:hAnsi="Times New Roman"/>
        </w:rPr>
        <w:t xml:space="preserve"> preparing, planning, assisting in or fostering the doing of a terrorist act or </w:t>
      </w:r>
      <w:r w:rsidR="006427D3" w:rsidRPr="00207864">
        <w:rPr>
          <w:rFonts w:ascii="Times New Roman" w:hAnsi="Times New Roman"/>
        </w:rPr>
        <w:t xml:space="preserve">certain </w:t>
      </w:r>
      <w:r w:rsidR="00F2627E" w:rsidRPr="00207864">
        <w:rPr>
          <w:rFonts w:ascii="Times New Roman" w:hAnsi="Times New Roman"/>
        </w:rPr>
        <w:t>organisation</w:t>
      </w:r>
      <w:r w:rsidR="006427D3" w:rsidRPr="00207864">
        <w:rPr>
          <w:rFonts w:ascii="Times New Roman" w:hAnsi="Times New Roman"/>
        </w:rPr>
        <w:t>s that are</w:t>
      </w:r>
      <w:r w:rsidR="00F2627E" w:rsidRPr="00207864">
        <w:rPr>
          <w:rFonts w:ascii="Times New Roman" w:hAnsi="Times New Roman"/>
        </w:rPr>
        <w:t xml:space="preserve"> specified as </w:t>
      </w:r>
      <w:r w:rsidR="00463BC2" w:rsidRPr="00207864">
        <w:rPr>
          <w:rFonts w:ascii="Times New Roman" w:hAnsi="Times New Roman"/>
        </w:rPr>
        <w:t>terrorist organisations in the regulations</w:t>
      </w:r>
      <w:r w:rsidR="00F2627E" w:rsidRPr="00207864">
        <w:rPr>
          <w:rStyle w:val="FootnoteReference"/>
          <w:rFonts w:ascii="Times New Roman" w:hAnsi="Times New Roman"/>
          <w:sz w:val="24"/>
        </w:rPr>
        <w:footnoteReference w:id="103"/>
      </w:r>
      <w:r w:rsidR="00F2627E" w:rsidRPr="00207864">
        <w:rPr>
          <w:rFonts w:ascii="Times New Roman" w:hAnsi="Times New Roman"/>
        </w:rPr>
        <w:t xml:space="preserve">. </w:t>
      </w:r>
      <w:r w:rsidR="00463BC2" w:rsidRPr="00207864">
        <w:rPr>
          <w:rFonts w:ascii="Times New Roman" w:hAnsi="Times New Roman"/>
        </w:rPr>
        <w:t>S</w:t>
      </w:r>
      <w:r w:rsidR="00F2627E" w:rsidRPr="00207864">
        <w:rPr>
          <w:rFonts w:ascii="Times New Roman" w:hAnsi="Times New Roman"/>
        </w:rPr>
        <w:t xml:space="preserve">erious Pt 5.3 offences </w:t>
      </w:r>
      <w:r w:rsidR="00876D1C" w:rsidRPr="00207864">
        <w:rPr>
          <w:rFonts w:ascii="Times New Roman" w:hAnsi="Times New Roman"/>
        </w:rPr>
        <w:t xml:space="preserve">involving terrorist organisations </w:t>
      </w:r>
      <w:r w:rsidR="00F2627E" w:rsidRPr="00207864">
        <w:rPr>
          <w:rFonts w:ascii="Times New Roman" w:hAnsi="Times New Roman"/>
        </w:rPr>
        <w:t>are directing the activities of a terrorist organisation</w:t>
      </w:r>
      <w:r w:rsidR="00F2627E" w:rsidRPr="00207864">
        <w:rPr>
          <w:rStyle w:val="FootnoteReference"/>
          <w:rFonts w:ascii="Times New Roman" w:hAnsi="Times New Roman"/>
          <w:sz w:val="24"/>
        </w:rPr>
        <w:footnoteReference w:id="104"/>
      </w:r>
      <w:r w:rsidR="00F2627E" w:rsidRPr="00207864">
        <w:rPr>
          <w:rFonts w:ascii="Times New Roman" w:hAnsi="Times New Roman"/>
        </w:rPr>
        <w:t xml:space="preserve">; being a member of a terrorist </w:t>
      </w:r>
      <w:r w:rsidR="00F2627E" w:rsidRPr="00207864">
        <w:rPr>
          <w:rFonts w:ascii="Times New Roman" w:hAnsi="Times New Roman"/>
        </w:rPr>
        <w:lastRenderedPageBreak/>
        <w:t>organisation</w:t>
      </w:r>
      <w:r w:rsidR="00F2627E" w:rsidRPr="00207864">
        <w:rPr>
          <w:rStyle w:val="FootnoteReference"/>
          <w:rFonts w:ascii="Times New Roman" w:hAnsi="Times New Roman"/>
          <w:sz w:val="24"/>
        </w:rPr>
        <w:footnoteReference w:id="105"/>
      </w:r>
      <w:r w:rsidR="00F2627E" w:rsidRPr="00207864">
        <w:rPr>
          <w:rFonts w:ascii="Times New Roman" w:hAnsi="Times New Roman"/>
        </w:rPr>
        <w:t>; recruiting a person to join, or participate in the activities of</w:t>
      </w:r>
      <w:r w:rsidR="00A93752" w:rsidRPr="00207864">
        <w:rPr>
          <w:rFonts w:ascii="Times New Roman" w:hAnsi="Times New Roman"/>
        </w:rPr>
        <w:t>,</w:t>
      </w:r>
      <w:r w:rsidR="00F2627E" w:rsidRPr="00207864">
        <w:rPr>
          <w:rFonts w:ascii="Times New Roman" w:hAnsi="Times New Roman"/>
        </w:rPr>
        <w:t xml:space="preserve"> a terrorist organisation</w:t>
      </w:r>
      <w:r w:rsidR="00F2627E" w:rsidRPr="00207864">
        <w:rPr>
          <w:rStyle w:val="FootnoteReference"/>
          <w:rFonts w:ascii="Times New Roman" w:hAnsi="Times New Roman"/>
          <w:sz w:val="24"/>
        </w:rPr>
        <w:footnoteReference w:id="106"/>
      </w:r>
      <w:r w:rsidR="00F2627E" w:rsidRPr="00207864">
        <w:rPr>
          <w:rFonts w:ascii="Times New Roman" w:hAnsi="Times New Roman"/>
        </w:rPr>
        <w:t>; providing or receiving training to or from a terrorist organisation</w:t>
      </w:r>
      <w:r w:rsidR="00F2627E" w:rsidRPr="00207864">
        <w:rPr>
          <w:rStyle w:val="FootnoteReference"/>
          <w:rFonts w:ascii="Times New Roman" w:hAnsi="Times New Roman"/>
          <w:sz w:val="24"/>
        </w:rPr>
        <w:footnoteReference w:id="107"/>
      </w:r>
      <w:r w:rsidR="00F2627E" w:rsidRPr="00207864">
        <w:rPr>
          <w:rFonts w:ascii="Times New Roman" w:hAnsi="Times New Roman"/>
        </w:rPr>
        <w:t>; receiving funds from, or making funds available to, or collecting funds for, or on behalf of, a terrorist organisation</w:t>
      </w:r>
      <w:r w:rsidR="00F2627E" w:rsidRPr="00207864">
        <w:rPr>
          <w:rStyle w:val="FootnoteReference"/>
          <w:rFonts w:ascii="Times New Roman" w:hAnsi="Times New Roman"/>
          <w:sz w:val="24"/>
        </w:rPr>
        <w:footnoteReference w:id="108"/>
      </w:r>
      <w:r w:rsidR="00F2627E" w:rsidRPr="00207864">
        <w:rPr>
          <w:rFonts w:ascii="Times New Roman" w:hAnsi="Times New Roman"/>
        </w:rPr>
        <w:t xml:space="preserve">; </w:t>
      </w:r>
      <w:r w:rsidR="00164069" w:rsidRPr="00207864">
        <w:rPr>
          <w:rFonts w:ascii="Times New Roman" w:hAnsi="Times New Roman"/>
        </w:rPr>
        <w:t xml:space="preserve">and </w:t>
      </w:r>
      <w:r w:rsidR="00F2627E" w:rsidRPr="00207864">
        <w:rPr>
          <w:rFonts w:ascii="Times New Roman" w:hAnsi="Times New Roman"/>
        </w:rPr>
        <w:t>providing support or resources to a terrorist organisation</w:t>
      </w:r>
      <w:r w:rsidR="00F2627E" w:rsidRPr="00207864">
        <w:rPr>
          <w:rStyle w:val="FootnoteReference"/>
          <w:rFonts w:ascii="Times New Roman" w:hAnsi="Times New Roman"/>
          <w:sz w:val="24"/>
        </w:rPr>
        <w:footnoteReference w:id="109"/>
      </w:r>
      <w:r w:rsidR="00DB205B" w:rsidRPr="00207864">
        <w:rPr>
          <w:rFonts w:ascii="Times New Roman" w:hAnsi="Times New Roman"/>
        </w:rPr>
        <w:t xml:space="preserve">. </w:t>
      </w:r>
    </w:p>
    <w:p w14:paraId="09656558" w14:textId="77777777" w:rsidR="002443A8" w:rsidRPr="00207864" w:rsidRDefault="00DB205B"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2443A8" w:rsidRPr="00207864">
        <w:rPr>
          <w:rFonts w:ascii="Times New Roman" w:hAnsi="Times New Roman"/>
        </w:rPr>
        <w:t xml:space="preserve">As </w:t>
      </w:r>
      <w:proofErr w:type="spellStart"/>
      <w:r w:rsidR="002443A8" w:rsidRPr="00207864">
        <w:rPr>
          <w:rFonts w:ascii="Times New Roman" w:hAnsi="Times New Roman"/>
        </w:rPr>
        <w:t>Spigelman</w:t>
      </w:r>
      <w:proofErr w:type="spellEnd"/>
      <w:r w:rsidR="002443A8" w:rsidRPr="00207864">
        <w:rPr>
          <w:rFonts w:ascii="Times New Roman" w:hAnsi="Times New Roman"/>
        </w:rPr>
        <w:t xml:space="preserve"> CJ has observed of the Pt 5.3 regime</w:t>
      </w:r>
      <w:r w:rsidR="002443A8" w:rsidRPr="00207864">
        <w:rPr>
          <w:rStyle w:val="FootnoteReference"/>
          <w:rFonts w:ascii="Times New Roman" w:hAnsi="Times New Roman"/>
          <w:sz w:val="24"/>
        </w:rPr>
        <w:footnoteReference w:id="110"/>
      </w:r>
      <w:r w:rsidR="002443A8" w:rsidRPr="00207864">
        <w:rPr>
          <w:rFonts w:ascii="Times New Roman" w:hAnsi="Times New Roman"/>
        </w:rPr>
        <w:t>:</w:t>
      </w:r>
    </w:p>
    <w:p w14:paraId="54FBF8E6" w14:textId="77777777" w:rsidR="00207864" w:rsidRDefault="002443A8" w:rsidP="00207864">
      <w:pPr>
        <w:pStyle w:val="LRIndentafterHC"/>
        <w:spacing w:before="0" w:after="260" w:line="280" w:lineRule="exact"/>
        <w:ind w:right="0"/>
        <w:jc w:val="both"/>
        <w:rPr>
          <w:rFonts w:ascii="Times New Roman" w:hAnsi="Times New Roman"/>
        </w:rPr>
      </w:pPr>
      <w:r w:rsidRPr="00207864">
        <w:rPr>
          <w:rFonts w:ascii="Times New Roman" w:hAnsi="Times New Roman"/>
        </w:rPr>
        <w:t xml:space="preserve">"Preparatory acts are not often made into criminal offences. The particular nature of terrorism has resulted in a special, and in many ways unique, legislative regime. It was, in my opinion, the clear intention of Parliament to create offences where an offender has not decided precisely what he or she intends to do. A policy judgment has been made that the prevention of terrorism requires criminal responsibility to arise at an earlier stage than is usually the case for other kinds of criminal conduct, </w:t>
      </w:r>
      <w:proofErr w:type="spellStart"/>
      <w:r w:rsidRPr="00207864">
        <w:rPr>
          <w:rFonts w:ascii="Times New Roman" w:hAnsi="Times New Roman"/>
        </w:rPr>
        <w:t>eg</w:t>
      </w:r>
      <w:proofErr w:type="spellEnd"/>
      <w:r w:rsidRPr="00207864">
        <w:rPr>
          <w:rFonts w:ascii="Times New Roman" w:hAnsi="Times New Roman"/>
        </w:rPr>
        <w:t xml:space="preserve"> well before an agreement has been reached for a conspiracy charge."</w:t>
      </w:r>
    </w:p>
    <w:p w14:paraId="148FE795" w14:textId="35DC06C1" w:rsidR="00CA43F3" w:rsidRPr="00207864" w:rsidRDefault="00CA43F3" w:rsidP="00207864">
      <w:pPr>
        <w:pStyle w:val="NormalBody"/>
        <w:spacing w:after="260" w:line="280" w:lineRule="exact"/>
        <w:ind w:right="0"/>
        <w:jc w:val="both"/>
        <w:rPr>
          <w:rFonts w:ascii="Times New Roman" w:hAnsi="Times New Roman"/>
        </w:rPr>
      </w:pPr>
      <w:r w:rsidRPr="00207864">
        <w:rPr>
          <w:rFonts w:ascii="Times New Roman" w:hAnsi="Times New Roman"/>
        </w:rPr>
        <w:t>It is difficult to envisage any circumstances in which a continuing detention order would be made to prevent the risk of the commission of a serious Pt 5.3 offence</w:t>
      </w:r>
      <w:r w:rsidR="00D27B77" w:rsidRPr="00207864">
        <w:rPr>
          <w:rFonts w:ascii="Times New Roman" w:hAnsi="Times New Roman"/>
        </w:rPr>
        <w:t xml:space="preserve"> where that offence</w:t>
      </w:r>
      <w:r w:rsidR="00D575B2" w:rsidRPr="00207864">
        <w:rPr>
          <w:rFonts w:ascii="Times New Roman" w:hAnsi="Times New Roman"/>
        </w:rPr>
        <w:t xml:space="preserve"> is</w:t>
      </w:r>
      <w:r w:rsidRPr="00207864">
        <w:rPr>
          <w:rFonts w:ascii="Times New Roman" w:hAnsi="Times New Roman"/>
        </w:rPr>
        <w:t xml:space="preserve"> of a kind that could not be seen to pose a real threat of harm to the community. Even where the apprehended serious Pt 5.3</w:t>
      </w:r>
      <w:r w:rsidR="000C5A4B" w:rsidRPr="00207864">
        <w:rPr>
          <w:rFonts w:ascii="Times New Roman" w:hAnsi="Times New Roman"/>
        </w:rPr>
        <w:t> </w:t>
      </w:r>
      <w:r w:rsidRPr="00207864">
        <w:rPr>
          <w:rFonts w:ascii="Times New Roman" w:hAnsi="Times New Roman"/>
        </w:rPr>
        <w:t xml:space="preserve">offence does not involve as an element the inflicting, or </w:t>
      </w:r>
      <w:r w:rsidR="00C97CD1" w:rsidRPr="00207864">
        <w:rPr>
          <w:rFonts w:ascii="Times New Roman" w:hAnsi="Times New Roman"/>
        </w:rPr>
        <w:t xml:space="preserve">having </w:t>
      </w:r>
      <w:r w:rsidR="00D575B2" w:rsidRPr="00207864">
        <w:rPr>
          <w:rFonts w:ascii="Times New Roman" w:hAnsi="Times New Roman"/>
        </w:rPr>
        <w:t xml:space="preserve">as </w:t>
      </w:r>
      <w:r w:rsidR="00C97CD1" w:rsidRPr="00207864">
        <w:rPr>
          <w:rFonts w:ascii="Times New Roman" w:hAnsi="Times New Roman"/>
        </w:rPr>
        <w:t xml:space="preserve">an </w:t>
      </w:r>
      <w:r w:rsidRPr="00207864">
        <w:rPr>
          <w:rFonts w:ascii="Times New Roman" w:hAnsi="Times New Roman"/>
        </w:rPr>
        <w:t xml:space="preserve">immediate purpose </w:t>
      </w:r>
      <w:r w:rsidR="00D575B2" w:rsidRPr="00207864">
        <w:rPr>
          <w:rFonts w:ascii="Times New Roman" w:hAnsi="Times New Roman"/>
        </w:rPr>
        <w:t>the</w:t>
      </w:r>
      <w:r w:rsidRPr="00207864">
        <w:rPr>
          <w:rFonts w:ascii="Times New Roman" w:hAnsi="Times New Roman"/>
        </w:rPr>
        <w:t xml:space="preserve"> actual inflicting</w:t>
      </w:r>
      <w:r w:rsidR="00000A61" w:rsidRPr="00207864">
        <w:rPr>
          <w:rFonts w:ascii="Times New Roman" w:hAnsi="Times New Roman"/>
        </w:rPr>
        <w:t xml:space="preserve">, of </w:t>
      </w:r>
      <w:r w:rsidRPr="00207864">
        <w:rPr>
          <w:rFonts w:ascii="Times New Roman" w:hAnsi="Times New Roman"/>
        </w:rPr>
        <w:t>personal injury on a person or persons, the advancement of terrorist ideology can readily be seen to create a milieu which fosters the prospect that personal injury will be suffered by inno</w:t>
      </w:r>
      <w:r w:rsidR="00DD4702" w:rsidRPr="00207864">
        <w:rPr>
          <w:rFonts w:ascii="Times New Roman" w:hAnsi="Times New Roman"/>
        </w:rPr>
        <w:t>c</w:t>
      </w:r>
      <w:r w:rsidRPr="00207864">
        <w:rPr>
          <w:rFonts w:ascii="Times New Roman" w:hAnsi="Times New Roman"/>
        </w:rPr>
        <w:t xml:space="preserve">ent members of the community. A law directed against the implementation of such an ideology (even by preparatory acts) does not lack the character of a law for the protection of the community from harm simply because the law </w:t>
      </w:r>
      <w:r w:rsidR="004E681E" w:rsidRPr="00207864">
        <w:rPr>
          <w:rFonts w:ascii="Times New Roman" w:hAnsi="Times New Roman"/>
        </w:rPr>
        <w:t>d</w:t>
      </w:r>
      <w:r w:rsidRPr="00207864">
        <w:rPr>
          <w:rFonts w:ascii="Times New Roman" w:hAnsi="Times New Roman"/>
        </w:rPr>
        <w:t xml:space="preserve">oes not include the immediate likelihood </w:t>
      </w:r>
      <w:r w:rsidR="004E681E" w:rsidRPr="00207864">
        <w:rPr>
          <w:rFonts w:ascii="Times New Roman" w:hAnsi="Times New Roman"/>
        </w:rPr>
        <w:t>o</w:t>
      </w:r>
      <w:r w:rsidRPr="00207864">
        <w:rPr>
          <w:rFonts w:ascii="Times New Roman" w:hAnsi="Times New Roman"/>
        </w:rPr>
        <w:t xml:space="preserve">r purpose of inflicting personal injury as an element of the offence. It is important that the </w:t>
      </w:r>
      <w:r w:rsidRPr="00207864">
        <w:rPr>
          <w:rFonts w:ascii="Times New Roman" w:hAnsi="Times New Roman"/>
        </w:rPr>
        <w:lastRenderedPageBreak/>
        <w:t>restriction upon individual liberty involved in the making of a continuing detention order is dependent upon the risk o</w:t>
      </w:r>
      <w:r w:rsidR="0041107C" w:rsidRPr="00207864">
        <w:rPr>
          <w:rFonts w:ascii="Times New Roman" w:hAnsi="Times New Roman"/>
        </w:rPr>
        <w:t>f</w:t>
      </w:r>
      <w:r w:rsidRPr="00207864">
        <w:rPr>
          <w:rFonts w:ascii="Times New Roman" w:hAnsi="Times New Roman"/>
        </w:rPr>
        <w:t xml:space="preserve"> an offence </w:t>
      </w:r>
      <w:r w:rsidR="006918D2" w:rsidRPr="00207864">
        <w:rPr>
          <w:rFonts w:ascii="Times New Roman" w:hAnsi="Times New Roman"/>
        </w:rPr>
        <w:t>being</w:t>
      </w:r>
      <w:r w:rsidRPr="00207864">
        <w:rPr>
          <w:rFonts w:ascii="Times New Roman" w:hAnsi="Times New Roman"/>
        </w:rPr>
        <w:t xml:space="preserve"> "unacceptable" </w:t>
      </w:r>
      <w:r w:rsidR="00900372" w:rsidRPr="00207864">
        <w:rPr>
          <w:rFonts w:ascii="Times New Roman" w:hAnsi="Times New Roman"/>
        </w:rPr>
        <w:t xml:space="preserve">to the judge </w:t>
      </w:r>
      <w:r w:rsidRPr="00207864">
        <w:rPr>
          <w:rFonts w:ascii="Times New Roman" w:hAnsi="Times New Roman"/>
        </w:rPr>
        <w:t>in light of the facts as they appear at th</w:t>
      </w:r>
      <w:r w:rsidR="00883351" w:rsidRPr="00207864">
        <w:rPr>
          <w:rFonts w:ascii="Times New Roman" w:hAnsi="Times New Roman"/>
        </w:rPr>
        <w:t>e</w:t>
      </w:r>
      <w:r w:rsidRPr="00207864">
        <w:rPr>
          <w:rFonts w:ascii="Times New Roman" w:hAnsi="Times New Roman"/>
        </w:rPr>
        <w:t xml:space="preserve"> time</w:t>
      </w:r>
      <w:r w:rsidR="00D863C2" w:rsidRPr="00207864">
        <w:rPr>
          <w:rFonts w:ascii="Times New Roman" w:hAnsi="Times New Roman"/>
        </w:rPr>
        <w:t xml:space="preserve"> he or she is asked to make the order</w:t>
      </w:r>
      <w:r w:rsidRPr="00207864">
        <w:rPr>
          <w:rFonts w:ascii="Times New Roman" w:hAnsi="Times New Roman"/>
        </w:rPr>
        <w:t xml:space="preserve">. Further, the power to address the risk of harm posed to the community in any particular case by the making of an order less intrusive on personal liberty than a continuing detention order serves to ensure that continuing detention orders are made to </w:t>
      </w:r>
      <w:r w:rsidR="00B70658" w:rsidRPr="00207864">
        <w:rPr>
          <w:rFonts w:ascii="Times New Roman" w:hAnsi="Times New Roman"/>
        </w:rPr>
        <w:t xml:space="preserve">secure </w:t>
      </w:r>
      <w:r w:rsidRPr="00207864">
        <w:rPr>
          <w:rFonts w:ascii="Times New Roman" w:hAnsi="Times New Roman"/>
        </w:rPr>
        <w:t>the protection of the community from unacceptable risks of actual harm.</w:t>
      </w:r>
    </w:p>
    <w:p w14:paraId="179F4903" w14:textId="6474AD7E" w:rsidR="002443A8" w:rsidRPr="00207864" w:rsidRDefault="00CA43F3" w:rsidP="00207864">
      <w:pPr>
        <w:pStyle w:val="FixListStyle"/>
        <w:spacing w:after="260" w:line="280" w:lineRule="exact"/>
        <w:ind w:right="0"/>
        <w:jc w:val="both"/>
        <w:rPr>
          <w:rFonts w:ascii="Times New Roman" w:hAnsi="Times New Roman"/>
        </w:rPr>
      </w:pPr>
      <w:r w:rsidRPr="00207864">
        <w:rPr>
          <w:rFonts w:ascii="Times New Roman" w:hAnsi="Times New Roman"/>
        </w:rPr>
        <w:tab/>
        <w:t>In this respect, it is to be noted that the Court is given wide powers to make control orders under Div 104 imposing restrictions, obligations and prohibitions that fall short of detention in custody</w:t>
      </w:r>
      <w:r w:rsidRPr="00207864">
        <w:rPr>
          <w:rStyle w:val="FootnoteReference"/>
          <w:rFonts w:ascii="Times New Roman" w:hAnsi="Times New Roman"/>
          <w:sz w:val="24"/>
        </w:rPr>
        <w:footnoteReference w:id="111"/>
      </w:r>
      <w:r w:rsidR="0019491F" w:rsidRPr="00207864">
        <w:rPr>
          <w:rFonts w:ascii="Times New Roman" w:hAnsi="Times New Roman"/>
        </w:rPr>
        <w:t xml:space="preserve"> and that </w:t>
      </w:r>
      <w:r w:rsidR="00BE07CD" w:rsidRPr="00207864">
        <w:rPr>
          <w:rFonts w:ascii="Times New Roman" w:hAnsi="Times New Roman"/>
        </w:rPr>
        <w:t xml:space="preserve">the power to make </w:t>
      </w:r>
      <w:r w:rsidR="008E7B41" w:rsidRPr="00207864">
        <w:rPr>
          <w:rFonts w:ascii="Times New Roman" w:hAnsi="Times New Roman"/>
        </w:rPr>
        <w:t>a continuing detention</w:t>
      </w:r>
      <w:r w:rsidR="00BE07CD" w:rsidRPr="00207864">
        <w:rPr>
          <w:rFonts w:ascii="Times New Roman" w:hAnsi="Times New Roman"/>
        </w:rPr>
        <w:t xml:space="preserve"> order is conditioned not only on the risk of </w:t>
      </w:r>
      <w:r w:rsidR="00245B0B" w:rsidRPr="00207864">
        <w:rPr>
          <w:rFonts w:ascii="Times New Roman" w:hAnsi="Times New Roman"/>
        </w:rPr>
        <w:t>the</w:t>
      </w:r>
      <w:r w:rsidR="00BE07CD" w:rsidRPr="00207864">
        <w:rPr>
          <w:rFonts w:ascii="Times New Roman" w:hAnsi="Times New Roman"/>
        </w:rPr>
        <w:t xml:space="preserve"> commission of a serious Pt</w:t>
      </w:r>
      <w:r w:rsidR="00245B0B" w:rsidRPr="00207864">
        <w:rPr>
          <w:rFonts w:ascii="Times New Roman" w:hAnsi="Times New Roman"/>
        </w:rPr>
        <w:t> </w:t>
      </w:r>
      <w:r w:rsidR="00BE07CD" w:rsidRPr="00207864">
        <w:rPr>
          <w:rFonts w:ascii="Times New Roman" w:hAnsi="Times New Roman"/>
        </w:rPr>
        <w:t xml:space="preserve">5.3 offence but on satisfaction that no other, less restrictive </w:t>
      </w:r>
      <w:r w:rsidR="0028752D" w:rsidRPr="00207864">
        <w:rPr>
          <w:rFonts w:ascii="Times New Roman" w:hAnsi="Times New Roman"/>
        </w:rPr>
        <w:t>measure would be effective in preventing the unacceptable risk</w:t>
      </w:r>
      <w:r w:rsidR="008F4151" w:rsidRPr="00207864">
        <w:rPr>
          <w:rStyle w:val="FootnoteReference"/>
          <w:rFonts w:ascii="Times New Roman" w:hAnsi="Times New Roman"/>
          <w:sz w:val="24"/>
        </w:rPr>
        <w:footnoteReference w:id="112"/>
      </w:r>
      <w:r w:rsidRPr="00207864">
        <w:rPr>
          <w:rFonts w:ascii="Times New Roman" w:hAnsi="Times New Roman"/>
        </w:rPr>
        <w:t xml:space="preserve">. </w:t>
      </w:r>
      <w:r w:rsidR="0028752D" w:rsidRPr="00207864">
        <w:rPr>
          <w:rFonts w:ascii="Times New Roman" w:hAnsi="Times New Roman"/>
        </w:rPr>
        <w:t xml:space="preserve">Correctly understood, a continuing detention order could not properly be made </w:t>
      </w:r>
      <w:r w:rsidR="00551F49" w:rsidRPr="00207864">
        <w:rPr>
          <w:rFonts w:ascii="Times New Roman" w:hAnsi="Times New Roman"/>
        </w:rPr>
        <w:t xml:space="preserve">by a </w:t>
      </w:r>
      <w:r w:rsidR="005B218A" w:rsidRPr="00207864">
        <w:rPr>
          <w:rFonts w:ascii="Times New Roman" w:hAnsi="Times New Roman"/>
        </w:rPr>
        <w:t>C</w:t>
      </w:r>
      <w:r w:rsidR="00551F49" w:rsidRPr="00207864">
        <w:rPr>
          <w:rFonts w:ascii="Times New Roman" w:hAnsi="Times New Roman"/>
        </w:rPr>
        <w:t xml:space="preserve">ourt </w:t>
      </w:r>
      <w:r w:rsidR="00121457" w:rsidRPr="00207864">
        <w:rPr>
          <w:rFonts w:ascii="Times New Roman" w:hAnsi="Times New Roman"/>
        </w:rPr>
        <w:t xml:space="preserve">in the exercise of the discretion conferred by s 105A.7(1) in a case where the only risk of offending identified by the authorities did not carry a threat of harm to members of the community </w:t>
      </w:r>
      <w:r w:rsidR="00CD7111" w:rsidRPr="00207864">
        <w:rPr>
          <w:rFonts w:ascii="Times New Roman" w:hAnsi="Times New Roman"/>
        </w:rPr>
        <w:t>that was sufficiently serious in the assessment of the Court as to make the risk of the commission of the offence "unacceptable" to that Court</w:t>
      </w:r>
      <w:r w:rsidR="008F4151" w:rsidRPr="00207864">
        <w:rPr>
          <w:rFonts w:ascii="Times New Roman" w:hAnsi="Times New Roman"/>
        </w:rPr>
        <w:t>.</w:t>
      </w:r>
      <w:r w:rsidR="002443A8" w:rsidRPr="00207864">
        <w:rPr>
          <w:rFonts w:ascii="Times New Roman" w:hAnsi="Times New Roman"/>
        </w:rPr>
        <w:t xml:space="preserve"> Contrary to Mr </w:t>
      </w:r>
      <w:proofErr w:type="spellStart"/>
      <w:r w:rsidR="002443A8" w:rsidRPr="00207864">
        <w:rPr>
          <w:rFonts w:ascii="Times New Roman" w:hAnsi="Times New Roman"/>
        </w:rPr>
        <w:t>Benbrika's</w:t>
      </w:r>
      <w:proofErr w:type="spellEnd"/>
      <w:r w:rsidR="002443A8" w:rsidRPr="00207864">
        <w:rPr>
          <w:rFonts w:ascii="Times New Roman" w:hAnsi="Times New Roman"/>
        </w:rPr>
        <w:t xml:space="preserve"> alternative submission, </w:t>
      </w:r>
      <w:proofErr w:type="spellStart"/>
      <w:r w:rsidR="002443A8" w:rsidRPr="00207864">
        <w:rPr>
          <w:rFonts w:ascii="Times New Roman" w:hAnsi="Times New Roman"/>
        </w:rPr>
        <w:t>Div</w:t>
      </w:r>
      <w:proofErr w:type="spellEnd"/>
      <w:r w:rsidR="002443A8" w:rsidRPr="00207864">
        <w:rPr>
          <w:rFonts w:ascii="Times New Roman" w:hAnsi="Times New Roman"/>
        </w:rPr>
        <w:t> 105A is rightly characterised as directed to ensuring the safety and protection of the community from the risk of harm posed by the threat of terrorism.</w:t>
      </w:r>
    </w:p>
    <w:p w14:paraId="1996DBDB" w14:textId="64384D8A" w:rsidR="00E064D8" w:rsidRPr="00207864" w:rsidRDefault="00E064D8"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5A1806" w:rsidRPr="00207864">
        <w:rPr>
          <w:rFonts w:ascii="Times New Roman" w:hAnsi="Times New Roman"/>
        </w:rPr>
        <w:t xml:space="preserve">Division 105A validly confers the judicial power of the Commonwealth on the Supreme Court of a State or Territory. This conclusion </w:t>
      </w:r>
      <w:r w:rsidR="00C452E7" w:rsidRPr="00207864">
        <w:rPr>
          <w:rFonts w:ascii="Times New Roman" w:hAnsi="Times New Roman"/>
        </w:rPr>
        <w:t xml:space="preserve">makes it unnecessary to </w:t>
      </w:r>
      <w:r w:rsidR="00060E57" w:rsidRPr="00207864">
        <w:rPr>
          <w:rFonts w:ascii="Times New Roman" w:hAnsi="Times New Roman"/>
        </w:rPr>
        <w:t xml:space="preserve">consider </w:t>
      </w:r>
      <w:r w:rsidR="00C452E7" w:rsidRPr="00207864">
        <w:rPr>
          <w:rFonts w:ascii="Times New Roman" w:hAnsi="Times New Roman"/>
        </w:rPr>
        <w:t xml:space="preserve">the Commonwealth's submission that </w:t>
      </w:r>
      <w:r w:rsidR="00D02F72" w:rsidRPr="00207864">
        <w:rPr>
          <w:rFonts w:ascii="Times New Roman" w:hAnsi="Times New Roman"/>
          <w:i/>
        </w:rPr>
        <w:t xml:space="preserve">New South </w:t>
      </w:r>
      <w:r w:rsidR="003D2099" w:rsidRPr="00207864">
        <w:rPr>
          <w:rFonts w:ascii="Times New Roman" w:hAnsi="Times New Roman"/>
          <w:i/>
        </w:rPr>
        <w:t xml:space="preserve">Wales v </w:t>
      </w:r>
      <w:r w:rsidR="002E535D" w:rsidRPr="00207864">
        <w:rPr>
          <w:rFonts w:ascii="Times New Roman" w:hAnsi="Times New Roman"/>
          <w:i/>
        </w:rPr>
        <w:t>Kable</w:t>
      </w:r>
      <w:r w:rsidR="003D2099" w:rsidRPr="00207864">
        <w:rPr>
          <w:rStyle w:val="FootnoteReference"/>
          <w:rFonts w:ascii="Times New Roman" w:hAnsi="Times New Roman"/>
          <w:sz w:val="24"/>
        </w:rPr>
        <w:footnoteReference w:id="113"/>
      </w:r>
      <w:r w:rsidR="002E535D" w:rsidRPr="00207864">
        <w:rPr>
          <w:rFonts w:ascii="Times New Roman" w:hAnsi="Times New Roman"/>
        </w:rPr>
        <w:t xml:space="preserve"> is determin</w:t>
      </w:r>
      <w:r w:rsidR="00D70124" w:rsidRPr="00207864">
        <w:rPr>
          <w:rFonts w:ascii="Times New Roman" w:hAnsi="Times New Roman"/>
        </w:rPr>
        <w:t xml:space="preserve">ative of the capacity of </w:t>
      </w:r>
      <w:r w:rsidR="002D2A4F" w:rsidRPr="00207864">
        <w:rPr>
          <w:rFonts w:ascii="Times New Roman" w:hAnsi="Times New Roman"/>
        </w:rPr>
        <w:t xml:space="preserve">the Parliament to validly empower a </w:t>
      </w:r>
      <w:r w:rsidR="003951B4" w:rsidRPr="00207864">
        <w:rPr>
          <w:rFonts w:ascii="Times New Roman" w:hAnsi="Times New Roman"/>
        </w:rPr>
        <w:t xml:space="preserve">court exercising federal judicial power to </w:t>
      </w:r>
      <w:r w:rsidR="00155B42" w:rsidRPr="00207864">
        <w:rPr>
          <w:rFonts w:ascii="Times New Roman" w:hAnsi="Times New Roman"/>
        </w:rPr>
        <w:t xml:space="preserve">order the detention of a person after the expiry of his or her sentence </w:t>
      </w:r>
      <w:r w:rsidR="00253AA8" w:rsidRPr="00207864">
        <w:rPr>
          <w:rFonts w:ascii="Times New Roman" w:hAnsi="Times New Roman"/>
        </w:rPr>
        <w:t>based upon an assessment of the risk of future offending by that person</w:t>
      </w:r>
      <w:r w:rsidR="00D02F72" w:rsidRPr="00207864">
        <w:rPr>
          <w:rFonts w:ascii="Times New Roman" w:hAnsi="Times New Roman"/>
        </w:rPr>
        <w:t>.</w:t>
      </w:r>
    </w:p>
    <w:p w14:paraId="45992D49" w14:textId="60772184" w:rsidR="0067631D" w:rsidRPr="00207864" w:rsidRDefault="0067631D" w:rsidP="00207864">
      <w:pPr>
        <w:pStyle w:val="HeadingL1"/>
        <w:spacing w:after="260" w:line="280" w:lineRule="exact"/>
        <w:ind w:right="0"/>
        <w:jc w:val="both"/>
        <w:rPr>
          <w:rFonts w:ascii="Times New Roman" w:hAnsi="Times New Roman"/>
        </w:rPr>
      </w:pPr>
      <w:r w:rsidRPr="00207864">
        <w:rPr>
          <w:rFonts w:ascii="Times New Roman" w:hAnsi="Times New Roman"/>
        </w:rPr>
        <w:lastRenderedPageBreak/>
        <w:t>Costs</w:t>
      </w:r>
    </w:p>
    <w:p w14:paraId="3E8704AD" w14:textId="6A2C7F7C" w:rsidR="009041F7" w:rsidRPr="00207864" w:rsidRDefault="0067631D"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9041F7" w:rsidRPr="00207864">
        <w:rPr>
          <w:rFonts w:ascii="Times New Roman" w:hAnsi="Times New Roman"/>
        </w:rPr>
        <w:t xml:space="preserve">Mr Benbrika </w:t>
      </w:r>
      <w:r w:rsidR="00B8169C" w:rsidRPr="00207864">
        <w:rPr>
          <w:rFonts w:ascii="Times New Roman" w:hAnsi="Times New Roman"/>
        </w:rPr>
        <w:t>seeks an order for his costs whatever the event</w:t>
      </w:r>
      <w:r w:rsidR="00FA1545" w:rsidRPr="00207864">
        <w:rPr>
          <w:rFonts w:ascii="Times New Roman" w:hAnsi="Times New Roman"/>
        </w:rPr>
        <w:t xml:space="preserve">. </w:t>
      </w:r>
      <w:r w:rsidR="00DE5444" w:rsidRPr="00207864">
        <w:rPr>
          <w:rFonts w:ascii="Times New Roman" w:hAnsi="Times New Roman"/>
        </w:rPr>
        <w:t>The order is sought under s 105A.15</w:t>
      </w:r>
      <w:r w:rsidR="0044421A" w:rsidRPr="00207864">
        <w:rPr>
          <w:rFonts w:ascii="Times New Roman" w:hAnsi="Times New Roman"/>
        </w:rPr>
        <w:t xml:space="preserve">A of the Code. </w:t>
      </w:r>
      <w:r w:rsidR="006220C5" w:rsidRPr="00207864">
        <w:rPr>
          <w:rFonts w:ascii="Times New Roman" w:hAnsi="Times New Roman"/>
        </w:rPr>
        <w:t>The Commonwealth submits that there is no reason why costs should not follow the event.</w:t>
      </w:r>
    </w:p>
    <w:p w14:paraId="3027B54F" w14:textId="02C6F25D" w:rsidR="004C622F" w:rsidRPr="00207864" w:rsidRDefault="0044421A" w:rsidP="00207864">
      <w:pPr>
        <w:pStyle w:val="FixListStyle"/>
        <w:spacing w:after="260" w:line="280" w:lineRule="exact"/>
        <w:ind w:right="0"/>
        <w:jc w:val="both"/>
        <w:rPr>
          <w:rFonts w:ascii="Times New Roman" w:hAnsi="Times New Roman"/>
        </w:rPr>
      </w:pPr>
      <w:r w:rsidRPr="00207864">
        <w:rPr>
          <w:rFonts w:ascii="Times New Roman" w:hAnsi="Times New Roman"/>
        </w:rPr>
        <w:tab/>
        <w:t>Section 105</w:t>
      </w:r>
      <w:r w:rsidR="00193C64" w:rsidRPr="00207864">
        <w:rPr>
          <w:rFonts w:ascii="Times New Roman" w:hAnsi="Times New Roman"/>
        </w:rPr>
        <w:t xml:space="preserve">A.15A applies if a continuing detention order proceeding </w:t>
      </w:r>
      <w:r w:rsidR="00E911A2" w:rsidRPr="00207864">
        <w:rPr>
          <w:rFonts w:ascii="Times New Roman" w:hAnsi="Times New Roman"/>
        </w:rPr>
        <w:t>relating to a terrorist offender is before a Supreme Court of a State or Territory</w:t>
      </w:r>
      <w:r w:rsidR="0062626C" w:rsidRPr="00207864">
        <w:rPr>
          <w:rFonts w:ascii="Times New Roman" w:hAnsi="Times New Roman"/>
        </w:rPr>
        <w:t xml:space="preserve"> and the offender, due to circumstances beyond the </w:t>
      </w:r>
      <w:r w:rsidR="00F538F1" w:rsidRPr="00207864">
        <w:rPr>
          <w:rFonts w:ascii="Times New Roman" w:hAnsi="Times New Roman"/>
        </w:rPr>
        <w:t>offender's control, is unable to engage legal representation in relation to the proceeding</w:t>
      </w:r>
      <w:r w:rsidR="002B1EF2" w:rsidRPr="00207864">
        <w:rPr>
          <w:rStyle w:val="FootnoteReference"/>
          <w:rFonts w:ascii="Times New Roman" w:hAnsi="Times New Roman"/>
          <w:sz w:val="24"/>
        </w:rPr>
        <w:footnoteReference w:id="114"/>
      </w:r>
      <w:r w:rsidR="004859B2" w:rsidRPr="00207864">
        <w:rPr>
          <w:rFonts w:ascii="Times New Roman" w:hAnsi="Times New Roman"/>
        </w:rPr>
        <w:t xml:space="preserve">. In such an event the </w:t>
      </w:r>
      <w:r w:rsidR="002B1EF2" w:rsidRPr="00207864">
        <w:rPr>
          <w:rFonts w:ascii="Times New Roman" w:hAnsi="Times New Roman"/>
        </w:rPr>
        <w:t>C</w:t>
      </w:r>
      <w:r w:rsidR="004859B2" w:rsidRPr="00207864">
        <w:rPr>
          <w:rFonts w:ascii="Times New Roman" w:hAnsi="Times New Roman"/>
        </w:rPr>
        <w:t xml:space="preserve">ourt is empowered to </w:t>
      </w:r>
      <w:r w:rsidR="00005930" w:rsidRPr="00207864">
        <w:rPr>
          <w:rFonts w:ascii="Times New Roman" w:hAnsi="Times New Roman"/>
        </w:rPr>
        <w:t xml:space="preserve">stay the proceeding </w:t>
      </w:r>
      <w:r w:rsidR="00391B5C" w:rsidRPr="00207864">
        <w:rPr>
          <w:rFonts w:ascii="Times New Roman" w:hAnsi="Times New Roman"/>
        </w:rPr>
        <w:t>and</w:t>
      </w:r>
      <w:r w:rsidR="008704F4" w:rsidRPr="00207864">
        <w:rPr>
          <w:rFonts w:ascii="Times New Roman" w:hAnsi="Times New Roman"/>
        </w:rPr>
        <w:t>/</w:t>
      </w:r>
      <w:r w:rsidR="00391B5C" w:rsidRPr="00207864">
        <w:rPr>
          <w:rFonts w:ascii="Times New Roman" w:hAnsi="Times New Roman"/>
        </w:rPr>
        <w:t xml:space="preserve">or to order </w:t>
      </w:r>
      <w:r w:rsidR="008704F4" w:rsidRPr="00207864">
        <w:rPr>
          <w:rFonts w:ascii="Times New Roman" w:hAnsi="Times New Roman"/>
        </w:rPr>
        <w:t xml:space="preserve">the Commonwealth to </w:t>
      </w:r>
      <w:r w:rsidR="000F1A2E" w:rsidRPr="00207864">
        <w:rPr>
          <w:rFonts w:ascii="Times New Roman" w:hAnsi="Times New Roman"/>
        </w:rPr>
        <w:t>bear all o</w:t>
      </w:r>
      <w:r w:rsidR="002B1EF2" w:rsidRPr="00207864">
        <w:rPr>
          <w:rFonts w:ascii="Times New Roman" w:hAnsi="Times New Roman"/>
        </w:rPr>
        <w:t>r</w:t>
      </w:r>
      <w:r w:rsidR="000F1A2E" w:rsidRPr="00207864">
        <w:rPr>
          <w:rFonts w:ascii="Times New Roman" w:hAnsi="Times New Roman"/>
        </w:rPr>
        <w:t xml:space="preserve"> part of the </w:t>
      </w:r>
      <w:r w:rsidR="002B1EF2" w:rsidRPr="00207864">
        <w:rPr>
          <w:rFonts w:ascii="Times New Roman" w:hAnsi="Times New Roman"/>
        </w:rPr>
        <w:t>reasonable costs and expenses of the</w:t>
      </w:r>
      <w:r w:rsidR="000F1A2E" w:rsidRPr="00207864">
        <w:rPr>
          <w:rFonts w:ascii="Times New Roman" w:hAnsi="Times New Roman"/>
        </w:rPr>
        <w:t xml:space="preserve"> offender's</w:t>
      </w:r>
      <w:r w:rsidR="00936E5E" w:rsidRPr="00207864">
        <w:rPr>
          <w:rFonts w:ascii="Times New Roman" w:hAnsi="Times New Roman"/>
        </w:rPr>
        <w:t xml:space="preserve"> </w:t>
      </w:r>
      <w:r w:rsidR="002B1EF2" w:rsidRPr="00207864">
        <w:rPr>
          <w:rFonts w:ascii="Times New Roman" w:hAnsi="Times New Roman"/>
        </w:rPr>
        <w:t>legal</w:t>
      </w:r>
      <w:r w:rsidR="00936E5E" w:rsidRPr="00207864">
        <w:rPr>
          <w:rFonts w:ascii="Times New Roman" w:hAnsi="Times New Roman"/>
        </w:rPr>
        <w:t xml:space="preserve"> representation for the proceeding</w:t>
      </w:r>
      <w:r w:rsidR="002B1EF2" w:rsidRPr="00207864">
        <w:rPr>
          <w:rStyle w:val="FootnoteReference"/>
          <w:rFonts w:ascii="Times New Roman" w:hAnsi="Times New Roman"/>
          <w:sz w:val="24"/>
        </w:rPr>
        <w:footnoteReference w:id="115"/>
      </w:r>
      <w:r w:rsidR="00936E5E" w:rsidRPr="00207864">
        <w:rPr>
          <w:rFonts w:ascii="Times New Roman" w:hAnsi="Times New Roman"/>
        </w:rPr>
        <w:t>.</w:t>
      </w:r>
    </w:p>
    <w:p w14:paraId="2ED9FD18" w14:textId="64014421" w:rsidR="0044421A" w:rsidRPr="00207864" w:rsidRDefault="004C622F"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E855D2" w:rsidRPr="00207864">
        <w:rPr>
          <w:rFonts w:ascii="Times New Roman" w:hAnsi="Times New Roman"/>
        </w:rPr>
        <w:t xml:space="preserve">On 17 September 2020, </w:t>
      </w:r>
      <w:proofErr w:type="spellStart"/>
      <w:r w:rsidR="00E855D2" w:rsidRPr="00207864">
        <w:rPr>
          <w:rFonts w:ascii="Times New Roman" w:hAnsi="Times New Roman"/>
        </w:rPr>
        <w:t>Tinney</w:t>
      </w:r>
      <w:proofErr w:type="spellEnd"/>
      <w:r w:rsidR="00E855D2" w:rsidRPr="00207864">
        <w:rPr>
          <w:rFonts w:ascii="Times New Roman" w:hAnsi="Times New Roman"/>
        </w:rPr>
        <w:t xml:space="preserve"> J made orders pursuant to s</w:t>
      </w:r>
      <w:r w:rsidR="00E94CDC" w:rsidRPr="00207864">
        <w:rPr>
          <w:rFonts w:ascii="Times New Roman" w:hAnsi="Times New Roman"/>
        </w:rPr>
        <w:t> </w:t>
      </w:r>
      <w:r w:rsidR="00E855D2" w:rsidRPr="00207864">
        <w:rPr>
          <w:rFonts w:ascii="Times New Roman" w:hAnsi="Times New Roman"/>
        </w:rPr>
        <w:t xml:space="preserve">105A.15A(2)(b) </w:t>
      </w:r>
      <w:r w:rsidR="001D41A5" w:rsidRPr="00207864">
        <w:rPr>
          <w:rFonts w:ascii="Times New Roman" w:hAnsi="Times New Roman"/>
        </w:rPr>
        <w:t xml:space="preserve">requiring </w:t>
      </w:r>
      <w:r w:rsidR="002A6327" w:rsidRPr="00207864">
        <w:rPr>
          <w:rFonts w:ascii="Times New Roman" w:hAnsi="Times New Roman"/>
        </w:rPr>
        <w:t xml:space="preserve">the Commonwealth </w:t>
      </w:r>
      <w:r w:rsidR="001D41A5" w:rsidRPr="00207864">
        <w:rPr>
          <w:rFonts w:ascii="Times New Roman" w:hAnsi="Times New Roman"/>
        </w:rPr>
        <w:t xml:space="preserve">to </w:t>
      </w:r>
      <w:r w:rsidR="002A6327" w:rsidRPr="00207864">
        <w:rPr>
          <w:rFonts w:ascii="Times New Roman" w:hAnsi="Times New Roman"/>
        </w:rPr>
        <w:t>bear Mr</w:t>
      </w:r>
      <w:r w:rsidR="0008199C" w:rsidRPr="00207864">
        <w:rPr>
          <w:rFonts w:ascii="Times New Roman" w:hAnsi="Times New Roman"/>
        </w:rPr>
        <w:t> </w:t>
      </w:r>
      <w:proofErr w:type="spellStart"/>
      <w:r w:rsidR="002A6327" w:rsidRPr="00207864">
        <w:rPr>
          <w:rFonts w:ascii="Times New Roman" w:hAnsi="Times New Roman"/>
        </w:rPr>
        <w:t>Benbrika's</w:t>
      </w:r>
      <w:proofErr w:type="spellEnd"/>
      <w:r w:rsidR="002A6327" w:rsidRPr="00207864">
        <w:rPr>
          <w:rFonts w:ascii="Times New Roman" w:hAnsi="Times New Roman"/>
        </w:rPr>
        <w:t xml:space="preserve"> reasonable costs and expenses of </w:t>
      </w:r>
      <w:r w:rsidR="007C041F" w:rsidRPr="00207864">
        <w:rPr>
          <w:rFonts w:ascii="Times New Roman" w:hAnsi="Times New Roman"/>
        </w:rPr>
        <w:t>the proceeding for</w:t>
      </w:r>
      <w:r w:rsidR="004474A4" w:rsidRPr="00207864">
        <w:rPr>
          <w:rFonts w:ascii="Times New Roman" w:hAnsi="Times New Roman"/>
        </w:rPr>
        <w:t>:</w:t>
      </w:r>
      <w:r w:rsidR="007C041F" w:rsidRPr="00207864">
        <w:rPr>
          <w:rFonts w:ascii="Times New Roman" w:hAnsi="Times New Roman"/>
        </w:rPr>
        <w:t xml:space="preserve"> a period of </w:t>
      </w:r>
      <w:r w:rsidR="002B1EF2" w:rsidRPr="00207864">
        <w:rPr>
          <w:rFonts w:ascii="Times New Roman" w:hAnsi="Times New Roman"/>
        </w:rPr>
        <w:t xml:space="preserve">three </w:t>
      </w:r>
      <w:r w:rsidR="007C041F" w:rsidRPr="00207864">
        <w:rPr>
          <w:rFonts w:ascii="Times New Roman" w:hAnsi="Times New Roman"/>
        </w:rPr>
        <w:t>weeks</w:t>
      </w:r>
      <w:r w:rsidR="00E22A09" w:rsidRPr="00207864">
        <w:rPr>
          <w:rFonts w:ascii="Times New Roman" w:hAnsi="Times New Roman"/>
        </w:rPr>
        <w:t xml:space="preserve">; </w:t>
      </w:r>
      <w:r w:rsidR="007C041F" w:rsidRPr="00207864">
        <w:rPr>
          <w:rFonts w:ascii="Times New Roman" w:hAnsi="Times New Roman"/>
        </w:rPr>
        <w:t xml:space="preserve">until </w:t>
      </w:r>
      <w:r w:rsidR="00986D89" w:rsidRPr="00207864">
        <w:rPr>
          <w:rFonts w:ascii="Times New Roman" w:hAnsi="Times New Roman"/>
        </w:rPr>
        <w:t>Legal Aid funding is granted to him</w:t>
      </w:r>
      <w:r w:rsidR="00E22A09" w:rsidRPr="00207864">
        <w:rPr>
          <w:rFonts w:ascii="Times New Roman" w:hAnsi="Times New Roman"/>
        </w:rPr>
        <w:t xml:space="preserve">; </w:t>
      </w:r>
      <w:r w:rsidR="00BD48A4" w:rsidRPr="00207864">
        <w:rPr>
          <w:rFonts w:ascii="Times New Roman" w:hAnsi="Times New Roman"/>
        </w:rPr>
        <w:t>or</w:t>
      </w:r>
      <w:r w:rsidR="00E22A09" w:rsidRPr="00207864">
        <w:rPr>
          <w:rFonts w:ascii="Times New Roman" w:hAnsi="Times New Roman"/>
        </w:rPr>
        <w:t xml:space="preserve"> until </w:t>
      </w:r>
      <w:r w:rsidR="00C65383" w:rsidRPr="00207864">
        <w:rPr>
          <w:rFonts w:ascii="Times New Roman" w:hAnsi="Times New Roman"/>
        </w:rPr>
        <w:t>further</w:t>
      </w:r>
      <w:r w:rsidR="00E22A09" w:rsidRPr="00207864">
        <w:rPr>
          <w:rFonts w:ascii="Times New Roman" w:hAnsi="Times New Roman"/>
        </w:rPr>
        <w:t xml:space="preserve"> order, whichever occurs first. </w:t>
      </w:r>
      <w:r w:rsidR="003039DB" w:rsidRPr="00207864">
        <w:rPr>
          <w:rFonts w:ascii="Times New Roman" w:hAnsi="Times New Roman"/>
        </w:rPr>
        <w:t>It is submitted</w:t>
      </w:r>
      <w:r w:rsidR="00132162" w:rsidRPr="00207864">
        <w:rPr>
          <w:rFonts w:ascii="Times New Roman" w:hAnsi="Times New Roman"/>
        </w:rPr>
        <w:t xml:space="preserve"> that in circumstances </w:t>
      </w:r>
      <w:r w:rsidR="00320A8B" w:rsidRPr="00207864">
        <w:rPr>
          <w:rFonts w:ascii="Times New Roman" w:hAnsi="Times New Roman"/>
        </w:rPr>
        <w:t>where</w:t>
      </w:r>
      <w:r w:rsidR="00132162" w:rsidRPr="00207864">
        <w:rPr>
          <w:rFonts w:ascii="Times New Roman" w:hAnsi="Times New Roman"/>
        </w:rPr>
        <w:t xml:space="preserve"> the </w:t>
      </w:r>
      <w:r w:rsidR="006E3C66" w:rsidRPr="00207864">
        <w:rPr>
          <w:rFonts w:ascii="Times New Roman" w:hAnsi="Times New Roman"/>
        </w:rPr>
        <w:t xml:space="preserve">primary judge considered it appropriate to </w:t>
      </w:r>
      <w:r w:rsidR="00B630A4" w:rsidRPr="00207864">
        <w:rPr>
          <w:rFonts w:ascii="Times New Roman" w:hAnsi="Times New Roman"/>
        </w:rPr>
        <w:t xml:space="preserve">make orders covering </w:t>
      </w:r>
      <w:r w:rsidR="003039DB" w:rsidRPr="00207864">
        <w:rPr>
          <w:rFonts w:ascii="Times New Roman" w:hAnsi="Times New Roman"/>
        </w:rPr>
        <w:t>Mr</w:t>
      </w:r>
      <w:r w:rsidR="0008199C" w:rsidRPr="00207864">
        <w:rPr>
          <w:rFonts w:ascii="Times New Roman" w:hAnsi="Times New Roman"/>
        </w:rPr>
        <w:t> </w:t>
      </w:r>
      <w:proofErr w:type="spellStart"/>
      <w:r w:rsidR="003039DB" w:rsidRPr="00207864">
        <w:rPr>
          <w:rFonts w:ascii="Times New Roman" w:hAnsi="Times New Roman"/>
        </w:rPr>
        <w:t>Benbrika's</w:t>
      </w:r>
      <w:proofErr w:type="spellEnd"/>
      <w:r w:rsidR="00B630A4" w:rsidRPr="00207864">
        <w:rPr>
          <w:rFonts w:ascii="Times New Roman" w:hAnsi="Times New Roman"/>
        </w:rPr>
        <w:t xml:space="preserve"> costs of defending the </w:t>
      </w:r>
      <w:r w:rsidR="00F26CDE" w:rsidRPr="00207864">
        <w:rPr>
          <w:rFonts w:ascii="Times New Roman" w:hAnsi="Times New Roman"/>
        </w:rPr>
        <w:t>Minister's application</w:t>
      </w:r>
      <w:r w:rsidR="00F26CDE" w:rsidRPr="00207864" w:rsidDel="000A1EC8">
        <w:rPr>
          <w:rFonts w:ascii="Times New Roman" w:hAnsi="Times New Roman"/>
        </w:rPr>
        <w:t xml:space="preserve"> </w:t>
      </w:r>
      <w:r w:rsidR="000E512F" w:rsidRPr="00207864">
        <w:rPr>
          <w:rFonts w:ascii="Times New Roman" w:hAnsi="Times New Roman"/>
        </w:rPr>
        <w:t xml:space="preserve">this Court should make </w:t>
      </w:r>
      <w:r w:rsidR="00981DD0" w:rsidRPr="00207864">
        <w:rPr>
          <w:rFonts w:ascii="Times New Roman" w:hAnsi="Times New Roman"/>
        </w:rPr>
        <w:t>an order that he have his costs</w:t>
      </w:r>
      <w:r w:rsidR="00FE6F64" w:rsidRPr="00207864">
        <w:rPr>
          <w:rFonts w:ascii="Times New Roman" w:hAnsi="Times New Roman"/>
        </w:rPr>
        <w:t xml:space="preserve"> of the determination of a question of law that </w:t>
      </w:r>
      <w:r w:rsidR="004037D2" w:rsidRPr="00207864">
        <w:rPr>
          <w:rFonts w:ascii="Times New Roman" w:hAnsi="Times New Roman"/>
        </w:rPr>
        <w:t>ar</w:t>
      </w:r>
      <w:r w:rsidR="0063622E" w:rsidRPr="00207864">
        <w:rPr>
          <w:rFonts w:ascii="Times New Roman" w:hAnsi="Times New Roman"/>
        </w:rPr>
        <w:t>ose</w:t>
      </w:r>
      <w:r w:rsidR="004037D2" w:rsidRPr="00207864">
        <w:rPr>
          <w:rFonts w:ascii="Times New Roman" w:hAnsi="Times New Roman"/>
        </w:rPr>
        <w:t xml:space="preserve"> </w:t>
      </w:r>
      <w:r w:rsidR="00DD38FE" w:rsidRPr="00207864">
        <w:rPr>
          <w:rFonts w:ascii="Times New Roman" w:hAnsi="Times New Roman"/>
        </w:rPr>
        <w:t>in</w:t>
      </w:r>
      <w:r w:rsidR="00930B74" w:rsidRPr="00207864">
        <w:rPr>
          <w:rFonts w:ascii="Times New Roman" w:hAnsi="Times New Roman"/>
        </w:rPr>
        <w:t xml:space="preserve"> that same</w:t>
      </w:r>
      <w:r w:rsidR="004037D2" w:rsidRPr="00207864">
        <w:rPr>
          <w:rFonts w:ascii="Times New Roman" w:hAnsi="Times New Roman"/>
        </w:rPr>
        <w:t xml:space="preserve"> proceeding. </w:t>
      </w:r>
    </w:p>
    <w:p w14:paraId="70511933" w14:textId="1A3AD7D8" w:rsidR="00803C0B" w:rsidRPr="00207864" w:rsidRDefault="0053508A"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19166D" w:rsidRPr="00207864">
        <w:rPr>
          <w:rFonts w:ascii="Times New Roman" w:hAnsi="Times New Roman"/>
        </w:rPr>
        <w:t xml:space="preserve">The </w:t>
      </w:r>
      <w:r w:rsidR="00441B35" w:rsidRPr="00207864">
        <w:rPr>
          <w:rFonts w:ascii="Times New Roman" w:hAnsi="Times New Roman"/>
        </w:rPr>
        <w:t xml:space="preserve">proceeding in relation to which </w:t>
      </w:r>
      <w:proofErr w:type="spellStart"/>
      <w:r w:rsidR="006A7A31" w:rsidRPr="00207864">
        <w:rPr>
          <w:rFonts w:ascii="Times New Roman" w:hAnsi="Times New Roman"/>
        </w:rPr>
        <w:t>Tinney</w:t>
      </w:r>
      <w:proofErr w:type="spellEnd"/>
      <w:r w:rsidR="006A7A31" w:rsidRPr="00207864">
        <w:rPr>
          <w:rFonts w:ascii="Times New Roman" w:hAnsi="Times New Roman"/>
        </w:rPr>
        <w:t xml:space="preserve"> J's order was made is the Minister's application </w:t>
      </w:r>
      <w:r w:rsidR="007C0FD5" w:rsidRPr="00207864">
        <w:rPr>
          <w:rFonts w:ascii="Times New Roman" w:hAnsi="Times New Roman"/>
        </w:rPr>
        <w:t xml:space="preserve">under Div 105A that a continuing detention order be made </w:t>
      </w:r>
      <w:r w:rsidR="00DD4DCC" w:rsidRPr="00207864">
        <w:rPr>
          <w:rFonts w:ascii="Times New Roman" w:hAnsi="Times New Roman"/>
        </w:rPr>
        <w:t xml:space="preserve">with respect to Mr Benbrika. </w:t>
      </w:r>
      <w:r w:rsidR="00441E76" w:rsidRPr="00207864">
        <w:rPr>
          <w:rFonts w:ascii="Times New Roman" w:hAnsi="Times New Roman"/>
        </w:rPr>
        <w:t xml:space="preserve">The making of the order </w:t>
      </w:r>
      <w:r w:rsidR="00E2067C" w:rsidRPr="00207864">
        <w:rPr>
          <w:rFonts w:ascii="Times New Roman" w:hAnsi="Times New Roman"/>
        </w:rPr>
        <w:t>does</w:t>
      </w:r>
      <w:r w:rsidR="00C711BE" w:rsidRPr="00207864">
        <w:rPr>
          <w:rFonts w:ascii="Times New Roman" w:hAnsi="Times New Roman"/>
        </w:rPr>
        <w:t xml:space="preserve"> not </w:t>
      </w:r>
      <w:r w:rsidR="00E2067C" w:rsidRPr="00207864">
        <w:rPr>
          <w:rFonts w:ascii="Times New Roman" w:hAnsi="Times New Roman"/>
        </w:rPr>
        <w:t xml:space="preserve">provide a good </w:t>
      </w:r>
      <w:r w:rsidR="00441E76" w:rsidRPr="00207864">
        <w:rPr>
          <w:rFonts w:ascii="Times New Roman" w:hAnsi="Times New Roman"/>
        </w:rPr>
        <w:t xml:space="preserve">reason for requiring the </w:t>
      </w:r>
      <w:r w:rsidR="008E72E8" w:rsidRPr="00207864">
        <w:rPr>
          <w:rFonts w:ascii="Times New Roman" w:hAnsi="Times New Roman"/>
        </w:rPr>
        <w:t xml:space="preserve">Commonwealth to pay Mr </w:t>
      </w:r>
      <w:proofErr w:type="spellStart"/>
      <w:r w:rsidR="008E72E8" w:rsidRPr="00207864">
        <w:rPr>
          <w:rFonts w:ascii="Times New Roman" w:hAnsi="Times New Roman"/>
        </w:rPr>
        <w:t>Benbrika's</w:t>
      </w:r>
      <w:proofErr w:type="spellEnd"/>
      <w:r w:rsidR="008E72E8" w:rsidRPr="00207864">
        <w:rPr>
          <w:rFonts w:ascii="Times New Roman" w:hAnsi="Times New Roman"/>
        </w:rPr>
        <w:t xml:space="preserve"> costs of his unsuccessful </w:t>
      </w:r>
      <w:r w:rsidR="006A57C8" w:rsidRPr="00207864">
        <w:rPr>
          <w:rFonts w:ascii="Times New Roman" w:hAnsi="Times New Roman"/>
        </w:rPr>
        <w:t xml:space="preserve">challenge to the validity of </w:t>
      </w:r>
      <w:r w:rsidR="00F15B28" w:rsidRPr="00207864">
        <w:rPr>
          <w:rFonts w:ascii="Times New Roman" w:hAnsi="Times New Roman"/>
        </w:rPr>
        <w:t>Div 105A.</w:t>
      </w:r>
    </w:p>
    <w:p w14:paraId="6B68F130" w14:textId="33F9B08E" w:rsidR="0016513B" w:rsidRPr="00207864" w:rsidRDefault="002F67AD" w:rsidP="00207864">
      <w:pPr>
        <w:pStyle w:val="HeadingL1"/>
        <w:spacing w:after="260" w:line="280" w:lineRule="exact"/>
        <w:ind w:right="0"/>
        <w:jc w:val="both"/>
        <w:rPr>
          <w:rFonts w:ascii="Times New Roman" w:hAnsi="Times New Roman"/>
        </w:rPr>
      </w:pPr>
      <w:r w:rsidRPr="00207864">
        <w:rPr>
          <w:rFonts w:ascii="Times New Roman" w:hAnsi="Times New Roman"/>
        </w:rPr>
        <w:t>Conclusion and orders</w:t>
      </w:r>
    </w:p>
    <w:p w14:paraId="47C9CA82" w14:textId="494619CF" w:rsidR="00F14659" w:rsidRPr="00207864" w:rsidRDefault="00326094" w:rsidP="00207864">
      <w:pPr>
        <w:pStyle w:val="FixListStyle"/>
        <w:spacing w:after="260" w:line="280" w:lineRule="exact"/>
        <w:ind w:right="0"/>
        <w:jc w:val="both"/>
        <w:rPr>
          <w:rFonts w:ascii="Times New Roman" w:hAnsi="Times New Roman"/>
        </w:rPr>
      </w:pPr>
      <w:r w:rsidRPr="00207864">
        <w:rPr>
          <w:rFonts w:ascii="Times New Roman" w:hAnsi="Times New Roman"/>
        </w:rPr>
        <w:tab/>
      </w:r>
      <w:r w:rsidR="00F14659" w:rsidRPr="00207864">
        <w:rPr>
          <w:rFonts w:ascii="Times New Roman" w:hAnsi="Times New Roman"/>
        </w:rPr>
        <w:t xml:space="preserve">For these reasons there </w:t>
      </w:r>
      <w:r w:rsidR="005C5663" w:rsidRPr="00207864">
        <w:rPr>
          <w:rFonts w:ascii="Times New Roman" w:hAnsi="Times New Roman"/>
        </w:rPr>
        <w:t>should</w:t>
      </w:r>
      <w:r w:rsidR="00F14659" w:rsidRPr="00207864">
        <w:rPr>
          <w:rFonts w:ascii="Times New Roman" w:hAnsi="Times New Roman"/>
        </w:rPr>
        <w:t xml:space="preserve"> be the following orders:</w:t>
      </w:r>
    </w:p>
    <w:p w14:paraId="0CF703A4" w14:textId="71290F5D" w:rsidR="0016513B" w:rsidRPr="00207864" w:rsidRDefault="00572D21" w:rsidP="00207864">
      <w:pPr>
        <w:pStyle w:val="NormalBody"/>
        <w:spacing w:after="260" w:line="280" w:lineRule="exact"/>
        <w:ind w:left="1440" w:right="0" w:hanging="720"/>
        <w:jc w:val="both"/>
        <w:rPr>
          <w:rFonts w:ascii="Times New Roman" w:hAnsi="Times New Roman"/>
        </w:rPr>
      </w:pPr>
      <w:r w:rsidRPr="00207864">
        <w:rPr>
          <w:rFonts w:ascii="Times New Roman" w:hAnsi="Times New Roman"/>
        </w:rPr>
        <w:t>1.</w:t>
      </w:r>
      <w:r w:rsidR="00F14659" w:rsidRPr="00207864">
        <w:rPr>
          <w:rFonts w:ascii="Times New Roman" w:hAnsi="Times New Roman"/>
        </w:rPr>
        <w:tab/>
      </w:r>
      <w:r w:rsidR="00954C97" w:rsidRPr="00207864">
        <w:rPr>
          <w:rFonts w:ascii="Times New Roman" w:hAnsi="Times New Roman"/>
        </w:rPr>
        <w:t xml:space="preserve">The </w:t>
      </w:r>
      <w:r w:rsidR="0051655C" w:rsidRPr="00207864">
        <w:rPr>
          <w:rFonts w:ascii="Times New Roman" w:hAnsi="Times New Roman"/>
        </w:rPr>
        <w:t>question reserved for the consideration of the Court of Appeal of the Supreme C</w:t>
      </w:r>
      <w:r w:rsidR="003E72AB" w:rsidRPr="00207864">
        <w:rPr>
          <w:rFonts w:ascii="Times New Roman" w:hAnsi="Times New Roman"/>
        </w:rPr>
        <w:t xml:space="preserve">ourt of Victoria and removed </w:t>
      </w:r>
      <w:r w:rsidR="00906597" w:rsidRPr="00207864">
        <w:rPr>
          <w:rFonts w:ascii="Times New Roman" w:hAnsi="Times New Roman"/>
        </w:rPr>
        <w:t>in</w:t>
      </w:r>
      <w:r w:rsidR="003E72AB" w:rsidRPr="00207864">
        <w:rPr>
          <w:rFonts w:ascii="Times New Roman" w:hAnsi="Times New Roman"/>
        </w:rPr>
        <w:t xml:space="preserve">to this </w:t>
      </w:r>
      <w:r w:rsidR="00F02AED" w:rsidRPr="00207864">
        <w:rPr>
          <w:rFonts w:ascii="Times New Roman" w:hAnsi="Times New Roman"/>
        </w:rPr>
        <w:t xml:space="preserve">Court pursuant to s 40 of the </w:t>
      </w:r>
      <w:r w:rsidR="00F02AED" w:rsidRPr="00207864">
        <w:rPr>
          <w:rFonts w:ascii="Times New Roman" w:hAnsi="Times New Roman"/>
          <w:i/>
        </w:rPr>
        <w:t>Judiciary Act 1903</w:t>
      </w:r>
      <w:r w:rsidR="00F02AED" w:rsidRPr="00207864">
        <w:rPr>
          <w:rFonts w:ascii="Times New Roman" w:hAnsi="Times New Roman"/>
        </w:rPr>
        <w:t xml:space="preserve"> (Cth) </w:t>
      </w:r>
      <w:r w:rsidR="003E1FE4" w:rsidRPr="00207864">
        <w:rPr>
          <w:rFonts w:ascii="Times New Roman" w:hAnsi="Times New Roman"/>
        </w:rPr>
        <w:t>is answered as follows:</w:t>
      </w:r>
    </w:p>
    <w:p w14:paraId="600BE004" w14:textId="46299E68" w:rsidR="003E1FE4" w:rsidRPr="00207864" w:rsidRDefault="003E1FE4" w:rsidP="00207864">
      <w:pPr>
        <w:pStyle w:val="NormalBody"/>
        <w:spacing w:after="260" w:line="280" w:lineRule="exact"/>
        <w:ind w:left="2160" w:right="0" w:hanging="720"/>
        <w:jc w:val="both"/>
        <w:rPr>
          <w:rFonts w:ascii="Times New Roman" w:hAnsi="Times New Roman"/>
        </w:rPr>
      </w:pPr>
      <w:r w:rsidRPr="00207864">
        <w:rPr>
          <w:rFonts w:ascii="Times New Roman" w:hAnsi="Times New Roman"/>
        </w:rPr>
        <w:lastRenderedPageBreak/>
        <w:t>Q</w:t>
      </w:r>
      <w:r w:rsidR="00195420" w:rsidRPr="00207864">
        <w:rPr>
          <w:rFonts w:ascii="Times New Roman" w:hAnsi="Times New Roman"/>
        </w:rPr>
        <w:t>.</w:t>
      </w:r>
      <w:r w:rsidR="00302F3E" w:rsidRPr="00207864">
        <w:rPr>
          <w:rFonts w:ascii="Times New Roman" w:hAnsi="Times New Roman"/>
        </w:rPr>
        <w:tab/>
      </w:r>
      <w:r w:rsidR="006B3E7E" w:rsidRPr="00207864">
        <w:rPr>
          <w:rFonts w:ascii="Times New Roman" w:hAnsi="Times New Roman"/>
        </w:rPr>
        <w:t xml:space="preserve">Is all or any part of Division </w:t>
      </w:r>
      <w:r w:rsidR="007C7D32" w:rsidRPr="00207864">
        <w:rPr>
          <w:rFonts w:ascii="Times New Roman" w:hAnsi="Times New Roman"/>
        </w:rPr>
        <w:t xml:space="preserve">105A of the </w:t>
      </w:r>
      <w:r w:rsidR="00437574" w:rsidRPr="00207864">
        <w:rPr>
          <w:rFonts w:ascii="Times New Roman" w:hAnsi="Times New Roman"/>
          <w:i/>
        </w:rPr>
        <w:t xml:space="preserve">Criminal </w:t>
      </w:r>
      <w:r w:rsidR="007C7D32" w:rsidRPr="00207864">
        <w:rPr>
          <w:rFonts w:ascii="Times New Roman" w:hAnsi="Times New Roman"/>
          <w:i/>
        </w:rPr>
        <w:t>Cod</w:t>
      </w:r>
      <w:r w:rsidR="0013179B" w:rsidRPr="00207864">
        <w:rPr>
          <w:rFonts w:ascii="Times New Roman" w:hAnsi="Times New Roman"/>
          <w:i/>
        </w:rPr>
        <w:t>e</w:t>
      </w:r>
      <w:r w:rsidR="00911A1B" w:rsidRPr="00207864">
        <w:rPr>
          <w:rFonts w:ascii="Times New Roman" w:hAnsi="Times New Roman"/>
          <w:i/>
        </w:rPr>
        <w:t xml:space="preserve"> </w:t>
      </w:r>
      <w:r w:rsidR="00911A1B" w:rsidRPr="00207864">
        <w:rPr>
          <w:rFonts w:ascii="Times New Roman" w:hAnsi="Times New Roman"/>
        </w:rPr>
        <w:t>(Cth)</w:t>
      </w:r>
      <w:r w:rsidR="007C7D32" w:rsidRPr="00207864">
        <w:rPr>
          <w:rFonts w:ascii="Times New Roman" w:hAnsi="Times New Roman"/>
        </w:rPr>
        <w:t xml:space="preserve"> </w:t>
      </w:r>
      <w:r w:rsidR="00E75842" w:rsidRPr="00207864">
        <w:rPr>
          <w:rFonts w:ascii="Times New Roman" w:hAnsi="Times New Roman"/>
        </w:rPr>
        <w:t>and</w:t>
      </w:r>
      <w:r w:rsidR="00911A1B" w:rsidRPr="00207864">
        <w:rPr>
          <w:rFonts w:ascii="Times New Roman" w:hAnsi="Times New Roman"/>
        </w:rPr>
        <w:t>,</w:t>
      </w:r>
      <w:r w:rsidR="00E75842" w:rsidRPr="00207864">
        <w:rPr>
          <w:rFonts w:ascii="Times New Roman" w:hAnsi="Times New Roman"/>
        </w:rPr>
        <w:t xml:space="preserve"> if so, which part</w:t>
      </w:r>
      <w:r w:rsidR="00911A1B" w:rsidRPr="00207864">
        <w:rPr>
          <w:rFonts w:ascii="Times New Roman" w:hAnsi="Times New Roman"/>
        </w:rPr>
        <w:t>,</w:t>
      </w:r>
      <w:r w:rsidR="00E75842" w:rsidRPr="00207864">
        <w:rPr>
          <w:rFonts w:ascii="Times New Roman" w:hAnsi="Times New Roman"/>
        </w:rPr>
        <w:t xml:space="preserve"> invalid because the power to </w:t>
      </w:r>
      <w:r w:rsidR="007C3FF0" w:rsidRPr="00207864">
        <w:rPr>
          <w:rFonts w:ascii="Times New Roman" w:hAnsi="Times New Roman"/>
        </w:rPr>
        <w:t xml:space="preserve">make </w:t>
      </w:r>
      <w:r w:rsidR="001B2263" w:rsidRPr="00207864">
        <w:rPr>
          <w:rFonts w:ascii="Times New Roman" w:hAnsi="Times New Roman"/>
        </w:rPr>
        <w:t xml:space="preserve">a continuing detention order </w:t>
      </w:r>
      <w:r w:rsidR="00FD74EB" w:rsidRPr="00207864">
        <w:rPr>
          <w:rFonts w:ascii="Times New Roman" w:hAnsi="Times New Roman"/>
        </w:rPr>
        <w:t>under s</w:t>
      </w:r>
      <w:r w:rsidR="003319C3" w:rsidRPr="00207864">
        <w:rPr>
          <w:rFonts w:ascii="Times New Roman" w:hAnsi="Times New Roman"/>
        </w:rPr>
        <w:t>ection</w:t>
      </w:r>
      <w:r w:rsidR="00F14659" w:rsidRPr="00207864">
        <w:rPr>
          <w:rFonts w:ascii="Times New Roman" w:hAnsi="Times New Roman"/>
        </w:rPr>
        <w:t> </w:t>
      </w:r>
      <w:r w:rsidR="00FD74EB" w:rsidRPr="00207864">
        <w:rPr>
          <w:rFonts w:ascii="Times New Roman" w:hAnsi="Times New Roman"/>
        </w:rPr>
        <w:t xml:space="preserve">105A.7 of the </w:t>
      </w:r>
      <w:r w:rsidR="00FD74EB" w:rsidRPr="00207864">
        <w:rPr>
          <w:rFonts w:ascii="Times New Roman" w:hAnsi="Times New Roman"/>
          <w:i/>
        </w:rPr>
        <w:t>Code</w:t>
      </w:r>
      <w:r w:rsidR="00FD74EB" w:rsidRPr="00207864">
        <w:rPr>
          <w:rFonts w:ascii="Times New Roman" w:hAnsi="Times New Roman"/>
        </w:rPr>
        <w:t xml:space="preserve"> is not within the judicial power </w:t>
      </w:r>
      <w:r w:rsidR="00955FA5" w:rsidRPr="00207864">
        <w:rPr>
          <w:rFonts w:ascii="Times New Roman" w:hAnsi="Times New Roman"/>
        </w:rPr>
        <w:t xml:space="preserve">of the Commonwealth and has been conferred, inter alia, on the Supreme </w:t>
      </w:r>
      <w:r w:rsidR="007A7E6C" w:rsidRPr="00207864">
        <w:rPr>
          <w:rFonts w:ascii="Times New Roman" w:hAnsi="Times New Roman"/>
        </w:rPr>
        <w:t>Court of Victoria contrary to Chapter III of the Commonwealth Constitution?</w:t>
      </w:r>
    </w:p>
    <w:p w14:paraId="06B0A93E" w14:textId="302FC4B4" w:rsidR="00195420" w:rsidRPr="00207864" w:rsidRDefault="00195420" w:rsidP="00207864">
      <w:pPr>
        <w:pStyle w:val="NormalBody"/>
        <w:spacing w:after="260" w:line="280" w:lineRule="exact"/>
        <w:ind w:left="2160" w:right="0" w:hanging="720"/>
        <w:jc w:val="both"/>
        <w:rPr>
          <w:rFonts w:ascii="Times New Roman" w:hAnsi="Times New Roman"/>
        </w:rPr>
      </w:pPr>
      <w:r w:rsidRPr="00207864">
        <w:rPr>
          <w:rFonts w:ascii="Times New Roman" w:hAnsi="Times New Roman"/>
        </w:rPr>
        <w:t>A.</w:t>
      </w:r>
      <w:r w:rsidRPr="00207864">
        <w:rPr>
          <w:rFonts w:ascii="Times New Roman" w:hAnsi="Times New Roman"/>
        </w:rPr>
        <w:tab/>
        <w:t>No</w:t>
      </w:r>
      <w:r w:rsidR="00243F94" w:rsidRPr="00207864">
        <w:rPr>
          <w:rFonts w:ascii="Times New Roman" w:hAnsi="Times New Roman"/>
        </w:rPr>
        <w:t>.</w:t>
      </w:r>
    </w:p>
    <w:p w14:paraId="535F392B" w14:textId="77777777" w:rsidR="00CE4181" w:rsidRDefault="002F1C1A" w:rsidP="00207864">
      <w:pPr>
        <w:pStyle w:val="NormalBody"/>
        <w:spacing w:after="260" w:line="280" w:lineRule="exact"/>
        <w:ind w:left="1440" w:right="0" w:hanging="720"/>
        <w:jc w:val="both"/>
        <w:rPr>
          <w:rFonts w:ascii="Times New Roman" w:hAnsi="Times New Roman"/>
        </w:rPr>
      </w:pPr>
      <w:r w:rsidRPr="00207864">
        <w:rPr>
          <w:rFonts w:ascii="Times New Roman" w:hAnsi="Times New Roman"/>
        </w:rPr>
        <w:t>2.</w:t>
      </w:r>
      <w:r w:rsidR="00F14659" w:rsidRPr="00207864">
        <w:rPr>
          <w:rFonts w:ascii="Times New Roman" w:hAnsi="Times New Roman"/>
        </w:rPr>
        <w:tab/>
      </w:r>
      <w:r w:rsidRPr="00207864">
        <w:rPr>
          <w:rFonts w:ascii="Times New Roman" w:hAnsi="Times New Roman"/>
        </w:rPr>
        <w:t xml:space="preserve">The respondent </w:t>
      </w:r>
      <w:r w:rsidR="007F46C9" w:rsidRPr="00207864">
        <w:rPr>
          <w:rFonts w:ascii="Times New Roman" w:hAnsi="Times New Roman"/>
        </w:rPr>
        <w:t xml:space="preserve">is to </w:t>
      </w:r>
      <w:r w:rsidRPr="00207864">
        <w:rPr>
          <w:rFonts w:ascii="Times New Roman" w:hAnsi="Times New Roman"/>
        </w:rPr>
        <w:t xml:space="preserve">pay </w:t>
      </w:r>
      <w:r w:rsidR="00C544F2" w:rsidRPr="00207864">
        <w:rPr>
          <w:rFonts w:ascii="Times New Roman" w:hAnsi="Times New Roman"/>
        </w:rPr>
        <w:t>the applicant's costs.</w:t>
      </w:r>
    </w:p>
    <w:p w14:paraId="73A89443" w14:textId="77777777" w:rsidR="00CE4181" w:rsidRDefault="00CE4181" w:rsidP="00207864">
      <w:pPr>
        <w:pStyle w:val="NormalBody"/>
        <w:spacing w:after="260" w:line="280" w:lineRule="exact"/>
        <w:ind w:left="1440" w:right="0" w:hanging="720"/>
        <w:jc w:val="both"/>
        <w:rPr>
          <w:rFonts w:ascii="Times New Roman" w:hAnsi="Times New Roman"/>
        </w:rPr>
        <w:sectPr w:rsidR="00CE4181" w:rsidSect="00005D6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8B888C2" w14:textId="77777777" w:rsidR="00CE4181" w:rsidRPr="004C4BCF" w:rsidRDefault="00CE4181" w:rsidP="004C4BCF">
      <w:pPr>
        <w:pStyle w:val="FixListStyle"/>
        <w:tabs>
          <w:tab w:val="clear" w:pos="720"/>
          <w:tab w:val="left" w:pos="0"/>
        </w:tabs>
        <w:spacing w:after="260" w:line="280" w:lineRule="exact"/>
        <w:ind w:right="0"/>
        <w:jc w:val="both"/>
        <w:rPr>
          <w:rFonts w:ascii="Times New Roman" w:hAnsi="Times New Roman"/>
        </w:rPr>
      </w:pPr>
      <w:r w:rsidRPr="004C4BCF">
        <w:rPr>
          <w:rFonts w:ascii="Times New Roman" w:hAnsi="Times New Roman"/>
        </w:rPr>
        <w:lastRenderedPageBreak/>
        <w:t xml:space="preserve">GAGELER J.   Central to the operation of Pt 5.3 of the </w:t>
      </w:r>
      <w:r w:rsidRPr="004C4BCF">
        <w:rPr>
          <w:rFonts w:ascii="Times New Roman" w:hAnsi="Times New Roman"/>
          <w:i/>
        </w:rPr>
        <w:t xml:space="preserve">Criminal Code </w:t>
      </w:r>
      <w:r w:rsidRPr="004C4BCF">
        <w:rPr>
          <w:rFonts w:ascii="Times New Roman" w:hAnsi="Times New Roman"/>
        </w:rPr>
        <w:t>(Cth) is the notion of a "terrorist act". Engaging in a "terrorist act" involves taking or threatening specified action intending to advance a political, religious or ideological cause and intending either to coerce or intimidate a government or to intimidate the public or a section of the public. The specified action is action that causes death or serious physical harm to another person, that endangers another person's life, that creates a serious risk to the health or safety of the public or a section of the public, that causes serious damage to property, or that seriously interferes with or seriously disrupts or destroys an electronic system such as a telecommunications system or a financial system</w:t>
      </w:r>
      <w:r w:rsidRPr="004C4BCF">
        <w:rPr>
          <w:rStyle w:val="FootnoteReference"/>
          <w:rFonts w:ascii="Times New Roman" w:hAnsi="Times New Roman"/>
          <w:sz w:val="24"/>
        </w:rPr>
        <w:footnoteReference w:id="116"/>
      </w:r>
      <w:r w:rsidRPr="004C4BCF">
        <w:rPr>
          <w:rFonts w:ascii="Times New Roman" w:hAnsi="Times New Roman"/>
        </w:rPr>
        <w:t>.</w:t>
      </w:r>
    </w:p>
    <w:p w14:paraId="4A6351D8"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Provisions within Pt 5.3 create offences having some connection to actual or potential terrorist acts. The degree of connection varies from offence to offence. At one end of the spectrum is the offence of engaging in a terrorist act, which carries a maximum penalty of imprisonment for life</w:t>
      </w:r>
      <w:r w:rsidRPr="004C4BCF">
        <w:rPr>
          <w:rStyle w:val="FootnoteReference"/>
          <w:rFonts w:ascii="Times New Roman" w:hAnsi="Times New Roman"/>
          <w:sz w:val="24"/>
        </w:rPr>
        <w:footnoteReference w:id="117"/>
      </w:r>
      <w:r w:rsidRPr="004C4BCF">
        <w:rPr>
          <w:rFonts w:ascii="Times New Roman" w:hAnsi="Times New Roman"/>
        </w:rPr>
        <w:t>. At the other end of the spectrum is the offence of associating with a person who is a member of a "terrorist organisation", which carries a maximum penalty of imprisonment for three years</w:t>
      </w:r>
      <w:r w:rsidRPr="004C4BCF">
        <w:rPr>
          <w:rStyle w:val="FootnoteReference"/>
          <w:rFonts w:ascii="Times New Roman" w:hAnsi="Times New Roman"/>
          <w:sz w:val="24"/>
        </w:rPr>
        <w:footnoteReference w:id="118"/>
      </w:r>
      <w:r w:rsidRPr="004C4BCF">
        <w:rPr>
          <w:rFonts w:ascii="Times New Roman" w:hAnsi="Times New Roman"/>
        </w:rPr>
        <w:t>. The definition of "terrorist organisation" is met by an organisation that is "directly or indirectly engaged in, preparing, planning, assisting in or fostering the doing of a terrorist act"</w:t>
      </w:r>
      <w:r w:rsidRPr="004C4BCF">
        <w:rPr>
          <w:rStyle w:val="FootnoteReference"/>
          <w:rFonts w:ascii="Times New Roman" w:hAnsi="Times New Roman"/>
          <w:sz w:val="24"/>
        </w:rPr>
        <w:footnoteReference w:id="119"/>
      </w:r>
      <w:r w:rsidRPr="004C4BCF">
        <w:rPr>
          <w:rFonts w:ascii="Times New Roman" w:hAnsi="Times New Roman"/>
        </w:rPr>
        <w:t xml:space="preserve">. </w:t>
      </w:r>
    </w:p>
    <w:p w14:paraId="5F479D5D"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Most offences within the spectrum </w:t>
      </w:r>
      <w:r w:rsidRPr="004C4BCF">
        <w:rPr>
          <w:rFonts w:ascii="Times New Roman" w:hAnsi="Times New Roman"/>
          <w:color w:val="000000"/>
          <w:shd w:val="clear" w:color="auto" w:fill="FFFFFF"/>
        </w:rPr>
        <w:t xml:space="preserve">are "prophylactic offences" in the sense that "the risk of harm", relevantly from the commission of a terrorist act, "does not arise straightforwardly from the prohibited act" but "only after, or in conjunction with, further human interventions </w:t>
      </w:r>
      <w:r w:rsidRPr="004C4BCF">
        <w:rPr>
          <w:rFonts w:ascii="Times New Roman" w:hAnsi="Times New Roman"/>
          <w:color w:val="000000"/>
          <w:shd w:val="clear" w:color="auto" w:fill="FFFFFF"/>
        </w:rPr>
        <w:sym w:font="Symbol" w:char="F02D"/>
      </w:r>
      <w:r w:rsidRPr="004C4BCF">
        <w:rPr>
          <w:rFonts w:ascii="Times New Roman" w:hAnsi="Times New Roman"/>
          <w:color w:val="000000"/>
          <w:shd w:val="clear" w:color="auto" w:fill="FFFFFF"/>
        </w:rPr>
        <w:t xml:space="preserve"> either by the original actor or by others"</w:t>
      </w:r>
      <w:r w:rsidRPr="004C4BCF">
        <w:rPr>
          <w:rStyle w:val="FootnoteReference"/>
          <w:rFonts w:ascii="Times New Roman" w:hAnsi="Times New Roman"/>
          <w:color w:val="000000"/>
          <w:sz w:val="24"/>
          <w:shd w:val="clear" w:color="auto" w:fill="FFFFFF"/>
        </w:rPr>
        <w:footnoteReference w:id="120"/>
      </w:r>
      <w:r w:rsidRPr="004C4BCF">
        <w:rPr>
          <w:rFonts w:ascii="Times New Roman" w:hAnsi="Times New Roman"/>
          <w:color w:val="000000"/>
          <w:shd w:val="clear" w:color="auto" w:fill="FFFFFF"/>
        </w:rPr>
        <w:t xml:space="preserve">. </w:t>
      </w:r>
      <w:r w:rsidRPr="004C4BCF">
        <w:rPr>
          <w:rFonts w:ascii="Times New Roman" w:hAnsi="Times New Roman"/>
        </w:rPr>
        <w:t>An example is the offence of taking steps to become a member of a terrorist organisation, which carries a maximum penalty of imprisonment for ten years</w:t>
      </w:r>
      <w:r w:rsidRPr="004C4BCF">
        <w:rPr>
          <w:rStyle w:val="FootnoteReference"/>
          <w:rFonts w:ascii="Times New Roman" w:hAnsi="Times New Roman"/>
          <w:sz w:val="24"/>
        </w:rPr>
        <w:footnoteReference w:id="121"/>
      </w:r>
      <w:r w:rsidRPr="004C4BCF">
        <w:rPr>
          <w:rFonts w:ascii="Times New Roman" w:hAnsi="Times New Roman"/>
        </w:rPr>
        <w:t xml:space="preserve">. </w:t>
      </w:r>
      <w:r w:rsidRPr="004C4BCF">
        <w:rPr>
          <w:rFonts w:ascii="Times New Roman" w:hAnsi="Times New Roman"/>
        </w:rPr>
        <w:lastRenderedPageBreak/>
        <w:t xml:space="preserve">In </w:t>
      </w:r>
      <w:r w:rsidRPr="004C4BCF">
        <w:rPr>
          <w:rFonts w:ascii="Times New Roman" w:hAnsi="Times New Roman"/>
          <w:i/>
          <w:iCs/>
          <w:color w:val="000000"/>
          <w:shd w:val="clear" w:color="auto" w:fill="FFFFFF"/>
        </w:rPr>
        <w:t>R v Abdirahman-Khalif</w:t>
      </w:r>
      <w:r w:rsidRPr="004C4BCF">
        <w:rPr>
          <w:rStyle w:val="FootnoteReference"/>
          <w:rFonts w:ascii="Times New Roman" w:hAnsi="Times New Roman"/>
          <w:iCs/>
          <w:color w:val="000000"/>
          <w:sz w:val="24"/>
          <w:shd w:val="clear" w:color="auto" w:fill="FFFFFF"/>
        </w:rPr>
        <w:footnoteReference w:id="122"/>
      </w:r>
      <w:r w:rsidRPr="004C4BCF">
        <w:rPr>
          <w:rFonts w:ascii="Times New Roman" w:hAnsi="Times New Roman"/>
          <w:color w:val="000000"/>
        </w:rPr>
        <w:t xml:space="preserve"> the offence was committed by</w:t>
      </w:r>
      <w:r w:rsidRPr="004C4BCF">
        <w:rPr>
          <w:rFonts w:ascii="Times New Roman" w:hAnsi="Times New Roman"/>
        </w:rPr>
        <w:t xml:space="preserve"> a young Australian woman who attempted to travel from Australia to Turkey in order to "engage" with Islamic State with the intention of becoming a nurse or a bride</w:t>
      </w:r>
      <w:r w:rsidRPr="004C4BCF">
        <w:rPr>
          <w:rFonts w:ascii="Times New Roman" w:hAnsi="Times New Roman"/>
          <w:iCs/>
          <w:color w:val="000000"/>
          <w:shd w:val="clear" w:color="auto" w:fill="FFFFFF"/>
        </w:rPr>
        <w:t>.</w:t>
      </w:r>
    </w:p>
    <w:p w14:paraId="596CE714"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Division 104 of Pt 5.3 provides for the making of "control orders", imposing obligations, prohibitions and restrictions stopping short of detention in custody. The Division confers on the Federal Court and the Federal Circuit Court power</w:t>
      </w:r>
      <w:r w:rsidRPr="004C4BCF">
        <w:rPr>
          <w:rStyle w:val="FootnoteReference"/>
          <w:rFonts w:ascii="Times New Roman" w:hAnsi="Times New Roman"/>
          <w:sz w:val="24"/>
        </w:rPr>
        <w:footnoteReference w:id="123"/>
      </w:r>
      <w:r w:rsidRPr="004C4BCF">
        <w:rPr>
          <w:rFonts w:ascii="Times New Roman" w:hAnsi="Times New Roman"/>
        </w:rPr>
        <w:t>, and jurisdiction</w:t>
      </w:r>
      <w:r w:rsidRPr="004C4BCF">
        <w:rPr>
          <w:rStyle w:val="FootnoteReference"/>
          <w:rFonts w:ascii="Times New Roman" w:hAnsi="Times New Roman"/>
          <w:sz w:val="24"/>
        </w:rPr>
        <w:footnoteReference w:id="124"/>
      </w:r>
      <w:r w:rsidRPr="004C4BCF">
        <w:rPr>
          <w:rFonts w:ascii="Times New Roman" w:hAnsi="Times New Roman"/>
        </w:rPr>
        <w:t>, to make a control order on application of the Commissioner or another senior member of the Australian Federal Police. The Federal Court or the Federal Circuit Court can make a control order if, amongst other things, "the court is satisfied on the balance of probabilities that each of the obligations, prohibitions and restrictions to be imposed ... by the order is reasonably necessary, and reasonably appropriate and adapted", for the purpose of "protecting the public from a terrorist act" or "preventing the provision of support for or the facilitation of a terrorist act"</w:t>
      </w:r>
      <w:r w:rsidRPr="004C4BCF">
        <w:rPr>
          <w:rStyle w:val="FootnoteReference"/>
          <w:rFonts w:ascii="Times New Roman" w:hAnsi="Times New Roman"/>
          <w:sz w:val="24"/>
        </w:rPr>
        <w:footnoteReference w:id="125"/>
      </w:r>
      <w:r w:rsidRPr="004C4BCF">
        <w:rPr>
          <w:rFonts w:ascii="Times New Roman" w:hAnsi="Times New Roman"/>
        </w:rPr>
        <w:t>.</w:t>
      </w:r>
    </w:p>
    <w:p w14:paraId="41E9D27E" w14:textId="727815EF"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Division 105A of Pt 5.3 provides for the making of "continuing detention orders", requiring persons convicted of terrorist offences to continue to be detained in custody beyond completion of their sentences. Division 105A confers on the Supreme Court of a State or Territory power</w:t>
      </w:r>
      <w:r w:rsidRPr="004C4BCF">
        <w:rPr>
          <w:rStyle w:val="FootnoteReference"/>
          <w:rFonts w:ascii="Times New Roman" w:hAnsi="Times New Roman"/>
          <w:sz w:val="24"/>
        </w:rPr>
        <w:footnoteReference w:id="126"/>
      </w:r>
      <w:r w:rsidRPr="004C4BCF">
        <w:rPr>
          <w:rFonts w:ascii="Times New Roman" w:hAnsi="Times New Roman"/>
        </w:rPr>
        <w:t>, and jurisdiction</w:t>
      </w:r>
      <w:r w:rsidRPr="004C4BCF">
        <w:rPr>
          <w:rStyle w:val="FootnoteReference"/>
          <w:rFonts w:ascii="Times New Roman" w:hAnsi="Times New Roman"/>
          <w:sz w:val="24"/>
        </w:rPr>
        <w:footnoteReference w:id="127"/>
      </w:r>
      <w:r w:rsidRPr="004C4BCF">
        <w:rPr>
          <w:rFonts w:ascii="Times New Roman" w:hAnsi="Times New Roman"/>
        </w:rPr>
        <w:t xml:space="preserve">, to make a continuing detention order in relation to a "terrorist offender" on application by the Minister administering the </w:t>
      </w:r>
      <w:r w:rsidRPr="004C4BCF">
        <w:rPr>
          <w:rFonts w:ascii="Times New Roman" w:hAnsi="Times New Roman"/>
          <w:i/>
        </w:rPr>
        <w:t xml:space="preserve">Australian Federal Police Act 1979 </w:t>
      </w:r>
      <w:r w:rsidRPr="004C4BCF">
        <w:rPr>
          <w:rFonts w:ascii="Times New Roman" w:hAnsi="Times New Roman"/>
        </w:rPr>
        <w:t>(Cth)</w:t>
      </w:r>
      <w:r w:rsidRPr="004C4BCF">
        <w:rPr>
          <w:rStyle w:val="FootnoteReference"/>
          <w:rFonts w:ascii="Times New Roman" w:hAnsi="Times New Roman"/>
          <w:sz w:val="24"/>
        </w:rPr>
        <w:footnoteReference w:id="128"/>
      </w:r>
      <w:r w:rsidRPr="004C4BCF">
        <w:rPr>
          <w:rFonts w:ascii="Times New Roman" w:hAnsi="Times New Roman"/>
        </w:rPr>
        <w:t>. The Supreme Court can make a continuing detention order if "satisfied to a high degree of probability, on the basis of admissible evidence, that the offender poses an unacceptable risk of committing a serious Part 5.3 offence if the offender is released into the community"</w:t>
      </w:r>
      <w:r w:rsidRPr="004C4BCF">
        <w:rPr>
          <w:rStyle w:val="FootnoteReference"/>
          <w:rFonts w:ascii="Times New Roman" w:hAnsi="Times New Roman"/>
          <w:sz w:val="24"/>
        </w:rPr>
        <w:footnoteReference w:id="129"/>
      </w:r>
      <w:r w:rsidRPr="004C4BCF">
        <w:rPr>
          <w:rFonts w:ascii="Times New Roman" w:hAnsi="Times New Roman"/>
        </w:rPr>
        <w:t xml:space="preserve"> and if "satisfied that there is no other less </w:t>
      </w:r>
      <w:r w:rsidRPr="004C4BCF">
        <w:rPr>
          <w:rFonts w:ascii="Times New Roman" w:hAnsi="Times New Roman"/>
        </w:rPr>
        <w:lastRenderedPageBreak/>
        <w:t>restrictive measure that would be effective in preventing the unacceptable risk"</w:t>
      </w:r>
      <w:r w:rsidRPr="004C4BCF">
        <w:rPr>
          <w:rStyle w:val="FootnoteReference"/>
          <w:rFonts w:ascii="Times New Roman" w:hAnsi="Times New Roman"/>
          <w:sz w:val="24"/>
        </w:rPr>
        <w:footnoteReference w:id="130"/>
      </w:r>
      <w:r w:rsidRPr="004C4BCF">
        <w:rPr>
          <w:rFonts w:ascii="Times New Roman" w:hAnsi="Times New Roman"/>
        </w:rPr>
        <w:t>. The expression "serious Part 5.3 offence" is defined to mean an offence against Pt</w:t>
      </w:r>
      <w:r w:rsidR="00654D22">
        <w:rPr>
          <w:rFonts w:ascii="Times New Roman" w:hAnsi="Times New Roman"/>
        </w:rPr>
        <w:t> </w:t>
      </w:r>
      <w:r w:rsidRPr="004C4BCF">
        <w:rPr>
          <w:rFonts w:ascii="Times New Roman" w:hAnsi="Times New Roman"/>
        </w:rPr>
        <w:t>5.3 the maximum penalty for which is seven or more years of imprisonment</w:t>
      </w:r>
      <w:r w:rsidRPr="004C4BCF">
        <w:rPr>
          <w:rStyle w:val="FootnoteReference"/>
          <w:rFonts w:ascii="Times New Roman" w:hAnsi="Times New Roman"/>
          <w:sz w:val="24"/>
        </w:rPr>
        <w:footnoteReference w:id="131"/>
      </w:r>
      <w:r w:rsidRPr="004C4BCF">
        <w:rPr>
          <w:rFonts w:ascii="Times New Roman" w:hAnsi="Times New Roman"/>
        </w:rPr>
        <w:t xml:space="preserve">. </w:t>
      </w:r>
    </w:p>
    <w:p w14:paraId="423CF8A6"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Division 104's insertion in 2005</w:t>
      </w:r>
      <w:r w:rsidRPr="004C4BCF">
        <w:rPr>
          <w:rStyle w:val="FootnoteReference"/>
          <w:rFonts w:ascii="Times New Roman" w:hAnsi="Times New Roman"/>
          <w:sz w:val="24"/>
        </w:rPr>
        <w:footnoteReference w:id="132"/>
      </w:r>
      <w:r w:rsidRPr="004C4BCF">
        <w:rPr>
          <w:rFonts w:ascii="Times New Roman" w:hAnsi="Times New Roman"/>
        </w:rPr>
        <w:t xml:space="preserve"> marked a development in Commonwealth legislative practice in that it was the first time that a Commonwealth law made provision for the making by judicial order of "preventative restraints on liberty"</w:t>
      </w:r>
      <w:r w:rsidRPr="004C4BCF">
        <w:rPr>
          <w:rStyle w:val="FootnoteReference"/>
          <w:rFonts w:ascii="Times New Roman" w:hAnsi="Times New Roman"/>
          <w:sz w:val="24"/>
        </w:rPr>
        <w:footnoteReference w:id="133"/>
      </w:r>
      <w:r w:rsidRPr="004C4BCF">
        <w:rPr>
          <w:rFonts w:ascii="Times New Roman" w:hAnsi="Times New Roman"/>
        </w:rPr>
        <w:t xml:space="preserve">. The Division as inserted was held to be compatible with Ch III of the </w:t>
      </w:r>
      <w:r w:rsidRPr="004C4BCF">
        <w:rPr>
          <w:rFonts w:ascii="Times New Roman" w:hAnsi="Times New Roman"/>
          <w:i/>
        </w:rPr>
        <w:t>Constitution</w:t>
      </w:r>
      <w:r w:rsidRPr="004C4BCF">
        <w:rPr>
          <w:rFonts w:ascii="Times New Roman" w:hAnsi="Times New Roman"/>
        </w:rPr>
        <w:t xml:space="preserve"> in</w:t>
      </w:r>
      <w:r w:rsidRPr="004C4BCF">
        <w:rPr>
          <w:rFonts w:ascii="Times New Roman" w:hAnsi="Times New Roman"/>
          <w:i/>
        </w:rPr>
        <w:t xml:space="preserve"> Thomas v Mowbray</w:t>
      </w:r>
      <w:r w:rsidRPr="004C4BCF">
        <w:rPr>
          <w:rStyle w:val="FootnoteReference"/>
          <w:rFonts w:ascii="Times New Roman" w:hAnsi="Times New Roman"/>
          <w:sz w:val="24"/>
        </w:rPr>
        <w:footnoteReference w:id="134"/>
      </w:r>
      <w:r w:rsidRPr="004C4BCF">
        <w:rPr>
          <w:rFonts w:ascii="Times New Roman" w:hAnsi="Times New Roman"/>
        </w:rPr>
        <w:t>.</w:t>
      </w:r>
    </w:p>
    <w:p w14:paraId="381BE015"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Division 105A's insertion in 2017</w:t>
      </w:r>
      <w:r w:rsidRPr="004C4BCF">
        <w:rPr>
          <w:rStyle w:val="FootnoteReference"/>
          <w:rFonts w:ascii="Times New Roman" w:hAnsi="Times New Roman"/>
          <w:sz w:val="24"/>
        </w:rPr>
        <w:footnoteReference w:id="135"/>
      </w:r>
      <w:r w:rsidRPr="004C4BCF">
        <w:rPr>
          <w:rFonts w:ascii="Times New Roman" w:hAnsi="Times New Roman"/>
        </w:rPr>
        <w:t xml:space="preserve"> marked a further development in Commonwealth legislative practice in that it was the first time that a Commonwealth law made provision for a person convicted of an offence to continue to be detained in custody by judicial order after the completion of his or her sentence. The Division was modelled on the </w:t>
      </w:r>
      <w:r w:rsidRPr="004C4BCF">
        <w:rPr>
          <w:rFonts w:ascii="Times New Roman" w:hAnsi="Times New Roman"/>
          <w:i/>
        </w:rPr>
        <w:t xml:space="preserve">Dangerous Prisoners (Sexual Offenders) Act 2003 </w:t>
      </w:r>
      <w:r w:rsidRPr="004C4BCF">
        <w:rPr>
          <w:rFonts w:ascii="Times New Roman" w:hAnsi="Times New Roman"/>
        </w:rPr>
        <w:t xml:space="preserve">(Qld), compatibility of which with Ch III had been upheld in </w:t>
      </w:r>
      <w:proofErr w:type="spellStart"/>
      <w:r w:rsidRPr="004C4BCF">
        <w:rPr>
          <w:rFonts w:ascii="Times New Roman" w:hAnsi="Times New Roman"/>
          <w:i/>
        </w:rPr>
        <w:t>Fardon</w:t>
      </w:r>
      <w:proofErr w:type="spellEnd"/>
      <w:r w:rsidRPr="004C4BCF">
        <w:rPr>
          <w:rFonts w:ascii="Times New Roman" w:hAnsi="Times New Roman"/>
          <w:i/>
        </w:rPr>
        <w:t xml:space="preserve"> v Attorney-General (Qld)</w:t>
      </w:r>
      <w:r w:rsidRPr="004C4BCF">
        <w:rPr>
          <w:rStyle w:val="FootnoteReference"/>
          <w:rFonts w:ascii="Times New Roman" w:hAnsi="Times New Roman"/>
          <w:sz w:val="24"/>
        </w:rPr>
        <w:footnoteReference w:id="136"/>
      </w:r>
      <w:r w:rsidRPr="004C4BCF">
        <w:rPr>
          <w:rFonts w:ascii="Times New Roman" w:hAnsi="Times New Roman"/>
        </w:rPr>
        <w:t xml:space="preserve">.  </w:t>
      </w:r>
    </w:p>
    <w:p w14:paraId="20704F10"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The question of Div 105A's compatibility with Ch III</w:t>
      </w:r>
      <w:r w:rsidRPr="004C4BCF">
        <w:rPr>
          <w:rFonts w:ascii="Times New Roman" w:hAnsi="Times New Roman"/>
          <w:i/>
        </w:rPr>
        <w:t xml:space="preserve"> </w:t>
      </w:r>
      <w:r w:rsidRPr="004C4BCF">
        <w:rPr>
          <w:rFonts w:ascii="Times New Roman" w:hAnsi="Times New Roman"/>
        </w:rPr>
        <w:t xml:space="preserve">arose on an application by the Minister for Home Affairs to the Supreme Court of Victoria for a continuing detention order in relation to Mr Benbrika. The question was formally reserved in the Trial Division of the Supreme Court for the consideration of the Court of Appeal and was removed into this Court by order under s 40 of the </w:t>
      </w:r>
      <w:r w:rsidRPr="004C4BCF">
        <w:rPr>
          <w:rFonts w:ascii="Times New Roman" w:hAnsi="Times New Roman"/>
          <w:i/>
        </w:rPr>
        <w:t>Judiciary Act 1903</w:t>
      </w:r>
      <w:r w:rsidRPr="004C4BCF">
        <w:rPr>
          <w:rFonts w:ascii="Times New Roman" w:hAnsi="Times New Roman"/>
        </w:rPr>
        <w:t xml:space="preserve"> (Cth).</w:t>
      </w:r>
    </w:p>
    <w:p w14:paraId="0F95CC97"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The majority in</w:t>
      </w:r>
      <w:r w:rsidRPr="004C4BCF">
        <w:rPr>
          <w:rFonts w:ascii="Times New Roman" w:hAnsi="Times New Roman"/>
          <w:i/>
        </w:rPr>
        <w:t xml:space="preserve"> Thomas v Mowbray</w:t>
      </w:r>
      <w:r w:rsidRPr="004C4BCF">
        <w:rPr>
          <w:rFonts w:ascii="Times New Roman" w:hAnsi="Times New Roman"/>
        </w:rPr>
        <w:t xml:space="preserve"> held that the power to make a control order was judicial power within the meaning of s 71 of the </w:t>
      </w:r>
      <w:r w:rsidRPr="004C4BCF">
        <w:rPr>
          <w:rFonts w:ascii="Times New Roman" w:hAnsi="Times New Roman"/>
          <w:i/>
        </w:rPr>
        <w:t>Constitution</w:t>
      </w:r>
      <w:r w:rsidRPr="004C4BCF">
        <w:rPr>
          <w:rFonts w:ascii="Times New Roman" w:hAnsi="Times New Roman"/>
        </w:rPr>
        <w:t xml:space="preserve">. That holding was indispensable to the majority's conclusion that Div 104 was compatible with Ch III because the Commonwealth Parliament cannot confer </w:t>
      </w:r>
      <w:r w:rsidRPr="004C4BCF">
        <w:rPr>
          <w:rFonts w:ascii="Times New Roman" w:hAnsi="Times New Roman"/>
        </w:rPr>
        <w:lastRenderedPageBreak/>
        <w:t>anything but judicial power, or a power incidental to judicial power, in defining the jurisdiction of a federal court under s 77(</w:t>
      </w:r>
      <w:proofErr w:type="spellStart"/>
      <w:r w:rsidRPr="004C4BCF">
        <w:rPr>
          <w:rFonts w:ascii="Times New Roman" w:hAnsi="Times New Roman"/>
        </w:rPr>
        <w:t>i</w:t>
      </w:r>
      <w:proofErr w:type="spellEnd"/>
      <w:r w:rsidRPr="004C4BCF">
        <w:rPr>
          <w:rFonts w:ascii="Times New Roman" w:hAnsi="Times New Roman"/>
        </w:rPr>
        <w:t xml:space="preserve">) of the </w:t>
      </w:r>
      <w:r w:rsidRPr="004C4BCF">
        <w:rPr>
          <w:rFonts w:ascii="Times New Roman" w:hAnsi="Times New Roman"/>
          <w:i/>
        </w:rPr>
        <w:t>Constitution</w:t>
      </w:r>
      <w:r w:rsidRPr="004C4BCF">
        <w:rPr>
          <w:rStyle w:val="FootnoteReference"/>
          <w:rFonts w:ascii="Times New Roman" w:hAnsi="Times New Roman"/>
          <w:sz w:val="24"/>
        </w:rPr>
        <w:footnoteReference w:id="137"/>
      </w:r>
      <w:r w:rsidRPr="004C4BCF">
        <w:rPr>
          <w:rFonts w:ascii="Times New Roman" w:hAnsi="Times New Roman"/>
        </w:rPr>
        <w:t>.</w:t>
      </w:r>
    </w:p>
    <w:p w14:paraId="00D6840B"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Division 105A correspondingly can be compatible with Ch III only if, and to the extent that, the power to make a continuing detention order is judicial power within the meaning of s 71 of the </w:t>
      </w:r>
      <w:r w:rsidRPr="004C4BCF">
        <w:rPr>
          <w:rFonts w:ascii="Times New Roman" w:hAnsi="Times New Roman"/>
          <w:i/>
        </w:rPr>
        <w:t>Constitution</w:t>
      </w:r>
      <w:r w:rsidRPr="004C4BCF">
        <w:rPr>
          <w:rFonts w:ascii="Times New Roman" w:hAnsi="Times New Roman"/>
        </w:rPr>
        <w:t>. That is because of a corresponding incapacity of the Commonwealth Parliament to confer anything but judicial power, or a power incidental to judicial power, on a State court through the investiture of federal jurisdiction under s 77(iii)</w:t>
      </w:r>
      <w:r w:rsidRPr="004C4BCF">
        <w:rPr>
          <w:rStyle w:val="FootnoteReference"/>
          <w:rFonts w:ascii="Times New Roman" w:hAnsi="Times New Roman"/>
          <w:sz w:val="24"/>
        </w:rPr>
        <w:footnoteReference w:id="138"/>
      </w:r>
      <w:r w:rsidRPr="004C4BCF">
        <w:rPr>
          <w:rFonts w:ascii="Times New Roman" w:hAnsi="Times New Roman"/>
        </w:rPr>
        <w:t xml:space="preserve"> or on a Territory court through the investiture of federal jurisdiction under s 122 of the </w:t>
      </w:r>
      <w:r w:rsidRPr="004C4BCF">
        <w:rPr>
          <w:rFonts w:ascii="Times New Roman" w:hAnsi="Times New Roman"/>
          <w:i/>
        </w:rPr>
        <w:t>Constitution</w:t>
      </w:r>
      <w:r w:rsidRPr="004C4BCF">
        <w:rPr>
          <w:rStyle w:val="FootnoteReference"/>
          <w:rFonts w:ascii="Times New Roman" w:hAnsi="Times New Roman"/>
          <w:sz w:val="24"/>
        </w:rPr>
        <w:footnoteReference w:id="139"/>
      </w:r>
      <w:r w:rsidRPr="004C4BCF">
        <w:rPr>
          <w:rFonts w:ascii="Times New Roman" w:hAnsi="Times New Roman"/>
        </w:rPr>
        <w:t>.</w:t>
      </w:r>
    </w:p>
    <w:p w14:paraId="40943C8A"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My conclusion is that the power to make a continuing detention order answers the description of judicial power within the meaning of s 71 of the </w:t>
      </w:r>
      <w:r w:rsidRPr="004C4BCF">
        <w:rPr>
          <w:rFonts w:ascii="Times New Roman" w:hAnsi="Times New Roman"/>
          <w:i/>
        </w:rPr>
        <w:t>Constitution</w:t>
      </w:r>
      <w:r w:rsidRPr="004C4BCF">
        <w:rPr>
          <w:rFonts w:ascii="Times New Roman" w:hAnsi="Times New Roman"/>
        </w:rPr>
        <w:t xml:space="preserve"> only to the extent that the "serious Part 5.3 offence" to be prevented by the making of the order involves doing or supporting or facilitating a terrorist act. </w:t>
      </w:r>
    </w:p>
    <w:p w14:paraId="11E349DC"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Explaining how I reach that conclusion, I begin by examining the context and content of the canonical observation in the joint reasons for judgment in </w:t>
      </w:r>
      <w:r w:rsidRPr="004C4BCF">
        <w:rPr>
          <w:rFonts w:ascii="Times New Roman" w:hAnsi="Times New Roman"/>
          <w:i/>
        </w:rPr>
        <w:t>Chu Kheng Lim v Minister for Immigration, Local Government and Ethnic Affairs</w:t>
      </w:r>
      <w:r w:rsidRPr="004C4BCF">
        <w:rPr>
          <w:rFonts w:ascii="Times New Roman" w:hAnsi="Times New Roman"/>
        </w:rPr>
        <w:t xml:space="preserve"> that, "exceptional cases" aside, "the involuntary detention of a citizen in custody by the State is penal or punitive in character and, under our system of government, exists only as an incident of the exclusively judicial function of adjudging and punishing criminal guilt"</w:t>
      </w:r>
      <w:r w:rsidRPr="004C4BCF">
        <w:rPr>
          <w:rStyle w:val="FootnoteReference"/>
          <w:rFonts w:ascii="Times New Roman" w:hAnsi="Times New Roman"/>
          <w:sz w:val="24"/>
        </w:rPr>
        <w:footnoteReference w:id="140"/>
      </w:r>
      <w:r w:rsidRPr="004C4BCF">
        <w:rPr>
          <w:rFonts w:ascii="Times New Roman" w:hAnsi="Times New Roman"/>
        </w:rPr>
        <w:t xml:space="preserve">. I then set out my understanding of the narrow basis on which the power to order continuing detention conferred by the legislation in issue in </w:t>
      </w:r>
      <w:proofErr w:type="spellStart"/>
      <w:r w:rsidRPr="004C4BCF">
        <w:rPr>
          <w:rFonts w:ascii="Times New Roman" w:hAnsi="Times New Roman"/>
          <w:i/>
        </w:rPr>
        <w:t>Fardon</w:t>
      </w:r>
      <w:proofErr w:type="spellEnd"/>
      <w:r w:rsidRPr="004C4BCF">
        <w:rPr>
          <w:rFonts w:ascii="Times New Roman" w:hAnsi="Times New Roman"/>
        </w:rPr>
        <w:t xml:space="preserve"> fell within the category of an "exceptional case" and contrast that power with the width of the power to order continuing detention conferred by Div 105A. </w:t>
      </w:r>
    </w:p>
    <w:p w14:paraId="5795460D" w14:textId="77777777" w:rsidR="00CE4181" w:rsidRPr="004C4BCF" w:rsidRDefault="00CE4181" w:rsidP="004C4BCF">
      <w:pPr>
        <w:pStyle w:val="HeadingL1"/>
        <w:spacing w:after="260" w:line="280" w:lineRule="exact"/>
        <w:ind w:right="0"/>
        <w:jc w:val="both"/>
        <w:rPr>
          <w:rFonts w:ascii="Times New Roman" w:hAnsi="Times New Roman"/>
          <w:szCs w:val="26"/>
        </w:rPr>
      </w:pPr>
      <w:r w:rsidRPr="004C4BCF">
        <w:rPr>
          <w:rFonts w:ascii="Times New Roman" w:hAnsi="Times New Roman"/>
          <w:i/>
          <w:szCs w:val="26"/>
        </w:rPr>
        <w:t>Lim</w:t>
      </w:r>
      <w:r w:rsidRPr="004C4BCF">
        <w:rPr>
          <w:rFonts w:ascii="Times New Roman" w:hAnsi="Times New Roman"/>
          <w:szCs w:val="26"/>
        </w:rPr>
        <w:t xml:space="preserve"> in context</w:t>
      </w:r>
    </w:p>
    <w:p w14:paraId="14AD455B"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Nothing that has a history can be defined. Especially that is so of the concept of judicial power, which has been shown to "defy, perhaps it were better to say </w:t>
      </w:r>
      <w:r w:rsidRPr="004C4BCF">
        <w:rPr>
          <w:rFonts w:ascii="Times New Roman" w:hAnsi="Times New Roman"/>
        </w:rPr>
        <w:lastRenderedPageBreak/>
        <w:t>transcend, purely abstract conceptual analysis", to "inevitably attract[] consideration of predominant characteristics" and to "invite[] comparison with the historic functions and processes of courts of law"</w:t>
      </w:r>
      <w:r w:rsidRPr="004C4BCF">
        <w:rPr>
          <w:rStyle w:val="FootnoteReference"/>
          <w:rFonts w:ascii="Times New Roman" w:hAnsi="Times New Roman"/>
          <w:sz w:val="24"/>
        </w:rPr>
        <w:footnoteReference w:id="141"/>
      </w:r>
      <w:r w:rsidRPr="004C4BCF">
        <w:rPr>
          <w:rFonts w:ascii="Times New Roman" w:hAnsi="Times New Roman"/>
        </w:rPr>
        <w:t xml:space="preserve">. </w:t>
      </w:r>
    </w:p>
    <w:p w14:paraId="564A655C"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Chapter III's separation of the judicial power of the Commonwealth from the legislative and executive powers of the Commonwealth compels us to recognise</w:t>
      </w:r>
      <w:r w:rsidRPr="004C4BCF">
        <w:rPr>
          <w:rFonts w:ascii="Times New Roman" w:hAnsi="Times New Roman"/>
          <w:color w:val="000000"/>
          <w:shd w:val="clear" w:color="auto" w:fill="FFFFFF"/>
        </w:rPr>
        <w:t xml:space="preserve"> "that we have inherited and were intended by our </w:t>
      </w:r>
      <w:r w:rsidRPr="004C4BCF">
        <w:rPr>
          <w:rFonts w:ascii="Times New Roman" w:hAnsi="Times New Roman"/>
        </w:rPr>
        <w:t>Constitution</w:t>
      </w:r>
      <w:r w:rsidRPr="004C4BCF">
        <w:rPr>
          <w:rFonts w:ascii="Times New Roman" w:hAnsi="Times New Roman"/>
          <w:color w:val="000000"/>
          <w:shd w:val="clear" w:color="auto" w:fill="FFFFFF"/>
        </w:rPr>
        <w:t> to live under a system of law and government which has traditionally protected the rights of persons by ensuring that those rights are determined by a judiciary independent of the parliament and the executive"</w:t>
      </w:r>
      <w:r w:rsidRPr="004C4BCF">
        <w:rPr>
          <w:rStyle w:val="FootnoteReference"/>
          <w:rFonts w:ascii="Times New Roman" w:hAnsi="Times New Roman"/>
          <w:color w:val="000000"/>
          <w:sz w:val="24"/>
          <w:shd w:val="clear" w:color="auto" w:fill="FFFFFF"/>
        </w:rPr>
        <w:footnoteReference w:id="142"/>
      </w:r>
      <w:r w:rsidRPr="004C4BCF">
        <w:rPr>
          <w:rFonts w:ascii="Times New Roman" w:hAnsi="Times New Roman"/>
          <w:color w:val="000000"/>
          <w:shd w:val="clear" w:color="auto" w:fill="FFFFFF"/>
        </w:rPr>
        <w:t>.</w:t>
      </w:r>
      <w:r w:rsidRPr="004C4BCF">
        <w:rPr>
          <w:rFonts w:ascii="Times New Roman" w:hAnsi="Times New Roman"/>
        </w:rPr>
        <w:t xml:space="preserve"> The historically observed incidents of those separated powers also compel us to recognise that when the </w:t>
      </w:r>
      <w:r w:rsidRPr="004C4BCF">
        <w:rPr>
          <w:rFonts w:ascii="Times New Roman" w:hAnsi="Times New Roman"/>
          <w:i/>
        </w:rPr>
        <w:t>Constitution</w:t>
      </w:r>
      <w:r w:rsidRPr="004C4BCF">
        <w:rPr>
          <w:rFonts w:ascii="Times New Roman" w:hAnsi="Times New Roman"/>
        </w:rPr>
        <w:t xml:space="preserve"> "prescribes as a safeguard of individual liberty a distribution of the functions of government amongst separate bodies, and does so by requiring a distinction to be maintained between powers described as legislative, executive and judicial, it is using terms which refer, not to fundamental functional differences between powers, but to distinctions generally accepted at the time when the Constitution was framed between classes of powers requiring different 'skills and professional habits' in the authorities entrusted with their exercise"</w:t>
      </w:r>
      <w:r w:rsidRPr="004C4BCF">
        <w:rPr>
          <w:rStyle w:val="FootnoteReference"/>
          <w:rFonts w:ascii="Times New Roman" w:hAnsi="Times New Roman"/>
          <w:sz w:val="24"/>
        </w:rPr>
        <w:footnoteReference w:id="143"/>
      </w:r>
      <w:r w:rsidRPr="004C4BCF">
        <w:rPr>
          <w:rFonts w:ascii="Times New Roman" w:hAnsi="Times New Roman"/>
        </w:rPr>
        <w:t>. The point is not that the judicial power of the Commonwealth is frozen in time. The point is that contemporary exposition of that judicial power is necessarily informed by traditional practices within historical institutional structures</w:t>
      </w:r>
      <w:r w:rsidRPr="004C4BCF">
        <w:rPr>
          <w:rStyle w:val="FootnoteReference"/>
          <w:rFonts w:ascii="Times New Roman" w:hAnsi="Times New Roman"/>
          <w:sz w:val="24"/>
        </w:rPr>
        <w:footnoteReference w:id="144"/>
      </w:r>
      <w:r w:rsidRPr="004C4BCF">
        <w:rPr>
          <w:rFonts w:ascii="Times New Roman" w:hAnsi="Times New Roman"/>
        </w:rPr>
        <w:t>.</w:t>
      </w:r>
    </w:p>
    <w:p w14:paraId="7F1F6830"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Our inherited system of law and government has not drawn a rigid distinction between judicial power exercised in a civil proceeding and judicial power exercised in a criminal proceeding</w:t>
      </w:r>
      <w:r w:rsidRPr="004C4BCF">
        <w:rPr>
          <w:rStyle w:val="FootnoteReference"/>
          <w:rFonts w:ascii="Times New Roman" w:hAnsi="Times New Roman"/>
          <w:sz w:val="24"/>
        </w:rPr>
        <w:footnoteReference w:id="145"/>
      </w:r>
      <w:r w:rsidRPr="004C4BCF">
        <w:rPr>
          <w:rFonts w:ascii="Times New Roman" w:hAnsi="Times New Roman"/>
        </w:rPr>
        <w:t xml:space="preserve">. </w:t>
      </w:r>
      <w:r w:rsidRPr="004C4BCF">
        <w:rPr>
          <w:rFonts w:ascii="Times New Roman" w:hAnsi="Times New Roman"/>
          <w:color w:val="000000"/>
          <w:shd w:val="clear" w:color="auto" w:fill="FFFFFF"/>
        </w:rPr>
        <w:t xml:space="preserve">Traditionally, however, </w:t>
      </w:r>
      <w:r w:rsidRPr="004C4BCF">
        <w:rPr>
          <w:rFonts w:ascii="Times New Roman" w:hAnsi="Times New Roman"/>
        </w:rPr>
        <w:t xml:space="preserve">an important distinction has been drawn between other exercises of judicial power and the exercise of judicial power that occurs in a proceeding in respect of a matter in </w:t>
      </w:r>
      <w:r w:rsidRPr="004C4BCF">
        <w:rPr>
          <w:rFonts w:ascii="Times New Roman" w:hAnsi="Times New Roman"/>
        </w:rPr>
        <w:lastRenderedPageBreak/>
        <w:t>which the life or liberty of an individual is put in jeopardy</w:t>
      </w:r>
      <w:r w:rsidRPr="004C4BCF">
        <w:rPr>
          <w:rStyle w:val="FootnoteReference"/>
          <w:rFonts w:ascii="Times New Roman" w:hAnsi="Times New Roman"/>
          <w:sz w:val="24"/>
        </w:rPr>
        <w:footnoteReference w:id="146"/>
      </w:r>
      <w:r w:rsidRPr="004C4BCF">
        <w:rPr>
          <w:rFonts w:ascii="Times New Roman" w:hAnsi="Times New Roman"/>
        </w:rPr>
        <w:t xml:space="preserve">. The importance of the distinction is given prominence within Ch III of the </w:t>
      </w:r>
      <w:r w:rsidRPr="004C4BCF">
        <w:rPr>
          <w:rFonts w:ascii="Times New Roman" w:hAnsi="Times New Roman"/>
          <w:i/>
        </w:rPr>
        <w:t xml:space="preserve">Constitution </w:t>
      </w:r>
      <w:r w:rsidRPr="004C4BCF">
        <w:rPr>
          <w:rFonts w:ascii="Times New Roman" w:hAnsi="Times New Roman"/>
        </w:rPr>
        <w:t>in the prescription of s 80 that "[t]he trial on indictment of any offence against any law of the Commonwealth shall be by jury". Traditionally, a p</w:t>
      </w:r>
      <w:r w:rsidRPr="004C4BCF">
        <w:rPr>
          <w:rFonts w:ascii="Times New Roman" w:hAnsi="Times New Roman"/>
          <w:color w:val="000000"/>
          <w:shd w:val="clear" w:color="auto" w:fill="FFFFFF"/>
        </w:rPr>
        <w:t xml:space="preserve">roceeding on indictment is a proceeding in a matter between the State, </w:t>
      </w:r>
      <w:r w:rsidRPr="004C4BCF">
        <w:rPr>
          <w:rFonts w:ascii="Times New Roman" w:hAnsi="Times New Roman"/>
        </w:rPr>
        <w:t>represented by the executive,</w:t>
      </w:r>
      <w:r w:rsidRPr="004C4BCF">
        <w:rPr>
          <w:rFonts w:ascii="Times New Roman" w:hAnsi="Times New Roman"/>
          <w:color w:val="000000"/>
          <w:shd w:val="clear" w:color="auto" w:fill="FFFFFF"/>
        </w:rPr>
        <w:t xml:space="preserve"> and an individual who is a citizen or subject of the State. The </w:t>
      </w:r>
      <w:r w:rsidRPr="004C4BCF">
        <w:rPr>
          <w:rFonts w:ascii="Times New Roman" w:hAnsi="Times New Roman"/>
        </w:rPr>
        <w:t>p</w:t>
      </w:r>
      <w:r w:rsidRPr="004C4BCF">
        <w:rPr>
          <w:rFonts w:ascii="Times New Roman" w:hAnsi="Times New Roman"/>
          <w:color w:val="000000"/>
          <w:shd w:val="clear" w:color="auto" w:fill="FFFFFF"/>
        </w:rPr>
        <w:t>roceeding on indictment is "solemnly determined according to a procedure considered appropriate to the highest crimes by which the State may be affected and the gravest liabilities to which a subject may be exposed"</w:t>
      </w:r>
      <w:r w:rsidRPr="004C4BCF">
        <w:rPr>
          <w:rStyle w:val="FootnoteReference"/>
          <w:rFonts w:ascii="Times New Roman" w:hAnsi="Times New Roman"/>
          <w:color w:val="000000"/>
          <w:sz w:val="24"/>
          <w:shd w:val="clear" w:color="auto" w:fill="FFFFFF"/>
        </w:rPr>
        <w:footnoteReference w:id="147"/>
      </w:r>
      <w:r w:rsidRPr="004C4BCF">
        <w:rPr>
          <w:rFonts w:ascii="Times New Roman" w:hAnsi="Times New Roman"/>
          <w:color w:val="000000"/>
          <w:shd w:val="clear" w:color="auto" w:fill="FFFFFF"/>
        </w:rPr>
        <w:t>.</w:t>
      </w:r>
      <w:r w:rsidRPr="004C4BCF">
        <w:rPr>
          <w:rFonts w:ascii="Times New Roman" w:hAnsi="Times New Roman"/>
        </w:rPr>
        <w:t xml:space="preserve">   </w:t>
      </w:r>
    </w:p>
    <w:p w14:paraId="72ECFD9C"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Trial of an individual for an offence at the instigation of the executive, whether by jury or by judge alone, exhibits features recognised in numerous standard descriptions of judicial power to epitomise judicial power and to define its distinctiveness. The judiciary is called on in the trial to hear and authoritatively determine a controversy about </w:t>
      </w:r>
      <w:r w:rsidRPr="004C4BCF">
        <w:rPr>
          <w:rFonts w:ascii="Times New Roman" w:hAnsi="Times New Roman"/>
          <w:color w:val="000000"/>
          <w:shd w:val="clear" w:color="auto" w:fill="FFFFFF"/>
        </w:rPr>
        <w:t>an existing liability of the individual which is claimed by the executive to arise solely from the operation of some positive law on some past event or conduct</w:t>
      </w:r>
      <w:r w:rsidRPr="004C4BCF">
        <w:rPr>
          <w:rStyle w:val="FootnoteReference"/>
          <w:rFonts w:ascii="Times New Roman" w:hAnsi="Times New Roman"/>
          <w:color w:val="000000"/>
          <w:sz w:val="24"/>
          <w:shd w:val="clear" w:color="auto" w:fill="FFFFFF"/>
        </w:rPr>
        <w:footnoteReference w:id="148"/>
      </w:r>
      <w:r w:rsidRPr="004C4BCF">
        <w:rPr>
          <w:rFonts w:ascii="Times New Roman" w:hAnsi="Times New Roman"/>
          <w:color w:val="000000"/>
          <w:shd w:val="clear" w:color="auto" w:fill="FFFFFF"/>
        </w:rPr>
        <w:t>. Judicial determination of the controversy, whether by conviction or acquittal, creates a "new charter" by reference to which the controversy as to the existence or non-existence of the claimed liability of the individual is thereafter taken to be resolved between the State and the individual</w:t>
      </w:r>
      <w:r w:rsidRPr="004C4BCF">
        <w:rPr>
          <w:rStyle w:val="FootnoteReference"/>
          <w:rFonts w:ascii="Times New Roman" w:hAnsi="Times New Roman"/>
          <w:color w:val="000000"/>
          <w:sz w:val="24"/>
          <w:shd w:val="clear" w:color="auto" w:fill="FFFFFF"/>
        </w:rPr>
        <w:footnoteReference w:id="149"/>
      </w:r>
      <w:r w:rsidRPr="004C4BCF">
        <w:rPr>
          <w:rFonts w:ascii="Times New Roman" w:hAnsi="Times New Roman"/>
          <w:color w:val="000000"/>
          <w:shd w:val="clear" w:color="auto" w:fill="FFFFFF"/>
        </w:rPr>
        <w:t>. Deprivation of the liberty of the individual occurs only if the determination of the controversy is by conviction. Then it occurs only through the judicial pronouncement of a sentence which reflects the penal consequence prescribed by law for the liability determined by the conviction to have arisen from the operation of the positive law on the past event or conduct.</w:t>
      </w:r>
    </w:p>
    <w:p w14:paraId="08CA3366"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lastRenderedPageBreak/>
        <w:tab/>
        <w:t xml:space="preserve">Those standard incidents of the exercise of judicial power in the </w:t>
      </w:r>
      <w:r w:rsidRPr="004C4BCF">
        <w:rPr>
          <w:rFonts w:ascii="Times New Roman" w:hAnsi="Times New Roman"/>
        </w:rPr>
        <w:t>trial of an individual for an offence are "</w:t>
      </w:r>
      <w:r w:rsidRPr="004C4BCF">
        <w:rPr>
          <w:rFonts w:ascii="Times New Roman" w:hAnsi="Times New Roman"/>
          <w:color w:val="000000"/>
          <w:shd w:val="clear" w:color="auto" w:fill="FFFFFF"/>
        </w:rPr>
        <w:t xml:space="preserve">founded on deeply rooted notions of the relationship of the individual to the state going to the character of the national polity created and sustained by the </w:t>
      </w:r>
      <w:r w:rsidRPr="004C4BCF">
        <w:rPr>
          <w:rFonts w:ascii="Times New Roman" w:hAnsi="Times New Roman"/>
          <w:i/>
          <w:color w:val="000000"/>
          <w:shd w:val="clear" w:color="auto" w:fill="FFFFFF"/>
        </w:rPr>
        <w:t>Constitution</w:t>
      </w:r>
      <w:r w:rsidRPr="004C4BCF">
        <w:rPr>
          <w:rFonts w:ascii="Times New Roman" w:hAnsi="Times New Roman"/>
          <w:color w:val="000000"/>
          <w:shd w:val="clear" w:color="auto" w:fill="FFFFFF"/>
        </w:rPr>
        <w:t>"</w:t>
      </w:r>
      <w:r w:rsidRPr="004C4BCF">
        <w:rPr>
          <w:rStyle w:val="FootnoteReference"/>
          <w:rFonts w:ascii="Times New Roman" w:hAnsi="Times New Roman"/>
          <w:color w:val="000000"/>
          <w:sz w:val="24"/>
          <w:shd w:val="clear" w:color="auto" w:fill="FFFFFF"/>
        </w:rPr>
        <w:footnoteReference w:id="150"/>
      </w:r>
      <w:r w:rsidRPr="004C4BCF">
        <w:rPr>
          <w:rFonts w:ascii="Times New Roman" w:hAnsi="Times New Roman"/>
          <w:color w:val="000000"/>
          <w:shd w:val="clear" w:color="auto" w:fill="FFFFFF"/>
        </w:rPr>
        <w:t>. They</w:t>
      </w:r>
      <w:r w:rsidRPr="004C4BCF">
        <w:rPr>
          <w:rFonts w:ascii="Times New Roman" w:hAnsi="Times New Roman"/>
          <w:iCs/>
          <w:color w:val="000000"/>
          <w:shd w:val="clear" w:color="auto" w:fill="FFFFFF"/>
        </w:rPr>
        <w:t xml:space="preserve"> </w:t>
      </w:r>
      <w:r w:rsidRPr="004C4BCF">
        <w:rPr>
          <w:rFonts w:ascii="Times New Roman" w:hAnsi="Times New Roman"/>
        </w:rPr>
        <w:t>render "</w:t>
      </w:r>
      <w:r w:rsidRPr="004C4BCF">
        <w:rPr>
          <w:rFonts w:ascii="Times New Roman" w:hAnsi="Times New Roman"/>
          <w:color w:val="000000"/>
          <w:shd w:val="clear" w:color="auto" w:fill="FFFFFF"/>
        </w:rPr>
        <w:t>beyond dispute that the power to determine whether a person has engaged in conduct which is forbidden by law and, if so, to make a binding and enforceable declaration as to the consequences which the law imposes by reason of that conduct lies at the heart of exclusive judicial power"</w:t>
      </w:r>
      <w:r w:rsidRPr="004C4BCF">
        <w:rPr>
          <w:rStyle w:val="FootnoteReference"/>
          <w:rFonts w:ascii="Times New Roman" w:hAnsi="Times New Roman"/>
          <w:color w:val="000000"/>
          <w:sz w:val="24"/>
          <w:shd w:val="clear" w:color="auto" w:fill="FFFFFF"/>
        </w:rPr>
        <w:footnoteReference w:id="151"/>
      </w:r>
      <w:r w:rsidRPr="004C4BCF">
        <w:rPr>
          <w:rFonts w:ascii="Times New Roman" w:hAnsi="Times New Roman"/>
          <w:color w:val="000000"/>
          <w:shd w:val="clear" w:color="auto" w:fill="FFFFFF"/>
        </w:rPr>
        <w:t>.</w:t>
      </w:r>
      <w:r w:rsidRPr="004C4BCF">
        <w:rPr>
          <w:rFonts w:ascii="Times New Roman" w:hAnsi="Times New Roman"/>
        </w:rPr>
        <w:t xml:space="preserve"> </w:t>
      </w:r>
    </w:p>
    <w:p w14:paraId="50228EEB"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r>
      <w:r w:rsidRPr="004C4BCF">
        <w:rPr>
          <w:rFonts w:ascii="Times New Roman" w:hAnsi="Times New Roman"/>
          <w:color w:val="000000"/>
          <w:shd w:val="clear" w:color="auto" w:fill="FFFFFF"/>
        </w:rPr>
        <w:t xml:space="preserve">The observation in </w:t>
      </w:r>
      <w:r w:rsidRPr="004C4BCF">
        <w:rPr>
          <w:rFonts w:ascii="Times New Roman" w:hAnsi="Times New Roman"/>
          <w:i/>
          <w:color w:val="000000"/>
          <w:shd w:val="clear" w:color="auto" w:fill="FFFFFF"/>
        </w:rPr>
        <w:t>Lim</w:t>
      </w:r>
      <w:r w:rsidRPr="004C4BCF">
        <w:rPr>
          <w:rFonts w:ascii="Times New Roman" w:hAnsi="Times New Roman"/>
          <w:color w:val="000000"/>
          <w:shd w:val="clear" w:color="auto" w:fill="FFFFFF"/>
        </w:rPr>
        <w:t xml:space="preserve"> </w:t>
      </w:r>
      <w:r w:rsidRPr="004C4BCF">
        <w:rPr>
          <w:rFonts w:ascii="Times New Roman" w:hAnsi="Times New Roman"/>
        </w:rPr>
        <w:t>can only be understood</w:t>
      </w:r>
      <w:r w:rsidRPr="004C4BCF">
        <w:rPr>
          <w:rFonts w:ascii="Times New Roman" w:hAnsi="Times New Roman"/>
          <w:color w:val="000000"/>
          <w:shd w:val="clear" w:color="auto" w:fill="FFFFFF"/>
        </w:rPr>
        <w:t xml:space="preserve"> in light of those standard incidents of the exclusively judicial function of adjudging and punishing criminal guilt. </w:t>
      </w:r>
      <w:r w:rsidRPr="004C4BCF">
        <w:rPr>
          <w:rFonts w:ascii="Times New Roman" w:hAnsi="Times New Roman"/>
        </w:rPr>
        <w:t>Although expressed in relation to the position of a "citizen", the observation applies equally to the position of an alien, except perhaps an enemy alien</w:t>
      </w:r>
      <w:r w:rsidRPr="004C4BCF">
        <w:rPr>
          <w:rStyle w:val="FootnoteReference"/>
          <w:rFonts w:ascii="Times New Roman" w:hAnsi="Times New Roman"/>
          <w:sz w:val="24"/>
        </w:rPr>
        <w:footnoteReference w:id="152"/>
      </w:r>
      <w:r w:rsidRPr="004C4BCF">
        <w:rPr>
          <w:rFonts w:ascii="Times New Roman" w:hAnsi="Times New Roman"/>
        </w:rPr>
        <w:t>. The opening part of the observation,</w:t>
      </w:r>
      <w:r w:rsidRPr="004C4BCF">
        <w:rPr>
          <w:rFonts w:ascii="Times New Roman" w:hAnsi="Times New Roman"/>
          <w:i/>
        </w:rPr>
        <w:t xml:space="preserve"> </w:t>
      </w:r>
      <w:r w:rsidRPr="004C4BCF">
        <w:rPr>
          <w:rFonts w:ascii="Times New Roman" w:hAnsi="Times New Roman"/>
        </w:rPr>
        <w:t>that detention in custody is to be characterised as "penal or punitive" other than in "exceptional cases", is inextricably linked to the concluding part of the observation concerning the limited means by which involuntary detention of that character is constitutionally permitted to occur. That the detention is in consequence of an exercise of judicial power is not enough. Necessary, other than in "exceptional cases", is that the detention is in consequence of an exercise of judicial power that amounts to performance of "the exclusively judicial function of adjudging and punishing criminal guilt". The observation is not simply as to a division of power, but as to a limitation on power inherent in that division that is protective of liberty.</w:t>
      </w:r>
    </w:p>
    <w:p w14:paraId="58D1B66B"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Constitutional assignment of the function of imposing penal or punitive detention exclusively to the judicial power protects liberty by preventing detention in custody at the initiative of the executive other than through the agency of an independent and impartial tribunal according to a procedure that is fair and transparent. Constitutional assignment of that function exclusively to an exercise of judicial power involving adjudgment and punishment of criminal guilt further protects liberty by preventing detention in custody other than as </w:t>
      </w:r>
      <w:r w:rsidRPr="004C4BCF">
        <w:rPr>
          <w:rFonts w:ascii="Times New Roman" w:hAnsi="Times New Roman"/>
          <w:color w:val="000000"/>
          <w:shd w:val="clear" w:color="auto" w:fill="FFFFFF"/>
        </w:rPr>
        <w:t xml:space="preserve">the penal </w:t>
      </w:r>
      <w:r w:rsidRPr="004C4BCF">
        <w:rPr>
          <w:rFonts w:ascii="Times New Roman" w:hAnsi="Times New Roman"/>
          <w:color w:val="000000"/>
          <w:shd w:val="clear" w:color="auto" w:fill="FFFFFF"/>
        </w:rPr>
        <w:lastRenderedPageBreak/>
        <w:t xml:space="preserve">consequence prescribed by law </w:t>
      </w:r>
      <w:r w:rsidRPr="004C4BCF">
        <w:rPr>
          <w:rFonts w:ascii="Times New Roman" w:hAnsi="Times New Roman"/>
        </w:rPr>
        <w:t xml:space="preserve">for </w:t>
      </w:r>
      <w:r w:rsidRPr="004C4BCF">
        <w:rPr>
          <w:rFonts w:ascii="Times New Roman" w:hAnsi="Times New Roman"/>
          <w:color w:val="000000"/>
          <w:shd w:val="clear" w:color="auto" w:fill="FFFFFF"/>
        </w:rPr>
        <w:t>an existing liability determined to have arisen from the operation of positive law on past events or conduct.</w:t>
      </w:r>
    </w:p>
    <w:p w14:paraId="00501A0A"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t xml:space="preserve">Default characterisation of </w:t>
      </w:r>
      <w:r w:rsidRPr="004C4BCF">
        <w:rPr>
          <w:rFonts w:ascii="Times New Roman" w:hAnsi="Times New Roman"/>
        </w:rPr>
        <w:t xml:space="preserve">detention in custody as penal or punitive, and therefore as capable of imposition only </w:t>
      </w:r>
      <w:r w:rsidRPr="004C4BCF">
        <w:rPr>
          <w:rFonts w:ascii="Times New Roman" w:hAnsi="Times New Roman"/>
          <w:color w:val="000000"/>
          <w:shd w:val="clear" w:color="auto" w:fill="FFFFFF"/>
        </w:rPr>
        <w:t>through judicial pronouncement of a sentence that gives effect to the prescribed penal consequence for a liability determined to have arisen from the operation of positive law on past events or conduct</w:t>
      </w:r>
      <w:r w:rsidRPr="004C4BCF">
        <w:rPr>
          <w:rStyle w:val="FootnoteReference"/>
          <w:rFonts w:ascii="Times New Roman" w:hAnsi="Times New Roman"/>
          <w:color w:val="000000"/>
          <w:sz w:val="24"/>
          <w:shd w:val="clear" w:color="auto" w:fill="FFFFFF"/>
        </w:rPr>
        <w:footnoteReference w:id="153"/>
      </w:r>
      <w:r w:rsidRPr="004C4BCF">
        <w:rPr>
          <w:rFonts w:ascii="Times New Roman" w:hAnsi="Times New Roman"/>
          <w:color w:val="000000"/>
          <w:shd w:val="clear" w:color="auto" w:fill="FFFFFF"/>
        </w:rPr>
        <w:t xml:space="preserve">, underpins </w:t>
      </w:r>
      <w:r w:rsidRPr="004C4BCF">
        <w:rPr>
          <w:rFonts w:ascii="Times New Roman" w:hAnsi="Times New Roman"/>
        </w:rPr>
        <w:t>the protection of liberty</w:t>
      </w:r>
      <w:r w:rsidRPr="004C4BCF">
        <w:rPr>
          <w:rFonts w:ascii="Times New Roman" w:hAnsi="Times New Roman"/>
          <w:color w:val="000000"/>
          <w:shd w:val="clear" w:color="auto" w:fill="FFFFFF"/>
        </w:rPr>
        <w:t xml:space="preserve"> by demanding constitutional justification for any </w:t>
      </w:r>
      <w:r w:rsidRPr="004C4BCF">
        <w:rPr>
          <w:rFonts w:ascii="Times New Roman" w:hAnsi="Times New Roman"/>
        </w:rPr>
        <w:t>detention in custody to be constitutionally permitted outside that paradigm. Description of cases in which detention in custody outside that paradigm is constitutionally permissible as "exceptional"</w:t>
      </w:r>
      <w:r w:rsidRPr="004C4BCF">
        <w:rPr>
          <w:rStyle w:val="FootnoteReference"/>
          <w:rFonts w:ascii="Times New Roman" w:hAnsi="Times New Roman"/>
          <w:sz w:val="24"/>
        </w:rPr>
        <w:footnoteReference w:id="154"/>
      </w:r>
      <w:r w:rsidRPr="004C4BCF">
        <w:rPr>
          <w:rFonts w:ascii="Times New Roman" w:hAnsi="Times New Roman"/>
        </w:rPr>
        <w:t xml:space="preserve"> emphasises the stringency of the justification required. </w:t>
      </w:r>
    </w:p>
    <w:p w14:paraId="1C03AC14"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The requirement for detention in custody to be justified as exceptional to escape characterisation as penal or punitive operates as a check on legislative and executive power against tendencies long recognised that have been borne out by experience. John Stuart Mill noted that "one of the undisputed functions of government" is "to take precautions against crime before it has been committed, as well as to detect and punish it afterwards". Mill also noted</w:t>
      </w:r>
      <w:r w:rsidRPr="004C4BCF">
        <w:rPr>
          <w:rStyle w:val="FootnoteReference"/>
          <w:rFonts w:ascii="Times New Roman" w:hAnsi="Times New Roman"/>
          <w:sz w:val="24"/>
        </w:rPr>
        <w:footnoteReference w:id="155"/>
      </w:r>
      <w:r w:rsidRPr="004C4BCF">
        <w:rPr>
          <w:rFonts w:ascii="Times New Roman" w:hAnsi="Times New Roman"/>
        </w:rPr>
        <w:t>:</w:t>
      </w:r>
    </w:p>
    <w:p w14:paraId="53ED48D1" w14:textId="77777777" w:rsidR="00CE4181" w:rsidRDefault="00CE4181" w:rsidP="004C4BCF">
      <w:pPr>
        <w:pStyle w:val="leftright"/>
        <w:spacing w:before="0" w:after="260" w:line="280" w:lineRule="exact"/>
        <w:ind w:right="0"/>
        <w:jc w:val="both"/>
        <w:rPr>
          <w:rFonts w:ascii="Times New Roman" w:hAnsi="Times New Roman"/>
        </w:rPr>
      </w:pPr>
      <w:r w:rsidRPr="004C4BCF">
        <w:rPr>
          <w:rFonts w:ascii="Times New Roman" w:hAnsi="Times New Roman"/>
        </w:rPr>
        <w:t xml:space="preserve">"The preventive function of government, however, is far more liable to be abused, to the prejudice of liberty, than the </w:t>
      </w:r>
      <w:proofErr w:type="spellStart"/>
      <w:r w:rsidRPr="004C4BCF">
        <w:rPr>
          <w:rFonts w:ascii="Times New Roman" w:hAnsi="Times New Roman"/>
        </w:rPr>
        <w:t>punitory</w:t>
      </w:r>
      <w:proofErr w:type="spellEnd"/>
      <w:r w:rsidRPr="004C4BCF">
        <w:rPr>
          <w:rFonts w:ascii="Times New Roman" w:hAnsi="Times New Roman"/>
        </w:rPr>
        <w:t xml:space="preserve"> function; for there is hardly any part of the legitimate freedom of action of a human being which would not admit of being represented, and fairly too, as increasing the facilities for some form or other of delinquency."</w:t>
      </w:r>
    </w:p>
    <w:p w14:paraId="510F6213" w14:textId="77777777" w:rsidR="00CE4181" w:rsidRPr="004C4BCF" w:rsidRDefault="00CE4181" w:rsidP="004C4BCF">
      <w:pPr>
        <w:pStyle w:val="NormalBody"/>
        <w:spacing w:after="260" w:line="280" w:lineRule="exact"/>
        <w:ind w:right="0"/>
        <w:jc w:val="both"/>
        <w:rPr>
          <w:rFonts w:ascii="Times New Roman" w:hAnsi="Times New Roman"/>
        </w:rPr>
      </w:pPr>
      <w:r w:rsidRPr="004C4BCF">
        <w:rPr>
          <w:rFonts w:ascii="Times New Roman" w:hAnsi="Times New Roman"/>
        </w:rPr>
        <w:t>To the same effect, Brandeis J, in a "famous dissent"</w:t>
      </w:r>
      <w:r w:rsidRPr="004C4BCF">
        <w:rPr>
          <w:rStyle w:val="FootnoteReference"/>
          <w:rFonts w:ascii="Times New Roman" w:hAnsi="Times New Roman"/>
          <w:sz w:val="24"/>
        </w:rPr>
        <w:footnoteReference w:id="156"/>
      </w:r>
      <w:r w:rsidRPr="004C4BCF">
        <w:rPr>
          <w:rFonts w:ascii="Times New Roman" w:hAnsi="Times New Roman"/>
        </w:rPr>
        <w:t>, said</w:t>
      </w:r>
      <w:r w:rsidRPr="004C4BCF">
        <w:rPr>
          <w:rStyle w:val="FootnoteReference"/>
          <w:rFonts w:ascii="Times New Roman" w:hAnsi="Times New Roman"/>
          <w:sz w:val="24"/>
        </w:rPr>
        <w:footnoteReference w:id="157"/>
      </w:r>
      <w:r w:rsidRPr="004C4BCF">
        <w:rPr>
          <w:rFonts w:ascii="Times New Roman" w:hAnsi="Times New Roman"/>
        </w:rPr>
        <w:t>:</w:t>
      </w:r>
    </w:p>
    <w:p w14:paraId="56325F2C" w14:textId="77777777" w:rsidR="00CE4181" w:rsidRDefault="00CE4181" w:rsidP="004C4BCF">
      <w:pPr>
        <w:pStyle w:val="leftright"/>
        <w:spacing w:before="0" w:after="260" w:line="280" w:lineRule="exact"/>
        <w:ind w:right="0"/>
        <w:jc w:val="both"/>
        <w:rPr>
          <w:rFonts w:ascii="Times New Roman" w:hAnsi="Times New Roman"/>
        </w:rPr>
      </w:pPr>
      <w:r w:rsidRPr="004C4BCF">
        <w:rPr>
          <w:rFonts w:ascii="Times New Roman" w:hAnsi="Times New Roman"/>
        </w:rPr>
        <w:t xml:space="preserve">"Experience should teach us to be most on our guard to protect liberty when the Government's purposes are beneficent. Men born to freedom are naturally alert to repel invasion of their liberty by evil-minded rulers. The </w:t>
      </w:r>
      <w:r w:rsidRPr="004C4BCF">
        <w:rPr>
          <w:rFonts w:ascii="Times New Roman" w:hAnsi="Times New Roman"/>
        </w:rPr>
        <w:lastRenderedPageBreak/>
        <w:t>greatest dangers to liberty lurk in insidious encroachment by men of zeal, well-meaning but without understanding."</w:t>
      </w:r>
    </w:p>
    <w:p w14:paraId="657A06E1"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Categories of exceptional cases of non-punitive detention in custody mentioned in </w:t>
      </w:r>
      <w:r w:rsidRPr="004C4BCF">
        <w:rPr>
          <w:rFonts w:ascii="Times New Roman" w:hAnsi="Times New Roman"/>
          <w:i/>
        </w:rPr>
        <w:t xml:space="preserve">Lim </w:t>
      </w:r>
      <w:r w:rsidRPr="004C4BCF">
        <w:rPr>
          <w:rFonts w:ascii="Times New Roman" w:hAnsi="Times New Roman"/>
        </w:rPr>
        <w:t>included cases of mental illness and infectious disease</w:t>
      </w:r>
      <w:r w:rsidRPr="004C4BCF">
        <w:rPr>
          <w:rStyle w:val="FootnoteReference"/>
          <w:rFonts w:ascii="Times New Roman" w:hAnsi="Times New Roman"/>
          <w:sz w:val="24"/>
        </w:rPr>
        <w:footnoteReference w:id="158"/>
      </w:r>
      <w:r w:rsidRPr="004C4BCF">
        <w:rPr>
          <w:rFonts w:ascii="Times New Roman" w:hAnsi="Times New Roman"/>
        </w:rPr>
        <w:t xml:space="preserve">. The outcome in </w:t>
      </w:r>
      <w:r w:rsidRPr="004C4BCF">
        <w:rPr>
          <w:rFonts w:ascii="Times New Roman" w:hAnsi="Times New Roman"/>
          <w:i/>
          <w:color w:val="000000"/>
          <w:shd w:val="clear" w:color="auto" w:fill="FFFFFF"/>
        </w:rPr>
        <w:t>Lim</w:t>
      </w:r>
      <w:r w:rsidRPr="004C4BCF">
        <w:rPr>
          <w:rFonts w:ascii="Times New Roman" w:hAnsi="Times New Roman"/>
          <w:color w:val="000000"/>
          <w:shd w:val="clear" w:color="auto" w:fill="FFFFFF"/>
        </w:rPr>
        <w:t>, recognising as consistent with Ch III</w:t>
      </w:r>
      <w:r w:rsidRPr="004C4BCF">
        <w:rPr>
          <w:rFonts w:ascii="Times New Roman" w:hAnsi="Times New Roman"/>
        </w:rPr>
        <w:t xml:space="preserve"> conferral of a statutory power </w:t>
      </w:r>
      <w:r w:rsidRPr="004C4BCF">
        <w:rPr>
          <w:rFonts w:ascii="Times New Roman" w:hAnsi="Times New Roman"/>
          <w:color w:val="000000"/>
          <w:shd w:val="clear" w:color="auto" w:fill="FFFFFF"/>
        </w:rPr>
        <w:t>to detain an alien unlawfully in Australia pending either expulsion from Australia or grant of permission to remain in Australia, demonstrates that the categories of exceptional cases are not closed</w:t>
      </w:r>
      <w:r w:rsidRPr="004C4BCF">
        <w:rPr>
          <w:rStyle w:val="FootnoteReference"/>
          <w:rFonts w:ascii="Times New Roman" w:hAnsi="Times New Roman"/>
          <w:color w:val="000000"/>
          <w:sz w:val="24"/>
          <w:shd w:val="clear" w:color="auto" w:fill="FFFFFF"/>
        </w:rPr>
        <w:footnoteReference w:id="159"/>
      </w:r>
      <w:r w:rsidRPr="004C4BCF">
        <w:rPr>
          <w:rFonts w:ascii="Times New Roman" w:hAnsi="Times New Roman"/>
          <w:color w:val="000000"/>
          <w:shd w:val="clear" w:color="auto" w:fill="FFFFFF"/>
        </w:rPr>
        <w:t xml:space="preserve">. </w:t>
      </w:r>
    </w:p>
    <w:p w14:paraId="1566D529"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Detention might in some exceptional cases be authorised consistently with Ch III by Commonwealth legislation conferring on an executive officer a statutory power to detain</w:t>
      </w:r>
      <w:r w:rsidRPr="004C4BCF">
        <w:rPr>
          <w:rStyle w:val="FootnoteReference"/>
          <w:rFonts w:ascii="Times New Roman" w:hAnsi="Times New Roman"/>
          <w:sz w:val="24"/>
        </w:rPr>
        <w:footnoteReference w:id="160"/>
      </w:r>
      <w:r w:rsidRPr="004C4BCF">
        <w:rPr>
          <w:rFonts w:ascii="Times New Roman" w:hAnsi="Times New Roman"/>
        </w:rPr>
        <w:t xml:space="preserve">, exercise of which is subject to judicial review for jurisdictional error by this Court under s 75(v) of the </w:t>
      </w:r>
      <w:r w:rsidRPr="004C4BCF">
        <w:rPr>
          <w:rFonts w:ascii="Times New Roman" w:hAnsi="Times New Roman"/>
          <w:i/>
        </w:rPr>
        <w:t>Constitution</w:t>
      </w:r>
      <w:r w:rsidRPr="004C4BCF">
        <w:rPr>
          <w:rFonts w:ascii="Times New Roman" w:hAnsi="Times New Roman"/>
        </w:rPr>
        <w:t>. Detention might in other exceptional cases be authorised consistently with Ch III by Commonwealth legislation conferring on a court the "double function"</w:t>
      </w:r>
      <w:r w:rsidRPr="004C4BCF">
        <w:rPr>
          <w:rStyle w:val="FootnoteReference"/>
          <w:rFonts w:ascii="Times New Roman" w:hAnsi="Times New Roman"/>
          <w:sz w:val="24"/>
        </w:rPr>
        <w:footnoteReference w:id="161"/>
      </w:r>
      <w:r w:rsidRPr="004C4BCF">
        <w:rPr>
          <w:rFonts w:ascii="Times New Roman" w:hAnsi="Times New Roman"/>
        </w:rPr>
        <w:t xml:space="preserve"> of creating a liability to be detained through an act of adjudication "</w:t>
      </w:r>
      <w:r w:rsidRPr="004C4BCF">
        <w:rPr>
          <w:rFonts w:ascii="Times New Roman" w:hAnsi="Times New Roman"/>
          <w:color w:val="000000"/>
          <w:sz w:val="27"/>
          <w:szCs w:val="27"/>
          <w:shd w:val="clear" w:color="auto" w:fill="FFFFFF"/>
        </w:rPr>
        <w:t>to be exercised according to legal principle or by reference to an objective standard or test prescribed by the legislature and not by reference to [unspecified] policy considerations</w:t>
      </w:r>
      <w:r w:rsidRPr="004C4BCF">
        <w:rPr>
          <w:rFonts w:ascii="Times New Roman" w:hAnsi="Times New Roman"/>
        </w:rPr>
        <w:t>"</w:t>
      </w:r>
      <w:r w:rsidRPr="004C4BCF">
        <w:rPr>
          <w:rStyle w:val="FootnoteReference"/>
          <w:rFonts w:ascii="Times New Roman" w:hAnsi="Times New Roman"/>
          <w:sz w:val="24"/>
        </w:rPr>
        <w:footnoteReference w:id="162"/>
      </w:r>
      <w:r w:rsidRPr="004C4BCF">
        <w:rPr>
          <w:rFonts w:ascii="Times New Roman" w:hAnsi="Times New Roman"/>
        </w:rPr>
        <w:t xml:space="preserve">, exercise of which is subject to appeal to this Court under s 73 of the </w:t>
      </w:r>
      <w:r w:rsidRPr="004C4BCF">
        <w:rPr>
          <w:rFonts w:ascii="Times New Roman" w:hAnsi="Times New Roman"/>
          <w:i/>
        </w:rPr>
        <w:t>Constitution</w:t>
      </w:r>
      <w:r w:rsidRPr="004C4BCF">
        <w:rPr>
          <w:rFonts w:ascii="Times New Roman" w:hAnsi="Times New Roman"/>
        </w:rPr>
        <w:t xml:space="preserve">. </w:t>
      </w:r>
    </w:p>
    <w:p w14:paraId="250C3D32"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t xml:space="preserve">Whether </w:t>
      </w:r>
      <w:r w:rsidRPr="004C4BCF">
        <w:rPr>
          <w:rFonts w:ascii="Times New Roman" w:hAnsi="Times New Roman"/>
        </w:rPr>
        <w:t>conferral on a court of a function of creating a liability to be detained in custody through an act of adjudication</w:t>
      </w:r>
      <w:r w:rsidRPr="004C4BCF">
        <w:rPr>
          <w:rFonts w:ascii="Times New Roman" w:hAnsi="Times New Roman"/>
          <w:color w:val="000000"/>
          <w:shd w:val="clear" w:color="auto" w:fill="FFFFFF"/>
        </w:rPr>
        <w:t xml:space="preserve"> in a novel category of case falls within </w:t>
      </w:r>
      <w:r w:rsidRPr="004C4BCF">
        <w:rPr>
          <w:rFonts w:ascii="Times New Roman" w:hAnsi="Times New Roman"/>
          <w:i/>
          <w:color w:val="000000"/>
          <w:shd w:val="clear" w:color="auto" w:fill="FFFFFF"/>
        </w:rPr>
        <w:t>Lim</w:t>
      </w:r>
      <w:r w:rsidRPr="004C4BCF">
        <w:rPr>
          <w:rFonts w:ascii="Times New Roman" w:hAnsi="Times New Roman"/>
          <w:color w:val="000000"/>
          <w:shd w:val="clear" w:color="auto" w:fill="FFFFFF"/>
        </w:rPr>
        <w:t xml:space="preserve">'s reference to "exceptional cases" turns on the constitutional acceptability of the justification for that conferral. Evaluation of a proffered justification must proceed upon an acceptance that the </w:t>
      </w:r>
      <w:r w:rsidRPr="004C4BCF">
        <w:rPr>
          <w:rFonts w:ascii="Times New Roman" w:hAnsi="Times New Roman"/>
          <w:i/>
          <w:color w:val="000000"/>
          <w:shd w:val="clear" w:color="auto" w:fill="FFFFFF"/>
        </w:rPr>
        <w:t xml:space="preserve">Constitution </w:t>
      </w:r>
      <w:r w:rsidRPr="004C4BCF">
        <w:rPr>
          <w:rFonts w:ascii="Times New Roman" w:hAnsi="Times New Roman"/>
          <w:color w:val="000000"/>
          <w:shd w:val="clear" w:color="auto" w:fill="FFFFFF"/>
        </w:rPr>
        <w:t xml:space="preserve">was framed as "an instrument of government meant to endure and conferring powers expressed </w:t>
      </w:r>
      <w:r w:rsidRPr="004C4BCF">
        <w:rPr>
          <w:rFonts w:ascii="Times New Roman" w:hAnsi="Times New Roman"/>
          <w:color w:val="000000"/>
          <w:shd w:val="clear" w:color="auto" w:fill="FFFFFF"/>
        </w:rPr>
        <w:lastRenderedPageBreak/>
        <w:t>in general propositions wide enough to be capable of flexible application to changing circumstances"</w:t>
      </w:r>
      <w:r w:rsidRPr="004C4BCF">
        <w:rPr>
          <w:rStyle w:val="FootnoteReference"/>
          <w:rFonts w:ascii="Times New Roman" w:hAnsi="Times New Roman"/>
          <w:color w:val="000000"/>
          <w:sz w:val="24"/>
          <w:shd w:val="clear" w:color="auto" w:fill="FFFFFF"/>
        </w:rPr>
        <w:footnoteReference w:id="163"/>
      </w:r>
      <w:r w:rsidRPr="004C4BCF">
        <w:rPr>
          <w:rFonts w:ascii="Times New Roman" w:hAnsi="Times New Roman"/>
          <w:color w:val="000000"/>
          <w:shd w:val="clear" w:color="auto" w:fill="FFFFFF"/>
        </w:rPr>
        <w:t xml:space="preserve"> and must be sensitive to the reality that "the exercise of powers, independently, impartially and judicially, especially when such powers affect the liberty of the individual, would ordinarily be regarded as a good thing, not something to be avoided"</w:t>
      </w:r>
      <w:r w:rsidRPr="004C4BCF">
        <w:rPr>
          <w:rStyle w:val="FootnoteReference"/>
          <w:rFonts w:ascii="Times New Roman" w:hAnsi="Times New Roman"/>
          <w:color w:val="000000"/>
          <w:sz w:val="24"/>
          <w:shd w:val="clear" w:color="auto" w:fill="FFFFFF"/>
        </w:rPr>
        <w:footnoteReference w:id="164"/>
      </w:r>
      <w:r w:rsidRPr="004C4BCF">
        <w:rPr>
          <w:rFonts w:ascii="Times New Roman" w:hAnsi="Times New Roman"/>
          <w:color w:val="000000"/>
          <w:shd w:val="clear" w:color="auto" w:fill="FFFFFF"/>
        </w:rPr>
        <w:t>.</w:t>
      </w:r>
    </w:p>
    <w:p w14:paraId="61945C96"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t>Essential to acceptance of any proffered justification for any detention in custody otherwise than as a result of adjudgment and punishment of criminal guilt, however, must be that the detention authorised is "reasonably capable of being seen as necessary for a legitimate non-punitive objective"</w:t>
      </w:r>
      <w:r w:rsidRPr="004C4BCF">
        <w:rPr>
          <w:rStyle w:val="FootnoteReference"/>
          <w:rFonts w:ascii="Times New Roman" w:hAnsi="Times New Roman"/>
          <w:color w:val="000000"/>
          <w:sz w:val="24"/>
          <w:shd w:val="clear" w:color="auto" w:fill="FFFFFF"/>
        </w:rPr>
        <w:footnoteReference w:id="165"/>
      </w:r>
      <w:r w:rsidRPr="004C4BCF">
        <w:rPr>
          <w:rFonts w:ascii="Times New Roman" w:hAnsi="Times New Roman"/>
          <w:color w:val="000000"/>
          <w:shd w:val="clear" w:color="auto" w:fill="FFFFFF"/>
        </w:rPr>
        <w:t>.</w:t>
      </w:r>
      <w:r w:rsidRPr="004C4BCF">
        <w:rPr>
          <w:rFonts w:ascii="Times New Roman" w:hAnsi="Times New Roman"/>
        </w:rPr>
        <w:t xml:space="preserve"> </w:t>
      </w:r>
      <w:r w:rsidRPr="004C4BCF">
        <w:rPr>
          <w:rFonts w:ascii="Times New Roman" w:hAnsi="Times New Roman"/>
          <w:color w:val="000000"/>
          <w:shd w:val="clear" w:color="auto" w:fill="FFFFFF"/>
        </w:rPr>
        <w:t>Here, as elsewhere in constitutional law, the legislative objective is what the impugned law is designed to achieve in fact</w:t>
      </w:r>
      <w:r w:rsidRPr="004C4BCF">
        <w:rPr>
          <w:rStyle w:val="FootnoteReference"/>
          <w:rFonts w:ascii="Times New Roman" w:hAnsi="Times New Roman"/>
          <w:color w:val="000000"/>
          <w:sz w:val="24"/>
          <w:shd w:val="clear" w:color="auto" w:fill="FFFFFF"/>
        </w:rPr>
        <w:footnoteReference w:id="166"/>
      </w:r>
      <w:r w:rsidRPr="004C4BCF">
        <w:rPr>
          <w:rFonts w:ascii="Times New Roman" w:hAnsi="Times New Roman"/>
          <w:color w:val="000000"/>
          <w:shd w:val="clear" w:color="auto" w:fill="FFFFFF"/>
        </w:rPr>
        <w:t>. Here, as elsewhere in constitutional law, the legitimacy of the legislative objective falls to be determined by reference to the compatibility of what the impugned law is designed to achieve in fact with values protected by the constitutional principle to be applied</w:t>
      </w:r>
      <w:r w:rsidRPr="004C4BCF">
        <w:rPr>
          <w:rStyle w:val="FootnoteReference"/>
          <w:rFonts w:ascii="Times New Roman" w:hAnsi="Times New Roman"/>
          <w:color w:val="000000"/>
          <w:sz w:val="24"/>
          <w:shd w:val="clear" w:color="auto" w:fill="FFFFFF"/>
        </w:rPr>
        <w:footnoteReference w:id="167"/>
      </w:r>
      <w:r w:rsidRPr="004C4BCF">
        <w:rPr>
          <w:rFonts w:ascii="Times New Roman" w:hAnsi="Times New Roman"/>
          <w:color w:val="000000"/>
          <w:shd w:val="clear" w:color="auto" w:fill="FFFFFF"/>
        </w:rPr>
        <w:t>. And here, as elsewhere in constitutional law, the "concern is with substance and not mere form"</w:t>
      </w:r>
      <w:r w:rsidRPr="004C4BCF">
        <w:rPr>
          <w:rStyle w:val="FootnoteReference"/>
          <w:rFonts w:ascii="Times New Roman" w:hAnsi="Times New Roman"/>
          <w:color w:val="000000"/>
          <w:sz w:val="24"/>
          <w:shd w:val="clear" w:color="auto" w:fill="FFFFFF"/>
        </w:rPr>
        <w:footnoteReference w:id="168"/>
      </w:r>
      <w:r w:rsidRPr="004C4BCF">
        <w:rPr>
          <w:rFonts w:ascii="Times New Roman" w:hAnsi="Times New Roman"/>
          <w:color w:val="000000"/>
          <w:shd w:val="clear" w:color="auto" w:fill="FFFFFF"/>
        </w:rPr>
        <w:t>.</w:t>
      </w:r>
    </w:p>
    <w:p w14:paraId="13B0D3E4"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t xml:space="preserve">Prevention of harm is a legitimate non-punitive objective, at least where the harm is grave and specific. Mere prevention of commission of a criminal offence is not. Both of those propositions are illustrated by the reasoning in </w:t>
      </w:r>
      <w:proofErr w:type="spellStart"/>
      <w:r w:rsidRPr="004C4BCF">
        <w:rPr>
          <w:rFonts w:ascii="Times New Roman" w:hAnsi="Times New Roman"/>
          <w:i/>
          <w:color w:val="000000"/>
          <w:shd w:val="clear" w:color="auto" w:fill="FFFFFF"/>
        </w:rPr>
        <w:t>Fardon</w:t>
      </w:r>
      <w:proofErr w:type="spellEnd"/>
      <w:r w:rsidRPr="004C4BCF">
        <w:rPr>
          <w:rFonts w:ascii="Times New Roman" w:hAnsi="Times New Roman"/>
          <w:color w:val="000000"/>
          <w:shd w:val="clear" w:color="auto" w:fill="FFFFFF"/>
        </w:rPr>
        <w:t>, to which I now turn.</w:t>
      </w:r>
    </w:p>
    <w:p w14:paraId="01BD8CCD" w14:textId="77777777" w:rsidR="00CE4181" w:rsidRPr="004C4BCF" w:rsidRDefault="00CE4181" w:rsidP="004C4BCF">
      <w:pPr>
        <w:pStyle w:val="HeadingL1"/>
        <w:spacing w:after="260" w:line="280" w:lineRule="exact"/>
        <w:ind w:right="0"/>
        <w:jc w:val="both"/>
        <w:rPr>
          <w:rFonts w:ascii="Times New Roman" w:hAnsi="Times New Roman"/>
          <w:i/>
        </w:rPr>
      </w:pPr>
      <w:proofErr w:type="spellStart"/>
      <w:r w:rsidRPr="004C4BCF">
        <w:rPr>
          <w:rFonts w:ascii="Times New Roman" w:hAnsi="Times New Roman"/>
          <w:i/>
          <w:shd w:val="clear" w:color="auto" w:fill="FFFFFF"/>
        </w:rPr>
        <w:lastRenderedPageBreak/>
        <w:t>Fardon</w:t>
      </w:r>
      <w:proofErr w:type="spellEnd"/>
    </w:p>
    <w:p w14:paraId="5FCF4613"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t xml:space="preserve">Ultimately in issue in </w:t>
      </w:r>
      <w:proofErr w:type="spellStart"/>
      <w:r w:rsidRPr="004C4BCF">
        <w:rPr>
          <w:rFonts w:ascii="Times New Roman" w:hAnsi="Times New Roman"/>
          <w:i/>
          <w:color w:val="000000"/>
          <w:shd w:val="clear" w:color="auto" w:fill="FFFFFF"/>
        </w:rPr>
        <w:t>Fardon</w:t>
      </w:r>
      <w:proofErr w:type="spellEnd"/>
      <w:r w:rsidRPr="004C4BCF">
        <w:rPr>
          <w:rFonts w:ascii="Times New Roman" w:hAnsi="Times New Roman"/>
          <w:i/>
          <w:color w:val="000000"/>
          <w:shd w:val="clear" w:color="auto" w:fill="FFFFFF"/>
        </w:rPr>
        <w:t xml:space="preserve"> </w:t>
      </w:r>
      <w:r w:rsidRPr="004C4BCF">
        <w:rPr>
          <w:rFonts w:ascii="Times New Roman" w:hAnsi="Times New Roman"/>
          <w:color w:val="000000"/>
          <w:shd w:val="clear" w:color="auto" w:fill="FFFFFF"/>
        </w:rPr>
        <w:t xml:space="preserve">was compatibility with Ch III of conferral on the Supreme Court of Queensland by the Parliament of Queensland </w:t>
      </w:r>
      <w:r w:rsidRPr="004C4BCF">
        <w:rPr>
          <w:rFonts w:ascii="Times New Roman" w:hAnsi="Times New Roman"/>
        </w:rPr>
        <w:t xml:space="preserve">of power to order continuing detention of a prisoner who </w:t>
      </w:r>
      <w:r w:rsidRPr="004C4BCF">
        <w:rPr>
          <w:rFonts w:ascii="Times New Roman" w:hAnsi="Times New Roman"/>
          <w:color w:val="000000"/>
          <w:shd w:val="clear" w:color="auto" w:fill="FFFFFF"/>
        </w:rPr>
        <w:t>the Supreme Court was satisfied was a "serious danger to the community" by reason of there being "an unacceptable risk" that the prisoner would commit "an offence of a sexual nature ... involving violence [or] against children" if released from custody</w:t>
      </w:r>
      <w:r w:rsidRPr="004C4BCF">
        <w:rPr>
          <w:rStyle w:val="FootnoteReference"/>
          <w:rFonts w:ascii="Times New Roman" w:hAnsi="Times New Roman"/>
          <w:color w:val="000000"/>
          <w:sz w:val="24"/>
          <w:shd w:val="clear" w:color="auto" w:fill="FFFFFF"/>
        </w:rPr>
        <w:footnoteReference w:id="169"/>
      </w:r>
      <w:r w:rsidRPr="004C4BCF">
        <w:rPr>
          <w:rFonts w:ascii="Times New Roman" w:hAnsi="Times New Roman"/>
          <w:color w:val="000000"/>
          <w:shd w:val="clear" w:color="auto" w:fill="FFFFFF"/>
        </w:rPr>
        <w:t xml:space="preserve">. </w:t>
      </w:r>
      <w:r w:rsidRPr="004C4BCF">
        <w:rPr>
          <w:rFonts w:ascii="Times New Roman" w:hAnsi="Times New Roman"/>
        </w:rPr>
        <w:t>C</w:t>
      </w:r>
      <w:r w:rsidRPr="004C4BCF">
        <w:rPr>
          <w:rFonts w:ascii="Times New Roman" w:hAnsi="Times New Roman"/>
          <w:color w:val="000000"/>
          <w:shd w:val="clear" w:color="auto" w:fill="FFFFFF"/>
        </w:rPr>
        <w:t>ompatibility with Ch</w:t>
      </w:r>
      <w:r>
        <w:rPr>
          <w:rFonts w:ascii="Times New Roman" w:hAnsi="Times New Roman"/>
          <w:color w:val="000000"/>
          <w:shd w:val="clear" w:color="auto" w:fill="FFFFFF"/>
        </w:rPr>
        <w:t> </w:t>
      </w:r>
      <w:r w:rsidRPr="004C4BCF">
        <w:rPr>
          <w:rFonts w:ascii="Times New Roman" w:hAnsi="Times New Roman"/>
          <w:color w:val="000000"/>
          <w:shd w:val="clear" w:color="auto" w:fill="FFFFFF"/>
        </w:rPr>
        <w:t>III</w:t>
      </w:r>
      <w:r w:rsidRPr="004C4BCF">
        <w:rPr>
          <w:rFonts w:ascii="Times New Roman" w:hAnsi="Times New Roman"/>
          <w:i/>
          <w:color w:val="000000"/>
          <w:shd w:val="clear" w:color="auto" w:fill="FFFFFF"/>
        </w:rPr>
        <w:t xml:space="preserve"> </w:t>
      </w:r>
      <w:r w:rsidRPr="004C4BCF">
        <w:rPr>
          <w:rFonts w:ascii="Times New Roman" w:hAnsi="Times New Roman"/>
          <w:color w:val="000000"/>
          <w:shd w:val="clear" w:color="auto" w:fill="FFFFFF"/>
        </w:rPr>
        <w:t xml:space="preserve">fell to be determined by reference to the principle in </w:t>
      </w:r>
      <w:r w:rsidRPr="004C4BCF">
        <w:rPr>
          <w:rFonts w:ascii="Times New Roman" w:hAnsi="Times New Roman"/>
          <w:i/>
          <w:iCs/>
          <w:color w:val="000000"/>
          <w:shd w:val="clear" w:color="auto" w:fill="FFFFFF"/>
        </w:rPr>
        <w:t>Kable v Director of Public Prosecutions (NSW)</w:t>
      </w:r>
      <w:r w:rsidRPr="004C4BCF">
        <w:rPr>
          <w:rStyle w:val="FootnoteReference"/>
          <w:rFonts w:ascii="Times New Roman" w:hAnsi="Times New Roman"/>
          <w:iCs/>
          <w:color w:val="000000"/>
          <w:sz w:val="24"/>
          <w:shd w:val="clear" w:color="auto" w:fill="FFFFFF"/>
        </w:rPr>
        <w:footnoteReference w:id="170"/>
      </w:r>
      <w:r w:rsidRPr="004C4BCF">
        <w:rPr>
          <w:rFonts w:ascii="Times New Roman" w:hAnsi="Times New Roman"/>
          <w:iCs/>
          <w:color w:val="000000"/>
          <w:shd w:val="clear" w:color="auto" w:fill="FFFFFF"/>
        </w:rPr>
        <w:t>.</w:t>
      </w:r>
    </w:p>
    <w:p w14:paraId="2DC02A30"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iCs/>
          <w:color w:val="000000"/>
          <w:shd w:val="clear" w:color="auto" w:fill="FFFFFF"/>
        </w:rPr>
        <w:tab/>
        <w:t xml:space="preserve">Stated at its highest level of generality, the </w:t>
      </w:r>
      <w:r w:rsidRPr="004C4BCF">
        <w:rPr>
          <w:rFonts w:ascii="Times New Roman" w:hAnsi="Times New Roman"/>
          <w:i/>
          <w:iCs/>
          <w:color w:val="000000"/>
          <w:shd w:val="clear" w:color="auto" w:fill="FFFFFF"/>
        </w:rPr>
        <w:t>Kable</w:t>
      </w:r>
      <w:r w:rsidRPr="004C4BCF">
        <w:rPr>
          <w:rFonts w:ascii="Times New Roman" w:hAnsi="Times New Roman"/>
          <w:color w:val="000000"/>
          <w:shd w:val="clear" w:color="auto" w:fill="FFFFFF"/>
        </w:rPr>
        <w:t xml:space="preserve"> principle </w:t>
      </w:r>
      <w:r w:rsidRPr="004C4BCF">
        <w:rPr>
          <w:rFonts w:ascii="Times New Roman" w:hAnsi="Times New Roman"/>
          <w:iCs/>
          <w:color w:val="000000"/>
          <w:shd w:val="clear" w:color="auto" w:fill="FFFFFF"/>
        </w:rPr>
        <w:t>is that Ch III implies that a "court" of a State or Territory must be and be seen to be an independent and impartial tribunal in order to be an available repository of the judicial power of the Commonwealth</w:t>
      </w:r>
      <w:r w:rsidRPr="004C4BCF">
        <w:rPr>
          <w:rStyle w:val="FootnoteReference"/>
          <w:rFonts w:ascii="Times New Roman" w:hAnsi="Times New Roman"/>
          <w:iCs/>
          <w:color w:val="000000"/>
          <w:sz w:val="24"/>
          <w:shd w:val="clear" w:color="auto" w:fill="FFFFFF"/>
        </w:rPr>
        <w:footnoteReference w:id="171"/>
      </w:r>
      <w:r w:rsidRPr="004C4BCF">
        <w:rPr>
          <w:rFonts w:ascii="Times New Roman" w:hAnsi="Times New Roman"/>
          <w:iCs/>
          <w:color w:val="000000"/>
          <w:shd w:val="clear" w:color="auto" w:fill="FFFFFF"/>
        </w:rPr>
        <w:t>. No part of the principle is to deny the validity of conferral on a State or Territory court by State or Territory legislation of a function merely because performance of that function would involve the court in an exercise of non-judicial power</w:t>
      </w:r>
      <w:r w:rsidRPr="004C4BCF">
        <w:rPr>
          <w:rStyle w:val="FootnoteReference"/>
          <w:rFonts w:ascii="Times New Roman" w:hAnsi="Times New Roman"/>
          <w:iCs/>
          <w:color w:val="000000"/>
          <w:sz w:val="24"/>
          <w:shd w:val="clear" w:color="auto" w:fill="FFFFFF"/>
        </w:rPr>
        <w:footnoteReference w:id="172"/>
      </w:r>
      <w:r w:rsidRPr="004C4BCF">
        <w:rPr>
          <w:rFonts w:ascii="Times New Roman" w:hAnsi="Times New Roman"/>
          <w:iCs/>
          <w:color w:val="000000"/>
          <w:shd w:val="clear" w:color="auto" w:fill="FFFFFF"/>
        </w:rPr>
        <w:t>.</w:t>
      </w:r>
    </w:p>
    <w:p w14:paraId="401F3167"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iCs/>
          <w:color w:val="000000"/>
          <w:shd w:val="clear" w:color="auto" w:fill="FFFFFF"/>
        </w:rPr>
        <w:tab/>
        <w:t xml:space="preserve">The </w:t>
      </w:r>
      <w:r w:rsidRPr="004C4BCF">
        <w:rPr>
          <w:rFonts w:ascii="Times New Roman" w:hAnsi="Times New Roman"/>
          <w:i/>
          <w:iCs/>
          <w:color w:val="000000"/>
          <w:shd w:val="clear" w:color="auto" w:fill="FFFFFF"/>
        </w:rPr>
        <w:t>Kable</w:t>
      </w:r>
      <w:r w:rsidRPr="004C4BCF">
        <w:rPr>
          <w:rFonts w:ascii="Times New Roman" w:hAnsi="Times New Roman"/>
          <w:iCs/>
          <w:color w:val="000000"/>
          <w:shd w:val="clear" w:color="auto" w:fill="FFFFFF"/>
        </w:rPr>
        <w:t xml:space="preserve"> principle is infringed by purported conferral on a State or Territory court or judicial officer by State or Territory legislation of any function</w:t>
      </w:r>
      <w:r>
        <w:rPr>
          <w:rFonts w:ascii="Times New Roman" w:hAnsi="Times New Roman"/>
          <w:iCs/>
          <w:color w:val="000000"/>
          <w:shd w:val="clear" w:color="auto" w:fill="FFFFFF"/>
        </w:rPr>
        <w:t> </w:t>
      </w:r>
      <w:r w:rsidRPr="004C4BCF">
        <w:rPr>
          <w:rFonts w:ascii="Times New Roman" w:hAnsi="Times New Roman"/>
          <w:iCs/>
          <w:color w:val="000000"/>
          <w:shd w:val="clear" w:color="auto" w:fill="FFFFFF"/>
        </w:rPr>
        <w:sym w:font="Symbol" w:char="F02D"/>
      </w:r>
      <w:r w:rsidRPr="004C4BCF">
        <w:rPr>
          <w:rFonts w:ascii="Times New Roman" w:hAnsi="Times New Roman"/>
          <w:iCs/>
          <w:color w:val="000000"/>
          <w:shd w:val="clear" w:color="auto" w:fill="FFFFFF"/>
        </w:rPr>
        <w:t xml:space="preserve"> whether judicial</w:t>
      </w:r>
      <w:r w:rsidRPr="004C4BCF">
        <w:rPr>
          <w:rStyle w:val="FootnoteReference"/>
          <w:rFonts w:ascii="Times New Roman" w:hAnsi="Times New Roman"/>
          <w:iCs/>
          <w:color w:val="000000"/>
          <w:sz w:val="24"/>
          <w:shd w:val="clear" w:color="auto" w:fill="FFFFFF"/>
        </w:rPr>
        <w:footnoteReference w:id="173"/>
      </w:r>
      <w:r w:rsidRPr="004C4BCF">
        <w:rPr>
          <w:rFonts w:ascii="Times New Roman" w:hAnsi="Times New Roman"/>
          <w:iCs/>
          <w:color w:val="000000"/>
          <w:shd w:val="clear" w:color="auto" w:fill="FFFFFF"/>
        </w:rPr>
        <w:t xml:space="preserve"> or non-judicial</w:t>
      </w:r>
      <w:r w:rsidRPr="004C4BCF">
        <w:rPr>
          <w:rStyle w:val="FootnoteReference"/>
          <w:rFonts w:ascii="Times New Roman" w:hAnsi="Times New Roman"/>
          <w:iCs/>
          <w:color w:val="000000"/>
          <w:sz w:val="24"/>
          <w:shd w:val="clear" w:color="auto" w:fill="FFFFFF"/>
        </w:rPr>
        <w:footnoteReference w:id="174"/>
      </w:r>
      <w:r w:rsidRPr="004C4BCF">
        <w:rPr>
          <w:rFonts w:ascii="Times New Roman" w:hAnsi="Times New Roman"/>
          <w:iCs/>
          <w:color w:val="000000"/>
          <w:shd w:val="clear" w:color="auto" w:fill="FFFFFF"/>
        </w:rPr>
        <w:t xml:space="preserve"> </w:t>
      </w:r>
      <w:r w:rsidRPr="004C4BCF">
        <w:rPr>
          <w:rFonts w:ascii="Times New Roman" w:hAnsi="Times New Roman"/>
          <w:iCs/>
          <w:color w:val="000000"/>
          <w:shd w:val="clear" w:color="auto" w:fill="FFFFFF"/>
        </w:rPr>
        <w:sym w:font="Symbol" w:char="F02D"/>
      </w:r>
      <w:r w:rsidRPr="004C4BCF">
        <w:rPr>
          <w:rFonts w:ascii="Times New Roman" w:hAnsi="Times New Roman"/>
          <w:iCs/>
          <w:color w:val="000000"/>
          <w:shd w:val="clear" w:color="auto" w:fill="FFFFFF"/>
        </w:rPr>
        <w:t xml:space="preserve"> which "substantially impairs" the "institutional integrity" of the court</w:t>
      </w:r>
      <w:r w:rsidRPr="004C4BCF">
        <w:rPr>
          <w:rStyle w:val="FootnoteReference"/>
          <w:rFonts w:ascii="Times New Roman" w:hAnsi="Times New Roman"/>
          <w:iCs/>
          <w:color w:val="000000"/>
          <w:sz w:val="24"/>
          <w:shd w:val="clear" w:color="auto" w:fill="FFFFFF"/>
        </w:rPr>
        <w:footnoteReference w:id="175"/>
      </w:r>
      <w:r w:rsidRPr="004C4BCF">
        <w:rPr>
          <w:rFonts w:ascii="Times New Roman" w:hAnsi="Times New Roman"/>
          <w:iCs/>
          <w:color w:val="000000"/>
          <w:shd w:val="clear" w:color="auto" w:fill="FFFFFF"/>
        </w:rPr>
        <w:t xml:space="preserve">. Because the limitation placed by the principle on State and Territory legislative power is less </w:t>
      </w:r>
      <w:r w:rsidRPr="004C4BCF">
        <w:rPr>
          <w:rFonts w:ascii="Times New Roman" w:hAnsi="Times New Roman"/>
          <w:iCs/>
          <w:color w:val="000000"/>
          <w:shd w:val="clear" w:color="auto" w:fill="FFFFFF"/>
        </w:rPr>
        <w:sym w:font="Symbol" w:char="F02D"/>
      </w:r>
      <w:r w:rsidRPr="004C4BCF">
        <w:rPr>
          <w:rFonts w:ascii="Times New Roman" w:hAnsi="Times New Roman"/>
          <w:iCs/>
          <w:color w:val="000000"/>
          <w:shd w:val="clear" w:color="auto" w:fill="FFFFFF"/>
        </w:rPr>
        <w:t xml:space="preserve"> not greater </w:t>
      </w:r>
      <w:r w:rsidRPr="004C4BCF">
        <w:rPr>
          <w:rFonts w:ascii="Times New Roman" w:hAnsi="Times New Roman"/>
          <w:iCs/>
          <w:color w:val="000000"/>
          <w:shd w:val="clear" w:color="auto" w:fill="FFFFFF"/>
        </w:rPr>
        <w:sym w:font="Symbol" w:char="F02D"/>
      </w:r>
      <w:r w:rsidRPr="004C4BCF">
        <w:rPr>
          <w:rFonts w:ascii="Times New Roman" w:hAnsi="Times New Roman"/>
          <w:iCs/>
          <w:color w:val="000000"/>
          <w:shd w:val="clear" w:color="auto" w:fill="FFFFFF"/>
        </w:rPr>
        <w:t xml:space="preserve"> than that </w:t>
      </w:r>
      <w:r w:rsidRPr="004C4BCF">
        <w:rPr>
          <w:rFonts w:ascii="Times New Roman" w:hAnsi="Times New Roman"/>
          <w:iCs/>
          <w:color w:val="000000"/>
          <w:shd w:val="clear" w:color="auto" w:fill="FFFFFF"/>
        </w:rPr>
        <w:lastRenderedPageBreak/>
        <w:t>placed on Commonwealth legislative power, the principle cannot be infringed by a State or Territory law unless a hypothetical Commonwealth law conferring the same function would also be invalid as incompatible with Ch III</w:t>
      </w:r>
      <w:r w:rsidRPr="004C4BCF">
        <w:rPr>
          <w:rStyle w:val="FootnoteReference"/>
          <w:rFonts w:ascii="Times New Roman" w:hAnsi="Times New Roman"/>
          <w:iCs/>
          <w:color w:val="000000"/>
          <w:sz w:val="24"/>
          <w:shd w:val="clear" w:color="auto" w:fill="FFFFFF"/>
        </w:rPr>
        <w:footnoteReference w:id="176"/>
      </w:r>
      <w:r w:rsidRPr="004C4BCF">
        <w:rPr>
          <w:rFonts w:ascii="Times New Roman" w:hAnsi="Times New Roman"/>
          <w:iCs/>
          <w:color w:val="000000"/>
          <w:shd w:val="clear" w:color="auto" w:fill="FFFFFF"/>
        </w:rPr>
        <w:t xml:space="preserve">. </w:t>
      </w:r>
    </w:p>
    <w:p w14:paraId="07B71E94"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That was the context in which the Attorney-General of the Commonwealth, intervening in </w:t>
      </w:r>
      <w:proofErr w:type="spellStart"/>
      <w:r w:rsidRPr="004C4BCF">
        <w:rPr>
          <w:rFonts w:ascii="Times New Roman" w:hAnsi="Times New Roman"/>
          <w:i/>
          <w:color w:val="000000"/>
          <w:shd w:val="clear" w:color="auto" w:fill="FFFFFF"/>
        </w:rPr>
        <w:t>Fardon</w:t>
      </w:r>
      <w:proofErr w:type="spellEnd"/>
      <w:r w:rsidRPr="004C4BCF">
        <w:rPr>
          <w:rFonts w:ascii="Times New Roman" w:hAnsi="Times New Roman"/>
          <w:color w:val="000000"/>
          <w:shd w:val="clear" w:color="auto" w:fill="FFFFFF"/>
        </w:rPr>
        <w:t xml:space="preserve">, advanced the argument that the </w:t>
      </w:r>
      <w:r w:rsidRPr="004C4BCF">
        <w:rPr>
          <w:rFonts w:ascii="Times New Roman" w:hAnsi="Times New Roman"/>
        </w:rPr>
        <w:t xml:space="preserve">power to order continuing detention of a prisoner conferred by the State law in issue could have been conferred by </w:t>
      </w:r>
      <w:r w:rsidRPr="004C4BCF">
        <w:rPr>
          <w:rFonts w:ascii="Times New Roman" w:hAnsi="Times New Roman"/>
          <w:iCs/>
          <w:color w:val="000000"/>
          <w:shd w:val="clear" w:color="auto" w:fill="FFFFFF"/>
        </w:rPr>
        <w:t>a hypothetical Commonwealth law enacted under s 77(iii)</w:t>
      </w:r>
      <w:r w:rsidRPr="004C4BCF">
        <w:rPr>
          <w:rStyle w:val="FootnoteReference"/>
          <w:rFonts w:ascii="Times New Roman" w:hAnsi="Times New Roman"/>
          <w:iCs/>
          <w:color w:val="000000"/>
          <w:sz w:val="24"/>
          <w:shd w:val="clear" w:color="auto" w:fill="FFFFFF"/>
        </w:rPr>
        <w:footnoteReference w:id="177"/>
      </w:r>
      <w:r w:rsidRPr="004C4BCF">
        <w:rPr>
          <w:rFonts w:ascii="Times New Roman" w:hAnsi="Times New Roman"/>
          <w:iCs/>
          <w:color w:val="000000"/>
          <w:shd w:val="clear" w:color="auto" w:fill="FFFFFF"/>
        </w:rPr>
        <w:t>. The argument was squarely addressed only by Gummow J, with whom Kirby J in dissent agreed</w:t>
      </w:r>
      <w:r w:rsidRPr="004C4BCF">
        <w:rPr>
          <w:rStyle w:val="FootnoteReference"/>
          <w:rFonts w:ascii="Times New Roman" w:hAnsi="Times New Roman"/>
          <w:iCs/>
          <w:color w:val="000000"/>
          <w:sz w:val="24"/>
          <w:shd w:val="clear" w:color="auto" w:fill="FFFFFF"/>
        </w:rPr>
        <w:footnoteReference w:id="178"/>
      </w:r>
      <w:r w:rsidRPr="004C4BCF">
        <w:rPr>
          <w:rFonts w:ascii="Times New Roman" w:hAnsi="Times New Roman"/>
          <w:iCs/>
          <w:color w:val="000000"/>
          <w:shd w:val="clear" w:color="auto" w:fill="FFFFFF"/>
        </w:rPr>
        <w:t xml:space="preserve">. Although Gummow J was part of the majority </w:t>
      </w:r>
      <w:r w:rsidRPr="004C4BCF">
        <w:rPr>
          <w:rFonts w:ascii="Times New Roman" w:hAnsi="Times New Roman"/>
        </w:rPr>
        <w:t xml:space="preserve">which held that the conferral of power under the State law in issue did not infringe the </w:t>
      </w:r>
      <w:r w:rsidRPr="004C4BCF">
        <w:rPr>
          <w:rFonts w:ascii="Times New Roman" w:hAnsi="Times New Roman"/>
          <w:i/>
        </w:rPr>
        <w:t xml:space="preserve">Kable </w:t>
      </w:r>
      <w:r w:rsidRPr="004C4BCF">
        <w:rPr>
          <w:rFonts w:ascii="Times New Roman" w:hAnsi="Times New Roman"/>
        </w:rPr>
        <w:t xml:space="preserve">principle, his Honour rejected the argument that the power could have been conferred by </w:t>
      </w:r>
      <w:r w:rsidRPr="004C4BCF">
        <w:rPr>
          <w:rFonts w:ascii="Times New Roman" w:hAnsi="Times New Roman"/>
          <w:iCs/>
          <w:color w:val="000000"/>
          <w:shd w:val="clear" w:color="auto" w:fill="FFFFFF"/>
        </w:rPr>
        <w:t>a hypothetical Commonwealth law</w:t>
      </w:r>
      <w:r w:rsidRPr="004C4BCF">
        <w:rPr>
          <w:rFonts w:ascii="Times New Roman" w:hAnsi="Times New Roman"/>
        </w:rPr>
        <w:t>. Taking the view that "</w:t>
      </w:r>
      <w:r w:rsidRPr="004C4BCF">
        <w:rPr>
          <w:rFonts w:ascii="Times New Roman" w:hAnsi="Times New Roman"/>
          <w:color w:val="000000"/>
          <w:shd w:val="clear" w:color="auto" w:fill="FFFFFF"/>
        </w:rPr>
        <w:t>detention by reason of apprehended conduct, even by judicial determination on a </w:t>
      </w:r>
      <w:proofErr w:type="spellStart"/>
      <w:r w:rsidRPr="004C4BCF">
        <w:rPr>
          <w:rFonts w:ascii="Times New Roman" w:hAnsi="Times New Roman"/>
          <w:iCs/>
          <w:color w:val="000000"/>
          <w:shd w:val="clear" w:color="auto" w:fill="FFFFFF"/>
        </w:rPr>
        <w:t>quia</w:t>
      </w:r>
      <w:proofErr w:type="spellEnd"/>
      <w:r w:rsidRPr="004C4BCF">
        <w:rPr>
          <w:rFonts w:ascii="Times New Roman" w:hAnsi="Times New Roman"/>
          <w:iCs/>
          <w:color w:val="000000"/>
          <w:shd w:val="clear" w:color="auto" w:fill="FFFFFF"/>
        </w:rPr>
        <w:t xml:space="preserve"> </w:t>
      </w:r>
      <w:proofErr w:type="spellStart"/>
      <w:r w:rsidRPr="004C4BCF">
        <w:rPr>
          <w:rFonts w:ascii="Times New Roman" w:hAnsi="Times New Roman"/>
          <w:iCs/>
          <w:color w:val="000000"/>
          <w:shd w:val="clear" w:color="auto" w:fill="FFFFFF"/>
        </w:rPr>
        <w:t>timet</w:t>
      </w:r>
      <w:proofErr w:type="spellEnd"/>
      <w:r w:rsidRPr="004C4BCF">
        <w:rPr>
          <w:rFonts w:ascii="Times New Roman" w:hAnsi="Times New Roman"/>
          <w:color w:val="000000"/>
          <w:shd w:val="clear" w:color="auto" w:fill="FFFFFF"/>
        </w:rPr>
        <w:t> basis ... is at odds with the central constitutional conception of detention as a consequence of judicial determination of engagement in past conduct"</w:t>
      </w:r>
      <w:r w:rsidRPr="004C4BCF">
        <w:rPr>
          <w:rStyle w:val="FootnoteReference"/>
          <w:rFonts w:ascii="Times New Roman" w:hAnsi="Times New Roman"/>
          <w:color w:val="000000"/>
          <w:sz w:val="24"/>
          <w:shd w:val="clear" w:color="auto" w:fill="FFFFFF"/>
        </w:rPr>
        <w:footnoteReference w:id="179"/>
      </w:r>
      <w:r w:rsidRPr="004C4BCF">
        <w:rPr>
          <w:rFonts w:ascii="Times New Roman" w:hAnsi="Times New Roman"/>
          <w:color w:val="000000"/>
          <w:shd w:val="clear" w:color="auto" w:fill="FFFFFF"/>
        </w:rPr>
        <w:t>, his Honour concluded that "[t]he vice for a Ch III court and for the federal laws postulated ... would be in the nature of the outcome, not the means by which it was obtained"</w:t>
      </w:r>
      <w:r w:rsidRPr="004C4BCF">
        <w:rPr>
          <w:rStyle w:val="FootnoteReference"/>
          <w:rFonts w:ascii="Times New Roman" w:hAnsi="Times New Roman"/>
          <w:color w:val="000000"/>
          <w:sz w:val="24"/>
          <w:szCs w:val="27"/>
          <w:shd w:val="clear" w:color="auto" w:fill="FFFFFF"/>
        </w:rPr>
        <w:footnoteReference w:id="180"/>
      </w:r>
      <w:r w:rsidRPr="004C4BCF">
        <w:rPr>
          <w:rFonts w:ascii="Times New Roman" w:hAnsi="Times New Roman"/>
          <w:color w:val="000000"/>
          <w:shd w:val="clear" w:color="auto" w:fill="FFFFFF"/>
        </w:rPr>
        <w:t>.</w:t>
      </w:r>
    </w:p>
    <w:p w14:paraId="171CC54C"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z w:val="27"/>
          <w:szCs w:val="27"/>
          <w:shd w:val="clear" w:color="auto" w:fill="FFFFFF"/>
        </w:rPr>
        <w:tab/>
      </w:r>
      <w:r w:rsidRPr="004C4BCF">
        <w:rPr>
          <w:rFonts w:ascii="Times New Roman" w:hAnsi="Times New Roman"/>
          <w:color w:val="000000"/>
          <w:shd w:val="clear" w:color="auto" w:fill="FFFFFF"/>
        </w:rPr>
        <w:t>Gummow J expressed scepticism about the utility of persisting in labelling an unjustified deprivation of liberty without adjudication of criminal guilt as "penal or punitive"</w:t>
      </w:r>
      <w:r w:rsidRPr="004C4BCF">
        <w:rPr>
          <w:rStyle w:val="FootnoteReference"/>
          <w:rFonts w:ascii="Times New Roman" w:hAnsi="Times New Roman"/>
          <w:color w:val="000000"/>
          <w:sz w:val="24"/>
          <w:szCs w:val="27"/>
          <w:shd w:val="clear" w:color="auto" w:fill="FFFFFF"/>
        </w:rPr>
        <w:footnoteReference w:id="181"/>
      </w:r>
      <w:r w:rsidRPr="004C4BCF">
        <w:rPr>
          <w:rFonts w:ascii="Times New Roman" w:hAnsi="Times New Roman"/>
          <w:color w:val="000000"/>
          <w:sz w:val="27"/>
          <w:szCs w:val="27"/>
          <w:shd w:val="clear" w:color="auto" w:fill="FFFFFF"/>
        </w:rPr>
        <w:t xml:space="preserve">. </w:t>
      </w:r>
      <w:r w:rsidRPr="004C4BCF">
        <w:rPr>
          <w:rFonts w:ascii="Times New Roman" w:hAnsi="Times New Roman"/>
          <w:color w:val="000000"/>
          <w:shd w:val="clear" w:color="auto" w:fill="FFFFFF"/>
        </w:rPr>
        <w:t>Because I believe that traditional labels can convey underlying values</w:t>
      </w:r>
      <w:r w:rsidRPr="004C4BCF">
        <w:rPr>
          <w:rStyle w:val="FootnoteReference"/>
          <w:rFonts w:ascii="Times New Roman" w:hAnsi="Times New Roman"/>
          <w:color w:val="000000"/>
          <w:sz w:val="24"/>
          <w:shd w:val="clear" w:color="auto" w:fill="FFFFFF"/>
        </w:rPr>
        <w:footnoteReference w:id="182"/>
      </w:r>
      <w:r w:rsidRPr="004C4BCF">
        <w:rPr>
          <w:rFonts w:ascii="Times New Roman" w:hAnsi="Times New Roman"/>
          <w:color w:val="000000"/>
          <w:shd w:val="clear" w:color="auto" w:fill="FFFFFF"/>
        </w:rPr>
        <w:t>, and because I believe that limiting the permissible means of inflicting State</w:t>
      </w:r>
      <w:r w:rsidRPr="004C4BCF">
        <w:rPr>
          <w:rFonts w:ascii="Times New Roman" w:hAnsi="Times New Roman"/>
          <w:color w:val="000000"/>
          <w:shd w:val="clear" w:color="auto" w:fill="FFFFFF"/>
        </w:rPr>
        <w:noBreakHyphen/>
        <w:t xml:space="preserve">sanctioned punishment underlies the traditional assignment of detention in custody to the exclusive exercise of judicial power involving adjudication and </w:t>
      </w:r>
      <w:r w:rsidRPr="004C4BCF">
        <w:rPr>
          <w:rFonts w:ascii="Times New Roman" w:hAnsi="Times New Roman"/>
          <w:color w:val="000000"/>
          <w:shd w:val="clear" w:color="auto" w:fill="FFFFFF"/>
        </w:rPr>
        <w:lastRenderedPageBreak/>
        <w:t>punishment of criminal guilt, that is not a scepticism I share. Nothing turns on that difference in perspective.</w:t>
      </w:r>
    </w:p>
    <w:p w14:paraId="45C9AA8F"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Though I consider Gummow J ultimately to have been wrong to reject the argument of the Attorney-General of the Commonwealth, I consider his Honour to have been correct to reject the argument to the extent of the reasons he gave. To admit of the potential for judicial power to be used to detain an individual in custody merely because that individual poses an unacceptable risk of committing a criminal offence in the future would be directly at odds with Ch III's limitation of detention in custody to </w:t>
      </w:r>
      <w:r w:rsidRPr="004C4BCF">
        <w:rPr>
          <w:rFonts w:ascii="Times New Roman" w:hAnsi="Times New Roman"/>
          <w:color w:val="000000"/>
          <w:shd w:val="clear" w:color="auto" w:fill="FFFFFF"/>
        </w:rPr>
        <w:t xml:space="preserve">the penal consequence prescribed by law </w:t>
      </w:r>
      <w:r w:rsidRPr="004C4BCF">
        <w:rPr>
          <w:rFonts w:ascii="Times New Roman" w:hAnsi="Times New Roman"/>
        </w:rPr>
        <w:t xml:space="preserve">for </w:t>
      </w:r>
      <w:r w:rsidRPr="004C4BCF">
        <w:rPr>
          <w:rFonts w:ascii="Times New Roman" w:hAnsi="Times New Roman"/>
          <w:color w:val="000000"/>
          <w:shd w:val="clear" w:color="auto" w:fill="FFFFFF"/>
        </w:rPr>
        <w:t>an existing liability determined to have arisen from the operation of positive law on past events or conduct. If liberty is protected by a constitutional structure which limits</w:t>
      </w:r>
      <w:r w:rsidRPr="004C4BCF">
        <w:rPr>
          <w:rFonts w:ascii="Times New Roman" w:hAnsi="Times New Roman"/>
        </w:rPr>
        <w:t xml:space="preserve"> detention in custody to </w:t>
      </w:r>
      <w:r w:rsidRPr="004C4BCF">
        <w:rPr>
          <w:rFonts w:ascii="Times New Roman" w:hAnsi="Times New Roman"/>
          <w:color w:val="000000"/>
          <w:shd w:val="clear" w:color="auto" w:fill="FFFFFF"/>
        </w:rPr>
        <w:t xml:space="preserve">the penal consequence of an offence determined by a court to have been committed in the past, then liberty would be subverted by an exception to the operation of that limitation cast in terms which would authorise </w:t>
      </w:r>
      <w:r w:rsidRPr="004C4BCF">
        <w:rPr>
          <w:rFonts w:ascii="Times New Roman" w:hAnsi="Times New Roman"/>
        </w:rPr>
        <w:t xml:space="preserve">detention in custody to </w:t>
      </w:r>
      <w:r w:rsidRPr="004C4BCF">
        <w:rPr>
          <w:rFonts w:ascii="Times New Roman" w:hAnsi="Times New Roman"/>
          <w:color w:val="000000"/>
          <w:shd w:val="clear" w:color="auto" w:fill="FFFFFF"/>
        </w:rPr>
        <w:t xml:space="preserve">prevent commission of an offence determined by a court to be at risk of being committed in the future. For that reason, the objective merely of preventing commission of a criminal offence cannot be legitimate. </w:t>
      </w:r>
    </w:p>
    <w:p w14:paraId="64A10165"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r>
      <w:r w:rsidRPr="004C4BCF">
        <w:rPr>
          <w:rFonts w:ascii="Times New Roman" w:hAnsi="Times New Roman"/>
        </w:rPr>
        <w:t xml:space="preserve">The basis on which I consider his Honour to have been wrong to reject the argument of the Attorney-General of the Commonwealth is that evaluation of the substantive operation of the hypothesised Commonwealth law necessitated that attention be given to the harm inherent in the criminal conduct which the </w:t>
      </w:r>
      <w:r w:rsidRPr="004C4BCF">
        <w:rPr>
          <w:rFonts w:ascii="Times New Roman" w:hAnsi="Times New Roman"/>
          <w:color w:val="000000"/>
          <w:shd w:val="clear" w:color="auto" w:fill="FFFFFF"/>
        </w:rPr>
        <w:t xml:space="preserve">Supreme Court needed to be satisfied that a prisoner posed an unacceptable risk of committing before subjecting the prisoner to a continuing detention order. </w:t>
      </w:r>
    </w:p>
    <w:p w14:paraId="0FBF6A8B"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t xml:space="preserve">Despite the conferral of power to make a continuing detention order being couched in terms of preventing the future commission of an offence, </w:t>
      </w:r>
      <w:r w:rsidRPr="004C4BCF">
        <w:rPr>
          <w:rFonts w:ascii="Times New Roman" w:hAnsi="Times New Roman"/>
        </w:rPr>
        <w:t xml:space="preserve">the substance of what a </w:t>
      </w:r>
      <w:r w:rsidRPr="004C4BCF">
        <w:rPr>
          <w:rFonts w:ascii="Times New Roman" w:hAnsi="Times New Roman"/>
          <w:color w:val="000000"/>
          <w:shd w:val="clear" w:color="auto" w:fill="FFFFFF"/>
        </w:rPr>
        <w:t xml:space="preserve">continuing detention order was designed to achieve in fact </w:t>
      </w:r>
      <w:r w:rsidRPr="004C4BCF">
        <w:rPr>
          <w:rFonts w:ascii="Times New Roman" w:hAnsi="Times New Roman"/>
          <w:color w:val="000000"/>
          <w:shd w:val="clear" w:color="auto" w:fill="FFFFFF"/>
        </w:rPr>
        <w:sym w:font="Symbol" w:char="F02D"/>
      </w:r>
      <w:r w:rsidRPr="004C4BCF">
        <w:rPr>
          <w:rFonts w:ascii="Times New Roman" w:hAnsi="Times New Roman"/>
          <w:color w:val="000000"/>
          <w:shd w:val="clear" w:color="auto" w:fill="FFFFFF"/>
        </w:rPr>
        <w:t xml:space="preserve"> and </w:t>
      </w:r>
      <w:r w:rsidRPr="004C4BCF">
        <w:rPr>
          <w:rFonts w:ascii="Times New Roman" w:hAnsi="Times New Roman"/>
        </w:rPr>
        <w:t>the substance of</w:t>
      </w:r>
      <w:r w:rsidRPr="004C4BCF">
        <w:rPr>
          <w:rFonts w:ascii="Times New Roman" w:hAnsi="Times New Roman"/>
          <w:color w:val="000000"/>
          <w:shd w:val="clear" w:color="auto" w:fill="FFFFFF"/>
        </w:rPr>
        <w:t xml:space="preserve"> what </w:t>
      </w:r>
      <w:r w:rsidRPr="004C4BCF">
        <w:rPr>
          <w:rFonts w:ascii="Times New Roman" w:hAnsi="Times New Roman"/>
        </w:rPr>
        <w:t xml:space="preserve">a </w:t>
      </w:r>
      <w:r w:rsidRPr="004C4BCF">
        <w:rPr>
          <w:rFonts w:ascii="Times New Roman" w:hAnsi="Times New Roman"/>
          <w:color w:val="000000"/>
          <w:shd w:val="clear" w:color="auto" w:fill="FFFFFF"/>
        </w:rPr>
        <w:t xml:space="preserve">continuing detention order was reasonably capable of being seen as necessary to achieve in fact </w:t>
      </w:r>
      <w:r w:rsidRPr="004C4BCF">
        <w:rPr>
          <w:rFonts w:ascii="Times New Roman" w:hAnsi="Times New Roman"/>
          <w:color w:val="000000"/>
          <w:shd w:val="clear" w:color="auto" w:fill="FFFFFF"/>
        </w:rPr>
        <w:sym w:font="Symbol" w:char="F02D"/>
      </w:r>
      <w:r w:rsidRPr="004C4BCF">
        <w:rPr>
          <w:rFonts w:ascii="Times New Roman" w:hAnsi="Times New Roman"/>
          <w:color w:val="000000"/>
          <w:shd w:val="clear" w:color="auto" w:fill="FFFFFF"/>
        </w:rPr>
        <w:t xml:space="preserve"> was to protect "public safety"</w:t>
      </w:r>
      <w:r w:rsidRPr="004C4BCF">
        <w:rPr>
          <w:rStyle w:val="FootnoteReference"/>
          <w:rFonts w:ascii="Times New Roman" w:hAnsi="Times New Roman"/>
          <w:color w:val="000000"/>
          <w:sz w:val="24"/>
          <w:shd w:val="clear" w:color="auto" w:fill="FFFFFF"/>
        </w:rPr>
        <w:footnoteReference w:id="183"/>
      </w:r>
      <w:r w:rsidRPr="004C4BCF">
        <w:rPr>
          <w:rFonts w:ascii="Times New Roman" w:hAnsi="Times New Roman"/>
          <w:color w:val="000000"/>
          <w:shd w:val="clear" w:color="auto" w:fill="FFFFFF"/>
        </w:rPr>
        <w:t xml:space="preserve">. More specifically, in language adopted by Gleeson CJ, </w:t>
      </w:r>
      <w:r w:rsidRPr="004C4BCF">
        <w:rPr>
          <w:rFonts w:ascii="Times New Roman" w:hAnsi="Times New Roman"/>
        </w:rPr>
        <w:t xml:space="preserve">a </w:t>
      </w:r>
      <w:r w:rsidRPr="004C4BCF">
        <w:rPr>
          <w:rFonts w:ascii="Times New Roman" w:hAnsi="Times New Roman"/>
          <w:color w:val="000000"/>
          <w:shd w:val="clear" w:color="auto" w:fill="FFFFFF"/>
        </w:rPr>
        <w:t xml:space="preserve">continuing detention order under the </w:t>
      </w:r>
      <w:proofErr w:type="spellStart"/>
      <w:r w:rsidRPr="004C4BCF">
        <w:rPr>
          <w:rFonts w:ascii="Times New Roman" w:hAnsi="Times New Roman"/>
          <w:i/>
          <w:color w:val="000000"/>
          <w:shd w:val="clear" w:color="auto" w:fill="FFFFFF"/>
        </w:rPr>
        <w:t>Fardon</w:t>
      </w:r>
      <w:proofErr w:type="spellEnd"/>
      <w:r w:rsidRPr="004C4BCF">
        <w:rPr>
          <w:rFonts w:ascii="Times New Roman" w:hAnsi="Times New Roman"/>
          <w:i/>
          <w:color w:val="000000"/>
          <w:shd w:val="clear" w:color="auto" w:fill="FFFFFF"/>
        </w:rPr>
        <w:t xml:space="preserve"> </w:t>
      </w:r>
      <w:r w:rsidRPr="004C4BCF">
        <w:rPr>
          <w:rFonts w:ascii="Times New Roman" w:hAnsi="Times New Roman"/>
          <w:color w:val="000000"/>
          <w:shd w:val="clear" w:color="auto" w:fill="FFFFFF"/>
        </w:rPr>
        <w:t>regime fell within the description of a "preventive restraint to deal with the case of a person who has been convicted of violent crime and who, while not legally insane, might represent a grave threat to the safety of other people by reason of mental abnormality if he were to be released as a matter of course at the end of what represents a proper punitive sentence"</w:t>
      </w:r>
      <w:r w:rsidRPr="004C4BCF">
        <w:rPr>
          <w:rStyle w:val="FootnoteReference"/>
          <w:rFonts w:ascii="Times New Roman" w:hAnsi="Times New Roman"/>
          <w:sz w:val="24"/>
        </w:rPr>
        <w:footnoteReference w:id="184"/>
      </w:r>
      <w:r w:rsidRPr="004C4BCF">
        <w:rPr>
          <w:rFonts w:ascii="Times New Roman" w:hAnsi="Times New Roman"/>
          <w:color w:val="000000"/>
          <w:shd w:val="clear" w:color="auto" w:fill="FFFFFF"/>
        </w:rPr>
        <w:t xml:space="preserve">. </w:t>
      </w:r>
    </w:p>
    <w:p w14:paraId="3D670AB9"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t xml:space="preserve">On that limited basis, I consider that the </w:t>
      </w:r>
      <w:r w:rsidRPr="004C4BCF">
        <w:rPr>
          <w:rFonts w:ascii="Times New Roman" w:hAnsi="Times New Roman"/>
        </w:rPr>
        <w:t xml:space="preserve">power to make a continuing detention order under the </w:t>
      </w:r>
      <w:proofErr w:type="spellStart"/>
      <w:r w:rsidRPr="004C4BCF">
        <w:rPr>
          <w:rFonts w:ascii="Times New Roman" w:hAnsi="Times New Roman"/>
          <w:i/>
        </w:rPr>
        <w:t>Fardon</w:t>
      </w:r>
      <w:proofErr w:type="spellEnd"/>
      <w:r w:rsidRPr="004C4BCF">
        <w:rPr>
          <w:rFonts w:ascii="Times New Roman" w:hAnsi="Times New Roman"/>
        </w:rPr>
        <w:t xml:space="preserve"> regime could have been conferred as part of the </w:t>
      </w:r>
      <w:r w:rsidRPr="004C4BCF">
        <w:rPr>
          <w:rFonts w:ascii="Times New Roman" w:hAnsi="Times New Roman"/>
        </w:rPr>
        <w:lastRenderedPageBreak/>
        <w:t xml:space="preserve">judicial power of the Commonwealth by </w:t>
      </w:r>
      <w:r w:rsidRPr="004C4BCF">
        <w:rPr>
          <w:rFonts w:ascii="Times New Roman" w:hAnsi="Times New Roman"/>
          <w:iCs/>
          <w:color w:val="000000"/>
          <w:shd w:val="clear" w:color="auto" w:fill="FFFFFF"/>
        </w:rPr>
        <w:t>a hypothetical law in the same terms enacted by the Commonwealth Parliament.</w:t>
      </w:r>
    </w:p>
    <w:p w14:paraId="351325D6"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iCs/>
          <w:color w:val="000000"/>
          <w:shd w:val="clear" w:color="auto" w:fill="FFFFFF"/>
        </w:rPr>
        <w:tab/>
        <w:t xml:space="preserve">My conclusion that </w:t>
      </w:r>
      <w:r w:rsidRPr="004C4BCF">
        <w:rPr>
          <w:rFonts w:ascii="Times New Roman" w:hAnsi="Times New Roman"/>
          <w:color w:val="000000"/>
          <w:shd w:val="clear" w:color="auto" w:fill="FFFFFF"/>
        </w:rPr>
        <w:t xml:space="preserve">the </w:t>
      </w:r>
      <w:r w:rsidRPr="004C4BCF">
        <w:rPr>
          <w:rFonts w:ascii="Times New Roman" w:hAnsi="Times New Roman"/>
        </w:rPr>
        <w:t xml:space="preserve">power to order continuing detention conferred by the legislation in issue in </w:t>
      </w:r>
      <w:proofErr w:type="spellStart"/>
      <w:r w:rsidRPr="004C4BCF">
        <w:rPr>
          <w:rFonts w:ascii="Times New Roman" w:hAnsi="Times New Roman"/>
          <w:i/>
        </w:rPr>
        <w:t>Fardon</w:t>
      </w:r>
      <w:proofErr w:type="spellEnd"/>
      <w:r w:rsidRPr="004C4BCF">
        <w:rPr>
          <w:rFonts w:ascii="Times New Roman" w:hAnsi="Times New Roman"/>
          <w:i/>
        </w:rPr>
        <w:t xml:space="preserve"> </w:t>
      </w:r>
      <w:r w:rsidRPr="004C4BCF">
        <w:rPr>
          <w:rFonts w:ascii="Times New Roman" w:hAnsi="Times New Roman"/>
        </w:rPr>
        <w:t>could have been conferred as part of the judicial power of the Commonwealth</w:t>
      </w:r>
      <w:r w:rsidRPr="004C4BCF">
        <w:rPr>
          <w:rFonts w:ascii="Times New Roman" w:hAnsi="Times New Roman"/>
          <w:iCs/>
          <w:color w:val="000000"/>
          <w:shd w:val="clear" w:color="auto" w:fill="FFFFFF"/>
        </w:rPr>
        <w:t xml:space="preserve"> is not assisted by anything in the reasoning in </w:t>
      </w:r>
      <w:r w:rsidRPr="004C4BCF">
        <w:rPr>
          <w:rFonts w:ascii="Times New Roman" w:hAnsi="Times New Roman"/>
          <w:i/>
          <w:iCs/>
          <w:color w:val="000000"/>
          <w:shd w:val="clear" w:color="auto" w:fill="FFFFFF"/>
        </w:rPr>
        <w:t>New South Wales v Kable</w:t>
      </w:r>
      <w:r w:rsidRPr="004C4BCF">
        <w:rPr>
          <w:rStyle w:val="FootnoteReference"/>
          <w:rFonts w:ascii="Times New Roman" w:hAnsi="Times New Roman"/>
          <w:iCs/>
          <w:color w:val="000000"/>
          <w:sz w:val="24"/>
          <w:shd w:val="clear" w:color="auto" w:fill="FFFFFF"/>
        </w:rPr>
        <w:footnoteReference w:id="185"/>
      </w:r>
      <w:r w:rsidRPr="004C4BCF">
        <w:rPr>
          <w:rFonts w:ascii="Times New Roman" w:hAnsi="Times New Roman"/>
          <w:iCs/>
          <w:color w:val="000000"/>
          <w:shd w:val="clear" w:color="auto" w:fill="FFFFFF"/>
        </w:rPr>
        <w:t xml:space="preserve">, despite the attention devoted to that case in the argument of the parties. The result in that case did not turn on the proposition that the power to order the continuing detention of Mr Kable was compatible with Ch III; precisely the opposite had been determined in </w:t>
      </w:r>
      <w:r w:rsidRPr="004C4BCF">
        <w:rPr>
          <w:rFonts w:ascii="Times New Roman" w:hAnsi="Times New Roman"/>
          <w:i/>
          <w:iCs/>
          <w:color w:val="000000"/>
          <w:shd w:val="clear" w:color="auto" w:fill="FFFFFF"/>
        </w:rPr>
        <w:t>Kable v Director of Public Prosecutions (NSW)</w:t>
      </w:r>
      <w:r w:rsidRPr="004C4BCF">
        <w:rPr>
          <w:rStyle w:val="FootnoteReference"/>
          <w:rFonts w:ascii="Times New Roman" w:hAnsi="Times New Roman"/>
          <w:iCs/>
          <w:color w:val="000000"/>
          <w:sz w:val="24"/>
          <w:shd w:val="clear" w:color="auto" w:fill="FFFFFF"/>
        </w:rPr>
        <w:footnoteReference w:id="186"/>
      </w:r>
      <w:r w:rsidRPr="004C4BCF">
        <w:rPr>
          <w:rFonts w:ascii="Times New Roman" w:hAnsi="Times New Roman"/>
          <w:iCs/>
          <w:color w:val="000000"/>
          <w:shd w:val="clear" w:color="auto" w:fill="FFFFFF"/>
        </w:rPr>
        <w:t>. The result turned on the order for the continuing detention of Mr Kable being a purported judicial order of the Supreme Court of New South Wales which derived legal force and effect from the time it was made until the time that it was set aside as unconstitutional, not from the unconstitutional legislation pursuant to which the Supreme Court purported to make it but from the constitutional status of the Supreme Court as a superior court of record</w:t>
      </w:r>
      <w:r w:rsidRPr="004C4BCF">
        <w:rPr>
          <w:rStyle w:val="FootnoteReference"/>
          <w:rFonts w:ascii="Times New Roman" w:hAnsi="Times New Roman"/>
          <w:iCs/>
          <w:color w:val="000000"/>
          <w:sz w:val="24"/>
          <w:shd w:val="clear" w:color="auto" w:fill="FFFFFF"/>
        </w:rPr>
        <w:footnoteReference w:id="187"/>
      </w:r>
      <w:r w:rsidRPr="004C4BCF">
        <w:rPr>
          <w:rFonts w:ascii="Times New Roman" w:hAnsi="Times New Roman"/>
          <w:iCs/>
          <w:color w:val="000000"/>
          <w:shd w:val="clear" w:color="auto" w:fill="FFFFFF"/>
        </w:rPr>
        <w:t>.</w:t>
      </w:r>
    </w:p>
    <w:p w14:paraId="3A9F5949" w14:textId="77777777" w:rsidR="00CE4181" w:rsidRPr="004C4BCF" w:rsidRDefault="00CE4181" w:rsidP="004C4BCF">
      <w:pPr>
        <w:pStyle w:val="HeadingL1"/>
        <w:spacing w:after="260" w:line="280" w:lineRule="exact"/>
        <w:ind w:right="0"/>
        <w:jc w:val="both"/>
        <w:rPr>
          <w:rFonts w:ascii="Times New Roman" w:hAnsi="Times New Roman"/>
        </w:rPr>
      </w:pPr>
      <w:r w:rsidRPr="004C4BCF">
        <w:rPr>
          <w:rFonts w:ascii="Times New Roman" w:hAnsi="Times New Roman"/>
          <w:shd w:val="clear" w:color="auto" w:fill="FFFFFF"/>
        </w:rPr>
        <w:t>Division 105A</w:t>
      </w:r>
    </w:p>
    <w:p w14:paraId="0E31177F"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The power to make a control order was characterised by m</w:t>
      </w:r>
      <w:r w:rsidRPr="004C4BCF">
        <w:rPr>
          <w:rFonts w:ascii="Times New Roman" w:hAnsi="Times New Roman"/>
          <w:color w:val="000000"/>
          <w:shd w:val="clear" w:color="auto" w:fill="FFFFFF"/>
        </w:rPr>
        <w:t xml:space="preserve">embers of the majority </w:t>
      </w:r>
      <w:r w:rsidRPr="004C4BCF">
        <w:rPr>
          <w:rFonts w:ascii="Times New Roman" w:hAnsi="Times New Roman"/>
        </w:rPr>
        <w:t>in</w:t>
      </w:r>
      <w:r w:rsidRPr="004C4BCF">
        <w:rPr>
          <w:rFonts w:ascii="Times New Roman" w:hAnsi="Times New Roman"/>
          <w:i/>
        </w:rPr>
        <w:t xml:space="preserve"> Thomas v Mowbray</w:t>
      </w:r>
      <w:r w:rsidRPr="004C4BCF">
        <w:rPr>
          <w:rFonts w:ascii="Times New Roman" w:hAnsi="Times New Roman"/>
        </w:rPr>
        <w:t xml:space="preserve"> as a form of "preventive justice" permissibly conferred as judicial power</w:t>
      </w:r>
      <w:r w:rsidRPr="004C4BCF">
        <w:rPr>
          <w:rStyle w:val="FootnoteReference"/>
          <w:rFonts w:ascii="Times New Roman" w:hAnsi="Times New Roman"/>
          <w:sz w:val="24"/>
        </w:rPr>
        <w:footnoteReference w:id="188"/>
      </w:r>
      <w:r w:rsidRPr="004C4BCF">
        <w:rPr>
          <w:rFonts w:ascii="Times New Roman" w:hAnsi="Times New Roman"/>
        </w:rPr>
        <w:t xml:space="preserve">. Consistently with </w:t>
      </w:r>
      <w:r w:rsidRPr="004C4BCF">
        <w:rPr>
          <w:rFonts w:ascii="Times New Roman" w:hAnsi="Times New Roman"/>
          <w:color w:val="000000"/>
          <w:shd w:val="clear" w:color="auto" w:fill="FFFFFF"/>
        </w:rPr>
        <w:t xml:space="preserve">the </w:t>
      </w:r>
      <w:r w:rsidRPr="004C4BCF">
        <w:rPr>
          <w:rFonts w:ascii="Times New Roman" w:hAnsi="Times New Roman"/>
        </w:rPr>
        <w:t xml:space="preserve">power to order continuing detention conferred by the legislation in issue in </w:t>
      </w:r>
      <w:proofErr w:type="spellStart"/>
      <w:r w:rsidRPr="004C4BCF">
        <w:rPr>
          <w:rFonts w:ascii="Times New Roman" w:hAnsi="Times New Roman"/>
          <w:i/>
        </w:rPr>
        <w:t>Fardon</w:t>
      </w:r>
      <w:proofErr w:type="spellEnd"/>
      <w:r w:rsidRPr="004C4BCF">
        <w:rPr>
          <w:rFonts w:ascii="Times New Roman" w:hAnsi="Times New Roman"/>
        </w:rPr>
        <w:t>, what was sought to be prevented by an exercise of the power was not occurrence of an offence but occurrence of an act which of its nature would cause serious harm.</w:t>
      </w:r>
    </w:p>
    <w:p w14:paraId="0C5F0BAD"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hd w:val="clear" w:color="auto" w:fill="FFFFFF"/>
        </w:rPr>
        <w:tab/>
        <w:t xml:space="preserve">As originally inserted and as considered in </w:t>
      </w:r>
      <w:r w:rsidRPr="004C4BCF">
        <w:rPr>
          <w:rFonts w:ascii="Times New Roman" w:hAnsi="Times New Roman"/>
          <w:i/>
          <w:color w:val="000000"/>
          <w:shd w:val="clear" w:color="auto" w:fill="FFFFFF"/>
        </w:rPr>
        <w:t>Thomas v Mowbray</w:t>
      </w:r>
      <w:r w:rsidRPr="004C4BCF">
        <w:rPr>
          <w:rFonts w:ascii="Times New Roman" w:hAnsi="Times New Roman"/>
          <w:color w:val="000000"/>
          <w:shd w:val="clear" w:color="auto" w:fill="FFFFFF"/>
        </w:rPr>
        <w:t xml:space="preserve">, </w:t>
      </w:r>
      <w:r w:rsidRPr="004C4BCF">
        <w:rPr>
          <w:rFonts w:ascii="Times New Roman" w:hAnsi="Times New Roman"/>
        </w:rPr>
        <w:t>Div 104 identified as its sole object "</w:t>
      </w:r>
      <w:r w:rsidRPr="004C4BCF">
        <w:rPr>
          <w:rFonts w:ascii="Times New Roman" w:hAnsi="Times New Roman"/>
          <w:color w:val="000000"/>
          <w:shd w:val="clear" w:color="auto" w:fill="FFFFFF"/>
        </w:rPr>
        <w:t>to allow obligations, prohibitions and restrictions to be imposed on a person by a control order for the purpose of protecting the public from a terrorist act"</w:t>
      </w:r>
      <w:r w:rsidRPr="004C4BCF">
        <w:rPr>
          <w:rStyle w:val="FootnoteReference"/>
          <w:rFonts w:ascii="Times New Roman" w:hAnsi="Times New Roman"/>
          <w:color w:val="000000"/>
          <w:sz w:val="24"/>
          <w:shd w:val="clear" w:color="auto" w:fill="FFFFFF"/>
        </w:rPr>
        <w:footnoteReference w:id="189"/>
      </w:r>
      <w:r w:rsidRPr="004C4BCF">
        <w:rPr>
          <w:rFonts w:ascii="Times New Roman" w:hAnsi="Times New Roman"/>
          <w:color w:val="000000"/>
          <w:shd w:val="clear" w:color="auto" w:fill="FFFFFF"/>
        </w:rPr>
        <w:t xml:space="preserve">. Essential to the making of a control order was that the issuing court be "satisfied on the balance of probabilities that each of the obligations, prohibitions and restrictions to be imposed on the person by the order </w:t>
      </w:r>
      <w:r w:rsidRPr="004C4BCF">
        <w:rPr>
          <w:rFonts w:ascii="Times New Roman" w:hAnsi="Times New Roman"/>
          <w:color w:val="000000"/>
          <w:shd w:val="clear" w:color="auto" w:fill="FFFFFF"/>
        </w:rPr>
        <w:lastRenderedPageBreak/>
        <w:t>is reasonably necessary, and reasonably appropriate and adapted, for the purpose of protecting the public from a terrorist act"</w:t>
      </w:r>
      <w:r w:rsidRPr="004C4BCF">
        <w:rPr>
          <w:rStyle w:val="FootnoteReference"/>
          <w:rFonts w:ascii="Times New Roman" w:hAnsi="Times New Roman"/>
          <w:color w:val="000000"/>
          <w:sz w:val="24"/>
          <w:shd w:val="clear" w:color="auto" w:fill="FFFFFF"/>
        </w:rPr>
        <w:footnoteReference w:id="190"/>
      </w:r>
      <w:r w:rsidRPr="004C4BCF">
        <w:rPr>
          <w:rFonts w:ascii="Times New Roman" w:hAnsi="Times New Roman"/>
          <w:color w:val="000000"/>
          <w:shd w:val="clear" w:color="auto" w:fill="FFFFFF"/>
        </w:rPr>
        <w:t xml:space="preserve">. </w:t>
      </w:r>
      <w:r w:rsidRPr="004C4BCF">
        <w:rPr>
          <w:rFonts w:ascii="Times New Roman" w:hAnsi="Times New Roman"/>
        </w:rPr>
        <w:t>The object of the Division</w:t>
      </w:r>
      <w:r w:rsidRPr="004C4BCF">
        <w:rPr>
          <w:rStyle w:val="FootnoteReference"/>
          <w:rFonts w:ascii="Times New Roman" w:hAnsi="Times New Roman"/>
          <w:sz w:val="24"/>
        </w:rPr>
        <w:footnoteReference w:id="191"/>
      </w:r>
      <w:r w:rsidRPr="004C4BCF">
        <w:rPr>
          <w:rFonts w:ascii="Times New Roman" w:hAnsi="Times New Roman"/>
        </w:rPr>
        <w:t xml:space="preserve">, and correspondingly what an issuing court must be satisfied </w:t>
      </w:r>
      <w:r w:rsidRPr="004C4BCF">
        <w:rPr>
          <w:rFonts w:ascii="Times New Roman" w:hAnsi="Times New Roman"/>
          <w:color w:val="000000"/>
          <w:shd w:val="clear" w:color="auto" w:fill="FFFFFF"/>
        </w:rPr>
        <w:t>that each obligation, prohibition and restriction to be imposed by a control order is reasonably necessary and reasonably appropriate and adapted to achieve</w:t>
      </w:r>
      <w:r w:rsidRPr="004C4BCF">
        <w:rPr>
          <w:rStyle w:val="FootnoteReference"/>
          <w:rFonts w:ascii="Times New Roman" w:hAnsi="Times New Roman"/>
          <w:color w:val="000000"/>
          <w:sz w:val="24"/>
          <w:shd w:val="clear" w:color="auto" w:fill="FFFFFF"/>
        </w:rPr>
        <w:footnoteReference w:id="192"/>
      </w:r>
      <w:r w:rsidRPr="004C4BCF">
        <w:rPr>
          <w:rFonts w:ascii="Times New Roman" w:hAnsi="Times New Roman"/>
        </w:rPr>
        <w:t>, has since 2015</w:t>
      </w:r>
      <w:r w:rsidRPr="004C4BCF">
        <w:rPr>
          <w:rStyle w:val="FootnoteReference"/>
          <w:rFonts w:ascii="Times New Roman" w:hAnsi="Times New Roman"/>
          <w:sz w:val="24"/>
        </w:rPr>
        <w:footnoteReference w:id="193"/>
      </w:r>
      <w:r w:rsidRPr="004C4BCF">
        <w:rPr>
          <w:rFonts w:ascii="Times New Roman" w:hAnsi="Times New Roman"/>
        </w:rPr>
        <w:t xml:space="preserve"> been expressed to include in relevant alternative "preventing the provision of support for or the facilitation of a terrorist act". The legislative identification of what is sought to be prevented by the making of a control order has nevertheless remained prevention of a terrorist act.</w:t>
      </w:r>
    </w:p>
    <w:p w14:paraId="354FA997"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r>
      <w:r w:rsidRPr="004C4BCF">
        <w:rPr>
          <w:rFonts w:ascii="Times New Roman" w:hAnsi="Times New Roman"/>
          <w:color w:val="000000"/>
          <w:shd w:val="clear" w:color="auto" w:fill="FFFFFF"/>
        </w:rPr>
        <w:t>Division 105A is designedly different. The expressed object of the Division is "</w:t>
      </w:r>
      <w:r w:rsidRPr="004C4BCF">
        <w:rPr>
          <w:rFonts w:ascii="Times New Roman" w:hAnsi="Times New Roman"/>
          <w:color w:val="000000"/>
        </w:rPr>
        <w:t>to ensure the safety and protection of the community", not by providing for the continuing detention of terrorist offenders who pose an unacceptable risk of engaging in</w:t>
      </w:r>
      <w:r w:rsidRPr="004C4BCF">
        <w:rPr>
          <w:rFonts w:ascii="Times New Roman" w:hAnsi="Times New Roman"/>
        </w:rPr>
        <w:t xml:space="preserve"> a terrorist act or of providing support for or facilitating a terrorist act, but "</w:t>
      </w:r>
      <w:r w:rsidRPr="004C4BCF">
        <w:rPr>
          <w:rFonts w:ascii="Times New Roman" w:hAnsi="Times New Roman"/>
          <w:color w:val="000000"/>
        </w:rPr>
        <w:t>by providing for the continuing detention of terrorist offenders who pose an unacceptable risk of committing serious Part 5.3 offences"</w:t>
      </w:r>
      <w:r w:rsidRPr="004C4BCF">
        <w:rPr>
          <w:rStyle w:val="FootnoteReference"/>
          <w:rFonts w:ascii="Times New Roman" w:hAnsi="Times New Roman"/>
          <w:color w:val="000000"/>
          <w:sz w:val="24"/>
        </w:rPr>
        <w:footnoteReference w:id="194"/>
      </w:r>
      <w:r w:rsidRPr="004C4BCF">
        <w:rPr>
          <w:rFonts w:ascii="Times New Roman" w:hAnsi="Times New Roman"/>
          <w:color w:val="000000"/>
          <w:sz w:val="27"/>
          <w:szCs w:val="27"/>
        </w:rPr>
        <w:t xml:space="preserve">. </w:t>
      </w:r>
      <w:r w:rsidRPr="004C4BCF">
        <w:rPr>
          <w:rFonts w:ascii="Times New Roman" w:hAnsi="Times New Roman"/>
          <w:color w:val="000000"/>
        </w:rPr>
        <w:t xml:space="preserve">Correspondingly, what a Supreme Court is required to be satisfied of before making a continuing detention order is identified not in terms of an unacceptable risk </w:t>
      </w:r>
      <w:r w:rsidRPr="004C4BCF">
        <w:rPr>
          <w:rFonts w:ascii="Times New Roman" w:hAnsi="Times New Roman"/>
        </w:rPr>
        <w:t>of a terrorist act</w:t>
      </w:r>
      <w:r w:rsidRPr="004C4BCF">
        <w:rPr>
          <w:rFonts w:ascii="Times New Roman" w:hAnsi="Times New Roman"/>
          <w:color w:val="000000"/>
        </w:rPr>
        <w:t xml:space="preserve"> but in terms of an unacceptable risk of commission of a serious Pt 5.3 offence</w:t>
      </w:r>
      <w:r w:rsidRPr="004C4BCF">
        <w:rPr>
          <w:rStyle w:val="FootnoteReference"/>
          <w:rFonts w:ascii="Times New Roman" w:hAnsi="Times New Roman"/>
          <w:color w:val="000000"/>
          <w:sz w:val="24"/>
          <w:szCs w:val="27"/>
        </w:rPr>
        <w:footnoteReference w:id="195"/>
      </w:r>
      <w:r w:rsidRPr="004C4BCF">
        <w:rPr>
          <w:rFonts w:ascii="Times New Roman" w:hAnsi="Times New Roman"/>
          <w:color w:val="000000"/>
          <w:sz w:val="27"/>
          <w:szCs w:val="27"/>
        </w:rPr>
        <w:t>.</w:t>
      </w:r>
    </w:p>
    <w:p w14:paraId="4C29D31B"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sz w:val="27"/>
          <w:szCs w:val="27"/>
        </w:rPr>
        <w:tab/>
      </w:r>
      <w:r w:rsidRPr="004C4BCF">
        <w:rPr>
          <w:rFonts w:ascii="Times New Roman" w:hAnsi="Times New Roman"/>
          <w:color w:val="000000"/>
        </w:rPr>
        <w:t>The difference would be of no constitutional moment if each</w:t>
      </w:r>
      <w:r w:rsidRPr="004C4BCF">
        <w:rPr>
          <w:rFonts w:ascii="Times New Roman" w:hAnsi="Times New Roman"/>
          <w:color w:val="000000"/>
          <w:sz w:val="27"/>
          <w:szCs w:val="27"/>
        </w:rPr>
        <w:t xml:space="preserve"> </w:t>
      </w:r>
      <w:r w:rsidRPr="004C4BCF">
        <w:rPr>
          <w:rFonts w:ascii="Times New Roman" w:hAnsi="Times New Roman"/>
          <w:color w:val="000000"/>
        </w:rPr>
        <w:t xml:space="preserve">serious Pt 5.3 offence within the purview of Div 105A, like each serious sexual offence within the purview of </w:t>
      </w:r>
      <w:r w:rsidRPr="004C4BCF">
        <w:rPr>
          <w:rFonts w:ascii="Times New Roman" w:hAnsi="Times New Roman"/>
        </w:rPr>
        <w:t xml:space="preserve">the legislation considered in </w:t>
      </w:r>
      <w:proofErr w:type="spellStart"/>
      <w:r w:rsidRPr="004C4BCF">
        <w:rPr>
          <w:rFonts w:ascii="Times New Roman" w:hAnsi="Times New Roman"/>
          <w:i/>
        </w:rPr>
        <w:t>Fardon</w:t>
      </w:r>
      <w:proofErr w:type="spellEnd"/>
      <w:r w:rsidRPr="004C4BCF">
        <w:rPr>
          <w:rFonts w:ascii="Times New Roman" w:hAnsi="Times New Roman"/>
        </w:rPr>
        <w:t xml:space="preserve">, involved conduct which of its nature gave rise to the serious harm which the offence was created to avoid. The risk of commission of a serious Pt 5.3 offence could then be treated as a proxy for the risk </w:t>
      </w:r>
      <w:r w:rsidRPr="004C4BCF">
        <w:rPr>
          <w:rFonts w:ascii="Times New Roman" w:hAnsi="Times New Roman"/>
          <w:color w:val="000000"/>
        </w:rPr>
        <w:t>of</w:t>
      </w:r>
      <w:r w:rsidRPr="004C4BCF">
        <w:rPr>
          <w:rFonts w:ascii="Times New Roman" w:hAnsi="Times New Roman"/>
        </w:rPr>
        <w:t xml:space="preserve"> a terrorist act just as the risk of commission of a serious sexual offence as defined in the legislation in issue in </w:t>
      </w:r>
      <w:proofErr w:type="spellStart"/>
      <w:r w:rsidRPr="004C4BCF">
        <w:rPr>
          <w:rFonts w:ascii="Times New Roman" w:hAnsi="Times New Roman"/>
          <w:i/>
        </w:rPr>
        <w:t>Fardon</w:t>
      </w:r>
      <w:proofErr w:type="spellEnd"/>
      <w:r w:rsidRPr="004C4BCF">
        <w:rPr>
          <w:rFonts w:ascii="Times New Roman" w:hAnsi="Times New Roman"/>
        </w:rPr>
        <w:t xml:space="preserve"> was able to be treated as a proxy for the risk of </w:t>
      </w:r>
      <w:r w:rsidRPr="004C4BCF">
        <w:rPr>
          <w:rFonts w:ascii="Times New Roman" w:hAnsi="Times New Roman"/>
          <w:color w:val="000000"/>
          <w:shd w:val="clear" w:color="auto" w:fill="FFFFFF"/>
        </w:rPr>
        <w:t>sexual conduct involving violence or against children</w:t>
      </w:r>
      <w:r w:rsidRPr="004C4BCF">
        <w:rPr>
          <w:rFonts w:ascii="Times New Roman" w:hAnsi="Times New Roman"/>
        </w:rPr>
        <w:t>. Some serious</w:t>
      </w:r>
      <w:r w:rsidRPr="004C4BCF">
        <w:rPr>
          <w:rFonts w:ascii="Times New Roman" w:hAnsi="Times New Roman"/>
          <w:color w:val="000000"/>
        </w:rPr>
        <w:t xml:space="preserve"> Pt 5.3 offences involve conduct of that nature. Others do not.</w:t>
      </w:r>
      <w:r w:rsidRPr="004C4BCF">
        <w:rPr>
          <w:rFonts w:ascii="Times New Roman" w:hAnsi="Times New Roman"/>
        </w:rPr>
        <w:t xml:space="preserve"> </w:t>
      </w:r>
      <w:r w:rsidRPr="004C4BCF">
        <w:rPr>
          <w:rFonts w:ascii="Times New Roman" w:hAnsi="Times New Roman"/>
          <w:color w:val="000000"/>
          <w:shd w:val="clear" w:color="auto" w:fill="FFFFFF"/>
        </w:rPr>
        <w:t>The prophylactic approach taken to the imposition of criminal liability</w:t>
      </w:r>
      <w:r w:rsidRPr="004C4BCF">
        <w:rPr>
          <w:rFonts w:ascii="Times New Roman" w:hAnsi="Times New Roman"/>
        </w:rPr>
        <w:t xml:space="preserve"> has the effect already noted </w:t>
      </w:r>
      <w:r w:rsidRPr="004C4BCF">
        <w:rPr>
          <w:rFonts w:ascii="Times New Roman" w:hAnsi="Times New Roman"/>
        </w:rPr>
        <w:lastRenderedPageBreak/>
        <w:t>that a serious</w:t>
      </w:r>
      <w:r w:rsidRPr="004C4BCF">
        <w:rPr>
          <w:rFonts w:ascii="Times New Roman" w:hAnsi="Times New Roman"/>
          <w:color w:val="000000"/>
        </w:rPr>
        <w:t xml:space="preserve"> Pt 5.3 offence can involve conduct many steps removed from</w:t>
      </w:r>
      <w:r w:rsidRPr="004C4BCF">
        <w:rPr>
          <w:rFonts w:ascii="Times New Roman" w:hAnsi="Times New Roman"/>
        </w:rPr>
        <w:t xml:space="preserve"> doing or supporting or facilitating any terrorist act. </w:t>
      </w:r>
    </w:p>
    <w:p w14:paraId="7B94970F"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The parliamentary record contains in a revised explanatory memorandum a description of the nature of the regime intended to be established by Div 105A. The terms of the description pointed to a constitutionally legitimate non-punitive objective which aligns with the statutorily expressed object of Div 104. Division 105A was described in the revised explanatory memorandum as a "means to protect the community from the risk of terrorist acts"</w:t>
      </w:r>
      <w:r w:rsidRPr="004C4BCF">
        <w:rPr>
          <w:rStyle w:val="FootnoteReference"/>
          <w:rFonts w:ascii="Times New Roman" w:hAnsi="Times New Roman"/>
          <w:sz w:val="24"/>
        </w:rPr>
        <w:footnoteReference w:id="196"/>
      </w:r>
      <w:r w:rsidRPr="004C4BCF">
        <w:rPr>
          <w:rFonts w:ascii="Times New Roman" w:hAnsi="Times New Roman"/>
        </w:rPr>
        <w:t>.</w:t>
      </w:r>
    </w:p>
    <w:p w14:paraId="0E741C01"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color w:val="000000"/>
        </w:rPr>
        <w:tab/>
        <w:t xml:space="preserve">The difficulty in determining whether Div 105A is </w:t>
      </w:r>
      <w:r w:rsidRPr="004C4BCF">
        <w:rPr>
          <w:rFonts w:ascii="Times New Roman" w:hAnsi="Times New Roman"/>
          <w:color w:val="000000"/>
          <w:shd w:val="clear" w:color="auto" w:fill="FFFFFF"/>
        </w:rPr>
        <w:t xml:space="preserve">reasonably capable of being seen as necessary for a legitimate non-punitive objective </w:t>
      </w:r>
      <w:r w:rsidRPr="004C4BCF">
        <w:rPr>
          <w:rFonts w:ascii="Times New Roman" w:hAnsi="Times New Roman"/>
          <w:color w:val="000000"/>
        </w:rPr>
        <w:t xml:space="preserve">lies in the lack of close correspondence between the ultimate </w:t>
      </w:r>
      <w:r w:rsidRPr="004C4BCF">
        <w:rPr>
          <w:rFonts w:ascii="Times New Roman" w:hAnsi="Times New Roman"/>
        </w:rPr>
        <w:t>non-punitive objective of protecting against terrorist acts and the immediate statutory object of preventing serious Pt</w:t>
      </w:r>
      <w:r>
        <w:rPr>
          <w:rFonts w:ascii="Times New Roman" w:hAnsi="Times New Roman"/>
        </w:rPr>
        <w:t> </w:t>
      </w:r>
      <w:r w:rsidRPr="004C4BCF">
        <w:rPr>
          <w:rFonts w:ascii="Times New Roman" w:hAnsi="Times New Roman"/>
        </w:rPr>
        <w:t>5.3 offences.</w:t>
      </w:r>
      <w:r w:rsidRPr="004C4BCF">
        <w:rPr>
          <w:rFonts w:ascii="Times New Roman" w:hAnsi="Times New Roman"/>
          <w:color w:val="000000"/>
        </w:rPr>
        <w:t xml:space="preserve"> </w:t>
      </w:r>
      <w:r w:rsidRPr="004C4BCF">
        <w:rPr>
          <w:rFonts w:ascii="Times New Roman" w:hAnsi="Times New Roman"/>
        </w:rPr>
        <w:t xml:space="preserve">Instead of directly addressing the risk of terrorist acts to be averted in the targeted manner of Div 104, Div 105A overlays a new regime of civil preventive detention onto an existing regime of prophylactic crimes. </w:t>
      </w:r>
    </w:p>
    <w:p w14:paraId="17630817"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r>
      <w:r w:rsidRPr="004C4BCF">
        <w:rPr>
          <w:rFonts w:ascii="Times New Roman" w:hAnsi="Times New Roman"/>
          <w:iCs/>
          <w:color w:val="000000"/>
          <w:shd w:val="clear" w:color="auto" w:fill="FFFFFF"/>
        </w:rPr>
        <w:t xml:space="preserve">The scheme of Div 105A was refined in the parliamentary process which resulted in its insertion. One refinement was to remove </w:t>
      </w:r>
      <w:r w:rsidRPr="004C4BCF">
        <w:rPr>
          <w:rFonts w:ascii="Times New Roman" w:hAnsi="Times New Roman"/>
        </w:rPr>
        <w:t>offences unrelated to terrorism</w:t>
      </w:r>
      <w:r w:rsidRPr="004C4BCF">
        <w:rPr>
          <w:rFonts w:ascii="Times New Roman" w:hAnsi="Times New Roman"/>
          <w:iCs/>
          <w:color w:val="000000"/>
          <w:shd w:val="clear" w:color="auto" w:fill="FFFFFF"/>
        </w:rPr>
        <w:t xml:space="preserve"> from the range of offences </w:t>
      </w:r>
      <w:r w:rsidRPr="004C4BCF">
        <w:rPr>
          <w:rFonts w:ascii="Times New Roman" w:hAnsi="Times New Roman"/>
          <w:color w:val="000000"/>
        </w:rPr>
        <w:t>unacceptable risk of</w:t>
      </w:r>
      <w:r w:rsidRPr="004C4BCF">
        <w:rPr>
          <w:rFonts w:ascii="Times New Roman" w:hAnsi="Times New Roman"/>
        </w:rPr>
        <w:t xml:space="preserve"> occurrence of which might found a continuing detention order</w:t>
      </w:r>
      <w:r w:rsidRPr="004C4BCF">
        <w:rPr>
          <w:rStyle w:val="FootnoteReference"/>
          <w:rFonts w:ascii="Times New Roman" w:hAnsi="Times New Roman"/>
          <w:sz w:val="24"/>
        </w:rPr>
        <w:footnoteReference w:id="197"/>
      </w:r>
      <w:r w:rsidRPr="004C4BCF">
        <w:rPr>
          <w:rFonts w:ascii="Times New Roman" w:hAnsi="Times New Roman"/>
        </w:rPr>
        <w:t xml:space="preserve">. How the offences that remained came to include all offences carrying a maximum penalty of seven or more years of imprisonment does not emerge from the parliamentary record and is remarkable given that none of the offences created by those provisions is expressed to carry a maximum penalty of seven years. The explanation appears to be that the definition of "serious Part 5.3 offence" was drafted to mirror the definition of "serious sex offence" in some State legislation based on the </w:t>
      </w:r>
      <w:proofErr w:type="spellStart"/>
      <w:r w:rsidRPr="004C4BCF">
        <w:rPr>
          <w:rFonts w:ascii="Times New Roman" w:hAnsi="Times New Roman"/>
          <w:i/>
        </w:rPr>
        <w:t>Fardon</w:t>
      </w:r>
      <w:proofErr w:type="spellEnd"/>
      <w:r w:rsidRPr="004C4BCF">
        <w:rPr>
          <w:rFonts w:ascii="Times New Roman" w:hAnsi="Times New Roman"/>
        </w:rPr>
        <w:t xml:space="preserve"> model</w:t>
      </w:r>
      <w:r w:rsidRPr="004C4BCF">
        <w:rPr>
          <w:rStyle w:val="FootnoteReference"/>
          <w:rFonts w:ascii="Times New Roman" w:hAnsi="Times New Roman"/>
          <w:sz w:val="24"/>
        </w:rPr>
        <w:footnoteReference w:id="198"/>
      </w:r>
      <w:r w:rsidRPr="004C4BCF">
        <w:rPr>
          <w:rFonts w:ascii="Times New Roman" w:hAnsi="Times New Roman"/>
        </w:rPr>
        <w:t xml:space="preserve"> without discrimination as to the nature of the conduct involved in each offence.</w:t>
      </w:r>
    </w:p>
    <w:p w14:paraId="4D3A16E6"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r>
      <w:r w:rsidRPr="004C4BCF">
        <w:rPr>
          <w:rFonts w:ascii="Times New Roman" w:hAnsi="Times New Roman"/>
          <w:color w:val="000000"/>
        </w:rPr>
        <w:t xml:space="preserve">By adapting the model of the legislation considered in </w:t>
      </w:r>
      <w:proofErr w:type="spellStart"/>
      <w:r w:rsidRPr="004C4BCF">
        <w:rPr>
          <w:rFonts w:ascii="Times New Roman" w:hAnsi="Times New Roman"/>
          <w:i/>
          <w:color w:val="000000"/>
        </w:rPr>
        <w:t>Fardon</w:t>
      </w:r>
      <w:proofErr w:type="spellEnd"/>
      <w:r w:rsidRPr="004C4BCF">
        <w:rPr>
          <w:rFonts w:ascii="Times New Roman" w:hAnsi="Times New Roman"/>
          <w:color w:val="000000"/>
        </w:rPr>
        <w:t xml:space="preserve">, the Commonwealth Parliament has extrapolated from </w:t>
      </w:r>
      <w:r w:rsidRPr="004C4BCF">
        <w:rPr>
          <w:rFonts w:ascii="Times New Roman" w:hAnsi="Times New Roman"/>
        </w:rPr>
        <w:t xml:space="preserve">continuing detention to protect </w:t>
      </w:r>
      <w:r w:rsidRPr="004C4BCF">
        <w:rPr>
          <w:rFonts w:ascii="Times New Roman" w:hAnsi="Times New Roman"/>
        </w:rPr>
        <w:lastRenderedPageBreak/>
        <w:t>against a narrow category of inherently harmful criminal conduct to</w:t>
      </w:r>
      <w:r w:rsidRPr="004C4BCF">
        <w:rPr>
          <w:rFonts w:ascii="Times New Roman" w:hAnsi="Times New Roman"/>
          <w:color w:val="000000"/>
        </w:rPr>
        <w:t xml:space="preserve"> </w:t>
      </w:r>
      <w:r w:rsidRPr="004C4BCF">
        <w:rPr>
          <w:rFonts w:ascii="Times New Roman" w:hAnsi="Times New Roman"/>
        </w:rPr>
        <w:t>continuing detention to prevent criminal conduct remote from the terrorist acts against which protection is sought to be provided. The exceptional case of detention in custody otherwise than as punishment for a past offence has in the result become unexceptional in relation to offences having some (even very remote) connection to a potential terrorist act.</w:t>
      </w:r>
    </w:p>
    <w:p w14:paraId="488D4667"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iCs/>
          <w:color w:val="000000"/>
          <w:shd w:val="clear" w:color="auto" w:fill="FFFFFF"/>
        </w:rPr>
        <w:tab/>
        <w:t>Because the burden of restrictions on liberty imposed in pursuit of national security are likely to fall on a few for the benefit of many, political constraints on the exercise of legislative power cannot be presumed to limit the design of legislation enacted in the interests of national security in a manner that is protective of individual liberty to the extent entailed by the constitutional commitment of separated judicial power to institutions immunised from the political processes. Through the legislative establishment of the Office of the Independent National Security Legislation Monitor, provision has been made for independent review and reporting on the effectiveness and implications of Div 105A, including by reference to its impact on "the rights of individuals"</w:t>
      </w:r>
      <w:r w:rsidRPr="004C4BCF">
        <w:rPr>
          <w:rStyle w:val="FootnoteReference"/>
          <w:rFonts w:ascii="Times New Roman" w:hAnsi="Times New Roman"/>
          <w:iCs/>
          <w:color w:val="000000"/>
          <w:sz w:val="24"/>
          <w:shd w:val="clear" w:color="auto" w:fill="FFFFFF"/>
        </w:rPr>
        <w:footnoteReference w:id="199"/>
      </w:r>
      <w:r w:rsidRPr="004C4BCF">
        <w:rPr>
          <w:rFonts w:ascii="Times New Roman" w:hAnsi="Times New Roman"/>
          <w:iCs/>
          <w:color w:val="000000"/>
          <w:shd w:val="clear" w:color="auto" w:fill="FFFFFF"/>
        </w:rPr>
        <w:t>. The Parliamentary Joint Committee on Intelligence and Security is also required to review Div 105A</w:t>
      </w:r>
      <w:r w:rsidRPr="004C4BCF">
        <w:rPr>
          <w:rStyle w:val="FootnoteReference"/>
          <w:rFonts w:ascii="Times New Roman" w:hAnsi="Times New Roman"/>
          <w:iCs/>
          <w:color w:val="000000"/>
          <w:sz w:val="24"/>
          <w:shd w:val="clear" w:color="auto" w:fill="FFFFFF"/>
        </w:rPr>
        <w:footnoteReference w:id="200"/>
      </w:r>
      <w:r w:rsidRPr="004C4BCF">
        <w:rPr>
          <w:rFonts w:ascii="Times New Roman" w:hAnsi="Times New Roman"/>
          <w:iCs/>
          <w:color w:val="000000"/>
          <w:shd w:val="clear" w:color="auto" w:fill="FFFFFF"/>
        </w:rPr>
        <w:t>. Neither the Independent National Security Legislation Monitor nor the Parliamentary Joint Committee on Intelligence and Security has yet reported on Div 105A.</w:t>
      </w:r>
    </w:p>
    <w:p w14:paraId="6ED2B6E1" w14:textId="77777777" w:rsidR="00CE4181" w:rsidRPr="004C4BCF" w:rsidRDefault="00CE4181" w:rsidP="004C4BCF">
      <w:pPr>
        <w:pStyle w:val="FixListStyle"/>
        <w:spacing w:after="260" w:line="280" w:lineRule="exact"/>
        <w:ind w:right="0"/>
        <w:jc w:val="both"/>
        <w:rPr>
          <w:rFonts w:ascii="Times New Roman" w:hAnsi="Times New Roman"/>
          <w:color w:val="000000"/>
          <w:shd w:val="clear" w:color="auto" w:fill="FFFFFF"/>
        </w:rPr>
      </w:pPr>
      <w:r w:rsidRPr="004C4BCF">
        <w:rPr>
          <w:rFonts w:ascii="Times New Roman" w:hAnsi="Times New Roman"/>
          <w:iCs/>
          <w:color w:val="000000"/>
          <w:shd w:val="clear" w:color="auto" w:fill="FFFFFF"/>
        </w:rPr>
        <w:tab/>
        <w:t xml:space="preserve">Whether Div 105A </w:t>
      </w:r>
      <w:r w:rsidRPr="004C4BCF">
        <w:rPr>
          <w:rFonts w:ascii="Times New Roman" w:hAnsi="Times New Roman"/>
          <w:color w:val="000000"/>
          <w:shd w:val="clear" w:color="auto" w:fill="FFFFFF"/>
        </w:rPr>
        <w:t xml:space="preserve">complies with the constitutional principle identified by the observation in </w:t>
      </w:r>
      <w:r w:rsidRPr="004C4BCF">
        <w:rPr>
          <w:rFonts w:ascii="Times New Roman" w:hAnsi="Times New Roman"/>
          <w:i/>
          <w:color w:val="000000"/>
          <w:shd w:val="clear" w:color="auto" w:fill="FFFFFF"/>
        </w:rPr>
        <w:t>Lim</w:t>
      </w:r>
      <w:r w:rsidRPr="004C4BCF">
        <w:rPr>
          <w:rFonts w:ascii="Times New Roman" w:hAnsi="Times New Roman"/>
          <w:color w:val="000000"/>
          <w:shd w:val="clear" w:color="auto" w:fill="FFFFFF"/>
        </w:rPr>
        <w:t xml:space="preserve">, </w:t>
      </w:r>
      <w:r w:rsidRPr="004C4BCF">
        <w:rPr>
          <w:rFonts w:ascii="Times New Roman" w:hAnsi="Times New Roman"/>
          <w:iCs/>
          <w:color w:val="000000"/>
          <w:shd w:val="clear" w:color="auto" w:fill="FFFFFF"/>
        </w:rPr>
        <w:t xml:space="preserve">however, is a question irrevocably committed to judicial determination. Neither the </w:t>
      </w:r>
      <w:r w:rsidRPr="004C4BCF">
        <w:rPr>
          <w:rFonts w:ascii="Times New Roman" w:hAnsi="Times New Roman"/>
          <w:color w:val="000000"/>
          <w:sz w:val="27"/>
          <w:szCs w:val="27"/>
          <w:shd w:val="clear" w:color="auto" w:fill="FFFFFF"/>
        </w:rPr>
        <w:t xml:space="preserve">"respect which the </w:t>
      </w:r>
      <w:r w:rsidRPr="004C4BCF">
        <w:rPr>
          <w:rFonts w:ascii="Times New Roman" w:hAnsi="Times New Roman"/>
          <w:color w:val="000000"/>
          <w:shd w:val="clear" w:color="auto" w:fill="FFFFFF"/>
        </w:rPr>
        <w:t>judicial organ must accord to opinions of the legislative and executive organs"</w:t>
      </w:r>
      <w:r w:rsidRPr="004C4BCF">
        <w:rPr>
          <w:rStyle w:val="FootnoteReference"/>
          <w:rFonts w:ascii="Times New Roman" w:hAnsi="Times New Roman"/>
          <w:color w:val="000000"/>
          <w:sz w:val="24"/>
          <w:shd w:val="clear" w:color="auto" w:fill="FFFFFF"/>
        </w:rPr>
        <w:footnoteReference w:id="201"/>
      </w:r>
      <w:r w:rsidRPr="004C4BCF">
        <w:rPr>
          <w:rFonts w:ascii="Times New Roman" w:hAnsi="Times New Roman"/>
          <w:color w:val="000000"/>
          <w:shd w:val="clear" w:color="auto" w:fill="FFFFFF"/>
        </w:rPr>
        <w:t xml:space="preserve"> nor the potential for the outcome to turn on a contestable judgment of degree alleviates the judicial responsibility to undertake the close scrutiny of legislation necessary to provide an answer.</w:t>
      </w:r>
    </w:p>
    <w:p w14:paraId="24BED14C" w14:textId="77777777" w:rsidR="00CE4181" w:rsidRPr="004C4BCF" w:rsidRDefault="00CE4181" w:rsidP="004C4BCF">
      <w:pPr>
        <w:pStyle w:val="HeadingL1"/>
        <w:spacing w:after="260" w:line="280" w:lineRule="exact"/>
        <w:ind w:right="0"/>
        <w:jc w:val="both"/>
        <w:rPr>
          <w:rFonts w:ascii="Times New Roman" w:hAnsi="Times New Roman"/>
        </w:rPr>
      </w:pPr>
      <w:r w:rsidRPr="004C4BCF">
        <w:rPr>
          <w:rFonts w:ascii="Times New Roman" w:hAnsi="Times New Roman"/>
          <w:shd w:val="clear" w:color="auto" w:fill="FFFFFF"/>
        </w:rPr>
        <w:t xml:space="preserve">Conclusion </w:t>
      </w:r>
    </w:p>
    <w:p w14:paraId="47701851"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iCs/>
          <w:color w:val="000000"/>
          <w:shd w:val="clear" w:color="auto" w:fill="FFFFFF"/>
        </w:rPr>
        <w:tab/>
        <w:t xml:space="preserve">No part of my reasoning is to suggest that </w:t>
      </w:r>
      <w:r w:rsidRPr="004C4BCF">
        <w:rPr>
          <w:rFonts w:ascii="Times New Roman" w:hAnsi="Times New Roman"/>
          <w:color w:val="000000"/>
        </w:rPr>
        <w:t>the power to make a continuing detention order is in</w:t>
      </w:r>
      <w:r w:rsidRPr="004C4BCF">
        <w:rPr>
          <w:rFonts w:ascii="Times New Roman" w:hAnsi="Times New Roman"/>
          <w:color w:val="000000"/>
          <w:shd w:val="clear" w:color="auto" w:fill="FFFFFF"/>
        </w:rPr>
        <w:t xml:space="preserve">capable of reasonably being seen to be necessary for the constitutionally legitimate non-punitive objective </w:t>
      </w:r>
      <w:r w:rsidRPr="004C4BCF">
        <w:rPr>
          <w:rFonts w:ascii="Times New Roman" w:hAnsi="Times New Roman"/>
        </w:rPr>
        <w:t>of protecting against terrorist acts</w:t>
      </w:r>
      <w:r w:rsidRPr="004C4BCF">
        <w:rPr>
          <w:rFonts w:ascii="Times New Roman" w:hAnsi="Times New Roman"/>
          <w:color w:val="000000"/>
          <w:shd w:val="clear" w:color="auto" w:fill="FFFFFF"/>
        </w:rPr>
        <w:t xml:space="preserve"> </w:t>
      </w:r>
      <w:r w:rsidRPr="004C4BCF">
        <w:rPr>
          <w:rFonts w:ascii="Times New Roman" w:hAnsi="Times New Roman"/>
          <w:color w:val="000000"/>
        </w:rPr>
        <w:t>in all its applications</w:t>
      </w:r>
      <w:r w:rsidRPr="004C4BCF">
        <w:rPr>
          <w:rFonts w:ascii="Times New Roman" w:hAnsi="Times New Roman"/>
        </w:rPr>
        <w:t xml:space="preserve">. </w:t>
      </w:r>
      <w:r w:rsidRPr="004C4BCF">
        <w:rPr>
          <w:rFonts w:ascii="Times New Roman" w:hAnsi="Times New Roman"/>
          <w:iCs/>
          <w:color w:val="000000"/>
          <w:shd w:val="clear" w:color="auto" w:fill="FFFFFF"/>
        </w:rPr>
        <w:t xml:space="preserve">And no part of my reasoning is to suggest that a bright line can be drawn around those Pt 5.3 offences unacceptable risk of commission of which can be taken to </w:t>
      </w:r>
      <w:r w:rsidRPr="004C4BCF">
        <w:rPr>
          <w:rFonts w:ascii="Times New Roman" w:hAnsi="Times New Roman"/>
          <w:color w:val="000000"/>
        </w:rPr>
        <w:t>indicate an unacceptable risk of</w:t>
      </w:r>
      <w:r w:rsidRPr="004C4BCF">
        <w:rPr>
          <w:rFonts w:ascii="Times New Roman" w:hAnsi="Times New Roman"/>
        </w:rPr>
        <w:t xml:space="preserve"> the occurrence of a </w:t>
      </w:r>
      <w:r w:rsidRPr="004C4BCF">
        <w:rPr>
          <w:rFonts w:ascii="Times New Roman" w:hAnsi="Times New Roman"/>
        </w:rPr>
        <w:lastRenderedPageBreak/>
        <w:t>terrorist act or support for or facilitation of a terrorist act</w:t>
      </w:r>
      <w:r w:rsidRPr="004C4BCF">
        <w:rPr>
          <w:rFonts w:ascii="Times New Roman" w:hAnsi="Times New Roman"/>
          <w:iCs/>
          <w:color w:val="000000"/>
          <w:shd w:val="clear" w:color="auto" w:fill="FFFFFF"/>
        </w:rPr>
        <w:t xml:space="preserve">. Compliance with the </w:t>
      </w:r>
      <w:r w:rsidRPr="004C4BCF">
        <w:rPr>
          <w:rFonts w:ascii="Times New Roman" w:hAnsi="Times New Roman"/>
          <w:color w:val="000000"/>
          <w:shd w:val="clear" w:color="auto" w:fill="FFFFFF"/>
        </w:rPr>
        <w:t xml:space="preserve">principle identified by the observation in </w:t>
      </w:r>
      <w:r w:rsidRPr="004C4BCF">
        <w:rPr>
          <w:rFonts w:ascii="Times New Roman" w:hAnsi="Times New Roman"/>
          <w:i/>
          <w:color w:val="000000"/>
          <w:shd w:val="clear" w:color="auto" w:fill="FFFFFF"/>
        </w:rPr>
        <w:t>Lim</w:t>
      </w:r>
      <w:r w:rsidRPr="004C4BCF">
        <w:rPr>
          <w:rFonts w:ascii="Times New Roman" w:hAnsi="Times New Roman"/>
          <w:color w:val="000000"/>
          <w:shd w:val="clear" w:color="auto" w:fill="FFFFFF"/>
        </w:rPr>
        <w:t xml:space="preserve"> nevertheless requires that a line be drawn.</w:t>
      </w:r>
    </w:p>
    <w:p w14:paraId="3261AEBF"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Without undermining the scheme of Div 105A, the reference in the definition of "serious Part 5.3 offence" to "an offence against" Pt 5.3 can be given a distributive construction to include those offences which fall on one side of the line and exclude those offences which fall on the other side of the line. Because the reference can be so construed, s 15A of the </w:t>
      </w:r>
      <w:r w:rsidRPr="004C4BCF">
        <w:rPr>
          <w:rFonts w:ascii="Times New Roman" w:hAnsi="Times New Roman"/>
          <w:i/>
        </w:rPr>
        <w:t xml:space="preserve">Acts Interpretation Act 1901 </w:t>
      </w:r>
      <w:r w:rsidRPr="004C4BCF">
        <w:rPr>
          <w:rFonts w:ascii="Times New Roman" w:hAnsi="Times New Roman"/>
        </w:rPr>
        <w:t>(Cth) requires that it be so construed</w:t>
      </w:r>
      <w:r w:rsidRPr="004C4BCF">
        <w:rPr>
          <w:rStyle w:val="FootnoteReference"/>
          <w:rFonts w:ascii="Times New Roman" w:hAnsi="Times New Roman"/>
          <w:color w:val="000000"/>
          <w:sz w:val="24"/>
        </w:rPr>
        <w:footnoteReference w:id="202"/>
      </w:r>
      <w:r w:rsidRPr="004C4BCF">
        <w:rPr>
          <w:rFonts w:ascii="Times New Roman" w:hAnsi="Times New Roman"/>
        </w:rPr>
        <w:t xml:space="preserve">. However, nothing would be served by embarking on that subsidiary and contingent exercise of construction in dissenting reasons for judgment unassisted by argument and absent material having the potential to reveal relevant statutory and constitutional facts. </w:t>
      </w:r>
    </w:p>
    <w:p w14:paraId="6879AEA0" w14:textId="77777777" w:rsidR="00CE4181" w:rsidRPr="004C4BCF" w:rsidRDefault="00CE4181" w:rsidP="004C4BCF">
      <w:pPr>
        <w:pStyle w:val="FixListStyle"/>
        <w:spacing w:after="260" w:line="280" w:lineRule="exact"/>
        <w:ind w:right="0"/>
        <w:jc w:val="both"/>
        <w:rPr>
          <w:rFonts w:ascii="Times New Roman" w:hAnsi="Times New Roman"/>
        </w:rPr>
      </w:pPr>
      <w:r w:rsidRPr="004C4BCF">
        <w:rPr>
          <w:rFonts w:ascii="Times New Roman" w:hAnsi="Times New Roman"/>
        </w:rPr>
        <w:tab/>
        <w:t xml:space="preserve">Enough by way of conclusion is that I indicate that I would answer the question removed to the effect that Div 105A is not wholly compatible with Ch III of the </w:t>
      </w:r>
      <w:r w:rsidRPr="004C4BCF">
        <w:rPr>
          <w:rFonts w:ascii="Times New Roman" w:hAnsi="Times New Roman"/>
          <w:i/>
        </w:rPr>
        <w:t>Constitution</w:t>
      </w:r>
      <w:r w:rsidRPr="004C4BCF">
        <w:rPr>
          <w:rFonts w:ascii="Times New Roman" w:hAnsi="Times New Roman"/>
        </w:rPr>
        <w:t xml:space="preserve">. I would order the Minister to pay Mr </w:t>
      </w:r>
      <w:proofErr w:type="spellStart"/>
      <w:r w:rsidRPr="004C4BCF">
        <w:rPr>
          <w:rFonts w:ascii="Times New Roman" w:hAnsi="Times New Roman"/>
        </w:rPr>
        <w:t>Benbrika's</w:t>
      </w:r>
      <w:proofErr w:type="spellEnd"/>
      <w:r w:rsidRPr="004C4BCF">
        <w:rPr>
          <w:rFonts w:ascii="Times New Roman" w:hAnsi="Times New Roman"/>
        </w:rPr>
        <w:t xml:space="preserve"> costs.</w:t>
      </w:r>
    </w:p>
    <w:p w14:paraId="0F152445" w14:textId="77777777" w:rsidR="00CE4181" w:rsidRDefault="00CE4181" w:rsidP="00207864">
      <w:pPr>
        <w:pStyle w:val="NormalBody"/>
        <w:spacing w:after="260" w:line="280" w:lineRule="exact"/>
        <w:ind w:left="1440" w:right="0" w:hanging="720"/>
        <w:jc w:val="both"/>
        <w:rPr>
          <w:rFonts w:ascii="Times New Roman" w:hAnsi="Times New Roman"/>
        </w:rPr>
      </w:pPr>
    </w:p>
    <w:p w14:paraId="2D6E8911" w14:textId="77777777" w:rsidR="00CE4181" w:rsidRDefault="00CE4181" w:rsidP="00207864">
      <w:pPr>
        <w:pStyle w:val="NormalBody"/>
        <w:spacing w:after="260" w:line="280" w:lineRule="exact"/>
        <w:ind w:left="1440" w:right="0" w:hanging="720"/>
        <w:jc w:val="both"/>
        <w:rPr>
          <w:rFonts w:ascii="Times New Roman" w:hAnsi="Times New Roman"/>
        </w:rPr>
        <w:sectPr w:rsidR="00CE4181" w:rsidSect="00CE418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01C3A10" w14:textId="77777777" w:rsidR="00CE4181" w:rsidRPr="00D546BA" w:rsidRDefault="00CE4181" w:rsidP="00D546BA">
      <w:pPr>
        <w:pStyle w:val="FixListStyle"/>
        <w:tabs>
          <w:tab w:val="clear" w:pos="720"/>
          <w:tab w:val="left" w:pos="0"/>
        </w:tabs>
        <w:spacing w:after="260" w:line="280" w:lineRule="exact"/>
        <w:ind w:right="0"/>
        <w:jc w:val="both"/>
        <w:rPr>
          <w:rFonts w:ascii="Times New Roman" w:hAnsi="Times New Roman"/>
        </w:rPr>
      </w:pPr>
      <w:r w:rsidRPr="00D546BA">
        <w:rPr>
          <w:rFonts w:ascii="Times New Roman" w:hAnsi="Times New Roman"/>
        </w:rPr>
        <w:lastRenderedPageBreak/>
        <w:t>GORDON J.   This case raises</w:t>
      </w:r>
      <w:r w:rsidRPr="00D546BA" w:rsidDel="005C3CB2">
        <w:rPr>
          <w:rFonts w:ascii="Times New Roman" w:hAnsi="Times New Roman"/>
        </w:rPr>
        <w:t xml:space="preserve"> </w:t>
      </w:r>
      <w:r w:rsidRPr="00D546BA">
        <w:rPr>
          <w:rFonts w:ascii="Times New Roman" w:hAnsi="Times New Roman"/>
        </w:rPr>
        <w:t>issues of "vital constitutional importance"</w:t>
      </w:r>
      <w:r w:rsidRPr="00D546BA">
        <w:rPr>
          <w:rStyle w:val="FootnoteReference"/>
          <w:rFonts w:ascii="Times New Roman" w:hAnsi="Times New Roman"/>
          <w:sz w:val="24"/>
        </w:rPr>
        <w:footnoteReference w:id="203"/>
      </w:r>
      <w:r w:rsidRPr="00D546BA">
        <w:rPr>
          <w:rFonts w:ascii="Times New Roman" w:hAnsi="Times New Roman"/>
        </w:rPr>
        <w:t xml:space="preserve"> being faced by many democratic states in the modern age. Immediately, the issues concern the legislative responses to "terrorism". More fundamentally, they are issues about adherence to the rule of law. In Australia, that includes the maintenance of the system of law and government prescribed by the </w:t>
      </w:r>
      <w:r w:rsidRPr="00D546BA">
        <w:rPr>
          <w:rFonts w:ascii="Times New Roman" w:hAnsi="Times New Roman"/>
          <w:i/>
        </w:rPr>
        <w:t>Constitution</w:t>
      </w:r>
      <w:r w:rsidRPr="00D546BA">
        <w:rPr>
          <w:rFonts w:ascii="Times New Roman" w:hAnsi="Times New Roman"/>
        </w:rPr>
        <w:t xml:space="preserve"> of the Commonwealth; with a judiciary, as the "bulwark of freedom", which</w:t>
      </w:r>
      <w:r>
        <w:rPr>
          <w:rFonts w:ascii="Times New Roman" w:hAnsi="Times New Roman"/>
        </w:rPr>
        <w:t> </w:t>
      </w:r>
      <w:r w:rsidRPr="00D546BA">
        <w:rPr>
          <w:rFonts w:ascii="Times New Roman" w:hAnsi="Times New Roman"/>
        </w:rPr>
        <w:t>traditionally and historically adjudges the most basic of rights upon the determination of criminal guilt</w:t>
      </w:r>
      <w:r w:rsidRPr="00D546BA">
        <w:rPr>
          <w:rStyle w:val="FootnoteReference"/>
          <w:rFonts w:ascii="Times New Roman" w:hAnsi="Times New Roman"/>
          <w:sz w:val="24"/>
        </w:rPr>
        <w:footnoteReference w:id="204"/>
      </w:r>
      <w:r w:rsidRPr="00D546BA">
        <w:rPr>
          <w:rFonts w:ascii="Times New Roman" w:hAnsi="Times New Roman"/>
        </w:rPr>
        <w:t xml:space="preserve">. </w:t>
      </w:r>
    </w:p>
    <w:p w14:paraId="05EC7BB1"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On 15 September 2008, the respondent, Mr Benbrika, was convicted after a trial of having committed two offences between July 2004 and November 2005, namely, intentionally being a member of a terrorist organisation and intentionally directing the activities of a terrorist organisation, in both cases knowing that it was a terrorist organisation, contrary to ss 102.3(1) and 102.2(1) of the </w:t>
      </w:r>
      <w:r w:rsidRPr="00D546BA">
        <w:rPr>
          <w:rFonts w:ascii="Times New Roman" w:hAnsi="Times New Roman"/>
          <w:i/>
        </w:rPr>
        <w:t>Criminal Code</w:t>
      </w:r>
      <w:r>
        <w:rPr>
          <w:rFonts w:ascii="Times New Roman" w:hAnsi="Times New Roman"/>
          <w:i/>
        </w:rPr>
        <w:t> </w:t>
      </w:r>
      <w:r w:rsidRPr="00D546BA">
        <w:rPr>
          <w:rFonts w:ascii="Times New Roman" w:hAnsi="Times New Roman"/>
        </w:rPr>
        <w:t>(Cth). Each offence is a "serious Part 5.3 offence"</w:t>
      </w:r>
      <w:r w:rsidRPr="00D546BA">
        <w:rPr>
          <w:rStyle w:val="FootnoteReference"/>
          <w:rFonts w:ascii="Times New Roman" w:hAnsi="Times New Roman"/>
          <w:sz w:val="24"/>
        </w:rPr>
        <w:footnoteReference w:id="205"/>
      </w:r>
      <w:r w:rsidRPr="00D546BA">
        <w:rPr>
          <w:rFonts w:ascii="Times New Roman" w:hAnsi="Times New Roman"/>
        </w:rPr>
        <w:t xml:space="preserve"> within the meaning of s 105A.2 of the </w:t>
      </w:r>
      <w:r w:rsidRPr="00D546BA">
        <w:rPr>
          <w:rFonts w:ascii="Times New Roman" w:hAnsi="Times New Roman"/>
          <w:i/>
        </w:rPr>
        <w:t>Criminal Code</w:t>
      </w:r>
      <w:r w:rsidRPr="00D546BA">
        <w:rPr>
          <w:rFonts w:ascii="Times New Roman" w:hAnsi="Times New Roman"/>
        </w:rPr>
        <w:t>. The respondent was sentenced to a total effective sentence of 15 years' imprisonment with a non-parole period of 12 years. Parole</w:t>
      </w:r>
      <w:r>
        <w:rPr>
          <w:rFonts w:ascii="Times New Roman" w:hAnsi="Times New Roman"/>
        </w:rPr>
        <w:t> </w:t>
      </w:r>
      <w:r w:rsidRPr="00D546BA">
        <w:rPr>
          <w:rFonts w:ascii="Times New Roman" w:hAnsi="Times New Roman"/>
        </w:rPr>
        <w:t>was never granted. The</w:t>
      </w:r>
      <w:r w:rsidRPr="00D546BA" w:rsidDel="00BE0F6F">
        <w:rPr>
          <w:rFonts w:ascii="Times New Roman" w:hAnsi="Times New Roman"/>
        </w:rPr>
        <w:t xml:space="preserve"> </w:t>
      </w:r>
      <w:r w:rsidRPr="00D546BA">
        <w:rPr>
          <w:rFonts w:ascii="Times New Roman" w:hAnsi="Times New Roman"/>
        </w:rPr>
        <w:t xml:space="preserve">respondent's sentence was due to expire on 5 November 2020. </w:t>
      </w:r>
    </w:p>
    <w:p w14:paraId="5C51DCC9"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On 4 September 2020, the Minister for Home Affairs ("the Minister") applied to the Supreme Court of Victoria under s 105A.5 of the </w:t>
      </w:r>
      <w:r w:rsidRPr="00D546BA">
        <w:rPr>
          <w:rFonts w:ascii="Times New Roman" w:hAnsi="Times New Roman"/>
          <w:i/>
        </w:rPr>
        <w:t>Criminal Code</w:t>
      </w:r>
      <w:r w:rsidRPr="00D546BA">
        <w:rPr>
          <w:rFonts w:ascii="Times New Roman" w:hAnsi="Times New Roman"/>
        </w:rPr>
        <w:t xml:space="preserve">, for orders in respect of the respondent that a continuing detention order ("CDO") be made pursuant to s 105A.7(1), and that an interim detention order be made pursuant to s 105A.9(2). On 8 October 2020, </w:t>
      </w:r>
      <w:proofErr w:type="spellStart"/>
      <w:r w:rsidRPr="00D546BA" w:rsidDel="00882312">
        <w:rPr>
          <w:rFonts w:ascii="Times New Roman" w:hAnsi="Times New Roman"/>
        </w:rPr>
        <w:t>Tinney</w:t>
      </w:r>
      <w:proofErr w:type="spellEnd"/>
      <w:r w:rsidRPr="00D546BA">
        <w:rPr>
          <w:rFonts w:ascii="Times New Roman" w:hAnsi="Times New Roman"/>
        </w:rPr>
        <w:t> J reserved a question in the proceeding for the consideration of the Court of Appeal pursuant to s 17B(2) of</w:t>
      </w:r>
      <w:r>
        <w:rPr>
          <w:rFonts w:ascii="Times New Roman" w:hAnsi="Times New Roman"/>
        </w:rPr>
        <w:t> </w:t>
      </w:r>
      <w:r w:rsidRPr="00D546BA">
        <w:rPr>
          <w:rFonts w:ascii="Times New Roman" w:hAnsi="Times New Roman"/>
        </w:rPr>
        <w:t xml:space="preserve">the </w:t>
      </w:r>
      <w:r w:rsidRPr="00D546BA">
        <w:rPr>
          <w:rFonts w:ascii="Times New Roman" w:hAnsi="Times New Roman"/>
          <w:i/>
        </w:rPr>
        <w:t>Supreme Court Act 1986</w:t>
      </w:r>
      <w:r w:rsidRPr="00D546BA">
        <w:rPr>
          <w:rFonts w:ascii="Times New Roman" w:hAnsi="Times New Roman"/>
        </w:rPr>
        <w:t xml:space="preserve"> (Vic), concerning the validity of Div 105A of the </w:t>
      </w:r>
      <w:r w:rsidRPr="00D546BA">
        <w:rPr>
          <w:rFonts w:ascii="Times New Roman" w:hAnsi="Times New Roman"/>
          <w:i/>
        </w:rPr>
        <w:t>Criminal Code</w:t>
      </w:r>
      <w:r w:rsidRPr="00D546BA">
        <w:rPr>
          <w:rFonts w:ascii="Times New Roman" w:hAnsi="Times New Roman"/>
        </w:rPr>
        <w:t>.</w:t>
      </w:r>
    </w:p>
    <w:p w14:paraId="4B9000A8"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On 27 October 2020, </w:t>
      </w:r>
      <w:proofErr w:type="spellStart"/>
      <w:r w:rsidRPr="00D546BA" w:rsidDel="00DC04E2">
        <w:rPr>
          <w:rFonts w:ascii="Times New Roman" w:hAnsi="Times New Roman"/>
        </w:rPr>
        <w:t>Tinney</w:t>
      </w:r>
      <w:proofErr w:type="spellEnd"/>
      <w:r w:rsidRPr="00D546BA">
        <w:rPr>
          <w:rFonts w:ascii="Times New Roman" w:hAnsi="Times New Roman"/>
        </w:rPr>
        <w:t xml:space="preserve"> J made an interim detention order pursuant to s 105A.9 of the </w:t>
      </w:r>
      <w:r w:rsidRPr="00D546BA">
        <w:rPr>
          <w:rFonts w:ascii="Times New Roman" w:hAnsi="Times New Roman"/>
          <w:i/>
        </w:rPr>
        <w:t>Criminal Code</w:t>
      </w:r>
      <w:r w:rsidRPr="00D546BA">
        <w:rPr>
          <w:rFonts w:ascii="Times New Roman" w:hAnsi="Times New Roman"/>
        </w:rPr>
        <w:t>. That interim order was in force from 5 November</w:t>
      </w:r>
      <w:r>
        <w:rPr>
          <w:rFonts w:ascii="Times New Roman" w:hAnsi="Times New Roman"/>
        </w:rPr>
        <w:t> </w:t>
      </w:r>
      <w:r w:rsidRPr="00D546BA">
        <w:rPr>
          <w:rFonts w:ascii="Times New Roman" w:hAnsi="Times New Roman"/>
        </w:rPr>
        <w:t xml:space="preserve">2020 to 2 December 2020 but was extended by a further interim order to 30 December 2020. On 24 December 2020, after the hearing before this Court, </w:t>
      </w:r>
      <w:proofErr w:type="spellStart"/>
      <w:r w:rsidRPr="00D546BA">
        <w:rPr>
          <w:rFonts w:ascii="Times New Roman" w:hAnsi="Times New Roman"/>
        </w:rPr>
        <w:lastRenderedPageBreak/>
        <w:t>Tinney</w:t>
      </w:r>
      <w:proofErr w:type="spellEnd"/>
      <w:r w:rsidRPr="00D546BA">
        <w:rPr>
          <w:rFonts w:ascii="Times New Roman" w:hAnsi="Times New Roman"/>
        </w:rPr>
        <w:t xml:space="preserve"> J made a CDO pursuant to s 105A.7(1) of the </w:t>
      </w:r>
      <w:r w:rsidRPr="00D546BA">
        <w:rPr>
          <w:rFonts w:ascii="Times New Roman" w:hAnsi="Times New Roman"/>
          <w:i/>
        </w:rPr>
        <w:t>Criminal Code</w:t>
      </w:r>
      <w:r w:rsidRPr="00D546BA">
        <w:rPr>
          <w:rStyle w:val="FootnoteReference"/>
          <w:rFonts w:ascii="Times New Roman" w:hAnsi="Times New Roman"/>
          <w:sz w:val="24"/>
        </w:rPr>
        <w:footnoteReference w:id="206"/>
      </w:r>
      <w:r w:rsidRPr="00D546BA">
        <w:rPr>
          <w:rFonts w:ascii="Times New Roman" w:hAnsi="Times New Roman"/>
        </w:rPr>
        <w:t>. Subject to the outcome of any appeal from that order,</w:t>
      </w:r>
      <w:r w:rsidRPr="00D546BA">
        <w:rPr>
          <w:rFonts w:ascii="Times New Roman" w:hAnsi="Times New Roman"/>
          <w:i/>
        </w:rPr>
        <w:t xml:space="preserve"> </w:t>
      </w:r>
      <w:r w:rsidRPr="00D546BA">
        <w:rPr>
          <w:rFonts w:ascii="Times New Roman" w:hAnsi="Times New Roman"/>
        </w:rPr>
        <w:t>the CDO will be in force for a period of three years and the effect of the CDO is to commit the respondent to detention in a prison</w:t>
      </w:r>
      <w:r w:rsidRPr="00D546BA">
        <w:rPr>
          <w:rStyle w:val="FootnoteReference"/>
          <w:rFonts w:ascii="Times New Roman" w:hAnsi="Times New Roman"/>
          <w:sz w:val="24"/>
        </w:rPr>
        <w:footnoteReference w:id="207"/>
      </w:r>
      <w:r w:rsidRPr="00D546BA">
        <w:rPr>
          <w:rFonts w:ascii="Times New Roman" w:hAnsi="Times New Roman"/>
        </w:rPr>
        <w:t xml:space="preserve">. On 1 December 2020, in a separate proceeding brought by the Assistant Commissioner of the Australian Federal Police in the Federal Court of Australia, </w:t>
      </w:r>
      <w:proofErr w:type="spellStart"/>
      <w:r w:rsidRPr="00D546BA" w:rsidDel="00DC04E2">
        <w:rPr>
          <w:rFonts w:ascii="Times New Roman" w:hAnsi="Times New Roman"/>
        </w:rPr>
        <w:t>Besanko</w:t>
      </w:r>
      <w:proofErr w:type="spellEnd"/>
      <w:r w:rsidRPr="00D546BA">
        <w:rPr>
          <w:rFonts w:ascii="Times New Roman" w:hAnsi="Times New Roman"/>
        </w:rPr>
        <w:t xml:space="preserve"> J made an interim control order pursuant to s 104.4 of the </w:t>
      </w:r>
      <w:r w:rsidRPr="00D546BA">
        <w:rPr>
          <w:rFonts w:ascii="Times New Roman" w:hAnsi="Times New Roman"/>
          <w:i/>
        </w:rPr>
        <w:t>Criminal Code</w:t>
      </w:r>
      <w:r w:rsidRPr="00D546BA">
        <w:rPr>
          <w:rStyle w:val="FootnoteReference"/>
          <w:rFonts w:ascii="Times New Roman" w:hAnsi="Times New Roman"/>
          <w:sz w:val="24"/>
        </w:rPr>
        <w:footnoteReference w:id="208"/>
      </w:r>
      <w:r w:rsidRPr="00D546BA">
        <w:rPr>
          <w:rFonts w:ascii="Times New Roman" w:hAnsi="Times New Roman"/>
        </w:rPr>
        <w:t xml:space="preserve">. </w:t>
      </w:r>
    </w:p>
    <w:p w14:paraId="6E760D9C"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r>
      <w:r w:rsidRPr="00D546BA" w:rsidDel="0061681F">
        <w:rPr>
          <w:rFonts w:ascii="Times New Roman" w:hAnsi="Times New Roman"/>
        </w:rPr>
        <w:t>O</w:t>
      </w:r>
      <w:r w:rsidRPr="00D546BA">
        <w:rPr>
          <w:rFonts w:ascii="Times New Roman" w:hAnsi="Times New Roman"/>
        </w:rPr>
        <w:t xml:space="preserve">n 30 October 2020, </w:t>
      </w:r>
      <w:r w:rsidRPr="00D546BA" w:rsidDel="009F39F3">
        <w:rPr>
          <w:rFonts w:ascii="Times New Roman" w:hAnsi="Times New Roman"/>
        </w:rPr>
        <w:t>Nettle</w:t>
      </w:r>
      <w:r w:rsidRPr="00D546BA">
        <w:rPr>
          <w:rFonts w:ascii="Times New Roman" w:hAnsi="Times New Roman"/>
        </w:rPr>
        <w:t xml:space="preserve"> J ordered that, pursuant to s 40 of the </w:t>
      </w:r>
      <w:r w:rsidRPr="00D546BA">
        <w:rPr>
          <w:rFonts w:ascii="Times New Roman" w:hAnsi="Times New Roman"/>
          <w:i/>
        </w:rPr>
        <w:t>Judiciary Act 1903</w:t>
      </w:r>
      <w:r w:rsidRPr="00D546BA">
        <w:rPr>
          <w:rFonts w:ascii="Times New Roman" w:hAnsi="Times New Roman"/>
        </w:rPr>
        <w:t xml:space="preserve"> (Cth), the question reserved for the consideration of the Court of Appeal be removed into this Court. The question reserved is as follows:</w:t>
      </w:r>
    </w:p>
    <w:p w14:paraId="41F51F0B" w14:textId="77777777" w:rsidR="00CE4181" w:rsidRDefault="00CE4181" w:rsidP="00D546BA">
      <w:pPr>
        <w:pStyle w:val="leftright"/>
        <w:spacing w:before="0" w:after="260" w:line="280" w:lineRule="exact"/>
        <w:ind w:right="0"/>
        <w:jc w:val="both"/>
        <w:rPr>
          <w:rFonts w:ascii="Times New Roman" w:hAnsi="Times New Roman"/>
        </w:rPr>
      </w:pPr>
      <w:r w:rsidRPr="00D546BA">
        <w:rPr>
          <w:rFonts w:ascii="Times New Roman" w:hAnsi="Times New Roman"/>
        </w:rPr>
        <w:t xml:space="preserve">"Is all or any part of Division 105A of the </w:t>
      </w:r>
      <w:r w:rsidRPr="00D546BA">
        <w:rPr>
          <w:rFonts w:ascii="Times New Roman" w:hAnsi="Times New Roman"/>
          <w:i/>
        </w:rPr>
        <w:t xml:space="preserve">Criminal Code </w:t>
      </w:r>
      <w:r w:rsidRPr="00D546BA">
        <w:rPr>
          <w:rFonts w:ascii="Times New Roman" w:hAnsi="Times New Roman"/>
        </w:rPr>
        <w:t xml:space="preserve">(Cth) and, if so, which part, invalid because the power to make a continuing detention order under section 105A.7 of the </w:t>
      </w:r>
      <w:r w:rsidRPr="00D546BA">
        <w:rPr>
          <w:rFonts w:ascii="Times New Roman" w:hAnsi="Times New Roman"/>
          <w:i/>
        </w:rPr>
        <w:t>Code</w:t>
      </w:r>
      <w:r w:rsidRPr="00D546BA">
        <w:rPr>
          <w:rFonts w:ascii="Times New Roman" w:hAnsi="Times New Roman"/>
        </w:rPr>
        <w:t xml:space="preserve"> is not within the judicial power of the Commonwealth and has been conferred, inter alia, on the Supreme Court of Victoria contrary to Chapter III of the Commonwealth Constitution?"</w:t>
      </w:r>
    </w:p>
    <w:p w14:paraId="73B4CF1F"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The</w:t>
      </w:r>
      <w:r w:rsidRPr="00D546BA" w:rsidDel="00BE0F6F">
        <w:rPr>
          <w:rFonts w:ascii="Times New Roman" w:hAnsi="Times New Roman"/>
        </w:rPr>
        <w:t xml:space="preserve"> </w:t>
      </w:r>
      <w:r w:rsidRPr="00D546BA">
        <w:rPr>
          <w:rFonts w:ascii="Times New Roman" w:hAnsi="Times New Roman"/>
        </w:rPr>
        <w:t xml:space="preserve">respondent submitted that Div 105A is invalid in its entirety. The Attorney-General of the Commonwealth, intervening in support of the Minister, submitted that the question reserved should be answered "No". The Minister adopted the Commonwealth's submissions. </w:t>
      </w:r>
    </w:p>
    <w:p w14:paraId="7A7AC834"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For the reasons that follow, I would answer the question reserved as follows:</w:t>
      </w:r>
    </w:p>
    <w:p w14:paraId="535F5B1D" w14:textId="77777777" w:rsidR="00CE4181" w:rsidRDefault="00CE4181" w:rsidP="00D546BA">
      <w:pPr>
        <w:pStyle w:val="leftright"/>
        <w:spacing w:before="0" w:after="260" w:line="280" w:lineRule="exact"/>
        <w:ind w:right="0"/>
        <w:jc w:val="both"/>
        <w:rPr>
          <w:rFonts w:ascii="Times New Roman" w:hAnsi="Times New Roman"/>
        </w:rPr>
      </w:pPr>
      <w:r w:rsidRPr="00D546BA">
        <w:rPr>
          <w:rFonts w:ascii="Times New Roman" w:hAnsi="Times New Roman"/>
        </w:rPr>
        <w:t xml:space="preserve">"Division 105A of the </w:t>
      </w:r>
      <w:r w:rsidRPr="00D546BA">
        <w:rPr>
          <w:rFonts w:ascii="Times New Roman" w:hAnsi="Times New Roman"/>
          <w:i/>
        </w:rPr>
        <w:t xml:space="preserve">Criminal Code </w:t>
      </w:r>
      <w:r w:rsidRPr="00D546BA">
        <w:rPr>
          <w:rFonts w:ascii="Times New Roman" w:hAnsi="Times New Roman"/>
        </w:rPr>
        <w:t xml:space="preserve">(Cth) is wholly invalid because the power to make a continuing detention order under s 105A.7 is not within the judicial power of the Commonwealth and is contrary to Ch III of the Commonwealth </w:t>
      </w:r>
      <w:r w:rsidRPr="00D546BA">
        <w:rPr>
          <w:rFonts w:ascii="Times New Roman" w:hAnsi="Times New Roman"/>
          <w:i/>
        </w:rPr>
        <w:t>Constitution</w:t>
      </w:r>
      <w:r w:rsidRPr="00D546BA">
        <w:rPr>
          <w:rFonts w:ascii="Times New Roman" w:hAnsi="Times New Roman"/>
        </w:rPr>
        <w:t>."</w:t>
      </w:r>
    </w:p>
    <w:p w14:paraId="0C375ADA" w14:textId="77777777" w:rsidR="00CE4181" w:rsidRPr="00D546BA" w:rsidRDefault="00CE4181" w:rsidP="00D546BA">
      <w:pPr>
        <w:pStyle w:val="HeadingL1"/>
        <w:spacing w:after="260" w:line="280" w:lineRule="exact"/>
        <w:ind w:right="0"/>
        <w:jc w:val="both"/>
        <w:rPr>
          <w:rFonts w:ascii="Times New Roman" w:hAnsi="Times New Roman"/>
        </w:rPr>
      </w:pPr>
      <w:r w:rsidRPr="00D546BA">
        <w:rPr>
          <w:rFonts w:ascii="Times New Roman" w:hAnsi="Times New Roman"/>
        </w:rPr>
        <w:t>Security of the Commonwealth and terrorism</w:t>
      </w:r>
    </w:p>
    <w:p w14:paraId="42A52594"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Chapter 5 of the </w:t>
      </w:r>
      <w:r w:rsidRPr="00D546BA">
        <w:rPr>
          <w:rFonts w:ascii="Times New Roman" w:hAnsi="Times New Roman"/>
          <w:i/>
        </w:rPr>
        <w:t>Criminal Code</w:t>
      </w:r>
      <w:r w:rsidRPr="00D546BA">
        <w:rPr>
          <w:rFonts w:ascii="Times New Roman" w:hAnsi="Times New Roman"/>
        </w:rPr>
        <w:t>, headed "The security of the Commonwealth", comprises six parts: "Treason and related offences"</w:t>
      </w:r>
      <w:r w:rsidRPr="00D546BA">
        <w:rPr>
          <w:rStyle w:val="FootnoteReference"/>
          <w:rFonts w:ascii="Times New Roman" w:hAnsi="Times New Roman"/>
          <w:sz w:val="24"/>
        </w:rPr>
        <w:footnoteReference w:id="209"/>
      </w:r>
      <w:r w:rsidRPr="00D546BA">
        <w:rPr>
          <w:rFonts w:ascii="Times New Roman" w:hAnsi="Times New Roman"/>
        </w:rPr>
        <w:t xml:space="preserve">; </w:t>
      </w:r>
      <w:r w:rsidRPr="00D546BA">
        <w:rPr>
          <w:rFonts w:ascii="Times New Roman" w:hAnsi="Times New Roman"/>
        </w:rPr>
        <w:lastRenderedPageBreak/>
        <w:t>"Espionage and related offences"</w:t>
      </w:r>
      <w:r w:rsidRPr="00D546BA">
        <w:rPr>
          <w:rStyle w:val="FootnoteReference"/>
          <w:rFonts w:ascii="Times New Roman" w:hAnsi="Times New Roman"/>
          <w:sz w:val="24"/>
        </w:rPr>
        <w:footnoteReference w:id="210"/>
      </w:r>
      <w:r w:rsidRPr="00D546BA">
        <w:rPr>
          <w:rFonts w:ascii="Times New Roman" w:hAnsi="Times New Roman"/>
        </w:rPr>
        <w:t>; "Terrorism"</w:t>
      </w:r>
      <w:r w:rsidRPr="00D546BA">
        <w:rPr>
          <w:rStyle w:val="FootnoteReference"/>
          <w:rFonts w:ascii="Times New Roman" w:hAnsi="Times New Roman"/>
          <w:sz w:val="24"/>
        </w:rPr>
        <w:footnoteReference w:id="211"/>
      </w:r>
      <w:r w:rsidRPr="00D546BA">
        <w:rPr>
          <w:rFonts w:ascii="Times New Roman" w:hAnsi="Times New Roman"/>
        </w:rPr>
        <w:t>; "Harming Australians"</w:t>
      </w:r>
      <w:r w:rsidRPr="00D546BA">
        <w:rPr>
          <w:rStyle w:val="FootnoteReference"/>
          <w:rFonts w:ascii="Times New Roman" w:hAnsi="Times New Roman"/>
          <w:sz w:val="24"/>
        </w:rPr>
        <w:footnoteReference w:id="212"/>
      </w:r>
      <w:r w:rsidRPr="00D546BA">
        <w:rPr>
          <w:rFonts w:ascii="Times New Roman" w:hAnsi="Times New Roman"/>
        </w:rPr>
        <w:t>; "Foreign incursions and recruitment"</w:t>
      </w:r>
      <w:r w:rsidRPr="00D546BA">
        <w:rPr>
          <w:rStyle w:val="FootnoteReference"/>
          <w:rFonts w:ascii="Times New Roman" w:hAnsi="Times New Roman"/>
          <w:sz w:val="24"/>
        </w:rPr>
        <w:footnoteReference w:id="213"/>
      </w:r>
      <w:r w:rsidRPr="00D546BA">
        <w:rPr>
          <w:rFonts w:ascii="Times New Roman" w:hAnsi="Times New Roman"/>
        </w:rPr>
        <w:t>; and "Secrecy of information"</w:t>
      </w:r>
      <w:r w:rsidRPr="00D546BA">
        <w:rPr>
          <w:rStyle w:val="FootnoteReference"/>
          <w:rFonts w:ascii="Times New Roman" w:hAnsi="Times New Roman"/>
          <w:sz w:val="24"/>
        </w:rPr>
        <w:footnoteReference w:id="214"/>
      </w:r>
      <w:r w:rsidRPr="00D546BA">
        <w:rPr>
          <w:rFonts w:ascii="Times New Roman" w:hAnsi="Times New Roman"/>
        </w:rPr>
        <w:t>. This case is concerned with Pt 5.3, headed "Terrorism"</w:t>
      </w:r>
      <w:r w:rsidRPr="00D546BA">
        <w:rPr>
          <w:rStyle w:val="FootnoteReference"/>
          <w:rFonts w:ascii="Times New Roman" w:hAnsi="Times New Roman"/>
          <w:sz w:val="24"/>
        </w:rPr>
        <w:footnoteReference w:id="215"/>
      </w:r>
      <w:r w:rsidRPr="00D546BA">
        <w:rPr>
          <w:rFonts w:ascii="Times New Roman" w:hAnsi="Times New Roman"/>
        </w:rPr>
        <w:t>. The constitutional basis for the operation of Pt 5.3 is addressed in ss 100.3 and 100.8 in Pt 5.3: it includes a referral of powers by the States and Territories to the extent that they are not otherwise included in the legislative powers of the Commonwealth Parliament and, relatedly, that no amendment to Pt 5.3 can be made unless it is approved by a majority of the States and Territories (which majority must include at least four States)</w:t>
      </w:r>
      <w:r w:rsidRPr="00D546BA">
        <w:rPr>
          <w:rStyle w:val="FootnoteReference"/>
          <w:rFonts w:ascii="Times New Roman" w:hAnsi="Times New Roman"/>
          <w:sz w:val="24"/>
        </w:rPr>
        <w:footnoteReference w:id="216"/>
      </w:r>
      <w:r w:rsidRPr="00D546BA">
        <w:rPr>
          <w:rFonts w:ascii="Times New Roman" w:hAnsi="Times New Roman"/>
        </w:rPr>
        <w:t xml:space="preserve">. </w:t>
      </w:r>
    </w:p>
    <w:p w14:paraId="549F6413" w14:textId="77777777" w:rsidR="00CE4181" w:rsidRPr="00D546BA" w:rsidRDefault="00CE4181" w:rsidP="00D546BA">
      <w:pPr>
        <w:pStyle w:val="HeadingL2"/>
        <w:spacing w:after="260" w:line="280" w:lineRule="exact"/>
        <w:ind w:right="0"/>
        <w:jc w:val="both"/>
        <w:rPr>
          <w:rFonts w:ascii="Times New Roman" w:hAnsi="Times New Roman"/>
        </w:rPr>
      </w:pPr>
      <w:r w:rsidRPr="00D546BA">
        <w:rPr>
          <w:rFonts w:ascii="Times New Roman" w:hAnsi="Times New Roman"/>
        </w:rPr>
        <w:lastRenderedPageBreak/>
        <w:t>Divisions 104 and 105 – Control orders, preventative detention orders and "terrorist acts"</w:t>
      </w:r>
    </w:p>
    <w:p w14:paraId="01CF076B"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When Pt 5.3 was inserted into the </w:t>
      </w:r>
      <w:r w:rsidRPr="00D546BA">
        <w:rPr>
          <w:rFonts w:ascii="Times New Roman" w:hAnsi="Times New Roman"/>
          <w:i/>
        </w:rPr>
        <w:t>Criminal Code</w:t>
      </w:r>
      <w:r w:rsidRPr="00D546BA">
        <w:rPr>
          <w:rFonts w:ascii="Times New Roman" w:hAnsi="Times New Roman"/>
        </w:rPr>
        <w:t xml:space="preserve"> in 2003</w:t>
      </w:r>
      <w:r w:rsidRPr="00D546BA">
        <w:rPr>
          <w:rStyle w:val="FootnoteReference"/>
          <w:rFonts w:ascii="Times New Roman" w:hAnsi="Times New Roman"/>
          <w:sz w:val="24"/>
        </w:rPr>
        <w:footnoteReference w:id="217"/>
      </w:r>
      <w:r w:rsidRPr="00D546BA">
        <w:rPr>
          <w:rFonts w:ascii="Times New Roman" w:hAnsi="Times New Roman"/>
        </w:rPr>
        <w:t>, it did not contain Div 104, 105</w:t>
      </w:r>
      <w:r w:rsidRPr="00D546BA">
        <w:rPr>
          <w:rStyle w:val="FootnoteReference"/>
          <w:rFonts w:ascii="Times New Roman" w:hAnsi="Times New Roman"/>
          <w:sz w:val="24"/>
        </w:rPr>
        <w:footnoteReference w:id="218"/>
      </w:r>
      <w:r w:rsidRPr="00D546BA">
        <w:rPr>
          <w:rFonts w:ascii="Times New Roman" w:hAnsi="Times New Roman"/>
        </w:rPr>
        <w:t xml:space="preserve"> or 105A, which were later inserted</w:t>
      </w:r>
      <w:r w:rsidRPr="00D546BA">
        <w:rPr>
          <w:rStyle w:val="FootnoteReference"/>
          <w:rFonts w:ascii="Times New Roman" w:hAnsi="Times New Roman"/>
          <w:sz w:val="24"/>
        </w:rPr>
        <w:footnoteReference w:id="219"/>
      </w:r>
      <w:r w:rsidRPr="00D546BA">
        <w:rPr>
          <w:rFonts w:ascii="Times New Roman" w:hAnsi="Times New Roman"/>
        </w:rPr>
        <w:t>. Division 104 provides for the making of control orders, which impose obligations, prohibitions and restrictions on a person's liberty short of detention in prison, for the purpose, among others, of "protecting the public from a terrorist act" or "preventing the provision of support for or the facilitation of a terrorist act"</w:t>
      </w:r>
      <w:r w:rsidRPr="00D546BA">
        <w:rPr>
          <w:rStyle w:val="FootnoteReference"/>
          <w:rFonts w:ascii="Times New Roman" w:hAnsi="Times New Roman"/>
          <w:sz w:val="24"/>
        </w:rPr>
        <w:footnoteReference w:id="220"/>
      </w:r>
      <w:r w:rsidRPr="00D546BA">
        <w:rPr>
          <w:rFonts w:ascii="Times New Roman" w:hAnsi="Times New Roman"/>
        </w:rPr>
        <w:t>. Division 105 provides for the making of preventative detention orders, which allow a person to be taken into custody and detained in a prison for a short period of time in order to "prevent a terrorist act that is capable of being carried out, and could occur, within</w:t>
      </w:r>
      <w:r>
        <w:rPr>
          <w:rFonts w:ascii="Times New Roman" w:hAnsi="Times New Roman"/>
        </w:rPr>
        <w:t> </w:t>
      </w:r>
      <w:r w:rsidRPr="00D546BA">
        <w:rPr>
          <w:rFonts w:ascii="Times New Roman" w:hAnsi="Times New Roman"/>
        </w:rPr>
        <w:t>the next 14 days from occurring" or to "preserve evidence of, or relating to, a recent terrorist act"</w:t>
      </w:r>
      <w:r w:rsidRPr="00D546BA">
        <w:rPr>
          <w:rStyle w:val="FootnoteReference"/>
          <w:rFonts w:ascii="Times New Roman" w:hAnsi="Times New Roman"/>
          <w:sz w:val="24"/>
        </w:rPr>
        <w:footnoteReference w:id="221"/>
      </w:r>
      <w:r w:rsidRPr="00D546BA">
        <w:rPr>
          <w:rFonts w:ascii="Times New Roman" w:hAnsi="Times New Roman"/>
        </w:rPr>
        <w:t xml:space="preserve">. Both </w:t>
      </w:r>
      <w:proofErr w:type="spellStart"/>
      <w:r w:rsidRPr="00D546BA">
        <w:rPr>
          <w:rFonts w:ascii="Times New Roman" w:hAnsi="Times New Roman"/>
        </w:rPr>
        <w:t>Divs</w:t>
      </w:r>
      <w:proofErr w:type="spellEnd"/>
      <w:r w:rsidRPr="00D546BA">
        <w:rPr>
          <w:rFonts w:ascii="Times New Roman" w:hAnsi="Times New Roman"/>
        </w:rPr>
        <w:t> 104 and 105 are expressed to be directed at protecting the public from certain kinds of acts – terrorist acts, or, in the case of Div 104, terrorist acts or providing support for or facilitation of a terrorist act. As</w:t>
      </w:r>
      <w:r>
        <w:rPr>
          <w:rFonts w:ascii="Times New Roman" w:hAnsi="Times New Roman"/>
        </w:rPr>
        <w:t> </w:t>
      </w:r>
      <w:r w:rsidRPr="00D546BA">
        <w:rPr>
          <w:rFonts w:ascii="Times New Roman" w:hAnsi="Times New Roman"/>
        </w:rPr>
        <w:t>will later appear, the division in issue in this case, Div 105A, is expressed to be directed at preventing the commission of identified offences.</w:t>
      </w:r>
    </w:p>
    <w:p w14:paraId="7E5C5787"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For the purpose of Pt 5.3, a "terrorist act" is defined in s 100.1(1) to mean:</w:t>
      </w:r>
    </w:p>
    <w:p w14:paraId="3796D713" w14:textId="77777777" w:rsidR="00CE4181" w:rsidRPr="00D546BA" w:rsidRDefault="00CE4181" w:rsidP="00D546BA">
      <w:pPr>
        <w:pStyle w:val="leftright"/>
        <w:spacing w:before="0" w:after="260" w:line="280" w:lineRule="exact"/>
        <w:ind w:right="0"/>
        <w:jc w:val="both"/>
        <w:rPr>
          <w:rFonts w:ascii="Times New Roman" w:hAnsi="Times New Roman"/>
        </w:rPr>
      </w:pPr>
      <w:r w:rsidRPr="00D546BA">
        <w:rPr>
          <w:rFonts w:ascii="Times New Roman" w:hAnsi="Times New Roman"/>
        </w:rPr>
        <w:t>"an action or threat of action where:</w:t>
      </w:r>
    </w:p>
    <w:p w14:paraId="30C5B637"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(a)</w:t>
      </w:r>
      <w:r w:rsidRPr="00D546BA">
        <w:rPr>
          <w:rFonts w:ascii="Times New Roman" w:hAnsi="Times New Roman"/>
        </w:rPr>
        <w:tab/>
        <w:t>the action falls within subsection (2) and does not fall within subsection (3); and</w:t>
      </w:r>
    </w:p>
    <w:p w14:paraId="2BEC2C4E"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(b)</w:t>
      </w:r>
      <w:r w:rsidRPr="00D546BA">
        <w:rPr>
          <w:rFonts w:ascii="Times New Roman" w:hAnsi="Times New Roman"/>
        </w:rPr>
        <w:tab/>
        <w:t xml:space="preserve">the action is done or the threat is made with the intention of </w:t>
      </w:r>
      <w:r w:rsidRPr="00D546BA">
        <w:rPr>
          <w:rFonts w:ascii="Times New Roman" w:hAnsi="Times New Roman"/>
          <w:i/>
        </w:rPr>
        <w:t>advancing a political, religious or ideological cause</w:t>
      </w:r>
      <w:r w:rsidRPr="00D546BA">
        <w:rPr>
          <w:rFonts w:ascii="Times New Roman" w:hAnsi="Times New Roman"/>
        </w:rPr>
        <w:t>; and</w:t>
      </w:r>
    </w:p>
    <w:p w14:paraId="1E6C7B63"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lastRenderedPageBreak/>
        <w:t>(c)</w:t>
      </w:r>
      <w:r w:rsidRPr="00D546BA">
        <w:rPr>
          <w:rFonts w:ascii="Times New Roman" w:hAnsi="Times New Roman"/>
        </w:rPr>
        <w:tab/>
        <w:t xml:space="preserve">the action is done or the threat is made with the </w:t>
      </w:r>
      <w:r w:rsidRPr="00D546BA">
        <w:rPr>
          <w:rFonts w:ascii="Times New Roman" w:hAnsi="Times New Roman"/>
          <w:i/>
        </w:rPr>
        <w:t>intention of</w:t>
      </w:r>
      <w:r w:rsidRPr="00D546BA">
        <w:rPr>
          <w:rFonts w:ascii="Times New Roman" w:hAnsi="Times New Roman"/>
        </w:rPr>
        <w:t>:</w:t>
      </w:r>
    </w:p>
    <w:p w14:paraId="42C650A4"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w:t>
      </w:r>
      <w:proofErr w:type="spellStart"/>
      <w:r w:rsidRPr="00D546BA">
        <w:rPr>
          <w:rFonts w:ascii="Times New Roman" w:hAnsi="Times New Roman"/>
        </w:rPr>
        <w:t>i</w:t>
      </w:r>
      <w:proofErr w:type="spellEnd"/>
      <w:r w:rsidRPr="00D546BA">
        <w:rPr>
          <w:rFonts w:ascii="Times New Roman" w:hAnsi="Times New Roman"/>
        </w:rPr>
        <w:t>)</w:t>
      </w:r>
      <w:r w:rsidRPr="00D546BA">
        <w:rPr>
          <w:rFonts w:ascii="Times New Roman" w:hAnsi="Times New Roman"/>
        </w:rPr>
        <w:tab/>
        <w:t xml:space="preserve">coercing, or influencing by intimidation, the government of the Commonwealth or a State, Territory or foreign country, or of part of a State, Territory or foreign country; </w:t>
      </w:r>
      <w:r w:rsidRPr="00D546BA">
        <w:rPr>
          <w:rFonts w:ascii="Times New Roman" w:hAnsi="Times New Roman"/>
          <w:i/>
        </w:rPr>
        <w:t>or</w:t>
      </w:r>
    </w:p>
    <w:p w14:paraId="4D108EF3" w14:textId="77777777" w:rsidR="00CE4181"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(ii)</w:t>
      </w:r>
      <w:r w:rsidRPr="00D546BA">
        <w:rPr>
          <w:rFonts w:ascii="Times New Roman" w:hAnsi="Times New Roman"/>
        </w:rPr>
        <w:tab/>
      </w:r>
      <w:r w:rsidRPr="00D546BA">
        <w:rPr>
          <w:rFonts w:ascii="Times New Roman" w:hAnsi="Times New Roman"/>
          <w:i/>
        </w:rPr>
        <w:t>intimidating the public or a section of the public</w:t>
      </w:r>
      <w:r w:rsidRPr="00D546BA">
        <w:rPr>
          <w:rFonts w:ascii="Times New Roman" w:hAnsi="Times New Roman"/>
        </w:rPr>
        <w:t>." (emphasis added)</w:t>
      </w:r>
    </w:p>
    <w:p w14:paraId="0F48E549" w14:textId="77777777" w:rsidR="00CE4181" w:rsidRPr="00D546BA" w:rsidRDefault="00CE4181" w:rsidP="00D546BA">
      <w:pPr>
        <w:pStyle w:val="FixListStyle"/>
        <w:spacing w:after="260" w:line="280" w:lineRule="exact"/>
        <w:ind w:right="0"/>
        <w:jc w:val="both"/>
        <w:rPr>
          <w:rFonts w:ascii="Times New Roman" w:hAnsi="Times New Roman"/>
        </w:rPr>
      </w:pPr>
      <w:r w:rsidRPr="00D546BA" w:rsidDel="000B65AA">
        <w:rPr>
          <w:rFonts w:ascii="Times New Roman" w:hAnsi="Times New Roman"/>
        </w:rPr>
        <w:tab/>
      </w:r>
      <w:r w:rsidRPr="00D546BA">
        <w:rPr>
          <w:rFonts w:ascii="Times New Roman" w:hAnsi="Times New Roman"/>
        </w:rPr>
        <w:t>Sub-section (2) of s 100.1 provides that an "action" can be a terrorist act if</w:t>
      </w:r>
      <w:r>
        <w:rPr>
          <w:rFonts w:ascii="Times New Roman" w:hAnsi="Times New Roman"/>
        </w:rPr>
        <w:t> </w:t>
      </w:r>
      <w:r w:rsidRPr="00D546BA">
        <w:rPr>
          <w:rFonts w:ascii="Times New Roman" w:hAnsi="Times New Roman"/>
        </w:rPr>
        <w:t>it:</w:t>
      </w:r>
    </w:p>
    <w:p w14:paraId="7A90CF4C"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"(a)</w:t>
      </w:r>
      <w:r w:rsidRPr="00D546BA">
        <w:rPr>
          <w:rFonts w:ascii="Times New Roman" w:hAnsi="Times New Roman"/>
        </w:rPr>
        <w:tab/>
        <w:t>causes serious harm that is physical harm to a person; or</w:t>
      </w:r>
    </w:p>
    <w:p w14:paraId="206D9624"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(b)</w:t>
      </w:r>
      <w:r w:rsidRPr="00D546BA">
        <w:rPr>
          <w:rFonts w:ascii="Times New Roman" w:hAnsi="Times New Roman"/>
        </w:rPr>
        <w:tab/>
        <w:t>causes serious damage to property; or</w:t>
      </w:r>
    </w:p>
    <w:p w14:paraId="27259C8D"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(c)</w:t>
      </w:r>
      <w:r w:rsidRPr="00D546BA">
        <w:rPr>
          <w:rFonts w:ascii="Times New Roman" w:hAnsi="Times New Roman"/>
        </w:rPr>
        <w:tab/>
        <w:t>causes a person's death; or</w:t>
      </w:r>
    </w:p>
    <w:p w14:paraId="68F38CE9"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(d)</w:t>
      </w:r>
      <w:r w:rsidRPr="00D546BA">
        <w:rPr>
          <w:rFonts w:ascii="Times New Roman" w:hAnsi="Times New Roman"/>
        </w:rPr>
        <w:tab/>
        <w:t>endangers a person's life, other than the life of the person taking the action; or</w:t>
      </w:r>
    </w:p>
    <w:p w14:paraId="6271AF9E"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(e)</w:t>
      </w:r>
      <w:r w:rsidRPr="00D546BA">
        <w:rPr>
          <w:rFonts w:ascii="Times New Roman" w:hAnsi="Times New Roman"/>
        </w:rPr>
        <w:tab/>
        <w:t>creates a serious risk to the health or safety of the public or a section of the public; or</w:t>
      </w:r>
    </w:p>
    <w:p w14:paraId="3E6B2C98"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(f)</w:t>
      </w:r>
      <w:r w:rsidRPr="00D546BA">
        <w:rPr>
          <w:rFonts w:ascii="Times New Roman" w:hAnsi="Times New Roman"/>
        </w:rPr>
        <w:tab/>
        <w:t>seriously interferes with, seriously disrupts, or destroys, an electronic system including, but not limited to:</w:t>
      </w:r>
    </w:p>
    <w:p w14:paraId="309AA826"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w:t>
      </w:r>
      <w:proofErr w:type="spellStart"/>
      <w:r w:rsidRPr="00D546BA">
        <w:rPr>
          <w:rFonts w:ascii="Times New Roman" w:hAnsi="Times New Roman"/>
        </w:rPr>
        <w:t>i</w:t>
      </w:r>
      <w:proofErr w:type="spellEnd"/>
      <w:r w:rsidRPr="00D546BA">
        <w:rPr>
          <w:rFonts w:ascii="Times New Roman" w:hAnsi="Times New Roman"/>
        </w:rPr>
        <w:t>)</w:t>
      </w:r>
      <w:r w:rsidRPr="00D546BA">
        <w:rPr>
          <w:rFonts w:ascii="Times New Roman" w:hAnsi="Times New Roman"/>
        </w:rPr>
        <w:tab/>
        <w:t>an information system; or</w:t>
      </w:r>
    </w:p>
    <w:p w14:paraId="383186FB"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(ii)</w:t>
      </w:r>
      <w:r w:rsidRPr="00D546BA">
        <w:rPr>
          <w:rFonts w:ascii="Times New Roman" w:hAnsi="Times New Roman"/>
        </w:rPr>
        <w:tab/>
        <w:t>a telecommunications system; or</w:t>
      </w:r>
    </w:p>
    <w:p w14:paraId="5F142878"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(iii)</w:t>
      </w:r>
      <w:r w:rsidRPr="00D546BA">
        <w:rPr>
          <w:rFonts w:ascii="Times New Roman" w:hAnsi="Times New Roman"/>
        </w:rPr>
        <w:tab/>
        <w:t>a financial system; or</w:t>
      </w:r>
    </w:p>
    <w:p w14:paraId="236162E8"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(iv)</w:t>
      </w:r>
      <w:r w:rsidRPr="00D546BA">
        <w:rPr>
          <w:rFonts w:ascii="Times New Roman" w:hAnsi="Times New Roman"/>
        </w:rPr>
        <w:tab/>
        <w:t>a system used for the delivery of essential government services; or</w:t>
      </w:r>
    </w:p>
    <w:p w14:paraId="6A1C138E"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(v)</w:t>
      </w:r>
      <w:r w:rsidRPr="00D546BA">
        <w:rPr>
          <w:rFonts w:ascii="Times New Roman" w:hAnsi="Times New Roman"/>
        </w:rPr>
        <w:tab/>
        <w:t>a system used for, or by, an essential public utility; or</w:t>
      </w:r>
    </w:p>
    <w:p w14:paraId="52270E0B" w14:textId="77777777" w:rsidR="00CE4181"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(vi)</w:t>
      </w:r>
      <w:r w:rsidRPr="00D546BA">
        <w:rPr>
          <w:rFonts w:ascii="Times New Roman" w:hAnsi="Times New Roman"/>
        </w:rPr>
        <w:tab/>
        <w:t xml:space="preserve">a system used for, or by, a transport system." </w:t>
      </w:r>
    </w:p>
    <w:p w14:paraId="3F52A592"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Section 100.1(3) provides further that an "action" that is "advocacy, protest, dissent or industrial action" falls outside the definition of "terrorist act" in sub-s (1) if the advocacy, protest, dissent or industrial action is </w:t>
      </w:r>
      <w:r w:rsidRPr="00D546BA">
        <w:rPr>
          <w:rFonts w:ascii="Times New Roman" w:hAnsi="Times New Roman"/>
          <w:i/>
        </w:rPr>
        <w:t>not</w:t>
      </w:r>
      <w:r w:rsidRPr="00D546BA">
        <w:rPr>
          <w:rFonts w:ascii="Times New Roman" w:hAnsi="Times New Roman"/>
        </w:rPr>
        <w:t xml:space="preserve"> intended to: cause serious harm that is physical harm to a person; cause a person's death; endanger the life of a person, other than the person taking the action; or create a serious risk to the health or safety of the public or a section of the public. </w:t>
      </w:r>
    </w:p>
    <w:p w14:paraId="60A6A941"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lastRenderedPageBreak/>
        <w:tab/>
        <w:t>As is apparent, a wide range of conduct falls within a "terrorist act"</w:t>
      </w:r>
      <w:r w:rsidRPr="00D546BA" w:rsidDel="000B65AA">
        <w:rPr>
          <w:rFonts w:ascii="Times New Roman" w:hAnsi="Times New Roman"/>
        </w:rPr>
        <w:t>.</w:t>
      </w:r>
      <w:r w:rsidRPr="00D546BA">
        <w:rPr>
          <w:rFonts w:ascii="Times New Roman" w:hAnsi="Times New Roman"/>
        </w:rPr>
        <w:t xml:space="preserve"> It</w:t>
      </w:r>
      <w:r>
        <w:rPr>
          <w:rFonts w:ascii="Times New Roman" w:hAnsi="Times New Roman"/>
        </w:rPr>
        <w:t> </w:t>
      </w:r>
      <w:r w:rsidRPr="00D546BA" w:rsidDel="000B65AA">
        <w:rPr>
          <w:rFonts w:ascii="Times New Roman" w:hAnsi="Times New Roman"/>
        </w:rPr>
        <w:t xml:space="preserve">includes an </w:t>
      </w:r>
      <w:r w:rsidRPr="00D546BA" w:rsidDel="000B65AA">
        <w:rPr>
          <w:rFonts w:ascii="Times New Roman" w:hAnsi="Times New Roman"/>
          <w:i/>
        </w:rPr>
        <w:t>action done</w:t>
      </w:r>
      <w:r w:rsidRPr="00D546BA" w:rsidDel="000B65AA">
        <w:rPr>
          <w:rFonts w:ascii="Times New Roman" w:hAnsi="Times New Roman"/>
        </w:rPr>
        <w:t xml:space="preserve"> or a </w:t>
      </w:r>
      <w:r w:rsidRPr="00D546BA" w:rsidDel="000B65AA">
        <w:rPr>
          <w:rFonts w:ascii="Times New Roman" w:hAnsi="Times New Roman"/>
          <w:i/>
        </w:rPr>
        <w:t xml:space="preserve">threat made </w:t>
      </w:r>
      <w:r w:rsidRPr="00D546BA" w:rsidDel="000B65AA">
        <w:rPr>
          <w:rFonts w:ascii="Times New Roman" w:hAnsi="Times New Roman"/>
        </w:rPr>
        <w:t xml:space="preserve">with the intention of </w:t>
      </w:r>
      <w:r w:rsidRPr="00D546BA" w:rsidDel="000B65AA">
        <w:rPr>
          <w:rFonts w:ascii="Times New Roman" w:hAnsi="Times New Roman"/>
          <w:i/>
        </w:rPr>
        <w:t>advancing a political, religious or ideological cause</w:t>
      </w:r>
      <w:r w:rsidRPr="00D546BA" w:rsidDel="000B65AA">
        <w:rPr>
          <w:rFonts w:ascii="Times New Roman" w:hAnsi="Times New Roman"/>
        </w:rPr>
        <w:t xml:space="preserve"> where the action is done, or the threat is made, with an intention, among other things, of coercing, or influencing by intimidation, the government of the Commonwealth or a State, Territory or foreign country, or of part of a State, Territory or foreign country</w:t>
      </w:r>
      <w:r w:rsidRPr="00D546BA">
        <w:rPr>
          <w:rFonts w:ascii="Times New Roman" w:hAnsi="Times New Roman"/>
        </w:rPr>
        <w:t>,</w:t>
      </w:r>
      <w:r w:rsidRPr="00D546BA" w:rsidDel="000B65AA">
        <w:rPr>
          <w:rFonts w:ascii="Times New Roman" w:hAnsi="Times New Roman"/>
        </w:rPr>
        <w:t xml:space="preserve"> </w:t>
      </w:r>
      <w:r w:rsidRPr="00D546BA" w:rsidDel="000B65AA">
        <w:rPr>
          <w:rFonts w:ascii="Times New Roman" w:hAnsi="Times New Roman"/>
          <w:i/>
        </w:rPr>
        <w:t xml:space="preserve">or </w:t>
      </w:r>
      <w:r w:rsidRPr="00D546BA" w:rsidDel="000B65AA">
        <w:rPr>
          <w:rFonts w:ascii="Times New Roman" w:hAnsi="Times New Roman"/>
        </w:rPr>
        <w:t>intimidating the public or a section of the public.</w:t>
      </w:r>
      <w:r w:rsidRPr="00D546BA">
        <w:rPr>
          <w:rFonts w:ascii="Times New Roman" w:hAnsi="Times New Roman"/>
        </w:rPr>
        <w:t xml:space="preserve"> </w:t>
      </w:r>
      <w:r w:rsidRPr="00D546BA" w:rsidDel="00AB64C0">
        <w:rPr>
          <w:rFonts w:ascii="Times New Roman" w:hAnsi="Times New Roman"/>
        </w:rPr>
        <w:t xml:space="preserve">A "terrorist act" </w:t>
      </w:r>
      <w:r w:rsidRPr="00D546BA">
        <w:rPr>
          <w:rFonts w:ascii="Times New Roman" w:hAnsi="Times New Roman"/>
        </w:rPr>
        <w:t>also includes</w:t>
      </w:r>
      <w:r w:rsidRPr="00D546BA" w:rsidDel="00AE2B86">
        <w:rPr>
          <w:rFonts w:ascii="Times New Roman" w:hAnsi="Times New Roman"/>
        </w:rPr>
        <w:t xml:space="preserve"> </w:t>
      </w:r>
      <w:r w:rsidRPr="00D546BA">
        <w:rPr>
          <w:rFonts w:ascii="Times New Roman" w:hAnsi="Times New Roman"/>
        </w:rPr>
        <w:t>"all actions or threats of action that constitute terrorist acts (no matter where the action occurs, the threat is made or the action, if carried out, would occur)"</w:t>
      </w:r>
      <w:r w:rsidRPr="00D546BA">
        <w:rPr>
          <w:rStyle w:val="FootnoteReference"/>
          <w:rFonts w:ascii="Times New Roman" w:hAnsi="Times New Roman"/>
          <w:sz w:val="24"/>
        </w:rPr>
        <w:footnoteReference w:id="222"/>
      </w:r>
      <w:r w:rsidRPr="00D546BA">
        <w:rPr>
          <w:rFonts w:ascii="Times New Roman" w:hAnsi="Times New Roman"/>
        </w:rPr>
        <w:t xml:space="preserve">. </w:t>
      </w:r>
    </w:p>
    <w:p w14:paraId="74B80CEF"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More generally, Pt 5.3 applies to "preliminary acts", relevantly defined as "all actions ... that relate to terrorist acts but [which] do not themselves constitute terrorist acts (no matter where the preliminary acts occur and no matter where the terrorist acts to which they relate occur or would occur)"</w:t>
      </w:r>
      <w:r w:rsidRPr="00D546BA">
        <w:rPr>
          <w:rStyle w:val="FootnoteReference"/>
          <w:rFonts w:ascii="Times New Roman" w:hAnsi="Times New Roman"/>
          <w:sz w:val="24"/>
        </w:rPr>
        <w:footnoteReference w:id="223"/>
      </w:r>
      <w:r w:rsidRPr="00D546BA">
        <w:rPr>
          <w:rFonts w:ascii="Times New Roman" w:hAnsi="Times New Roman"/>
        </w:rPr>
        <w:t xml:space="preserve">. </w:t>
      </w:r>
    </w:p>
    <w:p w14:paraId="53D5235C" w14:textId="77777777" w:rsidR="00CE4181" w:rsidRPr="00D546BA" w:rsidRDefault="00CE4181" w:rsidP="00D546BA">
      <w:pPr>
        <w:pStyle w:val="HeadingL2"/>
        <w:spacing w:after="260" w:line="280" w:lineRule="exact"/>
        <w:ind w:right="0"/>
        <w:jc w:val="both"/>
        <w:rPr>
          <w:rFonts w:ascii="Times New Roman" w:hAnsi="Times New Roman"/>
        </w:rPr>
      </w:pPr>
      <w:r w:rsidRPr="00D546BA">
        <w:rPr>
          <w:rFonts w:ascii="Times New Roman" w:hAnsi="Times New Roman"/>
        </w:rPr>
        <w:t>Division 105A – CDOs and "serious Part 5.3 offences"</w:t>
      </w:r>
    </w:p>
    <w:p w14:paraId="32BA680D"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Division 105A, with which this case is concerned, was inserted into the </w:t>
      </w:r>
      <w:r w:rsidRPr="00D546BA">
        <w:rPr>
          <w:rFonts w:ascii="Times New Roman" w:hAnsi="Times New Roman"/>
          <w:i/>
        </w:rPr>
        <w:t>Criminal Code</w:t>
      </w:r>
      <w:r w:rsidRPr="00D546BA">
        <w:rPr>
          <w:rFonts w:ascii="Times New Roman" w:hAnsi="Times New Roman"/>
        </w:rPr>
        <w:t xml:space="preserve"> in 2017</w:t>
      </w:r>
      <w:r w:rsidRPr="00D546BA">
        <w:rPr>
          <w:rStyle w:val="FootnoteReference"/>
          <w:rFonts w:ascii="Times New Roman" w:hAnsi="Times New Roman"/>
          <w:sz w:val="24"/>
        </w:rPr>
        <w:footnoteReference w:id="224"/>
      </w:r>
      <w:r w:rsidRPr="00D546BA">
        <w:rPr>
          <w:rFonts w:ascii="Times New Roman" w:hAnsi="Times New Roman"/>
        </w:rPr>
        <w:t>. It establishes a scheme, the object of which is "to ensure the safety and protection of the community by providing for the continuing detention of terrorist offenders who pose an unacceptable risk of committing serious Part 5.3 offences if released into the community"</w:t>
      </w:r>
      <w:r w:rsidRPr="00D546BA">
        <w:rPr>
          <w:rStyle w:val="FootnoteReference"/>
          <w:rFonts w:ascii="Times New Roman" w:hAnsi="Times New Roman"/>
          <w:sz w:val="24"/>
        </w:rPr>
        <w:footnoteReference w:id="225"/>
      </w:r>
      <w:r w:rsidRPr="00D546BA">
        <w:rPr>
          <w:rFonts w:ascii="Times New Roman" w:hAnsi="Times New Roman"/>
        </w:rPr>
        <w:t>. It provides for the making of a CDO, which commits a terrorist offender to detention in prison</w:t>
      </w:r>
      <w:r w:rsidRPr="00D546BA">
        <w:rPr>
          <w:rStyle w:val="FootnoteReference"/>
          <w:rFonts w:ascii="Times New Roman" w:hAnsi="Times New Roman"/>
          <w:sz w:val="24"/>
        </w:rPr>
        <w:footnoteReference w:id="226"/>
      </w:r>
      <w:r w:rsidRPr="00D546BA">
        <w:rPr>
          <w:rFonts w:ascii="Times New Roman" w:hAnsi="Times New Roman"/>
        </w:rPr>
        <w:t xml:space="preserve"> while</w:t>
      </w:r>
      <w:r>
        <w:rPr>
          <w:rFonts w:ascii="Times New Roman" w:hAnsi="Times New Roman"/>
        </w:rPr>
        <w:t> </w:t>
      </w:r>
      <w:r w:rsidRPr="00D546BA">
        <w:rPr>
          <w:rFonts w:ascii="Times New Roman" w:hAnsi="Times New Roman"/>
        </w:rPr>
        <w:t>the order is in force</w:t>
      </w:r>
      <w:r w:rsidRPr="00D546BA">
        <w:rPr>
          <w:rStyle w:val="FootnoteReference"/>
          <w:rFonts w:ascii="Times New Roman" w:hAnsi="Times New Roman"/>
          <w:sz w:val="24"/>
        </w:rPr>
        <w:footnoteReference w:id="227"/>
      </w:r>
      <w:r w:rsidRPr="00D546BA">
        <w:rPr>
          <w:rFonts w:ascii="Times New Roman" w:hAnsi="Times New Roman"/>
        </w:rPr>
        <w:t>. A "terrorist offender" includes certain persons convicted of a "serious Part 5.3 offence"</w:t>
      </w:r>
      <w:r w:rsidRPr="00D546BA">
        <w:rPr>
          <w:rStyle w:val="FootnoteReference"/>
          <w:rFonts w:ascii="Times New Roman" w:hAnsi="Times New Roman"/>
          <w:sz w:val="24"/>
        </w:rPr>
        <w:footnoteReference w:id="228"/>
      </w:r>
      <w:r w:rsidRPr="00D546BA">
        <w:rPr>
          <w:rFonts w:ascii="Times New Roman" w:hAnsi="Times New Roman"/>
        </w:rPr>
        <w:t xml:space="preserve">. </w:t>
      </w:r>
      <w:r w:rsidRPr="00D546BA" w:rsidDel="004030BE">
        <w:rPr>
          <w:rFonts w:ascii="Times New Roman" w:hAnsi="Times New Roman"/>
        </w:rPr>
        <w:t>A</w:t>
      </w:r>
      <w:r w:rsidRPr="00D546BA">
        <w:rPr>
          <w:rFonts w:ascii="Times New Roman" w:hAnsi="Times New Roman"/>
        </w:rPr>
        <w:t xml:space="preserve"> "serious Part 5.3 offence" is an </w:t>
      </w:r>
      <w:r w:rsidRPr="00D546BA">
        <w:rPr>
          <w:rFonts w:ascii="Times New Roman" w:hAnsi="Times New Roman"/>
        </w:rPr>
        <w:lastRenderedPageBreak/>
        <w:t>offence against Pt</w:t>
      </w:r>
      <w:r>
        <w:rPr>
          <w:rFonts w:ascii="Times New Roman" w:hAnsi="Times New Roman"/>
        </w:rPr>
        <w:t> </w:t>
      </w:r>
      <w:r w:rsidRPr="00D546BA">
        <w:rPr>
          <w:rFonts w:ascii="Times New Roman" w:hAnsi="Times New Roman"/>
        </w:rPr>
        <w:t>5.3 where the maximum penalty is seven or more years of imprisonment</w:t>
      </w:r>
      <w:r w:rsidRPr="00D546BA">
        <w:rPr>
          <w:rStyle w:val="FootnoteReference"/>
          <w:rFonts w:ascii="Times New Roman" w:hAnsi="Times New Roman"/>
          <w:sz w:val="24"/>
        </w:rPr>
        <w:footnoteReference w:id="229"/>
      </w:r>
      <w:r w:rsidRPr="00D546BA">
        <w:rPr>
          <w:rFonts w:ascii="Times New Roman" w:hAnsi="Times New Roman"/>
        </w:rPr>
        <w:t>.</w:t>
      </w:r>
    </w:p>
    <w:p w14:paraId="34367637"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scheme established under Div 105A has the following features. </w:t>
      </w:r>
    </w:p>
    <w:p w14:paraId="2861FE5D" w14:textId="77777777" w:rsidR="00CE4181" w:rsidRPr="00D546BA" w:rsidRDefault="00CE4181" w:rsidP="00D546BA">
      <w:pPr>
        <w:pStyle w:val="HeadingL3"/>
        <w:spacing w:after="260" w:line="280" w:lineRule="exact"/>
        <w:ind w:right="0"/>
        <w:jc w:val="both"/>
        <w:rPr>
          <w:rFonts w:ascii="Times New Roman" w:hAnsi="Times New Roman"/>
        </w:rPr>
      </w:pPr>
      <w:r w:rsidRPr="00D546BA">
        <w:rPr>
          <w:rFonts w:ascii="Times New Roman" w:hAnsi="Times New Roman"/>
        </w:rPr>
        <w:t>Power to make a CDO</w:t>
      </w:r>
    </w:p>
    <w:p w14:paraId="5267FC38"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Section 105A.3(1) provides that a person may be subject to a CDO only if: they have been convicted of one of a number of specific offences which are generally terrorism-related offences committed in Australia or elsewhere</w:t>
      </w:r>
      <w:r w:rsidRPr="00D546BA">
        <w:rPr>
          <w:rStyle w:val="FootnoteReference"/>
          <w:rFonts w:ascii="Times New Roman" w:hAnsi="Times New Roman"/>
          <w:sz w:val="24"/>
        </w:rPr>
        <w:footnoteReference w:id="230"/>
      </w:r>
      <w:r w:rsidRPr="00D546BA">
        <w:rPr>
          <w:rFonts w:ascii="Times New Roman" w:hAnsi="Times New Roman"/>
        </w:rPr>
        <w:t>; the</w:t>
      </w:r>
      <w:r>
        <w:rPr>
          <w:rFonts w:ascii="Times New Roman" w:hAnsi="Times New Roman"/>
        </w:rPr>
        <w:t> </w:t>
      </w:r>
      <w:r w:rsidRPr="00D546BA">
        <w:rPr>
          <w:rFonts w:ascii="Times New Roman" w:hAnsi="Times New Roman"/>
        </w:rPr>
        <w:t>person is detained in custody and serving a sentence for that offence, has been continuously in custody since being convicted for that offence or is subject to a CDO or interim detention order that is still in force</w:t>
      </w:r>
      <w:r w:rsidRPr="00D546BA">
        <w:rPr>
          <w:rStyle w:val="FootnoteReference"/>
          <w:rFonts w:ascii="Times New Roman" w:hAnsi="Times New Roman"/>
          <w:sz w:val="24"/>
        </w:rPr>
        <w:footnoteReference w:id="231"/>
      </w:r>
      <w:r w:rsidRPr="00D546BA">
        <w:rPr>
          <w:rFonts w:ascii="Times New Roman" w:hAnsi="Times New Roman"/>
        </w:rPr>
        <w:t>; and if in custody serving a sentence, will be at least 18 years old upon the expiry of the sentence</w:t>
      </w:r>
      <w:r w:rsidRPr="00D546BA">
        <w:rPr>
          <w:rStyle w:val="FootnoteReference"/>
          <w:rFonts w:ascii="Times New Roman" w:hAnsi="Times New Roman"/>
          <w:sz w:val="24"/>
        </w:rPr>
        <w:footnoteReference w:id="232"/>
      </w:r>
      <w:r w:rsidRPr="00D546BA">
        <w:rPr>
          <w:rFonts w:ascii="Times New Roman" w:hAnsi="Times New Roman"/>
        </w:rPr>
        <w:t>.</w:t>
      </w:r>
    </w:p>
    <w:p w14:paraId="7A43C04A"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Only the Minister, or a legal representative of the Minister, may apply to a Supreme Court of a State or Territory for a CDO in relation to a terrorist offender</w:t>
      </w:r>
      <w:r w:rsidRPr="00D546BA">
        <w:rPr>
          <w:rStyle w:val="FootnoteReference"/>
          <w:rFonts w:ascii="Times New Roman" w:hAnsi="Times New Roman"/>
          <w:sz w:val="24"/>
        </w:rPr>
        <w:footnoteReference w:id="233"/>
      </w:r>
      <w:r w:rsidRPr="00D546BA">
        <w:rPr>
          <w:rFonts w:ascii="Times New Roman" w:hAnsi="Times New Roman"/>
        </w:rPr>
        <w:t>. The application may not be made more than 12 months before the end of a sentence of imprisonment that the offender is serving, at the end of which the offender would be required to be released into the community</w:t>
      </w:r>
      <w:r w:rsidRPr="00D546BA">
        <w:rPr>
          <w:rStyle w:val="FootnoteReference"/>
          <w:rFonts w:ascii="Times New Roman" w:hAnsi="Times New Roman"/>
          <w:sz w:val="24"/>
        </w:rPr>
        <w:footnoteReference w:id="234"/>
      </w:r>
      <w:r w:rsidRPr="00D546BA">
        <w:rPr>
          <w:rFonts w:ascii="Times New Roman" w:hAnsi="Times New Roman"/>
        </w:rPr>
        <w:t xml:space="preserve">. </w:t>
      </w:r>
    </w:p>
    <w:p w14:paraId="1434CFD2"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Under s 105A.7(1), a Supreme Court of a State or Territory may make a CDO. It is necessary to set out its text to understand the structure that has been created. The sub-section provides:</w:t>
      </w:r>
    </w:p>
    <w:p w14:paraId="4915655C" w14:textId="77777777" w:rsidR="00CE4181" w:rsidRPr="00D546BA" w:rsidRDefault="00CE4181" w:rsidP="00D546BA">
      <w:pPr>
        <w:pStyle w:val="leftright"/>
        <w:spacing w:before="0" w:after="260" w:line="280" w:lineRule="exact"/>
        <w:ind w:right="0"/>
        <w:jc w:val="both"/>
        <w:rPr>
          <w:rFonts w:ascii="Times New Roman" w:hAnsi="Times New Roman"/>
        </w:rPr>
      </w:pPr>
      <w:r w:rsidRPr="00D546BA">
        <w:rPr>
          <w:rFonts w:ascii="Times New Roman" w:hAnsi="Times New Roman"/>
        </w:rPr>
        <w:t>"A Supreme Court of a State or Territory may make a written order under this subsection if:</w:t>
      </w:r>
    </w:p>
    <w:p w14:paraId="54DE4B7E"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(a)</w:t>
      </w:r>
      <w:r w:rsidRPr="00D546BA">
        <w:rPr>
          <w:rFonts w:ascii="Times New Roman" w:hAnsi="Times New Roman"/>
        </w:rPr>
        <w:tab/>
        <w:t xml:space="preserve">an application is made in accordance with section 105A.5 for a [CDO] in relation to a </w:t>
      </w:r>
      <w:r w:rsidRPr="00D546BA">
        <w:rPr>
          <w:rFonts w:ascii="Times New Roman" w:hAnsi="Times New Roman"/>
          <w:i/>
        </w:rPr>
        <w:t>terrorist offender</w:t>
      </w:r>
      <w:r w:rsidRPr="00D546BA">
        <w:rPr>
          <w:rFonts w:ascii="Times New Roman" w:hAnsi="Times New Roman"/>
        </w:rPr>
        <w:t xml:space="preserve">; and </w:t>
      </w:r>
    </w:p>
    <w:p w14:paraId="6F030F24"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(b)</w:t>
      </w:r>
      <w:r w:rsidRPr="00D546BA">
        <w:rPr>
          <w:rFonts w:ascii="Times New Roman" w:hAnsi="Times New Roman"/>
        </w:rPr>
        <w:tab/>
        <w:t>after having regard to matters in accordance with section 105A.8, the</w:t>
      </w:r>
      <w:r>
        <w:rPr>
          <w:rFonts w:ascii="Times New Roman" w:hAnsi="Times New Roman"/>
        </w:rPr>
        <w:t> </w:t>
      </w:r>
      <w:r w:rsidRPr="00D546BA">
        <w:rPr>
          <w:rFonts w:ascii="Times New Roman" w:hAnsi="Times New Roman"/>
        </w:rPr>
        <w:t xml:space="preserve">Court is satisfied to a high degree of probability, on the basis of </w:t>
      </w:r>
      <w:r w:rsidRPr="00D546BA">
        <w:rPr>
          <w:rFonts w:ascii="Times New Roman" w:hAnsi="Times New Roman"/>
        </w:rPr>
        <w:lastRenderedPageBreak/>
        <w:t xml:space="preserve">admissible evidence, that the </w:t>
      </w:r>
      <w:r w:rsidRPr="00D546BA">
        <w:rPr>
          <w:rFonts w:ascii="Times New Roman" w:hAnsi="Times New Roman"/>
          <w:i/>
        </w:rPr>
        <w:t>offender poses an unacceptable risk of committing a serious Part 5.3 offence</w:t>
      </w:r>
      <w:r w:rsidRPr="00D546BA">
        <w:rPr>
          <w:rFonts w:ascii="Times New Roman" w:hAnsi="Times New Roman"/>
        </w:rPr>
        <w:t xml:space="preserve"> if the offender is released into the community; and</w:t>
      </w:r>
    </w:p>
    <w:p w14:paraId="6368C745"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(c)</w:t>
      </w:r>
      <w:r w:rsidRPr="00D546BA">
        <w:rPr>
          <w:rFonts w:ascii="Times New Roman" w:hAnsi="Times New Roman"/>
        </w:rPr>
        <w:tab/>
        <w:t>the Court is satisfied that there is no other less restrictive measure that would be effective in preventing the unacceptable risk.</w:t>
      </w:r>
    </w:p>
    <w:p w14:paraId="45B1912F" w14:textId="77777777" w:rsidR="00CE4181" w:rsidRPr="00D546BA" w:rsidRDefault="00CE4181" w:rsidP="00A36642">
      <w:pPr>
        <w:pStyle w:val="leftright"/>
        <w:spacing w:before="0" w:after="260" w:line="280" w:lineRule="exact"/>
        <w:ind w:left="2880" w:right="0" w:hanging="2160"/>
        <w:jc w:val="both"/>
        <w:rPr>
          <w:rFonts w:ascii="Times New Roman" w:hAnsi="Times New Roman"/>
          <w:sz w:val="22"/>
        </w:rPr>
      </w:pPr>
      <w:r w:rsidRPr="00D546BA">
        <w:rPr>
          <w:rFonts w:ascii="Times New Roman" w:hAnsi="Times New Roman"/>
          <w:sz w:val="22"/>
        </w:rPr>
        <w:t>Note 1:</w:t>
      </w:r>
      <w:r w:rsidRPr="00D546BA">
        <w:rPr>
          <w:rFonts w:ascii="Times New Roman" w:hAnsi="Times New Roman"/>
          <w:sz w:val="22"/>
        </w:rPr>
        <w:tab/>
      </w:r>
      <w:r>
        <w:rPr>
          <w:rFonts w:ascii="Times New Roman" w:hAnsi="Times New Roman"/>
          <w:sz w:val="22"/>
        </w:rPr>
        <w:tab/>
      </w:r>
      <w:r w:rsidRPr="00D546BA">
        <w:rPr>
          <w:rFonts w:ascii="Times New Roman" w:hAnsi="Times New Roman"/>
          <w:sz w:val="22"/>
        </w:rPr>
        <w:t>An example of a less restrictive measure is a control order.</w:t>
      </w:r>
    </w:p>
    <w:p w14:paraId="481BA039" w14:textId="77777777" w:rsidR="00CE4181" w:rsidRDefault="00CE4181" w:rsidP="00D546BA">
      <w:pPr>
        <w:pStyle w:val="leftright"/>
        <w:spacing w:before="0" w:after="260" w:line="280" w:lineRule="exact"/>
        <w:ind w:left="2160" w:right="0" w:hanging="1440"/>
        <w:jc w:val="both"/>
        <w:rPr>
          <w:rFonts w:ascii="Times New Roman" w:hAnsi="Times New Roman"/>
        </w:rPr>
      </w:pPr>
      <w:r w:rsidRPr="00D546BA">
        <w:rPr>
          <w:rFonts w:ascii="Times New Roman" w:hAnsi="Times New Roman"/>
          <w:sz w:val="22"/>
        </w:rPr>
        <w:t>Note 2:</w:t>
      </w:r>
      <w:r>
        <w:rPr>
          <w:rFonts w:ascii="Times New Roman" w:hAnsi="Times New Roman"/>
          <w:sz w:val="22"/>
        </w:rPr>
        <w:tab/>
      </w:r>
      <w:r w:rsidRPr="00D546BA">
        <w:rPr>
          <w:rFonts w:ascii="Times New Roman" w:hAnsi="Times New Roman"/>
          <w:sz w:val="22"/>
        </w:rPr>
        <w:tab/>
        <w:t>The rules of evidence and procedure for civil matters apply when the Court has regard to matters in accordance with section 105A.8, as referred to in paragraph (1)(b) of this section (see subsection 105A.8(3) and section 105A.13).</w:t>
      </w:r>
      <w:r w:rsidRPr="00D546BA">
        <w:rPr>
          <w:rFonts w:ascii="Times New Roman" w:hAnsi="Times New Roman"/>
        </w:rPr>
        <w:t>" (emphasis added)</w:t>
      </w:r>
    </w:p>
    <w:p w14:paraId="66DE96FA" w14:textId="77777777" w:rsidR="00CE4181" w:rsidRPr="00D546BA" w:rsidRDefault="00CE4181" w:rsidP="00D546BA">
      <w:pPr>
        <w:pStyle w:val="NormalBody"/>
        <w:spacing w:after="260" w:line="280" w:lineRule="exact"/>
        <w:ind w:right="0"/>
        <w:jc w:val="both"/>
        <w:rPr>
          <w:rFonts w:ascii="Times New Roman" w:hAnsi="Times New Roman"/>
        </w:rPr>
      </w:pPr>
      <w:r w:rsidRPr="00D546BA">
        <w:rPr>
          <w:rFonts w:ascii="Times New Roman" w:hAnsi="Times New Roman"/>
        </w:rPr>
        <w:t>The Minister bears the onus of satisfying the Court of the matters in s 105A.7(1)(b) and (c)</w:t>
      </w:r>
      <w:r w:rsidRPr="00D546BA">
        <w:rPr>
          <w:rStyle w:val="FootnoteReference"/>
          <w:rFonts w:ascii="Times New Roman" w:hAnsi="Times New Roman"/>
          <w:sz w:val="24"/>
        </w:rPr>
        <w:footnoteReference w:id="235"/>
      </w:r>
      <w:r w:rsidRPr="00D546BA">
        <w:rPr>
          <w:rFonts w:ascii="Times New Roman" w:hAnsi="Times New Roman"/>
        </w:rPr>
        <w:t xml:space="preserve">. </w:t>
      </w:r>
    </w:p>
    <w:p w14:paraId="0452E0B9"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In deciding whether the Court is satisfied that there is an "unacceptable risk" pursuant to s 105A.7(1)(b), the Supreme Court </w:t>
      </w:r>
      <w:r w:rsidRPr="00D546BA">
        <w:rPr>
          <w:rFonts w:ascii="Times New Roman" w:hAnsi="Times New Roman"/>
          <w:i/>
        </w:rPr>
        <w:t>must</w:t>
      </w:r>
      <w:r w:rsidRPr="00D546BA">
        <w:rPr>
          <w:rFonts w:ascii="Times New Roman" w:hAnsi="Times New Roman"/>
        </w:rPr>
        <w:t xml:space="preserve"> have regard to the matters set out in s 105A.8(1), which are</w:t>
      </w:r>
      <w:r w:rsidRPr="00D546BA" w:rsidDel="00221D78">
        <w:rPr>
          <w:rFonts w:ascii="Times New Roman" w:hAnsi="Times New Roman"/>
        </w:rPr>
        <w:t xml:space="preserve"> </w:t>
      </w:r>
      <w:r w:rsidRPr="00D546BA">
        <w:rPr>
          <w:rFonts w:ascii="Times New Roman" w:hAnsi="Times New Roman"/>
        </w:rPr>
        <w:t>as follows:</w:t>
      </w:r>
    </w:p>
    <w:p w14:paraId="7A83BBE5" w14:textId="77777777" w:rsidR="00CE4181" w:rsidRPr="00D546BA" w:rsidRDefault="00CE4181" w:rsidP="00D546BA">
      <w:pPr>
        <w:pStyle w:val="leftright"/>
        <w:spacing w:before="0" w:after="260" w:line="280" w:lineRule="exact"/>
        <w:ind w:right="0"/>
        <w:jc w:val="both"/>
        <w:rPr>
          <w:rFonts w:ascii="Times New Roman" w:hAnsi="Times New Roman"/>
        </w:rPr>
      </w:pPr>
      <w:r w:rsidRPr="00D546BA">
        <w:rPr>
          <w:rFonts w:ascii="Times New Roman" w:hAnsi="Times New Roman"/>
        </w:rPr>
        <w:t>"(a)</w:t>
      </w:r>
      <w:r w:rsidRPr="00D546BA">
        <w:rPr>
          <w:rFonts w:ascii="Times New Roman" w:hAnsi="Times New Roman"/>
        </w:rPr>
        <w:tab/>
        <w:t>the safety and protection of the community;</w:t>
      </w:r>
    </w:p>
    <w:p w14:paraId="2ACC4437"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(b)</w:t>
      </w:r>
      <w:r w:rsidRPr="00D546BA">
        <w:rPr>
          <w:rFonts w:ascii="Times New Roman" w:hAnsi="Times New Roman"/>
        </w:rPr>
        <w:tab/>
        <w:t>any report received from a relevant expert under section 105A.6 in relation to the offender, and the level of the offender's participation in the assessment by the expert;</w:t>
      </w:r>
    </w:p>
    <w:p w14:paraId="7961CDEA"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(c)</w:t>
      </w:r>
      <w:r w:rsidRPr="00D546BA">
        <w:rPr>
          <w:rFonts w:ascii="Times New Roman" w:hAnsi="Times New Roman"/>
        </w:rPr>
        <w:tab/>
        <w:t>the results of any other assessment conducted by a relevant expert of the risk of the offender committing a serious Part 5.3 offence, and</w:t>
      </w:r>
      <w:r>
        <w:rPr>
          <w:rFonts w:ascii="Times New Roman" w:hAnsi="Times New Roman"/>
        </w:rPr>
        <w:t> </w:t>
      </w:r>
      <w:r w:rsidRPr="00D546BA">
        <w:rPr>
          <w:rFonts w:ascii="Times New Roman" w:hAnsi="Times New Roman"/>
        </w:rPr>
        <w:t>the level of the offender's participation in any such assessment;</w:t>
      </w:r>
    </w:p>
    <w:p w14:paraId="38258557"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(d)</w:t>
      </w:r>
      <w:r w:rsidRPr="00D546BA">
        <w:rPr>
          <w:rFonts w:ascii="Times New Roman" w:hAnsi="Times New Roman"/>
        </w:rPr>
        <w:tab/>
        <w:t>any report, relating to the extent to which the offender can reasonably and practicably be managed in the community, that has been prepared by:</w:t>
      </w:r>
    </w:p>
    <w:p w14:paraId="127933D9"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w:t>
      </w:r>
      <w:proofErr w:type="spellStart"/>
      <w:r w:rsidRPr="00D546BA">
        <w:rPr>
          <w:rFonts w:ascii="Times New Roman" w:hAnsi="Times New Roman"/>
        </w:rPr>
        <w:t>i</w:t>
      </w:r>
      <w:proofErr w:type="spellEnd"/>
      <w:r w:rsidRPr="00D546BA">
        <w:rPr>
          <w:rFonts w:ascii="Times New Roman" w:hAnsi="Times New Roman"/>
        </w:rPr>
        <w:t>)</w:t>
      </w:r>
      <w:r w:rsidRPr="00D546BA">
        <w:rPr>
          <w:rFonts w:ascii="Times New Roman" w:hAnsi="Times New Roman"/>
        </w:rPr>
        <w:tab/>
        <w:t>the relevant State or Territory corrective services; or</w:t>
      </w:r>
    </w:p>
    <w:p w14:paraId="4EC6CC1F"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(ii)</w:t>
      </w:r>
      <w:r w:rsidRPr="00D546BA">
        <w:rPr>
          <w:rFonts w:ascii="Times New Roman" w:hAnsi="Times New Roman"/>
        </w:rPr>
        <w:tab/>
        <w:t>any other person or body who is competent to assess that extent;</w:t>
      </w:r>
    </w:p>
    <w:p w14:paraId="3B919542"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(e)</w:t>
      </w:r>
      <w:r w:rsidRPr="00D546BA">
        <w:rPr>
          <w:rFonts w:ascii="Times New Roman" w:hAnsi="Times New Roman"/>
        </w:rPr>
        <w:tab/>
        <w:t>any treatment or rehabilitation programs in which the offender has had an opportunity to participate, and the level of the offender's participation in any such programs;</w:t>
      </w:r>
    </w:p>
    <w:p w14:paraId="5B17D034"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lastRenderedPageBreak/>
        <w:t>(f)</w:t>
      </w:r>
      <w:r w:rsidRPr="00D546BA">
        <w:rPr>
          <w:rFonts w:ascii="Times New Roman" w:hAnsi="Times New Roman"/>
        </w:rPr>
        <w:tab/>
        <w:t>the level of the offender's compliance with any obligations to which he or she is or has been subject while:</w:t>
      </w:r>
    </w:p>
    <w:p w14:paraId="3B9B42D1"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w:t>
      </w:r>
      <w:proofErr w:type="spellStart"/>
      <w:r w:rsidRPr="00D546BA">
        <w:rPr>
          <w:rFonts w:ascii="Times New Roman" w:hAnsi="Times New Roman"/>
        </w:rPr>
        <w:t>i</w:t>
      </w:r>
      <w:proofErr w:type="spellEnd"/>
      <w:r w:rsidRPr="00D546BA">
        <w:rPr>
          <w:rFonts w:ascii="Times New Roman" w:hAnsi="Times New Roman"/>
        </w:rPr>
        <w:t>)</w:t>
      </w:r>
      <w:r w:rsidRPr="00D546BA">
        <w:rPr>
          <w:rFonts w:ascii="Times New Roman" w:hAnsi="Times New Roman"/>
        </w:rPr>
        <w:tab/>
        <w:t>on release on parole for any offence referred to in paragraph 105A.3(1)(a); or</w:t>
      </w:r>
    </w:p>
    <w:p w14:paraId="4E5F234B" w14:textId="77777777" w:rsidR="00CE4181" w:rsidRPr="00D546BA" w:rsidRDefault="00CE4181" w:rsidP="00D546BA">
      <w:pPr>
        <w:pStyle w:val="leftright"/>
        <w:spacing w:before="0" w:after="260" w:line="280" w:lineRule="exact"/>
        <w:ind w:left="2160" w:right="0" w:hanging="720"/>
        <w:jc w:val="both"/>
        <w:rPr>
          <w:rFonts w:ascii="Times New Roman" w:hAnsi="Times New Roman"/>
        </w:rPr>
      </w:pPr>
      <w:r w:rsidRPr="00D546BA">
        <w:rPr>
          <w:rFonts w:ascii="Times New Roman" w:hAnsi="Times New Roman"/>
        </w:rPr>
        <w:t>(ii)</w:t>
      </w:r>
      <w:r w:rsidRPr="00D546BA">
        <w:rPr>
          <w:rFonts w:ascii="Times New Roman" w:hAnsi="Times New Roman"/>
        </w:rPr>
        <w:tab/>
        <w:t>subject to a [CDO] or interim detention order;</w:t>
      </w:r>
    </w:p>
    <w:p w14:paraId="32D9C625"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(g)</w:t>
      </w:r>
      <w:r w:rsidRPr="00D546BA">
        <w:rPr>
          <w:rFonts w:ascii="Times New Roman" w:hAnsi="Times New Roman"/>
        </w:rPr>
        <w:tab/>
        <w:t>the offender's history of any prior convictions for, and findings of guilt made in relation to, any offence referred to in paragraph 105A.3(1)(a);</w:t>
      </w:r>
    </w:p>
    <w:p w14:paraId="6793415F" w14:textId="77777777" w:rsidR="00CE4181" w:rsidRPr="00D546BA"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(h)</w:t>
      </w:r>
      <w:r w:rsidRPr="00D546BA">
        <w:rPr>
          <w:rFonts w:ascii="Times New Roman" w:hAnsi="Times New Roman"/>
        </w:rPr>
        <w:tab/>
        <w:t>the views of the sentencing court at the time any sentence for any offence referred to in paragraph 105A.3(1)(a) was imposed on the offender;</w:t>
      </w:r>
    </w:p>
    <w:p w14:paraId="173FC1BD" w14:textId="77777777" w:rsidR="00CE4181" w:rsidRDefault="00CE4181" w:rsidP="00D546BA">
      <w:pPr>
        <w:pStyle w:val="leftright"/>
        <w:spacing w:before="0" w:after="260" w:line="280" w:lineRule="exact"/>
        <w:ind w:left="1440" w:right="0" w:hanging="720"/>
        <w:jc w:val="both"/>
        <w:rPr>
          <w:rFonts w:ascii="Times New Roman" w:hAnsi="Times New Roman"/>
        </w:rPr>
      </w:pPr>
      <w:r w:rsidRPr="00D546BA">
        <w:rPr>
          <w:rFonts w:ascii="Times New Roman" w:hAnsi="Times New Roman"/>
        </w:rPr>
        <w:t>(</w:t>
      </w:r>
      <w:proofErr w:type="spellStart"/>
      <w:r w:rsidRPr="00D546BA">
        <w:rPr>
          <w:rFonts w:ascii="Times New Roman" w:hAnsi="Times New Roman"/>
        </w:rPr>
        <w:t>i</w:t>
      </w:r>
      <w:proofErr w:type="spellEnd"/>
      <w:r w:rsidRPr="00D546BA">
        <w:rPr>
          <w:rFonts w:ascii="Times New Roman" w:hAnsi="Times New Roman"/>
        </w:rPr>
        <w:t>)</w:t>
      </w:r>
      <w:r w:rsidRPr="00D546BA">
        <w:rPr>
          <w:rFonts w:ascii="Times New Roman" w:hAnsi="Times New Roman"/>
        </w:rPr>
        <w:tab/>
        <w:t>any other information as to the risk of the offender committing a serious Part 5.3 offence."</w:t>
      </w:r>
    </w:p>
    <w:p w14:paraId="03F83C8A" w14:textId="77777777" w:rsidR="00CE4181" w:rsidRPr="00D546BA" w:rsidRDefault="00CE4181" w:rsidP="00D546BA">
      <w:pPr>
        <w:pStyle w:val="NormalBody"/>
        <w:spacing w:after="260" w:line="280" w:lineRule="exact"/>
        <w:ind w:right="0"/>
        <w:jc w:val="both"/>
        <w:rPr>
          <w:rFonts w:ascii="Times New Roman" w:hAnsi="Times New Roman"/>
        </w:rPr>
      </w:pPr>
      <w:r w:rsidRPr="00D546BA">
        <w:rPr>
          <w:rFonts w:ascii="Times New Roman" w:hAnsi="Times New Roman"/>
        </w:rPr>
        <w:t>The Court, however, is not prevented from having regard to any other matter that the Court considers relevant</w:t>
      </w:r>
      <w:r w:rsidRPr="00D546BA">
        <w:rPr>
          <w:rStyle w:val="FootnoteReference"/>
          <w:rFonts w:ascii="Times New Roman" w:hAnsi="Times New Roman"/>
          <w:sz w:val="24"/>
        </w:rPr>
        <w:footnoteReference w:id="236"/>
      </w:r>
      <w:r w:rsidRPr="00D546BA">
        <w:rPr>
          <w:rFonts w:ascii="Times New Roman" w:hAnsi="Times New Roman"/>
        </w:rPr>
        <w:t>.</w:t>
      </w:r>
    </w:p>
    <w:p w14:paraId="65373B8B"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By way of summary, a CDO may be made, relevantly, in relation to a person who has been convicted of one of a number of specific offences which are generally terrorism-related offences committed in Australia or elsewhere, who is detained in custody and serving a sentence of imprisonment or in respect of whom a CDO or interim detention order is in force</w:t>
      </w:r>
      <w:r w:rsidRPr="00D546BA">
        <w:rPr>
          <w:rStyle w:val="FootnoteReference"/>
          <w:rFonts w:ascii="Times New Roman" w:hAnsi="Times New Roman"/>
          <w:sz w:val="24"/>
        </w:rPr>
        <w:footnoteReference w:id="237"/>
      </w:r>
      <w:r w:rsidRPr="00D546BA">
        <w:rPr>
          <w:rFonts w:ascii="Times New Roman" w:hAnsi="Times New Roman"/>
        </w:rPr>
        <w:t>. Where an application for a CDO is made in accordance with Div 105A, a</w:t>
      </w:r>
      <w:r w:rsidRPr="00D546BA">
        <w:rPr>
          <w:rFonts w:ascii="Times New Roman" w:hAnsi="Times New Roman"/>
          <w:sz w:val="24"/>
        </w:rPr>
        <w:t> </w:t>
      </w:r>
      <w:r w:rsidRPr="00D546BA">
        <w:rPr>
          <w:rFonts w:ascii="Times New Roman" w:hAnsi="Times New Roman"/>
        </w:rPr>
        <w:t xml:space="preserve">Supreme Court of a State or Territory is conferred with a power to make such an order if, having regard to matters set out in s 105A.8, the Court is "satisfied to a high degree of probability, on the basis of admissible evidence, that the offender poses an unacceptable risk of committing a serious Part 5.3 offence if the offender is released into the community" and the Court is "satisfied that there is no other less restrictive measure that would be effective in </w:t>
      </w:r>
      <w:r w:rsidRPr="00D546BA">
        <w:rPr>
          <w:rFonts w:ascii="Times New Roman" w:hAnsi="Times New Roman"/>
          <w:i/>
        </w:rPr>
        <w:t>preventing</w:t>
      </w:r>
      <w:r w:rsidRPr="00D546BA">
        <w:rPr>
          <w:rFonts w:ascii="Times New Roman" w:hAnsi="Times New Roman"/>
        </w:rPr>
        <w:t xml:space="preserve"> the unacceptable risk"</w:t>
      </w:r>
      <w:r w:rsidRPr="00D546BA">
        <w:rPr>
          <w:rStyle w:val="FootnoteReference"/>
          <w:rFonts w:ascii="Times New Roman" w:hAnsi="Times New Roman"/>
          <w:sz w:val="24"/>
        </w:rPr>
        <w:footnoteReference w:id="238"/>
      </w:r>
      <w:r w:rsidRPr="00D546BA">
        <w:rPr>
          <w:rFonts w:ascii="Times New Roman" w:hAnsi="Times New Roman"/>
        </w:rPr>
        <w:t xml:space="preserve"> (emphasis added). </w:t>
      </w:r>
    </w:p>
    <w:p w14:paraId="12F4334B" w14:textId="77777777" w:rsidR="00CE4181" w:rsidRPr="00D546BA" w:rsidRDefault="00CE4181" w:rsidP="00D546BA">
      <w:pPr>
        <w:pStyle w:val="HeadingL3"/>
        <w:spacing w:after="260" w:line="280" w:lineRule="exact"/>
        <w:ind w:right="0"/>
        <w:jc w:val="both"/>
        <w:rPr>
          <w:rFonts w:ascii="Times New Roman" w:hAnsi="Times New Roman"/>
        </w:rPr>
      </w:pPr>
      <w:r w:rsidRPr="00D546BA">
        <w:rPr>
          <w:rFonts w:ascii="Times New Roman" w:hAnsi="Times New Roman"/>
        </w:rPr>
        <w:lastRenderedPageBreak/>
        <w:t>Conduct of CDO proceedings</w:t>
      </w:r>
    </w:p>
    <w:p w14:paraId="3D607806"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r>
      <w:r w:rsidRPr="00D546BA" w:rsidDel="000428B7">
        <w:rPr>
          <w:rFonts w:ascii="Times New Roman" w:hAnsi="Times New Roman"/>
        </w:rPr>
        <w:t>T</w:t>
      </w:r>
      <w:r w:rsidRPr="00D546BA">
        <w:rPr>
          <w:rFonts w:ascii="Times New Roman" w:hAnsi="Times New Roman"/>
        </w:rPr>
        <w:t>he conduct of CDO proceedings</w:t>
      </w:r>
      <w:r w:rsidRPr="00D546BA" w:rsidDel="000428B7">
        <w:rPr>
          <w:rFonts w:ascii="Times New Roman" w:hAnsi="Times New Roman"/>
        </w:rPr>
        <w:t xml:space="preserve"> </w:t>
      </w:r>
      <w:r w:rsidRPr="00D546BA">
        <w:rPr>
          <w:rFonts w:ascii="Times New Roman" w:hAnsi="Times New Roman"/>
        </w:rPr>
        <w:t xml:space="preserve">is </w:t>
      </w:r>
      <w:r w:rsidRPr="00D546BA" w:rsidDel="000428B7">
        <w:rPr>
          <w:rFonts w:ascii="Times New Roman" w:hAnsi="Times New Roman"/>
        </w:rPr>
        <w:t>specifically addressed</w:t>
      </w:r>
      <w:r w:rsidRPr="00D546BA">
        <w:rPr>
          <w:rFonts w:ascii="Times New Roman" w:hAnsi="Times New Roman"/>
        </w:rPr>
        <w:t xml:space="preserve"> in </w:t>
      </w:r>
      <w:proofErr w:type="spellStart"/>
      <w:r w:rsidRPr="00D546BA">
        <w:rPr>
          <w:rFonts w:ascii="Times New Roman" w:hAnsi="Times New Roman"/>
        </w:rPr>
        <w:t>Subdiv</w:t>
      </w:r>
      <w:proofErr w:type="spellEnd"/>
      <w:r w:rsidRPr="00D546BA">
        <w:rPr>
          <w:rFonts w:ascii="Times New Roman" w:hAnsi="Times New Roman"/>
        </w:rPr>
        <w:t xml:space="preserve"> E of </w:t>
      </w:r>
      <w:proofErr w:type="spellStart"/>
      <w:r w:rsidRPr="00D546BA">
        <w:rPr>
          <w:rFonts w:ascii="Times New Roman" w:hAnsi="Times New Roman"/>
        </w:rPr>
        <w:t>Div</w:t>
      </w:r>
      <w:proofErr w:type="spellEnd"/>
      <w:r w:rsidRPr="00D546BA">
        <w:rPr>
          <w:rFonts w:ascii="Times New Roman" w:hAnsi="Times New Roman"/>
        </w:rPr>
        <w:t> 105A. The Subdivision provides for notice of the proceedings to be given to the terrorist offender and addresses their legal representation</w:t>
      </w:r>
      <w:r w:rsidRPr="00D546BA">
        <w:rPr>
          <w:rStyle w:val="FootnoteReference"/>
          <w:rFonts w:ascii="Times New Roman" w:hAnsi="Times New Roman"/>
          <w:sz w:val="24"/>
        </w:rPr>
        <w:footnoteReference w:id="239"/>
      </w:r>
      <w:r w:rsidRPr="00D546BA">
        <w:rPr>
          <w:rFonts w:ascii="Times New Roman" w:hAnsi="Times New Roman"/>
        </w:rPr>
        <w:t>. The rules of evidence and procedure for civil matters apply</w:t>
      </w:r>
      <w:r w:rsidRPr="00D546BA">
        <w:rPr>
          <w:rStyle w:val="FootnoteReference"/>
          <w:rFonts w:ascii="Times New Roman" w:hAnsi="Times New Roman"/>
          <w:sz w:val="24"/>
        </w:rPr>
        <w:footnoteReference w:id="240"/>
      </w:r>
      <w:r w:rsidRPr="00D546BA">
        <w:rPr>
          <w:rFonts w:ascii="Times New Roman" w:hAnsi="Times New Roman"/>
        </w:rPr>
        <w:t>. And a party to a CDO proceeding may adduce evidence and make submissions to the Court</w:t>
      </w:r>
      <w:r w:rsidRPr="00D546BA">
        <w:rPr>
          <w:rStyle w:val="FootnoteReference"/>
          <w:rFonts w:ascii="Times New Roman" w:hAnsi="Times New Roman"/>
          <w:sz w:val="24"/>
        </w:rPr>
        <w:footnoteReference w:id="241"/>
      </w:r>
      <w:r w:rsidRPr="00D546BA">
        <w:rPr>
          <w:rFonts w:ascii="Times New Roman" w:hAnsi="Times New Roman"/>
        </w:rPr>
        <w:t xml:space="preserve">. </w:t>
      </w:r>
    </w:p>
    <w:p w14:paraId="38E9455D" w14:textId="77777777" w:rsidR="00CE4181" w:rsidRPr="00D546BA" w:rsidRDefault="00CE4181" w:rsidP="00D546BA">
      <w:pPr>
        <w:pStyle w:val="HeadingL3"/>
        <w:spacing w:after="260" w:line="280" w:lineRule="exact"/>
        <w:ind w:right="0"/>
        <w:jc w:val="both"/>
        <w:rPr>
          <w:rFonts w:ascii="Times New Roman" w:hAnsi="Times New Roman"/>
        </w:rPr>
      </w:pPr>
      <w:r w:rsidRPr="00D546BA">
        <w:rPr>
          <w:rFonts w:ascii="Times New Roman" w:hAnsi="Times New Roman"/>
        </w:rPr>
        <w:t xml:space="preserve">Duration of a CDO and periodic review </w:t>
      </w:r>
    </w:p>
    <w:p w14:paraId="6816C9B0"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A CDO commits the offender to detention in prison while the order is in force</w:t>
      </w:r>
      <w:r w:rsidRPr="00D546BA">
        <w:rPr>
          <w:rStyle w:val="FootnoteReference"/>
          <w:rFonts w:ascii="Times New Roman" w:hAnsi="Times New Roman"/>
          <w:sz w:val="24"/>
        </w:rPr>
        <w:footnoteReference w:id="242"/>
      </w:r>
      <w:r w:rsidRPr="00D546BA">
        <w:rPr>
          <w:rFonts w:ascii="Times New Roman" w:hAnsi="Times New Roman"/>
        </w:rPr>
        <w:t>. Although s 105A.7(5) provides that the maximum duration of the CDO is no more than three years, s 105A.7(6) provides that a Court may make successive CDOs. Sections 105A.10 and 105A.11 provide for periodic review of CDOs every 12 months, and otherwise on application by an offender if the Court is satisfied either that there are new facts or circumstances justifying a review or that it is in the interests of justice to review the CDO.</w:t>
      </w:r>
    </w:p>
    <w:p w14:paraId="4D445B06" w14:textId="77777777" w:rsidR="00CE4181" w:rsidRPr="00D546BA" w:rsidRDefault="00CE4181" w:rsidP="00D546BA">
      <w:pPr>
        <w:pStyle w:val="HeadingL3"/>
        <w:spacing w:after="260" w:line="280" w:lineRule="exact"/>
        <w:ind w:right="0"/>
        <w:jc w:val="both"/>
        <w:rPr>
          <w:rFonts w:ascii="Times New Roman" w:hAnsi="Times New Roman"/>
        </w:rPr>
      </w:pPr>
      <w:r w:rsidRPr="00D546BA">
        <w:rPr>
          <w:rFonts w:ascii="Times New Roman" w:hAnsi="Times New Roman"/>
        </w:rPr>
        <w:t>Reasons and right of appeal</w:t>
      </w:r>
    </w:p>
    <w:p w14:paraId="5264D935"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A Court that makes a CDO must state the reasons for its decision</w:t>
      </w:r>
      <w:r w:rsidRPr="00D546BA">
        <w:rPr>
          <w:rStyle w:val="FootnoteReference"/>
          <w:rFonts w:ascii="Times New Roman" w:hAnsi="Times New Roman"/>
          <w:sz w:val="24"/>
        </w:rPr>
        <w:footnoteReference w:id="243"/>
      </w:r>
      <w:r w:rsidRPr="00D546BA">
        <w:rPr>
          <w:rFonts w:ascii="Times New Roman" w:hAnsi="Times New Roman"/>
        </w:rPr>
        <w:t>. An</w:t>
      </w:r>
      <w:r>
        <w:rPr>
          <w:rFonts w:ascii="Times New Roman" w:hAnsi="Times New Roman"/>
        </w:rPr>
        <w:t> </w:t>
      </w:r>
      <w:r w:rsidRPr="00D546BA">
        <w:rPr>
          <w:rFonts w:ascii="Times New Roman" w:hAnsi="Times New Roman"/>
        </w:rPr>
        <w:t>appeal by way of rehearing of a decision to make a CDO lies as of right to the court of appeal of a State or Territory if the court of appeal has jurisdiction to hear appeals from the Supreme Court in relation to civil matters</w:t>
      </w:r>
      <w:r w:rsidRPr="00D546BA">
        <w:rPr>
          <w:rStyle w:val="FootnoteReference"/>
          <w:rFonts w:ascii="Times New Roman" w:hAnsi="Times New Roman"/>
          <w:sz w:val="24"/>
        </w:rPr>
        <w:footnoteReference w:id="244"/>
      </w:r>
      <w:r w:rsidRPr="00D546BA">
        <w:rPr>
          <w:rFonts w:ascii="Times New Roman" w:hAnsi="Times New Roman"/>
        </w:rPr>
        <w:t>.</w:t>
      </w:r>
    </w:p>
    <w:p w14:paraId="01EDB2E7" w14:textId="77777777" w:rsidR="00CE4181" w:rsidRPr="00D546BA" w:rsidRDefault="00CE4181" w:rsidP="00D546BA">
      <w:pPr>
        <w:pStyle w:val="HeadingL3"/>
        <w:spacing w:after="260" w:line="280" w:lineRule="exact"/>
        <w:ind w:right="0"/>
        <w:jc w:val="both"/>
        <w:rPr>
          <w:rFonts w:ascii="Times New Roman" w:hAnsi="Times New Roman"/>
        </w:rPr>
      </w:pPr>
      <w:r w:rsidRPr="00D546BA">
        <w:rPr>
          <w:rFonts w:ascii="Times New Roman" w:hAnsi="Times New Roman"/>
        </w:rPr>
        <w:t>Other features</w:t>
      </w:r>
    </w:p>
    <w:p w14:paraId="16F509EF"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Division 105A provides that a Court that is sentencing a person who is convicted, relevantly, of a serious Part 5.3 offence </w:t>
      </w:r>
      <w:r w:rsidRPr="00D546BA">
        <w:rPr>
          <w:rFonts w:ascii="Times New Roman" w:hAnsi="Times New Roman"/>
          <w:i/>
        </w:rPr>
        <w:t>must</w:t>
      </w:r>
      <w:r w:rsidRPr="00D546BA">
        <w:rPr>
          <w:rFonts w:ascii="Times New Roman" w:hAnsi="Times New Roman"/>
        </w:rPr>
        <w:t xml:space="preserve"> warn the person that an application may be made under the Division for a CDO requiring the person to be </w:t>
      </w:r>
      <w:r w:rsidRPr="00D546BA">
        <w:rPr>
          <w:rFonts w:ascii="Times New Roman" w:hAnsi="Times New Roman"/>
        </w:rPr>
        <w:lastRenderedPageBreak/>
        <w:t>detained in a prison after the end of the person's sentence</w:t>
      </w:r>
      <w:r w:rsidRPr="00D546BA">
        <w:rPr>
          <w:rStyle w:val="FootnoteReference"/>
          <w:rFonts w:ascii="Times New Roman" w:hAnsi="Times New Roman"/>
          <w:sz w:val="24"/>
        </w:rPr>
        <w:footnoteReference w:id="245"/>
      </w:r>
      <w:r w:rsidRPr="00D546BA">
        <w:rPr>
          <w:rFonts w:ascii="Times New Roman" w:hAnsi="Times New Roman"/>
        </w:rPr>
        <w:t>. However, a failure by the Court to give such a warning does not affect the validity of the sentence for the offence or prevent an application for a CDO being made under the Division</w:t>
      </w:r>
      <w:r w:rsidRPr="00D546BA">
        <w:rPr>
          <w:rStyle w:val="FootnoteReference"/>
          <w:rFonts w:ascii="Times New Roman" w:hAnsi="Times New Roman"/>
          <w:sz w:val="24"/>
        </w:rPr>
        <w:footnoteReference w:id="246"/>
      </w:r>
      <w:r w:rsidRPr="00D546BA">
        <w:rPr>
          <w:rFonts w:ascii="Times New Roman" w:hAnsi="Times New Roman"/>
        </w:rPr>
        <w:t xml:space="preserve">. </w:t>
      </w:r>
    </w:p>
    <w:p w14:paraId="518ACA47" w14:textId="77777777" w:rsidR="00CE4181" w:rsidRPr="00D546BA" w:rsidDel="00046251"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It is, of course, also necessary to notice that Div 105A (except for the warning provision to which reference has just been made) applies retrospectively and thus applies to the respondent because he was a person who, when the Division commenced, was detained in custody and serving a sentence of imprisonment for a serious Part 5.3 offence</w:t>
      </w:r>
      <w:r w:rsidRPr="00D546BA">
        <w:rPr>
          <w:rStyle w:val="FootnoteReference"/>
          <w:rFonts w:ascii="Times New Roman" w:hAnsi="Times New Roman"/>
          <w:sz w:val="24"/>
        </w:rPr>
        <w:footnoteReference w:id="247"/>
      </w:r>
      <w:r w:rsidRPr="00D546BA">
        <w:rPr>
          <w:rFonts w:ascii="Times New Roman" w:hAnsi="Times New Roman"/>
        </w:rPr>
        <w:t xml:space="preserve">. </w:t>
      </w:r>
    </w:p>
    <w:p w14:paraId="547ED5F7"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Consideration of the</w:t>
      </w:r>
      <w:r w:rsidRPr="00D546BA" w:rsidDel="00BE0F6F">
        <w:rPr>
          <w:rFonts w:ascii="Times New Roman" w:hAnsi="Times New Roman"/>
        </w:rPr>
        <w:t xml:space="preserve"> </w:t>
      </w:r>
      <w:r w:rsidRPr="00D546BA">
        <w:rPr>
          <w:rFonts w:ascii="Times New Roman" w:hAnsi="Times New Roman"/>
        </w:rPr>
        <w:t xml:space="preserve">respondent's contention that Div 105A is inconsistent with Ch III of the </w:t>
      </w:r>
      <w:r w:rsidRPr="00D546BA">
        <w:rPr>
          <w:rFonts w:ascii="Times New Roman" w:hAnsi="Times New Roman"/>
          <w:i/>
        </w:rPr>
        <w:t>Constitution</w:t>
      </w:r>
      <w:r w:rsidRPr="00D546BA">
        <w:rPr>
          <w:rFonts w:ascii="Times New Roman" w:hAnsi="Times New Roman"/>
        </w:rPr>
        <w:t xml:space="preserve"> requires examination of the legal and practical operation of the structure that has been created</w:t>
      </w:r>
      <w:r w:rsidRPr="00D546BA">
        <w:rPr>
          <w:rStyle w:val="FootnoteReference"/>
          <w:rFonts w:ascii="Times New Roman" w:hAnsi="Times New Roman"/>
          <w:sz w:val="24"/>
        </w:rPr>
        <w:footnoteReference w:id="248"/>
      </w:r>
      <w:r w:rsidRPr="00D546BA">
        <w:rPr>
          <w:rFonts w:ascii="Times New Roman" w:hAnsi="Times New Roman"/>
        </w:rPr>
        <w:t>. But it is first necessary to understand why that examination is required.</w:t>
      </w:r>
    </w:p>
    <w:p w14:paraId="20E34C35" w14:textId="77777777" w:rsidR="00CE4181" w:rsidRPr="00D546BA" w:rsidRDefault="00CE4181" w:rsidP="00D546BA">
      <w:pPr>
        <w:pStyle w:val="HeadingL1"/>
        <w:spacing w:after="260" w:line="280" w:lineRule="exact"/>
        <w:ind w:right="0"/>
        <w:jc w:val="both"/>
        <w:rPr>
          <w:rFonts w:ascii="Times New Roman" w:hAnsi="Times New Roman"/>
          <w:i/>
        </w:rPr>
      </w:pPr>
      <w:r w:rsidRPr="00D546BA">
        <w:rPr>
          <w:rFonts w:ascii="Times New Roman" w:hAnsi="Times New Roman"/>
        </w:rPr>
        <w:t xml:space="preserve">Liberty, punishment and Ch III of the </w:t>
      </w:r>
      <w:r w:rsidRPr="00D546BA">
        <w:rPr>
          <w:rFonts w:ascii="Times New Roman" w:hAnsi="Times New Roman"/>
          <w:i/>
        </w:rPr>
        <w:t>Constitution</w:t>
      </w:r>
    </w:p>
    <w:p w14:paraId="4AEF612C"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In </w:t>
      </w:r>
      <w:r w:rsidRPr="00D546BA">
        <w:rPr>
          <w:rFonts w:ascii="Times New Roman" w:hAnsi="Times New Roman"/>
          <w:i/>
        </w:rPr>
        <w:t>Chu Kheng Lim v Minister for Immigration, Local Government and Ethnic Affairs</w:t>
      </w:r>
      <w:r w:rsidRPr="00D546BA">
        <w:rPr>
          <w:rStyle w:val="FootnoteReference"/>
          <w:rFonts w:ascii="Times New Roman" w:hAnsi="Times New Roman"/>
          <w:sz w:val="24"/>
        </w:rPr>
        <w:footnoteReference w:id="249"/>
      </w:r>
      <w:r w:rsidRPr="00D546BA">
        <w:rPr>
          <w:rFonts w:ascii="Times New Roman" w:hAnsi="Times New Roman"/>
        </w:rPr>
        <w:t xml:space="preserve">, Brennan, Deane and Dawson JJ held that, subject to certain exceptions, "the involuntary detention of a citizen in custody by the State is penal or punitive in character and, under our system of government, exists only as an incident of the exclusively judicial function of adjudging and punishing criminal guilt". </w:t>
      </w:r>
    </w:p>
    <w:p w14:paraId="5C6FBF9B"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Commonwealth submitted that if a power to detain a person is conferred on a Ch III court for a purpose other than to punish for a breach of the criminal law, the power "will not intersect with the 'general proposition' from </w:t>
      </w:r>
      <w:r w:rsidRPr="00D546BA">
        <w:rPr>
          <w:rFonts w:ascii="Times New Roman" w:hAnsi="Times New Roman"/>
          <w:i/>
        </w:rPr>
        <w:t>Lim</w:t>
      </w:r>
      <w:r w:rsidRPr="00D546BA">
        <w:rPr>
          <w:rFonts w:ascii="Times New Roman" w:hAnsi="Times New Roman"/>
        </w:rPr>
        <w:t>"</w:t>
      </w:r>
      <w:r>
        <w:rPr>
          <w:rFonts w:ascii="Times New Roman" w:hAnsi="Times New Roman"/>
        </w:rPr>
        <w:t> </w:t>
      </w:r>
      <w:r w:rsidRPr="00D546BA">
        <w:rPr>
          <w:rFonts w:ascii="Times New Roman" w:hAnsi="Times New Roman"/>
        </w:rPr>
        <w:t xml:space="preserve">– that is, </w:t>
      </w:r>
      <w:r w:rsidRPr="00D546BA">
        <w:rPr>
          <w:rFonts w:ascii="Times New Roman" w:hAnsi="Times New Roman"/>
          <w:i/>
        </w:rPr>
        <w:t>Lim</w:t>
      </w:r>
      <w:r w:rsidRPr="00D546BA">
        <w:rPr>
          <w:rFonts w:ascii="Times New Roman" w:hAnsi="Times New Roman"/>
        </w:rPr>
        <w:t xml:space="preserve"> is simply not engaged. By contrast, the respondent contended that, notwithstanding judicial recognition that the executive may permissibly detain a person where detention is directed to a protective or non-punitive purpose, </w:t>
      </w:r>
      <w:r w:rsidRPr="00D546BA">
        <w:rPr>
          <w:rFonts w:ascii="Times New Roman" w:hAnsi="Times New Roman"/>
        </w:rPr>
        <w:lastRenderedPageBreak/>
        <w:t xml:space="preserve">the </w:t>
      </w:r>
      <w:r w:rsidRPr="00D546BA">
        <w:rPr>
          <w:rFonts w:ascii="Times New Roman" w:hAnsi="Times New Roman"/>
          <w:i/>
        </w:rPr>
        <w:t>Lim</w:t>
      </w:r>
      <w:r w:rsidRPr="00D546BA">
        <w:rPr>
          <w:rFonts w:ascii="Times New Roman" w:hAnsi="Times New Roman"/>
        </w:rPr>
        <w:t xml:space="preserve"> principle applies strictly in relation to Ch III courts exercising the judicial power of the Commonwealth. </w:t>
      </w:r>
    </w:p>
    <w:p w14:paraId="4616895B"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This Court has never considered whether Commonwealth legislation may empower a Ch III court exercising the judicial power of the Commonwealth to order the imprisonment of a person otherwise than as a consequence or incident of a finding of criminal guilt. The Court has only considered such powers of detention conferred on State Supreme Courts by State legislation</w:t>
      </w:r>
      <w:r w:rsidRPr="00D546BA">
        <w:rPr>
          <w:rStyle w:val="FootnoteReference"/>
          <w:rFonts w:ascii="Times New Roman" w:hAnsi="Times New Roman"/>
          <w:sz w:val="24"/>
        </w:rPr>
        <w:footnoteReference w:id="250"/>
      </w:r>
      <w:r w:rsidRPr="00D546BA">
        <w:rPr>
          <w:rFonts w:ascii="Times New Roman" w:hAnsi="Times New Roman"/>
        </w:rPr>
        <w:t xml:space="preserve"> and Commonwealth legislation authorising Ch III courts exercising the judicial power of the Commonwealth to impose restraints on liberty less than imprisonment</w:t>
      </w:r>
      <w:r w:rsidRPr="00D546BA">
        <w:rPr>
          <w:rStyle w:val="FootnoteReference"/>
          <w:rFonts w:ascii="Times New Roman" w:hAnsi="Times New Roman"/>
          <w:sz w:val="24"/>
        </w:rPr>
        <w:footnoteReference w:id="251"/>
      </w:r>
      <w:r w:rsidRPr="00D546BA">
        <w:rPr>
          <w:rFonts w:ascii="Times New Roman" w:hAnsi="Times New Roman"/>
        </w:rPr>
        <w:t xml:space="preserve">. </w:t>
      </w:r>
    </w:p>
    <w:p w14:paraId="69A03F0C"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This observation directs attention to two interrelated issues: what is the principle in </w:t>
      </w:r>
      <w:r w:rsidRPr="00D546BA">
        <w:rPr>
          <w:rFonts w:ascii="Times New Roman" w:hAnsi="Times New Roman"/>
          <w:i/>
        </w:rPr>
        <w:t>Lim</w:t>
      </w:r>
      <w:r w:rsidRPr="00D546BA">
        <w:rPr>
          <w:rFonts w:ascii="Times New Roman" w:hAnsi="Times New Roman"/>
        </w:rPr>
        <w:t xml:space="preserve"> and what underpins it; and what is the ambit and content of the "judicial power of the Commonwealth"</w:t>
      </w:r>
      <w:r w:rsidRPr="00D546BA">
        <w:rPr>
          <w:rStyle w:val="FootnoteReference"/>
          <w:rFonts w:ascii="Times New Roman" w:hAnsi="Times New Roman"/>
          <w:sz w:val="24"/>
        </w:rPr>
        <w:footnoteReference w:id="252"/>
      </w:r>
      <w:r w:rsidRPr="00D546BA">
        <w:rPr>
          <w:rFonts w:ascii="Times New Roman" w:hAnsi="Times New Roman"/>
        </w:rPr>
        <w:t xml:space="preserve">. </w:t>
      </w:r>
    </w:p>
    <w:p w14:paraId="439FAB24"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principle in </w:t>
      </w:r>
      <w:r w:rsidRPr="00D546BA">
        <w:rPr>
          <w:rFonts w:ascii="Times New Roman" w:hAnsi="Times New Roman"/>
          <w:i/>
        </w:rPr>
        <w:t>Lim</w:t>
      </w:r>
      <w:r w:rsidRPr="00D546BA">
        <w:rPr>
          <w:rFonts w:ascii="Times New Roman" w:hAnsi="Times New Roman"/>
        </w:rPr>
        <w:t xml:space="preserve"> – that adjudging and punishing criminal guilt is an exclusively judicial function – has been restated by this Court many times in cases dealing with administrative or executive detention</w:t>
      </w:r>
      <w:r w:rsidRPr="00D546BA">
        <w:rPr>
          <w:rStyle w:val="FootnoteReference"/>
          <w:rFonts w:ascii="Times New Roman" w:hAnsi="Times New Roman"/>
          <w:sz w:val="24"/>
        </w:rPr>
        <w:footnoteReference w:id="253"/>
      </w:r>
      <w:r w:rsidRPr="00D546BA">
        <w:rPr>
          <w:rFonts w:ascii="Times New Roman" w:hAnsi="Times New Roman"/>
        </w:rPr>
        <w:t>. But for present purposes, the</w:t>
      </w:r>
      <w:r>
        <w:rPr>
          <w:rFonts w:ascii="Times New Roman" w:hAnsi="Times New Roman"/>
        </w:rPr>
        <w:t> </w:t>
      </w:r>
      <w:r w:rsidRPr="00D546BA">
        <w:rPr>
          <w:rFonts w:ascii="Times New Roman" w:hAnsi="Times New Roman"/>
        </w:rPr>
        <w:t xml:space="preserve">central principle derived from </w:t>
      </w:r>
      <w:r w:rsidRPr="00D546BA">
        <w:rPr>
          <w:rFonts w:ascii="Times New Roman" w:hAnsi="Times New Roman"/>
          <w:i/>
        </w:rPr>
        <w:t>Lim</w:t>
      </w:r>
      <w:r w:rsidRPr="00D546BA">
        <w:rPr>
          <w:rFonts w:ascii="Times New Roman" w:hAnsi="Times New Roman"/>
        </w:rPr>
        <w:t>, as reflected in subsequent decisions of this Court, is that involuntary detention in custody by the State is inherently penal or punitive in character, and thus cannot be imposed other than as an incident of adjudging and punishing criminal guilt unless one of the recognised exceptions applies; "[it] exists only as an incident of the exclusively judicial function of adjudging and punishing criminal guilt"</w:t>
      </w:r>
      <w:r w:rsidRPr="00D546BA">
        <w:rPr>
          <w:rStyle w:val="FootnoteReference"/>
          <w:rFonts w:ascii="Times New Roman" w:hAnsi="Times New Roman"/>
          <w:sz w:val="24"/>
        </w:rPr>
        <w:footnoteReference w:id="254"/>
      </w:r>
      <w:r w:rsidRPr="00D546BA">
        <w:rPr>
          <w:rFonts w:ascii="Times New Roman" w:hAnsi="Times New Roman"/>
        </w:rPr>
        <w:t xml:space="preserve">. As </w:t>
      </w:r>
      <w:r w:rsidRPr="00D546BA">
        <w:rPr>
          <w:rFonts w:ascii="Times New Roman" w:hAnsi="Times New Roman"/>
          <w:i/>
        </w:rPr>
        <w:t xml:space="preserve">Lim </w:t>
      </w:r>
      <w:r w:rsidRPr="00D546BA">
        <w:rPr>
          <w:rFonts w:ascii="Times New Roman" w:hAnsi="Times New Roman"/>
        </w:rPr>
        <w:t xml:space="preserve">recognised, there are some </w:t>
      </w:r>
      <w:r w:rsidRPr="00D546BA">
        <w:rPr>
          <w:rFonts w:ascii="Times New Roman" w:hAnsi="Times New Roman"/>
        </w:rPr>
        <w:lastRenderedPageBreak/>
        <w:t>exceptional cases where detention other than as punishment for a breach of the law will be authorised, such as detention in cases of mental illness or infectious disease or to secure attendance at trial for an offence</w:t>
      </w:r>
      <w:r w:rsidRPr="00D546BA">
        <w:rPr>
          <w:rStyle w:val="FootnoteReference"/>
          <w:rFonts w:ascii="Times New Roman" w:hAnsi="Times New Roman"/>
          <w:sz w:val="24"/>
        </w:rPr>
        <w:footnoteReference w:id="255"/>
      </w:r>
      <w:r w:rsidRPr="00D546BA">
        <w:rPr>
          <w:rFonts w:ascii="Times New Roman" w:hAnsi="Times New Roman"/>
        </w:rPr>
        <w:t xml:space="preserve">. </w:t>
      </w:r>
    </w:p>
    <w:p w14:paraId="5F75609D"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In </w:t>
      </w:r>
      <w:proofErr w:type="spellStart"/>
      <w:r w:rsidRPr="00D546BA">
        <w:rPr>
          <w:rFonts w:ascii="Times New Roman" w:hAnsi="Times New Roman"/>
          <w:i/>
        </w:rPr>
        <w:t>Fardon</w:t>
      </w:r>
      <w:proofErr w:type="spellEnd"/>
      <w:r w:rsidRPr="00D546BA">
        <w:rPr>
          <w:rFonts w:ascii="Times New Roman" w:hAnsi="Times New Roman"/>
          <w:i/>
        </w:rPr>
        <w:t xml:space="preserve"> v Attorney-General (Qld)</w:t>
      </w:r>
      <w:r w:rsidRPr="00D546BA">
        <w:rPr>
          <w:rFonts w:ascii="Times New Roman" w:hAnsi="Times New Roman"/>
        </w:rPr>
        <w:t>, Gummow J preferred "a formulation of the principle derived from Ch III in terms that, the 'exceptional cases' aside, the</w:t>
      </w:r>
      <w:r>
        <w:rPr>
          <w:rFonts w:ascii="Times New Roman" w:hAnsi="Times New Roman"/>
        </w:rPr>
        <w:t> </w:t>
      </w:r>
      <w:r w:rsidRPr="00D546BA">
        <w:rPr>
          <w:rFonts w:ascii="Times New Roman" w:hAnsi="Times New Roman"/>
        </w:rPr>
        <w:t xml:space="preserve">involuntary detention of a citizen in custody by the State is permissible </w:t>
      </w:r>
      <w:r w:rsidRPr="00D546BA">
        <w:rPr>
          <w:rFonts w:ascii="Times New Roman" w:hAnsi="Times New Roman"/>
          <w:i/>
        </w:rPr>
        <w:t>only</w:t>
      </w:r>
      <w:r w:rsidRPr="00D546BA">
        <w:rPr>
          <w:rFonts w:ascii="Times New Roman" w:hAnsi="Times New Roman"/>
        </w:rPr>
        <w:t xml:space="preserve"> as a consequential step in the adjudication of criminal guilt of that citizen for past acts"</w:t>
      </w:r>
      <w:r w:rsidRPr="00D546BA">
        <w:rPr>
          <w:rStyle w:val="FootnoteReference"/>
          <w:rFonts w:ascii="Times New Roman" w:hAnsi="Times New Roman"/>
          <w:sz w:val="24"/>
        </w:rPr>
        <w:footnoteReference w:id="256"/>
      </w:r>
      <w:r w:rsidRPr="00D546BA">
        <w:rPr>
          <w:rFonts w:ascii="Times New Roman" w:hAnsi="Times New Roman"/>
        </w:rPr>
        <w:t xml:space="preserve"> (emphasis added). The formulation reflects both the strict separation of Commonwealth judicial power from executive and legislative power inherent in the text and structure of the </w:t>
      </w:r>
      <w:r w:rsidRPr="00D546BA">
        <w:rPr>
          <w:rFonts w:ascii="Times New Roman" w:hAnsi="Times New Roman"/>
          <w:i/>
        </w:rPr>
        <w:t>Constitution</w:t>
      </w:r>
      <w:r w:rsidRPr="00D546BA" w:rsidDel="00A03411">
        <w:rPr>
          <w:rFonts w:ascii="Times New Roman" w:hAnsi="Times New Roman"/>
        </w:rPr>
        <w:t xml:space="preserve"> </w:t>
      </w:r>
      <w:r w:rsidRPr="00D546BA">
        <w:rPr>
          <w:rFonts w:ascii="Times New Roman" w:hAnsi="Times New Roman"/>
        </w:rPr>
        <w:t>and the values protected by that separation</w:t>
      </w:r>
      <w:r w:rsidRPr="00D546BA">
        <w:rPr>
          <w:rStyle w:val="FootnoteReference"/>
          <w:rFonts w:ascii="Times New Roman" w:hAnsi="Times New Roman"/>
          <w:sz w:val="24"/>
        </w:rPr>
        <w:footnoteReference w:id="257"/>
      </w:r>
      <w:r w:rsidRPr="00D546BA" w:rsidDel="007E1305">
        <w:rPr>
          <w:rFonts w:ascii="Times New Roman" w:hAnsi="Times New Roman"/>
        </w:rPr>
        <w:t>.</w:t>
      </w:r>
    </w:p>
    <w:p w14:paraId="35084D63"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Two key rationales for Ch III's strict separation of federal judicial power are directly raised here: first, the historical judicial protection of liberty against incursions by the legislature or the executive</w:t>
      </w:r>
      <w:r w:rsidRPr="00D546BA">
        <w:rPr>
          <w:rStyle w:val="FootnoteReference"/>
          <w:rFonts w:ascii="Times New Roman" w:hAnsi="Times New Roman"/>
          <w:sz w:val="24"/>
        </w:rPr>
        <w:footnoteReference w:id="258"/>
      </w:r>
      <w:r w:rsidRPr="00D546BA">
        <w:rPr>
          <w:rFonts w:ascii="Times New Roman" w:hAnsi="Times New Roman"/>
        </w:rPr>
        <w:t>; and secondly, the protection of the independence and impartiality of the judiciary so as to ensure the judiciary can operate effectively as a check on legislative and executive power</w:t>
      </w:r>
      <w:r w:rsidRPr="00D546BA">
        <w:rPr>
          <w:rStyle w:val="FootnoteReference"/>
          <w:rFonts w:ascii="Times New Roman" w:hAnsi="Times New Roman"/>
          <w:sz w:val="24"/>
        </w:rPr>
        <w:footnoteReference w:id="259"/>
      </w:r>
      <w:r w:rsidRPr="00D546BA">
        <w:rPr>
          <w:rFonts w:ascii="Times New Roman" w:hAnsi="Times New Roman"/>
        </w:rPr>
        <w:t>. These</w:t>
      </w:r>
      <w:r>
        <w:rPr>
          <w:rFonts w:ascii="Times New Roman" w:hAnsi="Times New Roman"/>
        </w:rPr>
        <w:t> </w:t>
      </w:r>
      <w:r w:rsidRPr="00D546BA">
        <w:rPr>
          <w:rFonts w:ascii="Times New Roman" w:hAnsi="Times New Roman"/>
        </w:rPr>
        <w:t>rationales – or "constitutional values"</w:t>
      </w:r>
      <w:r w:rsidRPr="00D546BA">
        <w:rPr>
          <w:rStyle w:val="FootnoteReference"/>
          <w:rFonts w:ascii="Times New Roman" w:hAnsi="Times New Roman"/>
          <w:sz w:val="24"/>
        </w:rPr>
        <w:footnoteReference w:id="260"/>
      </w:r>
      <w:r w:rsidRPr="00D546BA">
        <w:rPr>
          <w:rFonts w:ascii="Times New Roman" w:hAnsi="Times New Roman"/>
        </w:rPr>
        <w:t xml:space="preserve"> – underpin the separation of Commonwealth judicial power and the </w:t>
      </w:r>
      <w:r w:rsidRPr="00D546BA">
        <w:rPr>
          <w:rFonts w:ascii="Times New Roman" w:hAnsi="Times New Roman"/>
          <w:i/>
        </w:rPr>
        <w:t>Lim</w:t>
      </w:r>
      <w:r w:rsidRPr="00D546BA">
        <w:rPr>
          <w:rFonts w:ascii="Times New Roman" w:hAnsi="Times New Roman"/>
        </w:rPr>
        <w:t xml:space="preserve"> principle.</w:t>
      </w:r>
    </w:p>
    <w:p w14:paraId="1A8DAD74"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It is also necessary to observe that the strict separation of powers effected by the </w:t>
      </w:r>
      <w:r w:rsidRPr="00D546BA">
        <w:rPr>
          <w:rFonts w:ascii="Times New Roman" w:hAnsi="Times New Roman"/>
          <w:i/>
        </w:rPr>
        <w:t>Constitution</w:t>
      </w:r>
      <w:r w:rsidRPr="00D546BA">
        <w:rPr>
          <w:rFonts w:ascii="Times New Roman" w:hAnsi="Times New Roman"/>
        </w:rPr>
        <w:t xml:space="preserve"> does not apply directly to the States. The limitation on State legislative power identified in </w:t>
      </w:r>
      <w:r w:rsidRPr="00D546BA">
        <w:rPr>
          <w:rFonts w:ascii="Times New Roman" w:hAnsi="Times New Roman"/>
          <w:i/>
        </w:rPr>
        <w:t xml:space="preserve">Kable v Director of Public Prosecutions (NSW) </w:t>
      </w:r>
      <w:r w:rsidRPr="00D546BA">
        <w:rPr>
          <w:rFonts w:ascii="Times New Roman" w:hAnsi="Times New Roman"/>
        </w:rPr>
        <w:t>("</w:t>
      </w:r>
      <w:r w:rsidRPr="00D546BA">
        <w:rPr>
          <w:rFonts w:ascii="Times New Roman" w:hAnsi="Times New Roman"/>
          <w:i/>
        </w:rPr>
        <w:t>Kable [No 1]</w:t>
      </w:r>
      <w:r w:rsidRPr="00D546BA">
        <w:rPr>
          <w:rFonts w:ascii="Times New Roman" w:hAnsi="Times New Roman"/>
        </w:rPr>
        <w:t xml:space="preserve">") prevents the conferral of jurisdiction on State courts which is incompatible with their capacity to exercise federal jurisdiction invested in them </w:t>
      </w:r>
      <w:r w:rsidRPr="00D546BA">
        <w:rPr>
          <w:rFonts w:ascii="Times New Roman" w:hAnsi="Times New Roman"/>
        </w:rPr>
        <w:lastRenderedPageBreak/>
        <w:t>under Ch III</w:t>
      </w:r>
      <w:r w:rsidRPr="00D546BA">
        <w:rPr>
          <w:rStyle w:val="FootnoteReference"/>
          <w:rFonts w:ascii="Times New Roman" w:hAnsi="Times New Roman"/>
          <w:sz w:val="24"/>
        </w:rPr>
        <w:footnoteReference w:id="261"/>
      </w:r>
      <w:r w:rsidRPr="00D546BA">
        <w:rPr>
          <w:rFonts w:ascii="Times New Roman" w:hAnsi="Times New Roman"/>
        </w:rPr>
        <w:t>. That limitation is "more closely confined" than the strict separation of powers</w:t>
      </w:r>
      <w:r w:rsidRPr="00D546BA">
        <w:rPr>
          <w:rStyle w:val="FootnoteReference"/>
          <w:rFonts w:ascii="Times New Roman" w:hAnsi="Times New Roman"/>
          <w:sz w:val="24"/>
        </w:rPr>
        <w:footnoteReference w:id="262"/>
      </w:r>
      <w:r w:rsidRPr="00D546BA">
        <w:rPr>
          <w:rFonts w:ascii="Times New Roman" w:hAnsi="Times New Roman"/>
        </w:rPr>
        <w:t>. It is because of Ch III that it is said that the "judicial power of the Commonwealth" involves a "narrowing" of the notion of judicial power</w:t>
      </w:r>
      <w:r w:rsidRPr="00D546BA">
        <w:rPr>
          <w:rStyle w:val="FootnoteReference"/>
          <w:rFonts w:ascii="Times New Roman" w:hAnsi="Times New Roman"/>
          <w:sz w:val="24"/>
        </w:rPr>
        <w:footnoteReference w:id="263"/>
      </w:r>
      <w:r w:rsidRPr="00D546BA">
        <w:rPr>
          <w:rFonts w:ascii="Times New Roman" w:hAnsi="Times New Roman"/>
        </w:rPr>
        <w:t xml:space="preserve">. </w:t>
      </w:r>
    </w:p>
    <w:p w14:paraId="4843F07D" w14:textId="77777777" w:rsidR="00CE4181" w:rsidRPr="00D546BA" w:rsidRDefault="00CE4181" w:rsidP="00D546BA">
      <w:pPr>
        <w:pStyle w:val="HeadingL2"/>
        <w:spacing w:after="260" w:line="280" w:lineRule="exact"/>
        <w:ind w:right="0"/>
        <w:jc w:val="both"/>
        <w:rPr>
          <w:rFonts w:ascii="Times New Roman" w:hAnsi="Times New Roman"/>
        </w:rPr>
      </w:pPr>
      <w:r w:rsidRPr="00D546BA">
        <w:rPr>
          <w:rFonts w:ascii="Times New Roman" w:hAnsi="Times New Roman"/>
        </w:rPr>
        <w:t>The judiciary as protector of liberty</w:t>
      </w:r>
    </w:p>
    <w:p w14:paraId="716DD1D6" w14:textId="77777777" w:rsidR="00CE4181" w:rsidRDefault="00CE4181" w:rsidP="0012600C">
      <w:pPr>
        <w:pStyle w:val="FixListStyle"/>
        <w:spacing w:after="260" w:line="280" w:lineRule="exact"/>
        <w:ind w:right="0"/>
        <w:jc w:val="both"/>
        <w:rPr>
          <w:rFonts w:ascii="Times New Roman" w:hAnsi="Times New Roman"/>
        </w:rPr>
      </w:pPr>
      <w:r w:rsidRPr="00D546BA">
        <w:rPr>
          <w:rFonts w:ascii="Times New Roman" w:hAnsi="Times New Roman"/>
        </w:rPr>
        <w:tab/>
        <w:t>The first rationale underpinning the separation of Commonwealth judicial power under Ch III is the role of the judiciary as the protector of liberty. As has been repeatedly restated by this Court</w:t>
      </w:r>
      <w:r w:rsidRPr="00D546BA">
        <w:rPr>
          <w:rStyle w:val="FootnoteReference"/>
          <w:rFonts w:ascii="Times New Roman" w:hAnsi="Times New Roman"/>
          <w:sz w:val="24"/>
        </w:rPr>
        <w:footnoteReference w:id="264"/>
      </w:r>
      <w:r w:rsidRPr="00D546BA">
        <w:rPr>
          <w:rFonts w:ascii="Times New Roman" w:hAnsi="Times New Roman"/>
        </w:rPr>
        <w:t xml:space="preserve">, the </w:t>
      </w:r>
      <w:proofErr w:type="spellStart"/>
      <w:r w:rsidRPr="00D546BA">
        <w:rPr>
          <w:rFonts w:ascii="Times New Roman" w:hAnsi="Times New Roman"/>
        </w:rPr>
        <w:t>Blackstonian</w:t>
      </w:r>
      <w:proofErr w:type="spellEnd"/>
      <w:r w:rsidRPr="00D546BA">
        <w:rPr>
          <w:rFonts w:ascii="Times New Roman" w:hAnsi="Times New Roman"/>
        </w:rPr>
        <w:t xml:space="preserve"> common law conception of liberty</w:t>
      </w:r>
      <w:r w:rsidRPr="00D546BA">
        <w:rPr>
          <w:rStyle w:val="FootnoteReference"/>
          <w:rFonts w:ascii="Times New Roman" w:hAnsi="Times New Roman"/>
          <w:sz w:val="24"/>
        </w:rPr>
        <w:footnoteReference w:id="265"/>
      </w:r>
      <w:r w:rsidRPr="00D546BA">
        <w:rPr>
          <w:rFonts w:ascii="Times New Roman" w:hAnsi="Times New Roman"/>
        </w:rPr>
        <w:t xml:space="preserve"> lies at the heart of our inherited constitutional tradition. It is the judiciary, the "bulwark of freedom", which traditionally and historically adjudges the most basic of rights upon the determination of criminal guilt</w:t>
      </w:r>
      <w:r w:rsidRPr="00D546BA">
        <w:rPr>
          <w:rStyle w:val="FootnoteReference"/>
          <w:rFonts w:ascii="Times New Roman" w:hAnsi="Times New Roman"/>
          <w:sz w:val="24"/>
        </w:rPr>
        <w:footnoteReference w:id="266"/>
      </w:r>
      <w:r w:rsidRPr="00D546BA">
        <w:rPr>
          <w:rFonts w:ascii="Times New Roman" w:hAnsi="Times New Roman"/>
        </w:rPr>
        <w:t>. Sitting at the core of that conception is the notion that the separation of judicial power protects against the unjustified exercise of the power of the State</w:t>
      </w:r>
      <w:r w:rsidRPr="00D546BA" w:rsidDel="00AB758B">
        <w:rPr>
          <w:rFonts w:ascii="Times New Roman" w:hAnsi="Times New Roman"/>
        </w:rPr>
        <w:t xml:space="preserve"> </w:t>
      </w:r>
      <w:r w:rsidRPr="00D546BA">
        <w:rPr>
          <w:rFonts w:ascii="Times New Roman" w:hAnsi="Times New Roman"/>
        </w:rPr>
        <w:t>against an individual's liberty. A "safeguard of individual liberty [is] a distribution of the functions of government"</w:t>
      </w:r>
      <w:r w:rsidRPr="00D546BA">
        <w:rPr>
          <w:rStyle w:val="FootnoteReference"/>
          <w:rFonts w:ascii="Times New Roman" w:hAnsi="Times New Roman"/>
          <w:sz w:val="24"/>
        </w:rPr>
        <w:footnoteReference w:id="267"/>
      </w:r>
      <w:r w:rsidRPr="00D546BA">
        <w:rPr>
          <w:rFonts w:ascii="Times New Roman" w:hAnsi="Times New Roman"/>
        </w:rPr>
        <w:t xml:space="preserve">. </w:t>
      </w:r>
    </w:p>
    <w:p w14:paraId="1D17E433" w14:textId="77777777" w:rsidR="00CE4181" w:rsidRPr="0012600C" w:rsidRDefault="00CE4181" w:rsidP="0012600C">
      <w:pPr>
        <w:pStyle w:val="FixListStyle"/>
        <w:keepNext/>
        <w:spacing w:after="260" w:line="280" w:lineRule="exact"/>
        <w:ind w:right="0"/>
        <w:jc w:val="both"/>
        <w:rPr>
          <w:rFonts w:ascii="Times New Roman" w:hAnsi="Times New Roman"/>
        </w:rPr>
      </w:pPr>
      <w:r>
        <w:rPr>
          <w:rFonts w:ascii="Times New Roman" w:hAnsi="Times New Roman"/>
        </w:rPr>
        <w:lastRenderedPageBreak/>
        <w:tab/>
      </w:r>
      <w:r w:rsidRPr="0012600C">
        <w:rPr>
          <w:rFonts w:ascii="Times New Roman" w:hAnsi="Times New Roman"/>
        </w:rPr>
        <w:t xml:space="preserve">As Gageler J said in </w:t>
      </w:r>
      <w:r w:rsidRPr="0012600C">
        <w:rPr>
          <w:rFonts w:ascii="Times New Roman" w:hAnsi="Times New Roman"/>
          <w:i/>
        </w:rPr>
        <w:t>Vella v Commissioner of Police (NSW)</w:t>
      </w:r>
      <w:r w:rsidRPr="00D546BA">
        <w:rPr>
          <w:rStyle w:val="FootnoteReference"/>
          <w:rFonts w:ascii="Times New Roman" w:hAnsi="Times New Roman"/>
          <w:sz w:val="24"/>
        </w:rPr>
        <w:footnoteReference w:id="268"/>
      </w:r>
      <w:r w:rsidRPr="0012600C">
        <w:rPr>
          <w:rFonts w:ascii="Times New Roman" w:hAnsi="Times New Roman"/>
        </w:rPr>
        <w:t>:</w:t>
      </w:r>
    </w:p>
    <w:p w14:paraId="389A29E8" w14:textId="77777777" w:rsidR="00CE4181" w:rsidRPr="00D546BA" w:rsidRDefault="00CE4181" w:rsidP="00D546BA">
      <w:pPr>
        <w:pStyle w:val="LRIndentafterHC"/>
        <w:spacing w:before="0" w:after="260" w:line="280" w:lineRule="exact"/>
        <w:ind w:right="0"/>
        <w:jc w:val="both"/>
        <w:rPr>
          <w:rFonts w:ascii="Times New Roman" w:hAnsi="Times New Roman"/>
        </w:rPr>
      </w:pPr>
      <w:r w:rsidRPr="00D546BA">
        <w:rPr>
          <w:rFonts w:ascii="Times New Roman" w:hAnsi="Times New Roman"/>
        </w:rPr>
        <w:t>"Chapter III's separation of the judicial power of the Commonwealth to be exercisable only by courts 'was not a product of abstract reasoning alone, and was not based upon precise definitions of the terms employed'. Rather, it was 'based upon observation of the experience of democratic states':</w:t>
      </w:r>
    </w:p>
    <w:p w14:paraId="0D4677A9" w14:textId="77777777" w:rsidR="00CE4181" w:rsidRPr="00D546BA" w:rsidRDefault="00CE4181" w:rsidP="00D546BA">
      <w:pPr>
        <w:pStyle w:val="LeftrightHanging"/>
        <w:spacing w:before="0" w:after="260" w:line="280" w:lineRule="exact"/>
        <w:ind w:right="0"/>
        <w:jc w:val="both"/>
        <w:rPr>
          <w:rFonts w:ascii="Times New Roman" w:hAnsi="Times New Roman"/>
        </w:rPr>
      </w:pPr>
      <w:r w:rsidRPr="00D546BA">
        <w:rPr>
          <w:rFonts w:ascii="Times New Roman" w:hAnsi="Times New Roman"/>
        </w:rPr>
        <w:tab/>
        <w:t>'It may accordingly be said that when the Constitution of the Commonwealth prescribes as a safeguard of individual liberty a distribution of the functions of government amongst separate bodies, and does so by requiring a distinction to be maintained between powers described as legislative, executive and judicial, it is using terms which refer, not to fundamental functional differences between powers, but to distinctions generally accepted at the time when the Constitution was framed between classes of powers requiring different "skills and professional habits" in the authorities entrusted with their exercise.'</w:t>
      </w:r>
    </w:p>
    <w:p w14:paraId="636941B8" w14:textId="77777777" w:rsidR="00CE4181" w:rsidRPr="00D546BA" w:rsidRDefault="00CE4181" w:rsidP="00D546BA">
      <w:pPr>
        <w:pStyle w:val="leftright"/>
        <w:spacing w:before="0" w:after="260" w:line="280" w:lineRule="exact"/>
        <w:ind w:right="0"/>
        <w:jc w:val="both"/>
        <w:rPr>
          <w:rFonts w:ascii="Times New Roman" w:hAnsi="Times New Roman"/>
        </w:rPr>
      </w:pPr>
      <w:r w:rsidRPr="00D546BA">
        <w:rPr>
          <w:rFonts w:ascii="Times New Roman" w:hAnsi="Times New Roman"/>
        </w:rPr>
        <w:t>The point is not that the characteristics of judicial power and of institutions qualified to exercise it are frozen in time. They are not. The point is that those characteristics are deeply rooted in a tradition within which judicial protection of individual liberty against legislative or executive incursion has been a core value.</w:t>
      </w:r>
    </w:p>
    <w:p w14:paraId="580B19F1" w14:textId="77777777" w:rsidR="00CE4181" w:rsidRDefault="00CE4181" w:rsidP="00D546BA">
      <w:pPr>
        <w:pStyle w:val="LRIndent"/>
        <w:spacing w:before="0" w:after="260" w:line="280" w:lineRule="exact"/>
        <w:ind w:right="0"/>
        <w:jc w:val="both"/>
        <w:rPr>
          <w:rFonts w:ascii="Times New Roman" w:hAnsi="Times New Roman"/>
        </w:rPr>
      </w:pPr>
      <w:r w:rsidRPr="00D546BA">
        <w:rPr>
          <w:rFonts w:ascii="Times New Roman" w:hAnsi="Times New Roman"/>
        </w:rPr>
        <w:t>Continued reference to an independent judiciary as 'a safeguard of individual liberty', or in language traceable to Blackstone as a 'bulwark of freedom', can too easily be dismissed in contemporary Australia as antiquated hyperbole. That is so if regard is not had to the contemporary experience of once-democratic states, also inheritors of the common law tradition, where judicial independence has fallen into neglect and where the characteristics of institutions entrusted with the exercise of judicial power have been permitted to become less distinctive."</w:t>
      </w:r>
    </w:p>
    <w:p w14:paraId="3CEF142F"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It is that value, that fundamental idea, which underlies the principle in </w:t>
      </w:r>
      <w:r w:rsidRPr="00D546BA">
        <w:rPr>
          <w:rFonts w:ascii="Times New Roman" w:hAnsi="Times New Roman"/>
          <w:i/>
        </w:rPr>
        <w:t>Lim</w:t>
      </w:r>
      <w:r w:rsidRPr="00D546BA">
        <w:rPr>
          <w:rFonts w:ascii="Times New Roman" w:hAnsi="Times New Roman"/>
        </w:rPr>
        <w:t xml:space="preserve">, and which sees the involuntary detention of a person by the State as prima facie punitive, and permissible </w:t>
      </w:r>
      <w:r w:rsidRPr="00D546BA">
        <w:rPr>
          <w:rFonts w:ascii="Times New Roman" w:hAnsi="Times New Roman"/>
          <w:i/>
        </w:rPr>
        <w:t>only</w:t>
      </w:r>
      <w:r w:rsidRPr="00D546BA">
        <w:rPr>
          <w:rFonts w:ascii="Times New Roman" w:hAnsi="Times New Roman"/>
        </w:rPr>
        <w:t xml:space="preserve"> as an incident of the adjudgment and punishment of criminal guilt (apart from the recognised exceptions)</w:t>
      </w:r>
      <w:r w:rsidRPr="00D546BA">
        <w:rPr>
          <w:rStyle w:val="FootnoteReference"/>
          <w:rFonts w:ascii="Times New Roman" w:hAnsi="Times New Roman"/>
          <w:sz w:val="24"/>
        </w:rPr>
        <w:footnoteReference w:id="269"/>
      </w:r>
      <w:r w:rsidRPr="00D546BA">
        <w:rPr>
          <w:rFonts w:ascii="Times New Roman" w:hAnsi="Times New Roman"/>
        </w:rPr>
        <w:t xml:space="preserve">. But it also must be </w:t>
      </w:r>
      <w:r w:rsidRPr="00D546BA">
        <w:rPr>
          <w:rFonts w:ascii="Times New Roman" w:hAnsi="Times New Roman"/>
        </w:rPr>
        <w:lastRenderedPageBreak/>
        <w:t>acknowledged that the exceptions are "neither clear nor within precise and confined categories"</w:t>
      </w:r>
      <w:r w:rsidRPr="00D546BA">
        <w:rPr>
          <w:rStyle w:val="FootnoteReference"/>
          <w:rFonts w:ascii="Times New Roman" w:hAnsi="Times New Roman"/>
          <w:sz w:val="24"/>
        </w:rPr>
        <w:footnoteReference w:id="270"/>
      </w:r>
      <w:r w:rsidRPr="00D546BA">
        <w:rPr>
          <w:rFonts w:ascii="Times New Roman" w:hAnsi="Times New Roman"/>
        </w:rPr>
        <w:t>.</w:t>
      </w:r>
    </w:p>
    <w:p w14:paraId="3AE61C8D" w14:textId="77777777" w:rsidR="00CE4181" w:rsidRPr="00D546BA" w:rsidRDefault="00CE4181" w:rsidP="00D546BA">
      <w:pPr>
        <w:pStyle w:val="HeadingL2"/>
        <w:spacing w:after="260" w:line="280" w:lineRule="exact"/>
        <w:ind w:right="0"/>
        <w:jc w:val="both"/>
        <w:rPr>
          <w:rFonts w:ascii="Times New Roman" w:hAnsi="Times New Roman"/>
        </w:rPr>
      </w:pPr>
      <w:r w:rsidRPr="00D546BA">
        <w:rPr>
          <w:rFonts w:ascii="Times New Roman" w:hAnsi="Times New Roman"/>
        </w:rPr>
        <w:t>Independence and impartiality of the judiciary</w:t>
      </w:r>
    </w:p>
    <w:p w14:paraId="28E22005"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second and interrelated rationale underpinning the separation of Commonwealth judicial power under Ch III is the independence and impartiality of the judiciary. In </w:t>
      </w:r>
      <w:r w:rsidRPr="00D546BA">
        <w:rPr>
          <w:rFonts w:ascii="Times New Roman" w:hAnsi="Times New Roman"/>
          <w:i/>
        </w:rPr>
        <w:t>Wilson v Minister for Aboriginal and Torres Strait Islander Affairs</w:t>
      </w:r>
      <w:r w:rsidRPr="00D546BA">
        <w:rPr>
          <w:rFonts w:ascii="Times New Roman" w:hAnsi="Times New Roman"/>
        </w:rPr>
        <w:t>, Brennan CJ, Dawson, Toohey, McHugh and Gummow JJ explained</w:t>
      </w:r>
      <w:r w:rsidRPr="00D546BA">
        <w:rPr>
          <w:rStyle w:val="FootnoteReference"/>
          <w:rFonts w:ascii="Times New Roman" w:hAnsi="Times New Roman"/>
          <w:sz w:val="24"/>
        </w:rPr>
        <w:footnoteReference w:id="271"/>
      </w:r>
      <w:r w:rsidRPr="00D546BA">
        <w:rPr>
          <w:rFonts w:ascii="Times New Roman" w:hAnsi="Times New Roman"/>
        </w:rPr>
        <w:t>:</w:t>
      </w:r>
    </w:p>
    <w:p w14:paraId="05F32EA5" w14:textId="77777777" w:rsidR="00CE4181" w:rsidRPr="00D546BA" w:rsidRDefault="00CE4181" w:rsidP="00D546BA">
      <w:pPr>
        <w:pStyle w:val="LRIndentafterHC"/>
        <w:spacing w:before="0" w:after="260" w:line="280" w:lineRule="exact"/>
        <w:ind w:right="0"/>
        <w:jc w:val="both"/>
        <w:rPr>
          <w:rFonts w:ascii="Times New Roman" w:hAnsi="Times New Roman"/>
        </w:rPr>
      </w:pPr>
      <w:r w:rsidRPr="00D546BA">
        <w:rPr>
          <w:rFonts w:ascii="Times New Roman" w:hAnsi="Times New Roman"/>
        </w:rPr>
        <w:t xml:space="preserve">"The separation of the judicial function from the other functions of government advances two constitutional objectives: the guarantee of liberty and, to that end, the independence of Ch III judges. In </w:t>
      </w:r>
      <w:r w:rsidRPr="00D546BA">
        <w:rPr>
          <w:rFonts w:ascii="Times New Roman" w:hAnsi="Times New Roman"/>
          <w:i/>
        </w:rPr>
        <w:t>R v Davison</w:t>
      </w:r>
      <w:r w:rsidRPr="00D546BA">
        <w:rPr>
          <w:rFonts w:ascii="Times New Roman" w:hAnsi="Times New Roman"/>
        </w:rPr>
        <w:t xml:space="preserve">, </w:t>
      </w:r>
      <w:proofErr w:type="spellStart"/>
      <w:r w:rsidRPr="00D546BA">
        <w:rPr>
          <w:rFonts w:ascii="Times New Roman" w:hAnsi="Times New Roman"/>
        </w:rPr>
        <w:t>Kitto</w:t>
      </w:r>
      <w:proofErr w:type="spellEnd"/>
      <w:r w:rsidRPr="00D546BA">
        <w:rPr>
          <w:rFonts w:ascii="Times New Roman" w:hAnsi="Times New Roman"/>
        </w:rPr>
        <w:t> J identified the conceptual basis of the Constitution's division of the functions of government:</w:t>
      </w:r>
    </w:p>
    <w:p w14:paraId="5D5126B6" w14:textId="77777777" w:rsidR="00CE4181" w:rsidRPr="00D546BA" w:rsidRDefault="00CE4181" w:rsidP="00D546BA">
      <w:pPr>
        <w:pStyle w:val="leftright"/>
        <w:spacing w:before="0" w:after="260" w:line="280" w:lineRule="exact"/>
        <w:ind w:left="1440" w:right="0"/>
        <w:jc w:val="both"/>
        <w:rPr>
          <w:rFonts w:ascii="Times New Roman" w:hAnsi="Times New Roman"/>
        </w:rPr>
      </w:pPr>
      <w:r w:rsidRPr="00D546BA">
        <w:rPr>
          <w:rFonts w:ascii="Times New Roman" w:hAnsi="Times New Roman"/>
        </w:rPr>
        <w:tab/>
        <w:t>'It is well to remember that the framers of the Constitution, in distributing the functions of government amongst separate organs, were giving effect to a doctrine which was not a product of abstract reasoning alone, and was not based upon precise definitions of the terms employed. As an assertion of the two propositions that government is in its nature divisible into law-making, executive action and judicial decision, and that it is necessary for the protection of the individual liberty of the citizen that these three functions should be to some extent dispersed rather than concentrated in one set of hands, the doctrine of the separation of powers as developed in political philosophy was based upon observation of the experience of democratic states, and particularly upon observation of the development and working of the system of government which had grown up in England.'</w:t>
      </w:r>
    </w:p>
    <w:p w14:paraId="0D470BDB" w14:textId="77777777" w:rsidR="00CE4181" w:rsidRDefault="00CE4181" w:rsidP="00D546BA">
      <w:pPr>
        <w:pStyle w:val="leftright"/>
        <w:spacing w:before="0" w:after="260" w:line="280" w:lineRule="exact"/>
        <w:ind w:right="0"/>
        <w:jc w:val="both"/>
        <w:rPr>
          <w:rFonts w:ascii="Times New Roman" w:hAnsi="Times New Roman"/>
        </w:rPr>
      </w:pPr>
      <w:r w:rsidRPr="00D546BA">
        <w:rPr>
          <w:rFonts w:ascii="Times New Roman" w:hAnsi="Times New Roman"/>
        </w:rPr>
        <w:lastRenderedPageBreak/>
        <w:t xml:space="preserve">In </w:t>
      </w:r>
      <w:r w:rsidRPr="00D546BA">
        <w:rPr>
          <w:rFonts w:ascii="Times New Roman" w:hAnsi="Times New Roman"/>
          <w:i/>
        </w:rPr>
        <w:t xml:space="preserve">R v Trade Practices Tribunal; Ex </w:t>
      </w:r>
      <w:proofErr w:type="spellStart"/>
      <w:r w:rsidRPr="00D546BA">
        <w:rPr>
          <w:rFonts w:ascii="Times New Roman" w:hAnsi="Times New Roman"/>
          <w:i/>
        </w:rPr>
        <w:t>parte</w:t>
      </w:r>
      <w:proofErr w:type="spellEnd"/>
      <w:r w:rsidRPr="00D546BA">
        <w:rPr>
          <w:rFonts w:ascii="Times New Roman" w:hAnsi="Times New Roman"/>
          <w:i/>
        </w:rPr>
        <w:t xml:space="preserve"> Tasmanian Breweries Pty Ltd</w:t>
      </w:r>
      <w:r w:rsidRPr="00D546BA">
        <w:rPr>
          <w:rFonts w:ascii="Times New Roman" w:hAnsi="Times New Roman"/>
        </w:rPr>
        <w:t>, Windeyer J traced back the doctrine of separation of powers to Montesquieu's proposition that 'there is no liberty if the judiciary power be not separated from the legislative and executive power'. Blackstone adapted Montesquieu's proposition to the realities of the British Constitution, especially the law</w:t>
      </w:r>
      <w:r w:rsidRPr="00D546BA">
        <w:rPr>
          <w:rFonts w:ascii="Times New Roman" w:hAnsi="Times New Roman"/>
        </w:rPr>
        <w:noBreakHyphen/>
        <w:t>making function of the [j]</w:t>
      </w:r>
      <w:proofErr w:type="spellStart"/>
      <w:r w:rsidRPr="00D546BA">
        <w:rPr>
          <w:rFonts w:ascii="Times New Roman" w:hAnsi="Times New Roman"/>
        </w:rPr>
        <w:t>udiciary</w:t>
      </w:r>
      <w:proofErr w:type="spellEnd"/>
      <w:r w:rsidRPr="00D546BA">
        <w:rPr>
          <w:rFonts w:ascii="Times New Roman" w:hAnsi="Times New Roman"/>
        </w:rPr>
        <w:t>. Blackstone, as Brennan J has noted elsewhere, commended as a protection of liberty 'the separate existence of the judicial power in a peculiar body of men, nominated indeed, but not removable at pleasure, by the crown'."</w:t>
      </w:r>
    </w:p>
    <w:p w14:paraId="799E8E12"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consequence of the </w:t>
      </w:r>
      <w:r w:rsidRPr="00D546BA">
        <w:rPr>
          <w:rFonts w:ascii="Times New Roman" w:hAnsi="Times New Roman"/>
          <w:i/>
        </w:rPr>
        <w:t xml:space="preserve">Lim </w:t>
      </w:r>
      <w:r w:rsidRPr="00D546BA">
        <w:rPr>
          <w:rFonts w:ascii="Times New Roman" w:hAnsi="Times New Roman"/>
        </w:rPr>
        <w:t>principle is that the power to make a CDO, which is not an incident of adjudging and punishing criminal guilt, cannot be validly conferred on a Ch III court unless an exception to that principle applies. If</w:t>
      </w:r>
      <w:r>
        <w:rPr>
          <w:rFonts w:ascii="Times New Roman" w:hAnsi="Times New Roman"/>
        </w:rPr>
        <w:t> </w:t>
      </w:r>
      <w:r w:rsidRPr="00D546BA">
        <w:rPr>
          <w:rFonts w:ascii="Times New Roman" w:hAnsi="Times New Roman"/>
        </w:rPr>
        <w:t xml:space="preserve">the power to make a CDO cannot be seen as an exception to the </w:t>
      </w:r>
      <w:r w:rsidRPr="00D546BA">
        <w:rPr>
          <w:rFonts w:ascii="Times New Roman" w:hAnsi="Times New Roman"/>
          <w:i/>
        </w:rPr>
        <w:t>Lim</w:t>
      </w:r>
      <w:r w:rsidRPr="00D546BA">
        <w:rPr>
          <w:rFonts w:ascii="Times New Roman" w:hAnsi="Times New Roman"/>
        </w:rPr>
        <w:t xml:space="preserve"> principle, that conferral of power is contrary to Ch III of the </w:t>
      </w:r>
      <w:r w:rsidRPr="00D546BA">
        <w:rPr>
          <w:rFonts w:ascii="Times New Roman" w:hAnsi="Times New Roman"/>
          <w:i/>
        </w:rPr>
        <w:t>Constitution</w:t>
      </w:r>
      <w:r w:rsidRPr="00D546BA">
        <w:rPr>
          <w:rFonts w:ascii="Times New Roman" w:hAnsi="Times New Roman"/>
        </w:rPr>
        <w:t>, and Div 105A is invalid.</w:t>
      </w:r>
    </w:p>
    <w:p w14:paraId="52BD4D9C" w14:textId="77777777" w:rsidR="00CE4181" w:rsidRPr="00D546BA" w:rsidRDefault="00CE4181" w:rsidP="00D546BA">
      <w:pPr>
        <w:pStyle w:val="HeadingL1"/>
        <w:spacing w:after="260" w:line="280" w:lineRule="exact"/>
        <w:ind w:right="0"/>
        <w:jc w:val="both"/>
        <w:rPr>
          <w:rFonts w:ascii="Times New Roman" w:hAnsi="Times New Roman"/>
        </w:rPr>
      </w:pPr>
      <w:r w:rsidRPr="00D546BA">
        <w:rPr>
          <w:rFonts w:ascii="Times New Roman" w:hAnsi="Times New Roman"/>
        </w:rPr>
        <w:t>Nature and content of judicial power of the Commonwealth</w:t>
      </w:r>
    </w:p>
    <w:p w14:paraId="43574A4A"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Identification of the rationales underpinning the strict separation of Commonwealth judicial power also directs attention to the nature and content of that power. It leads one to ask, what is within the judicial power of the Commonwealth? Or to put it in negative terms, what is not within the judicial power of the Commonwealth?</w:t>
      </w:r>
    </w:p>
    <w:p w14:paraId="06C9D2F3"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Two principles should be stated at the outset. First, the judicial power of the Commonwealth can only be exercised by a court referred to in s 71 of the </w:t>
      </w:r>
      <w:r w:rsidRPr="00D546BA">
        <w:rPr>
          <w:rFonts w:ascii="Times New Roman" w:hAnsi="Times New Roman"/>
          <w:i/>
        </w:rPr>
        <w:t>Constitution</w:t>
      </w:r>
      <w:r w:rsidRPr="00D546BA">
        <w:rPr>
          <w:rStyle w:val="FootnoteReference"/>
          <w:rFonts w:ascii="Times New Roman" w:hAnsi="Times New Roman"/>
          <w:sz w:val="24"/>
        </w:rPr>
        <w:footnoteReference w:id="272"/>
      </w:r>
      <w:r w:rsidRPr="00D546BA">
        <w:rPr>
          <w:rFonts w:ascii="Times New Roman" w:hAnsi="Times New Roman"/>
        </w:rPr>
        <w:t xml:space="preserve"> and, second, a court exercising the judicial power of the Commonwealth can only exercise non-judicial power incidental to the exercise of that judicial power</w:t>
      </w:r>
      <w:r w:rsidRPr="00D546BA">
        <w:rPr>
          <w:rStyle w:val="FootnoteReference"/>
          <w:rFonts w:ascii="Times New Roman" w:hAnsi="Times New Roman"/>
          <w:sz w:val="24"/>
        </w:rPr>
        <w:footnoteReference w:id="273"/>
      </w:r>
      <w:r w:rsidRPr="00D546BA">
        <w:rPr>
          <w:rFonts w:ascii="Times New Roman" w:hAnsi="Times New Roman"/>
        </w:rPr>
        <w:t>. It is not in issue that the judicial power of the Commonwealth under Ch III requires that there be a "matter" before there can be an exercise of federal judicial power</w:t>
      </w:r>
      <w:r w:rsidRPr="00D546BA">
        <w:rPr>
          <w:rStyle w:val="FootnoteReference"/>
          <w:rFonts w:ascii="Times New Roman" w:hAnsi="Times New Roman"/>
          <w:sz w:val="24"/>
        </w:rPr>
        <w:footnoteReference w:id="274"/>
      </w:r>
      <w:r w:rsidRPr="00D546BA">
        <w:rPr>
          <w:rFonts w:ascii="Times New Roman" w:hAnsi="Times New Roman"/>
        </w:rPr>
        <w:t>; and that</w:t>
      </w:r>
      <w:r w:rsidRPr="00D546BA" w:rsidDel="001D7AD5">
        <w:rPr>
          <w:rFonts w:ascii="Times New Roman" w:hAnsi="Times New Roman"/>
        </w:rPr>
        <w:t xml:space="preserve"> </w:t>
      </w:r>
      <w:r w:rsidRPr="00D546BA">
        <w:rPr>
          <w:rFonts w:ascii="Times New Roman" w:hAnsi="Times New Roman"/>
        </w:rPr>
        <w:t xml:space="preserve">purely advisory or hypothetical </w:t>
      </w:r>
      <w:r w:rsidRPr="00D546BA">
        <w:rPr>
          <w:rFonts w:ascii="Times New Roman" w:hAnsi="Times New Roman"/>
        </w:rPr>
        <w:lastRenderedPageBreak/>
        <w:t>decision</w:t>
      </w:r>
      <w:r w:rsidRPr="00D546BA">
        <w:rPr>
          <w:rFonts w:ascii="Times New Roman" w:hAnsi="Times New Roman"/>
        </w:rPr>
        <w:noBreakHyphen/>
        <w:t>making by Ch III courts pursuant to federal legislation, participation by Ch III courts in the investigation of crime, and provision of non-binding advice to the executive, are</w:t>
      </w:r>
      <w:r>
        <w:rPr>
          <w:rFonts w:ascii="Times New Roman" w:hAnsi="Times New Roman"/>
        </w:rPr>
        <w:t> </w:t>
      </w:r>
      <w:r w:rsidRPr="00D546BA">
        <w:rPr>
          <w:rFonts w:ascii="Times New Roman" w:hAnsi="Times New Roman"/>
        </w:rPr>
        <w:t>all excluded from the ambit of the "judicial power of the Commonwealth"</w:t>
      </w:r>
      <w:r w:rsidRPr="00D546BA">
        <w:rPr>
          <w:rStyle w:val="FootnoteReference"/>
          <w:rFonts w:ascii="Times New Roman" w:hAnsi="Times New Roman"/>
          <w:sz w:val="24"/>
        </w:rPr>
        <w:footnoteReference w:id="275"/>
      </w:r>
      <w:r w:rsidRPr="00D546BA">
        <w:rPr>
          <w:rFonts w:ascii="Times New Roman" w:hAnsi="Times New Roman"/>
        </w:rPr>
        <w:t xml:space="preserve">. </w:t>
      </w:r>
    </w:p>
    <w:p w14:paraId="07AE747F"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question is whether the power conferred on the Supreme Court by s 105A.7 of the </w:t>
      </w:r>
      <w:r w:rsidRPr="00D546BA">
        <w:rPr>
          <w:rFonts w:ascii="Times New Roman" w:hAnsi="Times New Roman"/>
          <w:i/>
        </w:rPr>
        <w:t>Criminal Code</w:t>
      </w:r>
      <w:r w:rsidRPr="00D546BA">
        <w:rPr>
          <w:rFonts w:ascii="Times New Roman" w:hAnsi="Times New Roman"/>
        </w:rPr>
        <w:t xml:space="preserve"> is within the "judicial power of the Commonwealth". If the power to make a CDO is not within the judicial power of the Commonwealth, and is not incidental to the exercise of the judicial power of the Commonwealth, the conferral of that power on the Supreme Court is contrary to Ch III of the </w:t>
      </w:r>
      <w:r w:rsidRPr="00D546BA">
        <w:rPr>
          <w:rFonts w:ascii="Times New Roman" w:hAnsi="Times New Roman"/>
          <w:i/>
        </w:rPr>
        <w:t>Constitution</w:t>
      </w:r>
      <w:r w:rsidRPr="00D546BA">
        <w:rPr>
          <w:rFonts w:ascii="Times New Roman" w:hAnsi="Times New Roman"/>
        </w:rPr>
        <w:t xml:space="preserve">, and Div 105A is invalid. </w:t>
      </w:r>
    </w:p>
    <w:p w14:paraId="4AB7D2CD"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Although judicial power is not susceptible to an exhaustive or exclusive definition</w:t>
      </w:r>
      <w:r w:rsidRPr="00D546BA">
        <w:rPr>
          <w:rStyle w:val="FootnoteReference"/>
          <w:rFonts w:ascii="Times New Roman" w:hAnsi="Times New Roman"/>
          <w:sz w:val="24"/>
        </w:rPr>
        <w:footnoteReference w:id="276"/>
      </w:r>
      <w:r w:rsidRPr="00D546BA">
        <w:rPr>
          <w:rFonts w:ascii="Times New Roman" w:hAnsi="Times New Roman"/>
        </w:rPr>
        <w:t>, it has been referred to as "the power which every sovereign authority must of necessity have to decide controversies between its subjects, or between itself and its subjects, whether the rights relate to life, liberty or property. The exercise of this power does not begin until some tribunal which has power to give a binding and authoritative decision ... is called upon to take action"</w:t>
      </w:r>
      <w:r w:rsidRPr="00D546BA">
        <w:rPr>
          <w:rStyle w:val="FootnoteReference"/>
          <w:rFonts w:ascii="Times New Roman" w:hAnsi="Times New Roman"/>
          <w:sz w:val="24"/>
        </w:rPr>
        <w:footnoteReference w:id="277"/>
      </w:r>
      <w:r w:rsidRPr="00D546BA">
        <w:rPr>
          <w:rFonts w:ascii="Times New Roman" w:hAnsi="Times New Roman"/>
        </w:rPr>
        <w:t>. This statement recognises that the core characteristic of judicial power is the determination of controversies about existing rights</w:t>
      </w:r>
      <w:r w:rsidRPr="00D546BA">
        <w:rPr>
          <w:rStyle w:val="FootnoteReference"/>
          <w:rFonts w:ascii="Times New Roman" w:hAnsi="Times New Roman"/>
          <w:sz w:val="24"/>
        </w:rPr>
        <w:footnoteReference w:id="278"/>
      </w:r>
      <w:r w:rsidRPr="00D546BA">
        <w:rPr>
          <w:rFonts w:ascii="Times New Roman" w:hAnsi="Times New Roman"/>
        </w:rPr>
        <w:t xml:space="preserve">. Thus, as Hayne J stated in </w:t>
      </w:r>
      <w:r w:rsidRPr="00D546BA">
        <w:rPr>
          <w:rFonts w:ascii="Times New Roman" w:hAnsi="Times New Roman"/>
          <w:i/>
        </w:rPr>
        <w:t>South Australia v</w:t>
      </w:r>
      <w:r w:rsidRPr="00D546BA">
        <w:rPr>
          <w:rFonts w:ascii="Times New Roman" w:hAnsi="Times New Roman"/>
        </w:rPr>
        <w:t xml:space="preserve"> </w:t>
      </w:r>
      <w:proofErr w:type="spellStart"/>
      <w:r w:rsidRPr="00D546BA">
        <w:rPr>
          <w:rFonts w:ascii="Times New Roman" w:hAnsi="Times New Roman"/>
          <w:i/>
        </w:rPr>
        <w:t>Totani</w:t>
      </w:r>
      <w:proofErr w:type="spellEnd"/>
      <w:r w:rsidRPr="00D546BA">
        <w:rPr>
          <w:rFonts w:ascii="Times New Roman" w:hAnsi="Times New Roman"/>
        </w:rPr>
        <w:t>, "[</w:t>
      </w:r>
      <w:proofErr w:type="spellStart"/>
      <w:r w:rsidRPr="00D546BA">
        <w:rPr>
          <w:rFonts w:ascii="Times New Roman" w:hAnsi="Times New Roman"/>
        </w:rPr>
        <w:t>i</w:t>
      </w:r>
      <w:proofErr w:type="spellEnd"/>
      <w:r w:rsidRPr="00D546BA">
        <w:rPr>
          <w:rFonts w:ascii="Times New Roman" w:hAnsi="Times New Roman"/>
        </w:rPr>
        <w:t xml:space="preserve">]t is ... both right and important to observe that the </w:t>
      </w:r>
      <w:r w:rsidRPr="00D546BA">
        <w:rPr>
          <w:rFonts w:ascii="Times New Roman" w:hAnsi="Times New Roman"/>
        </w:rPr>
        <w:lastRenderedPageBreak/>
        <w:t>determination of rights and liabilities lies at the heart of the judicial function, and</w:t>
      </w:r>
      <w:r>
        <w:rPr>
          <w:rFonts w:ascii="Times New Roman" w:hAnsi="Times New Roman"/>
        </w:rPr>
        <w:t> </w:t>
      </w:r>
      <w:r w:rsidRPr="00D546BA">
        <w:rPr>
          <w:rFonts w:ascii="Times New Roman" w:hAnsi="Times New Roman"/>
        </w:rPr>
        <w:t>that the creation of rights and liabilities lies at the heart of the legislative function"</w:t>
      </w:r>
      <w:r w:rsidRPr="00D546BA">
        <w:rPr>
          <w:rStyle w:val="FootnoteReference"/>
          <w:rFonts w:ascii="Times New Roman" w:hAnsi="Times New Roman"/>
          <w:sz w:val="24"/>
        </w:rPr>
        <w:footnoteReference w:id="279"/>
      </w:r>
      <w:r w:rsidRPr="00D546BA">
        <w:rPr>
          <w:rFonts w:ascii="Times New Roman" w:hAnsi="Times New Roman"/>
        </w:rPr>
        <w:t>.</w:t>
      </w:r>
    </w:p>
    <w:p w14:paraId="091ED1D3"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But, as has been observed, this description of judicial power is not exhaustive. In the past, this Court has on occasion drawn historical analogies to bring certain powers within judicial power despite the absence of a determination of existing rights</w:t>
      </w:r>
      <w:r w:rsidRPr="00D546BA">
        <w:rPr>
          <w:rStyle w:val="FootnoteReference"/>
          <w:rFonts w:ascii="Times New Roman" w:hAnsi="Times New Roman"/>
          <w:sz w:val="24"/>
        </w:rPr>
        <w:footnoteReference w:id="280"/>
      </w:r>
      <w:r w:rsidRPr="00D546BA">
        <w:rPr>
          <w:rFonts w:ascii="Times New Roman" w:hAnsi="Times New Roman"/>
        </w:rPr>
        <w:t xml:space="preserve">. So, for example, it was on the basis of historical analogy that Gummow and Crennan JJ accepted in </w:t>
      </w:r>
      <w:r w:rsidRPr="00D546BA">
        <w:rPr>
          <w:rFonts w:ascii="Times New Roman" w:hAnsi="Times New Roman"/>
          <w:i/>
        </w:rPr>
        <w:t>Thomas v Mowbray</w:t>
      </w:r>
      <w:r w:rsidRPr="00D546BA">
        <w:rPr>
          <w:rFonts w:ascii="Times New Roman" w:hAnsi="Times New Roman"/>
        </w:rPr>
        <w:t xml:space="preserve"> that the power to make control orders (a power which their Honours specifically distinguished from the power to detain in custody) was a power that could be conferred on a court and exercised judicially</w:t>
      </w:r>
      <w:r w:rsidRPr="00D546BA">
        <w:rPr>
          <w:rStyle w:val="FootnoteReference"/>
          <w:rFonts w:ascii="Times New Roman" w:hAnsi="Times New Roman"/>
          <w:sz w:val="24"/>
        </w:rPr>
        <w:footnoteReference w:id="281"/>
      </w:r>
      <w:r w:rsidRPr="00D546BA">
        <w:rPr>
          <w:rFonts w:ascii="Times New Roman" w:hAnsi="Times New Roman"/>
        </w:rPr>
        <w:t>:</w:t>
      </w:r>
    </w:p>
    <w:p w14:paraId="7E644CD6" w14:textId="77777777" w:rsidR="00CE4181" w:rsidRDefault="00CE4181" w:rsidP="00D546BA">
      <w:pPr>
        <w:pStyle w:val="LRIndentafterHC"/>
        <w:spacing w:before="0" w:after="260" w:line="280" w:lineRule="exact"/>
        <w:ind w:right="0"/>
        <w:jc w:val="both"/>
        <w:rPr>
          <w:rFonts w:ascii="Times New Roman" w:hAnsi="Times New Roman"/>
        </w:rPr>
      </w:pPr>
      <w:r w:rsidRPr="00D546BA">
        <w:rPr>
          <w:rFonts w:ascii="Times New Roman" w:hAnsi="Times New Roman"/>
        </w:rPr>
        <w:t xml:space="preserve">"Detention in the custody of the State differs significantly in degree and quality from what may be entailed by observance of an interim control order. Moreover ... some analogy is provided by examples in the English legal tradition of the imposition by curial order of preventative restraints. One such was the power of justices of the peace, on the application of the person threatened to bind over to keep the peace those whose activities threatened to break it, and on the justices' own motion to bind over generally to be of good behaviour. This species of 'preventative justice' to maintain order and preserve the public peace was part of the legal inheritance of the Australian colonies and is discussed with much learning by Bray CJ and by </w:t>
      </w:r>
      <w:proofErr w:type="spellStart"/>
      <w:r w:rsidRPr="00D546BA">
        <w:rPr>
          <w:rFonts w:ascii="Times New Roman" w:hAnsi="Times New Roman"/>
        </w:rPr>
        <w:t>Zelling</w:t>
      </w:r>
      <w:proofErr w:type="spellEnd"/>
      <w:r w:rsidRPr="00D546BA">
        <w:rPr>
          <w:rFonts w:ascii="Times New Roman" w:hAnsi="Times New Roman"/>
        </w:rPr>
        <w:t xml:space="preserve"> J in </w:t>
      </w:r>
      <w:r w:rsidRPr="00D546BA">
        <w:rPr>
          <w:rFonts w:ascii="Times New Roman" w:hAnsi="Times New Roman"/>
          <w:i/>
        </w:rPr>
        <w:t xml:space="preserve">R v Wright; Ex </w:t>
      </w:r>
      <w:proofErr w:type="spellStart"/>
      <w:r w:rsidRPr="00D546BA">
        <w:rPr>
          <w:rFonts w:ascii="Times New Roman" w:hAnsi="Times New Roman"/>
          <w:i/>
        </w:rPr>
        <w:t>parte</w:t>
      </w:r>
      <w:proofErr w:type="spellEnd"/>
      <w:r w:rsidRPr="00D546BA">
        <w:rPr>
          <w:rFonts w:ascii="Times New Roman" w:hAnsi="Times New Roman"/>
          <w:i/>
        </w:rPr>
        <w:t xml:space="preserve"> </w:t>
      </w:r>
      <w:proofErr w:type="spellStart"/>
      <w:r w:rsidRPr="00D546BA">
        <w:rPr>
          <w:rFonts w:ascii="Times New Roman" w:hAnsi="Times New Roman"/>
          <w:i/>
        </w:rPr>
        <w:t>Klar</w:t>
      </w:r>
      <w:proofErr w:type="spellEnd"/>
      <w:r w:rsidRPr="00D546BA">
        <w:rPr>
          <w:rFonts w:ascii="Times New Roman" w:hAnsi="Times New Roman"/>
        </w:rPr>
        <w:t>."</w:t>
      </w:r>
    </w:p>
    <w:p w14:paraId="68E4AEFE" w14:textId="77777777" w:rsidR="00CE4181" w:rsidRPr="00D546BA" w:rsidRDefault="00CE4181" w:rsidP="00D546BA">
      <w:pPr>
        <w:pStyle w:val="NormalBody"/>
        <w:spacing w:after="260" w:line="280" w:lineRule="exact"/>
        <w:ind w:right="0"/>
        <w:jc w:val="both"/>
        <w:rPr>
          <w:rFonts w:ascii="Times New Roman" w:hAnsi="Times New Roman"/>
          <w:i/>
        </w:rPr>
      </w:pPr>
      <w:r w:rsidRPr="00D546BA">
        <w:rPr>
          <w:rFonts w:ascii="Times New Roman" w:hAnsi="Times New Roman"/>
        </w:rPr>
        <w:t>At the same time, however, this Court has warned that "[h]</w:t>
      </w:r>
      <w:proofErr w:type="spellStart"/>
      <w:r w:rsidRPr="00D546BA">
        <w:rPr>
          <w:rFonts w:ascii="Times New Roman" w:hAnsi="Times New Roman"/>
        </w:rPr>
        <w:t>istory</w:t>
      </w:r>
      <w:proofErr w:type="spellEnd"/>
      <w:r w:rsidRPr="00D546BA">
        <w:rPr>
          <w:rFonts w:ascii="Times New Roman" w:hAnsi="Times New Roman"/>
        </w:rPr>
        <w:t xml:space="preserve"> alone does not provide a sufficient basis for defining the exercise of a power as judicial power"</w:t>
      </w:r>
      <w:r w:rsidRPr="00D546BA">
        <w:rPr>
          <w:rStyle w:val="FootnoteReference"/>
          <w:rFonts w:ascii="Times New Roman" w:hAnsi="Times New Roman"/>
          <w:sz w:val="24"/>
        </w:rPr>
        <w:footnoteReference w:id="282"/>
      </w:r>
      <w:r w:rsidRPr="00D546BA">
        <w:rPr>
          <w:rFonts w:ascii="Times New Roman" w:hAnsi="Times New Roman"/>
        </w:rPr>
        <w:t xml:space="preserve">. </w:t>
      </w:r>
    </w:p>
    <w:p w14:paraId="281A2CDA"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In other cases, in determining whether certain functions may be regarded as judicial, the character of the repository of the grant of power has aided in the </w:t>
      </w:r>
      <w:r w:rsidRPr="00D546BA">
        <w:rPr>
          <w:rFonts w:ascii="Times New Roman" w:hAnsi="Times New Roman"/>
        </w:rPr>
        <w:lastRenderedPageBreak/>
        <w:t>ascertainment of the nature of the power – but even then, this has not been determinative</w:t>
      </w:r>
      <w:r w:rsidRPr="00D546BA">
        <w:rPr>
          <w:rStyle w:val="FootnoteReference"/>
          <w:rFonts w:ascii="Times New Roman" w:hAnsi="Times New Roman"/>
          <w:sz w:val="24"/>
        </w:rPr>
        <w:footnoteReference w:id="283"/>
      </w:r>
      <w:r w:rsidRPr="00D546BA">
        <w:rPr>
          <w:rFonts w:ascii="Times New Roman" w:hAnsi="Times New Roman"/>
        </w:rPr>
        <w:t>. And, of course, where a function is entrusted to a court, this may permit an inference to be drawn that the power is to be exercised judicially</w:t>
      </w:r>
      <w:r w:rsidRPr="00D546BA">
        <w:rPr>
          <w:rStyle w:val="FootnoteReference"/>
          <w:rFonts w:ascii="Times New Roman" w:hAnsi="Times New Roman"/>
          <w:sz w:val="24"/>
        </w:rPr>
        <w:footnoteReference w:id="284"/>
      </w:r>
      <w:r w:rsidRPr="00D546BA">
        <w:rPr>
          <w:rFonts w:ascii="Times New Roman" w:hAnsi="Times New Roman"/>
        </w:rPr>
        <w:t>.</w:t>
      </w:r>
    </w:p>
    <w:p w14:paraId="0F37743A"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In other decisions of this Court about the nature of judicial power, the Court has recognised that a criterion to assist in the characterisation of a power as judicial is the extent to which the power conferred involves the application of established and ascertainable legal standards</w:t>
      </w:r>
      <w:r w:rsidRPr="00D546BA">
        <w:rPr>
          <w:rStyle w:val="FootnoteReference"/>
          <w:rFonts w:ascii="Times New Roman" w:hAnsi="Times New Roman"/>
          <w:sz w:val="24"/>
        </w:rPr>
        <w:footnoteReference w:id="285"/>
      </w:r>
      <w:r w:rsidRPr="00D546BA">
        <w:rPr>
          <w:rFonts w:ascii="Times New Roman" w:hAnsi="Times New Roman"/>
        </w:rPr>
        <w:t>. A decision-making power that depends on the application of policy considerations or involves a substantial discretionary element is less likely to be characterised as judicial than a decision-making power that involves the application of established legal standards</w:t>
      </w:r>
      <w:r w:rsidRPr="00D546BA">
        <w:rPr>
          <w:rStyle w:val="FootnoteReference"/>
          <w:rFonts w:ascii="Times New Roman" w:hAnsi="Times New Roman"/>
          <w:sz w:val="24"/>
        </w:rPr>
        <w:footnoteReference w:id="286"/>
      </w:r>
      <w:r w:rsidRPr="00D546BA">
        <w:rPr>
          <w:rFonts w:ascii="Times New Roman" w:hAnsi="Times New Roman"/>
        </w:rPr>
        <w:t>.</w:t>
      </w:r>
    </w:p>
    <w:p w14:paraId="5D727E0E"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But the characterisation of the power is not undertaken in a vacuum; it is a process of characterisation where the core values which underpin the separation of powers – the protection of liberty and the independence of the judiciary – underpin the essential characteristic, or what has been described as the general rule</w:t>
      </w:r>
      <w:r w:rsidRPr="00D546BA">
        <w:rPr>
          <w:rStyle w:val="FootnoteReference"/>
          <w:rFonts w:ascii="Times New Roman" w:hAnsi="Times New Roman"/>
          <w:sz w:val="24"/>
        </w:rPr>
        <w:footnoteReference w:id="287"/>
      </w:r>
      <w:r w:rsidRPr="00D546BA">
        <w:rPr>
          <w:rFonts w:ascii="Times New Roman" w:hAnsi="Times New Roman"/>
        </w:rPr>
        <w:t>, of judicial power, namely the determination of controversies about existing rights</w:t>
      </w:r>
      <w:r w:rsidRPr="00D546BA">
        <w:rPr>
          <w:rStyle w:val="FootnoteReference"/>
          <w:rFonts w:ascii="Times New Roman" w:hAnsi="Times New Roman"/>
          <w:sz w:val="24"/>
        </w:rPr>
        <w:footnoteReference w:id="288"/>
      </w:r>
      <w:r w:rsidRPr="00D546BA">
        <w:rPr>
          <w:rFonts w:ascii="Times New Roman" w:hAnsi="Times New Roman"/>
        </w:rPr>
        <w:t xml:space="preserve">. That is what is reflected in </w:t>
      </w:r>
      <w:r w:rsidRPr="00D546BA">
        <w:rPr>
          <w:rFonts w:ascii="Times New Roman" w:hAnsi="Times New Roman"/>
          <w:i/>
        </w:rPr>
        <w:t>Lim</w:t>
      </w:r>
      <w:r w:rsidRPr="00D546BA">
        <w:rPr>
          <w:rFonts w:ascii="Times New Roman" w:hAnsi="Times New Roman"/>
        </w:rPr>
        <w:t xml:space="preserve">. </w:t>
      </w:r>
    </w:p>
    <w:p w14:paraId="0C5AC6A4"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Where, as here, there has been a conferral of a power on a court by Commonwealth legislation and, in particular, a conferral of a "power to restrict or </w:t>
      </w:r>
      <w:r w:rsidRPr="00D546BA">
        <w:rPr>
          <w:rFonts w:ascii="Times New Roman" w:hAnsi="Times New Roman"/>
        </w:rPr>
        <w:lastRenderedPageBreak/>
        <w:t>interfere with a person's liberty on the basis of what that person might do in the future"</w:t>
      </w:r>
      <w:r w:rsidRPr="00D546BA">
        <w:rPr>
          <w:rStyle w:val="FootnoteReference"/>
          <w:rFonts w:ascii="Times New Roman" w:hAnsi="Times New Roman"/>
          <w:sz w:val="24"/>
        </w:rPr>
        <w:footnoteReference w:id="289"/>
      </w:r>
      <w:r w:rsidRPr="00D546BA">
        <w:rPr>
          <w:rFonts w:ascii="Times New Roman" w:hAnsi="Times New Roman"/>
        </w:rPr>
        <w:t>, there is no dispute that the power can be conferred only if the power is, or is incidental to, a power properly characterised as judicial. The question is</w:t>
      </w:r>
      <w:r>
        <w:rPr>
          <w:rFonts w:ascii="Times New Roman" w:hAnsi="Times New Roman"/>
        </w:rPr>
        <w:t>,</w:t>
      </w:r>
      <w:r w:rsidRPr="00D546BA">
        <w:rPr>
          <w:rFonts w:ascii="Times New Roman" w:hAnsi="Times New Roman"/>
        </w:rPr>
        <w:t xml:space="preserve"> what indicia determine whether it is properly characterised as judicial power? Or, put in different terms, as Gageler J said in </w:t>
      </w:r>
      <w:r w:rsidRPr="00D546BA">
        <w:rPr>
          <w:rFonts w:ascii="Times New Roman" w:hAnsi="Times New Roman"/>
          <w:i/>
        </w:rPr>
        <w:t>Vella</w:t>
      </w:r>
      <w:r w:rsidRPr="00D546BA">
        <w:rPr>
          <w:rStyle w:val="FootnoteReference"/>
          <w:rFonts w:ascii="Times New Roman" w:hAnsi="Times New Roman"/>
          <w:sz w:val="24"/>
        </w:rPr>
        <w:footnoteReference w:id="290"/>
      </w:r>
      <w:r w:rsidRPr="00D546BA">
        <w:rPr>
          <w:rFonts w:ascii="Times New Roman" w:hAnsi="Times New Roman"/>
        </w:rPr>
        <w:t>:</w:t>
      </w:r>
    </w:p>
    <w:p w14:paraId="1183361B" w14:textId="77777777" w:rsidR="00CE4181" w:rsidRDefault="00CE4181" w:rsidP="00D546BA">
      <w:pPr>
        <w:pStyle w:val="LRIndentafterHC"/>
        <w:spacing w:before="0" w:after="260" w:line="280" w:lineRule="exact"/>
        <w:ind w:right="0"/>
        <w:jc w:val="both"/>
        <w:rPr>
          <w:rFonts w:ascii="Times New Roman" w:hAnsi="Times New Roman"/>
        </w:rPr>
      </w:pPr>
      <w:r w:rsidRPr="00D546BA">
        <w:rPr>
          <w:rFonts w:ascii="Times New Roman" w:hAnsi="Times New Roman"/>
        </w:rPr>
        <w:t xml:space="preserve">"Where an exercise of a power conferred on a court settles no question as to the existence of any antecedent right or obligation yet results in an order imposing a new and enduring restriction on liberty, </w:t>
      </w:r>
      <w:r w:rsidRPr="00D546BA">
        <w:rPr>
          <w:rFonts w:ascii="Times New Roman" w:hAnsi="Times New Roman"/>
          <w:i/>
        </w:rPr>
        <w:t>some special and compelling feature ought to be found to exist for its inclusion in the category of judicial power to be justified</w:t>
      </w:r>
      <w:r w:rsidRPr="00D546BA">
        <w:rPr>
          <w:rFonts w:ascii="Times New Roman" w:hAnsi="Times New Roman"/>
        </w:rPr>
        <w:t xml:space="preserve">. Characterisation of the power as judicial ought to require at least that the </w:t>
      </w:r>
      <w:r w:rsidRPr="00D546BA">
        <w:rPr>
          <w:rFonts w:ascii="Times New Roman" w:hAnsi="Times New Roman"/>
          <w:i/>
        </w:rPr>
        <w:t>criteria to be applied by the court in making the order are legislatively tailored to the achievement of a legislatively specified protective outcome</w:t>
      </w:r>
      <w:r w:rsidRPr="00D546BA">
        <w:rPr>
          <w:rFonts w:ascii="Times New Roman" w:hAnsi="Times New Roman"/>
        </w:rPr>
        <w:t xml:space="preserve">. That was the case in </w:t>
      </w:r>
      <w:r w:rsidRPr="00D546BA">
        <w:rPr>
          <w:rFonts w:ascii="Times New Roman" w:hAnsi="Times New Roman"/>
          <w:i/>
        </w:rPr>
        <w:t>Thomas v Mowbray</w:t>
      </w:r>
      <w:r w:rsidRPr="00D546BA">
        <w:rPr>
          <w:rFonts w:ascii="Times New Roman" w:hAnsi="Times New Roman"/>
        </w:rPr>
        <w:t>." (emphasis added)</w:t>
      </w:r>
    </w:p>
    <w:p w14:paraId="71BF69F2"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reference to </w:t>
      </w:r>
      <w:r w:rsidRPr="00D546BA">
        <w:rPr>
          <w:rFonts w:ascii="Times New Roman" w:hAnsi="Times New Roman"/>
          <w:i/>
        </w:rPr>
        <w:t xml:space="preserve">Thomas v Mowbray </w:t>
      </w:r>
      <w:r w:rsidRPr="00D546BA">
        <w:rPr>
          <w:rFonts w:ascii="Times New Roman" w:hAnsi="Times New Roman"/>
        </w:rPr>
        <w:t>is important. Not only does it bring into sharp focus the terms of the legislation in issue</w:t>
      </w:r>
      <w:r w:rsidRPr="00D546BA">
        <w:rPr>
          <w:rStyle w:val="FootnoteReference"/>
          <w:rFonts w:ascii="Times New Roman" w:hAnsi="Times New Roman"/>
          <w:sz w:val="24"/>
        </w:rPr>
        <w:footnoteReference w:id="291"/>
      </w:r>
      <w:r w:rsidRPr="00D546BA">
        <w:rPr>
          <w:rFonts w:ascii="Times New Roman" w:hAnsi="Times New Roman"/>
        </w:rPr>
        <w:t>, but it recognises that the problem posed by terrorism is "not susceptible of sound solution by the domino method of constitutional adjudication ... wherein every explanatory statement in a previous opinion is made the basis for extension to a wholly different situation"</w:t>
      </w:r>
      <w:r w:rsidRPr="00D546BA">
        <w:rPr>
          <w:rStyle w:val="FootnoteReference"/>
          <w:rFonts w:ascii="Times New Roman" w:hAnsi="Times New Roman"/>
          <w:sz w:val="24"/>
        </w:rPr>
        <w:footnoteReference w:id="292"/>
      </w:r>
      <w:r w:rsidRPr="00D546BA">
        <w:rPr>
          <w:rFonts w:ascii="Times New Roman" w:hAnsi="Times New Roman"/>
        </w:rPr>
        <w:t>. That is what the Commonwealth invited the Court to do. That is, the</w:t>
      </w:r>
      <w:r>
        <w:rPr>
          <w:rFonts w:ascii="Times New Roman" w:hAnsi="Times New Roman"/>
        </w:rPr>
        <w:t> </w:t>
      </w:r>
      <w:r w:rsidRPr="00D546BA">
        <w:rPr>
          <w:rFonts w:ascii="Times New Roman" w:hAnsi="Times New Roman"/>
        </w:rPr>
        <w:t>Commonwealth's submissions invited the Court to take what was said in one case</w:t>
      </w:r>
      <w:r w:rsidRPr="00D546BA">
        <w:rPr>
          <w:rStyle w:val="FootnoteReference"/>
          <w:rFonts w:ascii="Times New Roman" w:hAnsi="Times New Roman"/>
          <w:sz w:val="24"/>
        </w:rPr>
        <w:footnoteReference w:id="293"/>
      </w:r>
      <w:r w:rsidRPr="00D546BA">
        <w:rPr>
          <w:rFonts w:ascii="Times New Roman" w:hAnsi="Times New Roman"/>
        </w:rPr>
        <w:t xml:space="preserve"> and extrapolate from it, failing to recognise first and foremost that doing so</w:t>
      </w:r>
      <w:r w:rsidRPr="00D546BA" w:rsidDel="006C5FC4">
        <w:rPr>
          <w:rFonts w:ascii="Times New Roman" w:hAnsi="Times New Roman"/>
        </w:rPr>
        <w:t xml:space="preserve"> </w:t>
      </w:r>
      <w:r w:rsidRPr="00D546BA">
        <w:rPr>
          <w:rFonts w:ascii="Times New Roman" w:hAnsi="Times New Roman"/>
        </w:rPr>
        <w:t xml:space="preserve">would sever the principle from its constitutional root, but also not recognising that what is said in one case is said in the context of that particular case. Put in different </w:t>
      </w:r>
      <w:r w:rsidRPr="00D546BA">
        <w:rPr>
          <w:rFonts w:ascii="Times New Roman" w:hAnsi="Times New Roman"/>
        </w:rPr>
        <w:lastRenderedPageBreak/>
        <w:t>terms, the Court is not engaged in statutory construction of some of its reasons for judgment</w:t>
      </w:r>
      <w:r w:rsidRPr="00D546BA">
        <w:rPr>
          <w:rStyle w:val="FootnoteReference"/>
          <w:rFonts w:ascii="Times New Roman" w:hAnsi="Times New Roman"/>
          <w:sz w:val="24"/>
        </w:rPr>
        <w:footnoteReference w:id="294"/>
      </w:r>
      <w:r w:rsidRPr="00D546BA">
        <w:rPr>
          <w:rFonts w:ascii="Times New Roman" w:hAnsi="Times New Roman"/>
        </w:rPr>
        <w:t xml:space="preserve">. </w:t>
      </w:r>
    </w:p>
    <w:p w14:paraId="57505556"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Two other cases should be mentioned in this context. The first is </w:t>
      </w:r>
      <w:r w:rsidRPr="00D546BA">
        <w:rPr>
          <w:rFonts w:ascii="Times New Roman" w:hAnsi="Times New Roman"/>
          <w:i/>
        </w:rPr>
        <w:t>Chester v The Queen</w:t>
      </w:r>
      <w:r w:rsidRPr="00D546BA">
        <w:rPr>
          <w:rStyle w:val="FootnoteReference"/>
          <w:rFonts w:ascii="Times New Roman" w:hAnsi="Times New Roman"/>
          <w:sz w:val="24"/>
        </w:rPr>
        <w:footnoteReference w:id="295"/>
      </w:r>
      <w:r w:rsidRPr="00D546BA">
        <w:rPr>
          <w:rFonts w:ascii="Times New Roman" w:hAnsi="Times New Roman"/>
        </w:rPr>
        <w:t xml:space="preserve">. That case concerned s 662(a) of the </w:t>
      </w:r>
      <w:r w:rsidRPr="00D546BA">
        <w:rPr>
          <w:rFonts w:ascii="Times New Roman" w:hAnsi="Times New Roman"/>
          <w:i/>
        </w:rPr>
        <w:t>Criminal Code</w:t>
      </w:r>
      <w:r w:rsidRPr="00D546BA">
        <w:rPr>
          <w:rFonts w:ascii="Times New Roman" w:hAnsi="Times New Roman"/>
        </w:rPr>
        <w:t xml:space="preserve"> (WA), under</w:t>
      </w:r>
      <w:r>
        <w:rPr>
          <w:rFonts w:ascii="Times New Roman" w:hAnsi="Times New Roman"/>
        </w:rPr>
        <w:t> </w:t>
      </w:r>
      <w:r w:rsidRPr="00D546BA">
        <w:rPr>
          <w:rFonts w:ascii="Times New Roman" w:hAnsi="Times New Roman"/>
        </w:rPr>
        <w:t>which a direction could be given by a sentencing judge that the convicted person, on the expiration of a finite term of imprisonment to which they were sentenced, be detained during the Governor's pleasure. There, the direction formed part of the sentencing process. This Court held that the exercise of the power in that context should be reserved for very exceptional cases and where the sentencing judge was satisfied by acceptable evidence that the convicted person was "so likely to commit further crimes of violence (including sexual offences) that [the person] constitute[d] a constant danger to the community"</w:t>
      </w:r>
      <w:r w:rsidRPr="00D546BA">
        <w:rPr>
          <w:rStyle w:val="FootnoteReference"/>
          <w:rFonts w:ascii="Times New Roman" w:hAnsi="Times New Roman"/>
          <w:sz w:val="24"/>
        </w:rPr>
        <w:footnoteReference w:id="296"/>
      </w:r>
      <w:r w:rsidRPr="00D546BA">
        <w:rPr>
          <w:rFonts w:ascii="Times New Roman" w:hAnsi="Times New Roman"/>
        </w:rPr>
        <w:t xml:space="preserve">. As Gageler J explained in </w:t>
      </w:r>
      <w:r w:rsidRPr="00D546BA">
        <w:rPr>
          <w:rFonts w:ascii="Times New Roman" w:hAnsi="Times New Roman"/>
          <w:i/>
        </w:rPr>
        <w:t>Yates v The Queen</w:t>
      </w:r>
      <w:r w:rsidRPr="00D546BA">
        <w:rPr>
          <w:rStyle w:val="FootnoteReference"/>
          <w:rFonts w:ascii="Times New Roman" w:hAnsi="Times New Roman"/>
          <w:sz w:val="24"/>
        </w:rPr>
        <w:footnoteReference w:id="297"/>
      </w:r>
      <w:r w:rsidRPr="00D546BA">
        <w:rPr>
          <w:rFonts w:ascii="Times New Roman" w:hAnsi="Times New Roman"/>
        </w:rPr>
        <w:t xml:space="preserve">, </w:t>
      </w:r>
      <w:r w:rsidRPr="00D546BA">
        <w:rPr>
          <w:rFonts w:ascii="Times New Roman" w:hAnsi="Times New Roman"/>
          <w:i/>
        </w:rPr>
        <w:t>Chester</w:t>
      </w:r>
      <w:r w:rsidRPr="00D546BA">
        <w:rPr>
          <w:rFonts w:ascii="Times New Roman" w:hAnsi="Times New Roman"/>
        </w:rPr>
        <w:t xml:space="preserve"> reflected the view that the power given to the court could not be used "where there [was] only the probability of the offender re</w:t>
      </w:r>
      <w:r>
        <w:rPr>
          <w:rFonts w:ascii="Times New Roman" w:hAnsi="Times New Roman"/>
        </w:rPr>
        <w:noBreakHyphen/>
      </w:r>
      <w:r w:rsidRPr="00D546BA">
        <w:rPr>
          <w:rFonts w:ascii="Times New Roman" w:hAnsi="Times New Roman"/>
        </w:rPr>
        <w:t>offending as he must be seen as a constant danger to the community".</w:t>
      </w:r>
    </w:p>
    <w:p w14:paraId="3FE697CA"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Second, the decision of this Court in </w:t>
      </w:r>
      <w:proofErr w:type="spellStart"/>
      <w:r w:rsidRPr="00D546BA">
        <w:rPr>
          <w:rFonts w:ascii="Times New Roman" w:hAnsi="Times New Roman"/>
          <w:i/>
        </w:rPr>
        <w:t>Fardon</w:t>
      </w:r>
      <w:proofErr w:type="spellEnd"/>
      <w:r w:rsidRPr="00D546BA">
        <w:rPr>
          <w:rFonts w:ascii="Times New Roman" w:hAnsi="Times New Roman"/>
        </w:rPr>
        <w:t xml:space="preserve"> is instructive. It concerned</w:t>
      </w:r>
      <w:r w:rsidRPr="00D546BA" w:rsidDel="00C720B2">
        <w:rPr>
          <w:rFonts w:ascii="Times New Roman" w:hAnsi="Times New Roman"/>
        </w:rPr>
        <w:t xml:space="preserve"> </w:t>
      </w:r>
      <w:r w:rsidRPr="00D546BA">
        <w:rPr>
          <w:rFonts w:ascii="Times New Roman" w:hAnsi="Times New Roman"/>
        </w:rPr>
        <w:t>a State law permitting a State Supreme Court to impose preventative detention where the Court was satisfied to a high degree of probability that the person was a serious danger to the community</w:t>
      </w:r>
      <w:r w:rsidRPr="00D546BA">
        <w:rPr>
          <w:rStyle w:val="FootnoteReference"/>
          <w:rFonts w:ascii="Times New Roman" w:hAnsi="Times New Roman"/>
          <w:sz w:val="24"/>
        </w:rPr>
        <w:footnoteReference w:id="298"/>
      </w:r>
      <w:r w:rsidRPr="00D546BA">
        <w:rPr>
          <w:rFonts w:ascii="Times New Roman" w:hAnsi="Times New Roman"/>
        </w:rPr>
        <w:t>. A prisoner could be considered to be a serious danger to the community only if there was an unacceptable risk that the prisoner would commit a serious sexual offence if released from custody</w:t>
      </w:r>
      <w:r w:rsidRPr="00D546BA">
        <w:rPr>
          <w:rStyle w:val="FootnoteReference"/>
          <w:rFonts w:ascii="Times New Roman" w:hAnsi="Times New Roman"/>
          <w:sz w:val="24"/>
        </w:rPr>
        <w:footnoteReference w:id="299"/>
      </w:r>
      <w:r w:rsidRPr="00D546BA">
        <w:rPr>
          <w:rFonts w:ascii="Times New Roman" w:hAnsi="Times New Roman"/>
        </w:rPr>
        <w:t xml:space="preserve">. A "serious </w:t>
      </w:r>
      <w:r w:rsidRPr="00D546BA">
        <w:rPr>
          <w:rFonts w:ascii="Times New Roman" w:hAnsi="Times New Roman"/>
        </w:rPr>
        <w:lastRenderedPageBreak/>
        <w:t>sexual offence" was defined as an offence of a sexual nature involving violence or against children</w:t>
      </w:r>
      <w:r w:rsidRPr="00D546BA">
        <w:rPr>
          <w:rStyle w:val="FootnoteReference"/>
          <w:rFonts w:ascii="Times New Roman" w:hAnsi="Times New Roman"/>
          <w:sz w:val="24"/>
        </w:rPr>
        <w:footnoteReference w:id="300"/>
      </w:r>
      <w:r w:rsidRPr="00D546BA">
        <w:rPr>
          <w:rFonts w:ascii="Times New Roman" w:hAnsi="Times New Roman"/>
        </w:rPr>
        <w:t xml:space="preserve">. </w:t>
      </w:r>
    </w:p>
    <w:p w14:paraId="0C59E82B"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Court did not decide in </w:t>
      </w:r>
      <w:proofErr w:type="spellStart"/>
      <w:r w:rsidRPr="00D546BA">
        <w:rPr>
          <w:rFonts w:ascii="Times New Roman" w:hAnsi="Times New Roman"/>
          <w:i/>
        </w:rPr>
        <w:t>Fardon</w:t>
      </w:r>
      <w:proofErr w:type="spellEnd"/>
      <w:r w:rsidRPr="00D546BA">
        <w:rPr>
          <w:rFonts w:ascii="Times New Roman" w:hAnsi="Times New Roman"/>
        </w:rPr>
        <w:t xml:space="preserve"> whether a law of that kind – permitting a court to make an order for continuing detention – would be valid if made by the Commonwealth Parliament</w:t>
      </w:r>
      <w:r w:rsidRPr="00D546BA">
        <w:rPr>
          <w:rStyle w:val="FootnoteReference"/>
          <w:rFonts w:ascii="Times New Roman" w:hAnsi="Times New Roman"/>
          <w:sz w:val="24"/>
        </w:rPr>
        <w:footnoteReference w:id="301"/>
      </w:r>
      <w:r w:rsidRPr="00D546BA">
        <w:rPr>
          <w:rFonts w:ascii="Times New Roman" w:hAnsi="Times New Roman"/>
        </w:rPr>
        <w:t>. The reasoning of the majority did not need to directly address judicial power</w:t>
      </w:r>
      <w:r w:rsidRPr="00D546BA">
        <w:rPr>
          <w:rStyle w:val="FootnoteReference"/>
          <w:rFonts w:ascii="Times New Roman" w:hAnsi="Times New Roman"/>
          <w:sz w:val="24"/>
        </w:rPr>
        <w:footnoteReference w:id="302"/>
      </w:r>
      <w:r w:rsidRPr="00D546BA">
        <w:rPr>
          <w:rFonts w:ascii="Times New Roman" w:hAnsi="Times New Roman"/>
        </w:rPr>
        <w:t xml:space="preserve">. It does not follow from </w:t>
      </w:r>
      <w:proofErr w:type="spellStart"/>
      <w:r w:rsidRPr="00D546BA">
        <w:rPr>
          <w:rFonts w:ascii="Times New Roman" w:hAnsi="Times New Roman"/>
          <w:i/>
        </w:rPr>
        <w:t>Fardon</w:t>
      </w:r>
      <w:proofErr w:type="spellEnd"/>
      <w:r w:rsidRPr="00D546BA">
        <w:rPr>
          <w:rFonts w:ascii="Times New Roman" w:hAnsi="Times New Roman"/>
          <w:i/>
        </w:rPr>
        <w:t xml:space="preserve"> </w:t>
      </w:r>
      <w:r w:rsidRPr="00D546BA">
        <w:rPr>
          <w:rFonts w:ascii="Times New Roman" w:hAnsi="Times New Roman"/>
        </w:rPr>
        <w:t>that a law of the kind considered in that case would be valid if enacted by the Commonwealth Parliament. As explained</w:t>
      </w:r>
      <w:r w:rsidRPr="00D546BA">
        <w:rPr>
          <w:rStyle w:val="FootnoteReference"/>
          <w:rFonts w:ascii="Times New Roman" w:hAnsi="Times New Roman"/>
          <w:sz w:val="24"/>
        </w:rPr>
        <w:footnoteReference w:id="303"/>
      </w:r>
      <w:r w:rsidRPr="00D546BA">
        <w:rPr>
          <w:rFonts w:ascii="Times New Roman" w:hAnsi="Times New Roman"/>
        </w:rPr>
        <w:t xml:space="preserve">, the strict separation of powers effected at the level of the Commonwealth by the </w:t>
      </w:r>
      <w:r w:rsidRPr="00D546BA">
        <w:rPr>
          <w:rFonts w:ascii="Times New Roman" w:hAnsi="Times New Roman"/>
          <w:i/>
        </w:rPr>
        <w:t>Constitution</w:t>
      </w:r>
      <w:r w:rsidRPr="00D546BA">
        <w:rPr>
          <w:rFonts w:ascii="Times New Roman" w:hAnsi="Times New Roman"/>
        </w:rPr>
        <w:t xml:space="preserve"> does not apply at the level of the States.</w:t>
      </w:r>
    </w:p>
    <w:p w14:paraId="702C6D8B"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Further, in </w:t>
      </w:r>
      <w:proofErr w:type="spellStart"/>
      <w:r w:rsidRPr="00D546BA">
        <w:rPr>
          <w:rFonts w:ascii="Times New Roman" w:hAnsi="Times New Roman"/>
          <w:i/>
        </w:rPr>
        <w:t>Fardon</w:t>
      </w:r>
      <w:proofErr w:type="spellEnd"/>
      <w:r w:rsidRPr="00D546BA">
        <w:rPr>
          <w:rFonts w:ascii="Times New Roman" w:hAnsi="Times New Roman"/>
          <w:i/>
        </w:rPr>
        <w:t xml:space="preserve"> </w:t>
      </w:r>
      <w:r w:rsidRPr="00D546BA">
        <w:rPr>
          <w:rFonts w:ascii="Times New Roman" w:hAnsi="Times New Roman"/>
        </w:rPr>
        <w:t>the "nature of the process for which the Act provide[d] assume[d] particular importance"</w:t>
      </w:r>
      <w:r w:rsidRPr="00D546BA">
        <w:rPr>
          <w:rStyle w:val="FootnoteReference"/>
          <w:rFonts w:ascii="Times New Roman" w:hAnsi="Times New Roman"/>
          <w:sz w:val="24"/>
        </w:rPr>
        <w:footnoteReference w:id="304"/>
      </w:r>
      <w:r w:rsidRPr="00D546BA">
        <w:rPr>
          <w:rFonts w:ascii="Times New Roman" w:hAnsi="Times New Roman"/>
        </w:rPr>
        <w:t>. The majority held that the exercise of the power by the State Supreme Court – pursuant to what might be described as a "carefully calculated legislative response"</w:t>
      </w:r>
      <w:r w:rsidRPr="00D546BA">
        <w:rPr>
          <w:rStyle w:val="FootnoteReference"/>
          <w:rFonts w:ascii="Times New Roman" w:hAnsi="Times New Roman"/>
          <w:sz w:val="24"/>
        </w:rPr>
        <w:footnoteReference w:id="305"/>
      </w:r>
      <w:r w:rsidRPr="00D546BA">
        <w:rPr>
          <w:rFonts w:ascii="Times New Roman" w:hAnsi="Times New Roman"/>
        </w:rPr>
        <w:t xml:space="preserve"> – did not impair the institutional integrity of the State Supreme Court in such a fashion as to be incompatible with the Court's constitutional position as a potential receptacle of federal judicial power</w:t>
      </w:r>
      <w:r w:rsidRPr="00D546BA">
        <w:rPr>
          <w:rStyle w:val="FootnoteReference"/>
          <w:rFonts w:ascii="Times New Roman" w:hAnsi="Times New Roman"/>
          <w:sz w:val="24"/>
        </w:rPr>
        <w:footnoteReference w:id="306"/>
      </w:r>
      <w:r w:rsidRPr="00D546BA">
        <w:rPr>
          <w:rFonts w:ascii="Times New Roman" w:hAnsi="Times New Roman"/>
        </w:rPr>
        <w:t xml:space="preserve">. </w:t>
      </w:r>
    </w:p>
    <w:p w14:paraId="737368FA"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Two additional points should be made about </w:t>
      </w:r>
      <w:proofErr w:type="spellStart"/>
      <w:r w:rsidRPr="00D546BA">
        <w:rPr>
          <w:rFonts w:ascii="Times New Roman" w:hAnsi="Times New Roman"/>
          <w:i/>
        </w:rPr>
        <w:t>Fardon</w:t>
      </w:r>
      <w:proofErr w:type="spellEnd"/>
      <w:r w:rsidRPr="00D546BA">
        <w:rPr>
          <w:rFonts w:ascii="Times New Roman" w:hAnsi="Times New Roman"/>
        </w:rPr>
        <w:t xml:space="preserve"> and its relevance to this case. Division 105A of the </w:t>
      </w:r>
      <w:r w:rsidRPr="00D546BA">
        <w:rPr>
          <w:rFonts w:ascii="Times New Roman" w:hAnsi="Times New Roman"/>
          <w:i/>
        </w:rPr>
        <w:t>Criminal Code</w:t>
      </w:r>
      <w:r w:rsidRPr="00D546BA">
        <w:rPr>
          <w:rFonts w:ascii="Times New Roman" w:hAnsi="Times New Roman"/>
        </w:rPr>
        <w:t xml:space="preserve"> is drafted in terms very like those used in the law considered in </w:t>
      </w:r>
      <w:proofErr w:type="spellStart"/>
      <w:r w:rsidRPr="00D546BA">
        <w:rPr>
          <w:rFonts w:ascii="Times New Roman" w:hAnsi="Times New Roman"/>
          <w:i/>
        </w:rPr>
        <w:t>Fardon</w:t>
      </w:r>
      <w:proofErr w:type="spellEnd"/>
      <w:r w:rsidRPr="00D546BA">
        <w:rPr>
          <w:rStyle w:val="FootnoteReference"/>
          <w:rFonts w:ascii="Times New Roman" w:hAnsi="Times New Roman"/>
          <w:sz w:val="24"/>
        </w:rPr>
        <w:footnoteReference w:id="307"/>
      </w:r>
      <w:r w:rsidRPr="00D546BA">
        <w:rPr>
          <w:rFonts w:ascii="Times New Roman" w:hAnsi="Times New Roman"/>
        </w:rPr>
        <w:t xml:space="preserve">. These textual similarities must not distract attention from important differences in the legal and practical operation of the two laws. Both the law considered in </w:t>
      </w:r>
      <w:proofErr w:type="spellStart"/>
      <w:r w:rsidRPr="00D546BA">
        <w:rPr>
          <w:rFonts w:ascii="Times New Roman" w:hAnsi="Times New Roman"/>
          <w:i/>
        </w:rPr>
        <w:t>Fardon</w:t>
      </w:r>
      <w:proofErr w:type="spellEnd"/>
      <w:r w:rsidRPr="00D546BA">
        <w:rPr>
          <w:rFonts w:ascii="Times New Roman" w:hAnsi="Times New Roman"/>
        </w:rPr>
        <w:t xml:space="preserve"> and </w:t>
      </w:r>
      <w:proofErr w:type="spellStart"/>
      <w:r w:rsidRPr="00D546BA">
        <w:rPr>
          <w:rFonts w:ascii="Times New Roman" w:hAnsi="Times New Roman"/>
        </w:rPr>
        <w:t>Div</w:t>
      </w:r>
      <w:proofErr w:type="spellEnd"/>
      <w:r w:rsidRPr="00D546BA">
        <w:rPr>
          <w:rFonts w:ascii="Times New Roman" w:hAnsi="Times New Roman"/>
        </w:rPr>
        <w:t xml:space="preserve"> 105A are expressed as directed </w:t>
      </w:r>
      <w:r w:rsidRPr="00D546BA">
        <w:rPr>
          <w:rFonts w:ascii="Times New Roman" w:hAnsi="Times New Roman"/>
        </w:rPr>
        <w:lastRenderedPageBreak/>
        <w:t>at preventing the commission of certain kinds of offences – a "serious sexual offence" and a "serious Part 5.3 offence", respectively. But because the kinds and range of conduct which may constitute the identified offences is so different, the</w:t>
      </w:r>
      <w:r>
        <w:rPr>
          <w:rFonts w:ascii="Times New Roman" w:hAnsi="Times New Roman"/>
        </w:rPr>
        <w:t> </w:t>
      </w:r>
      <w:r w:rsidRPr="00D546BA">
        <w:rPr>
          <w:rFonts w:ascii="Times New Roman" w:hAnsi="Times New Roman"/>
        </w:rPr>
        <w:t>legal and practical operation of the two laws is very different. In </w:t>
      </w:r>
      <w:proofErr w:type="spellStart"/>
      <w:r w:rsidRPr="00D546BA">
        <w:rPr>
          <w:rFonts w:ascii="Times New Roman" w:hAnsi="Times New Roman"/>
          <w:i/>
        </w:rPr>
        <w:t>Fardon</w:t>
      </w:r>
      <w:proofErr w:type="spellEnd"/>
      <w:r w:rsidRPr="00D546BA">
        <w:rPr>
          <w:rFonts w:ascii="Times New Roman" w:hAnsi="Times New Roman"/>
        </w:rPr>
        <w:t xml:space="preserve">, the law was expressed as directed to preventing an offence of a sexual nature involving violence or against children. They are crimes of violence to the personal integrity of the victim – adult or child. As will be seen next, the legal and practical operation of Div 105A differs markedly. </w:t>
      </w:r>
    </w:p>
    <w:p w14:paraId="2D8F25D9"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second point to make is fundamental. The decision in </w:t>
      </w:r>
      <w:proofErr w:type="spellStart"/>
      <w:r w:rsidRPr="00D546BA">
        <w:rPr>
          <w:rFonts w:ascii="Times New Roman" w:hAnsi="Times New Roman"/>
          <w:i/>
        </w:rPr>
        <w:t>Fardon</w:t>
      </w:r>
      <w:proofErr w:type="spellEnd"/>
      <w:r w:rsidRPr="00D546BA">
        <w:rPr>
          <w:rFonts w:ascii="Times New Roman" w:hAnsi="Times New Roman"/>
        </w:rPr>
        <w:t xml:space="preserve"> depended upon the principle first identified in </w:t>
      </w:r>
      <w:r w:rsidRPr="00D546BA">
        <w:rPr>
          <w:rFonts w:ascii="Times New Roman" w:hAnsi="Times New Roman"/>
          <w:i/>
        </w:rPr>
        <w:t>Kable [No 1]</w:t>
      </w:r>
      <w:r w:rsidRPr="00D546BA">
        <w:rPr>
          <w:rStyle w:val="FootnoteReference"/>
          <w:rFonts w:ascii="Times New Roman" w:hAnsi="Times New Roman"/>
          <w:sz w:val="24"/>
        </w:rPr>
        <w:footnoteReference w:id="308"/>
      </w:r>
      <w:r w:rsidRPr="00D546BA">
        <w:rPr>
          <w:rFonts w:ascii="Times New Roman" w:hAnsi="Times New Roman"/>
        </w:rPr>
        <w:t>. That principle asks whether a task assigned to a State Supreme Court impairs the institutional integrity of that State Supreme Court in such a fashion as to be incompatible with the Court's constitutional position as a potential receptacle of federal judicial power</w:t>
      </w:r>
      <w:r w:rsidRPr="00D546BA">
        <w:rPr>
          <w:rStyle w:val="FootnoteReference"/>
          <w:rFonts w:ascii="Times New Roman" w:hAnsi="Times New Roman"/>
          <w:sz w:val="24"/>
        </w:rPr>
        <w:footnoteReference w:id="309"/>
      </w:r>
      <w:r w:rsidRPr="00D546BA">
        <w:rPr>
          <w:rFonts w:ascii="Times New Roman" w:hAnsi="Times New Roman"/>
        </w:rPr>
        <w:t>. That</w:t>
      </w:r>
      <w:r>
        <w:rPr>
          <w:rFonts w:ascii="Times New Roman" w:hAnsi="Times New Roman"/>
        </w:rPr>
        <w:t> </w:t>
      </w:r>
      <w:r w:rsidRPr="00D546BA">
        <w:rPr>
          <w:rFonts w:ascii="Times New Roman" w:hAnsi="Times New Roman"/>
        </w:rPr>
        <w:t xml:space="preserve">principle will not be engaged if the task assigned to the State court is one that could be given to the High Court or a federal court created by the Parliament under s 71 of the </w:t>
      </w:r>
      <w:r w:rsidRPr="00D546BA">
        <w:rPr>
          <w:rFonts w:ascii="Times New Roman" w:hAnsi="Times New Roman"/>
          <w:i/>
        </w:rPr>
        <w:t>Constitution</w:t>
      </w:r>
      <w:r w:rsidRPr="00D546BA">
        <w:rPr>
          <w:rStyle w:val="FootnoteReference"/>
          <w:rFonts w:ascii="Times New Roman" w:hAnsi="Times New Roman"/>
          <w:sz w:val="24"/>
        </w:rPr>
        <w:footnoteReference w:id="310"/>
      </w:r>
      <w:r w:rsidRPr="00D546BA">
        <w:rPr>
          <w:rFonts w:ascii="Times New Roman" w:hAnsi="Times New Roman"/>
        </w:rPr>
        <w:t xml:space="preserve">. </w:t>
      </w:r>
    </w:p>
    <w:p w14:paraId="67ABC661"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But it is to invert the established doctrine of this Court to contend that a task which would not impair the integrity of a State court can for that reason be given to the High Court or a federal court created by the Parliament. It inverts doctrine because it does not recognise that the principle first identified in </w:t>
      </w:r>
      <w:r w:rsidRPr="00D546BA">
        <w:rPr>
          <w:rFonts w:ascii="Times New Roman" w:hAnsi="Times New Roman"/>
          <w:i/>
        </w:rPr>
        <w:t>Kable [No 1]</w:t>
      </w:r>
      <w:r w:rsidRPr="00D546BA">
        <w:rPr>
          <w:rFonts w:ascii="Times New Roman" w:hAnsi="Times New Roman"/>
        </w:rPr>
        <w:t>,</w:t>
      </w:r>
      <w:r w:rsidRPr="00D546BA">
        <w:rPr>
          <w:rFonts w:ascii="Times New Roman" w:hAnsi="Times New Roman"/>
          <w:i/>
        </w:rPr>
        <w:t xml:space="preserve"> </w:t>
      </w:r>
      <w:r w:rsidRPr="00D546BA">
        <w:rPr>
          <w:rFonts w:ascii="Times New Roman" w:hAnsi="Times New Roman"/>
        </w:rPr>
        <w:t>and</w:t>
      </w:r>
      <w:r>
        <w:rPr>
          <w:rFonts w:ascii="Times New Roman" w:hAnsi="Times New Roman"/>
        </w:rPr>
        <w:t> </w:t>
      </w:r>
      <w:r w:rsidRPr="00D546BA">
        <w:rPr>
          <w:rFonts w:ascii="Times New Roman" w:hAnsi="Times New Roman"/>
        </w:rPr>
        <w:t xml:space="preserve">subsequently developed and applied, takes as its basic premise that the State courts can be given tasks that the High Court (and federal courts created by the Parliament) cannot. </w:t>
      </w:r>
    </w:p>
    <w:p w14:paraId="43E65B31"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As </w:t>
      </w:r>
      <w:r w:rsidRPr="00D546BA">
        <w:rPr>
          <w:rFonts w:ascii="Times New Roman" w:hAnsi="Times New Roman"/>
          <w:i/>
        </w:rPr>
        <w:t xml:space="preserve">R v Kirby; Ex </w:t>
      </w:r>
      <w:proofErr w:type="spellStart"/>
      <w:r w:rsidRPr="00D546BA">
        <w:rPr>
          <w:rFonts w:ascii="Times New Roman" w:hAnsi="Times New Roman"/>
          <w:i/>
        </w:rPr>
        <w:t>parte</w:t>
      </w:r>
      <w:proofErr w:type="spellEnd"/>
      <w:r w:rsidRPr="00D546BA">
        <w:rPr>
          <w:rFonts w:ascii="Times New Roman" w:hAnsi="Times New Roman"/>
          <w:i/>
        </w:rPr>
        <w:t xml:space="preserve"> Boilermakers' Society of Australia </w:t>
      </w:r>
      <w:r w:rsidRPr="00D546BA">
        <w:rPr>
          <w:rFonts w:ascii="Times New Roman" w:hAnsi="Times New Roman"/>
        </w:rPr>
        <w:t>shows</w:t>
      </w:r>
      <w:r w:rsidRPr="00D546BA">
        <w:rPr>
          <w:rStyle w:val="FootnoteReference"/>
          <w:rFonts w:ascii="Times New Roman" w:hAnsi="Times New Roman"/>
          <w:sz w:val="24"/>
        </w:rPr>
        <w:footnoteReference w:id="311"/>
      </w:r>
      <w:r w:rsidRPr="00D546BA">
        <w:rPr>
          <w:rFonts w:ascii="Times New Roman" w:hAnsi="Times New Roman"/>
        </w:rPr>
        <w:t xml:space="preserve">, the federal judicature has and must retain a particular place in the constitutional framework. It is the federal judicature that has "the ultimate responsibility for the </w:t>
      </w:r>
      <w:r w:rsidRPr="00D546BA">
        <w:rPr>
          <w:rFonts w:ascii="Times New Roman" w:hAnsi="Times New Roman"/>
        </w:rPr>
        <w:lastRenderedPageBreak/>
        <w:t>maintenance and enforcement of the boundaries within which governmental power might be exercised"</w:t>
      </w:r>
      <w:r w:rsidRPr="00D546BA">
        <w:rPr>
          <w:rStyle w:val="FootnoteReference"/>
          <w:rFonts w:ascii="Times New Roman" w:hAnsi="Times New Roman"/>
          <w:sz w:val="24"/>
        </w:rPr>
        <w:footnoteReference w:id="312"/>
      </w:r>
      <w:r w:rsidRPr="00D546BA">
        <w:rPr>
          <w:rFonts w:ascii="Times New Roman" w:hAnsi="Times New Roman"/>
        </w:rPr>
        <w:t>. Neither the Commonwealth Parliament nor the executive could order the continued detention of any offender after the conclusion of their sentence. Like the adjudgment and punishment of criminal guilt, it is a task that may be reposed only in the judiciary. If a task of that kind is to be given to the federal judicature, the fact that the power to perform that task raises no question as to the existence of any antecedent right or obligation, yet imposes a restriction on liberty, has the consequence that in order for the power to be characterised as judicial, it would have to be legislatively tailored to the achievement of a sufficiently specified protective outcome</w:t>
      </w:r>
      <w:r w:rsidRPr="00D546BA">
        <w:rPr>
          <w:rStyle w:val="FootnoteReference"/>
          <w:rFonts w:ascii="Times New Roman" w:hAnsi="Times New Roman"/>
          <w:sz w:val="24"/>
        </w:rPr>
        <w:footnoteReference w:id="313"/>
      </w:r>
      <w:r w:rsidRPr="00D546BA">
        <w:rPr>
          <w:rFonts w:ascii="Times New Roman" w:hAnsi="Times New Roman"/>
        </w:rPr>
        <w:t>. Separation of judicial and legislative power recognises and reflects the absolute necessity for the federal judicature to be independent of the legislative branch of government. Observing that legislation which is said to infringe the separation of powers was enacted by the legislature to further what is seen as desirable public ends does not answer whether the task given by the legislature to the judiciary is within the judicial power of the Commonwealth. Further, observing that legislation required the judicial branch to inflict individual injustice for what the legislature has determined to be for the greater good of society does not demonstrate that the legislation is valid. Rather, it</w:t>
      </w:r>
      <w:r>
        <w:rPr>
          <w:rFonts w:ascii="Times New Roman" w:hAnsi="Times New Roman"/>
        </w:rPr>
        <w:t> </w:t>
      </w:r>
      <w:r w:rsidRPr="00D546BA">
        <w:rPr>
          <w:rFonts w:ascii="Times New Roman" w:hAnsi="Times New Roman"/>
        </w:rPr>
        <w:t>invites closer attention to whether the judiciary is being used to further a legislative or executive objective or issue of policing and detecting future crime by dressing the objective or issue in the garb of a judicial determination</w:t>
      </w:r>
      <w:r w:rsidRPr="00D546BA">
        <w:rPr>
          <w:rStyle w:val="FootnoteReference"/>
          <w:rFonts w:ascii="Times New Roman" w:hAnsi="Times New Roman"/>
          <w:sz w:val="24"/>
        </w:rPr>
        <w:footnoteReference w:id="314"/>
      </w:r>
      <w:r w:rsidRPr="00D546BA">
        <w:rPr>
          <w:rFonts w:ascii="Times New Roman" w:hAnsi="Times New Roman"/>
        </w:rPr>
        <w:t>.</w:t>
      </w:r>
    </w:p>
    <w:p w14:paraId="77454C7A" w14:textId="77777777" w:rsidR="00CE4181" w:rsidRPr="00D546BA" w:rsidRDefault="00CE4181" w:rsidP="00D546BA">
      <w:pPr>
        <w:pStyle w:val="HeadingL1"/>
        <w:spacing w:after="260" w:line="280" w:lineRule="exact"/>
        <w:ind w:right="0"/>
        <w:jc w:val="both"/>
        <w:rPr>
          <w:rFonts w:ascii="Times New Roman" w:hAnsi="Times New Roman"/>
        </w:rPr>
      </w:pPr>
      <w:r w:rsidRPr="00D546BA">
        <w:rPr>
          <w:rFonts w:ascii="Times New Roman" w:hAnsi="Times New Roman"/>
        </w:rPr>
        <w:t>Legal and practical operation of Div 105A</w:t>
      </w:r>
    </w:p>
    <w:p w14:paraId="3893D0D1"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First, although</w:t>
      </w:r>
      <w:r w:rsidRPr="00D546BA" w:rsidDel="00EC4957">
        <w:rPr>
          <w:rFonts w:ascii="Times New Roman" w:hAnsi="Times New Roman"/>
        </w:rPr>
        <w:t xml:space="preserve"> Div 105A</w:t>
      </w:r>
      <w:r w:rsidRPr="00D546BA">
        <w:rPr>
          <w:rFonts w:ascii="Times New Roman" w:hAnsi="Times New Roman"/>
        </w:rPr>
        <w:t xml:space="preserve"> is contained in the </w:t>
      </w:r>
      <w:r w:rsidRPr="00D546BA">
        <w:rPr>
          <w:rFonts w:ascii="Times New Roman" w:hAnsi="Times New Roman"/>
          <w:i/>
        </w:rPr>
        <w:t>Criminal Code</w:t>
      </w:r>
      <w:r w:rsidRPr="00D546BA">
        <w:rPr>
          <w:rFonts w:ascii="Times New Roman" w:hAnsi="Times New Roman"/>
        </w:rPr>
        <w:t>, it sets up a civil scheme for the continuing detention in prison of a terrorist offender at the conclusion of their sentence for a serious Part 5.3 offence and it operates by reference to the civil standard of proof</w:t>
      </w:r>
      <w:r w:rsidRPr="00D546BA">
        <w:rPr>
          <w:rStyle w:val="FootnoteReference"/>
          <w:rFonts w:ascii="Times New Roman" w:hAnsi="Times New Roman"/>
          <w:sz w:val="24"/>
        </w:rPr>
        <w:footnoteReference w:id="315"/>
      </w:r>
      <w:r w:rsidRPr="00D546BA">
        <w:rPr>
          <w:rFonts w:ascii="Times New Roman" w:hAnsi="Times New Roman"/>
        </w:rPr>
        <w:t xml:space="preserve">, not the criminal standard. </w:t>
      </w:r>
    </w:p>
    <w:p w14:paraId="19BEBC5E"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Second, the power conferred on the Supreme Court settles no question as to the existence of any antecedent right or obligation or threatened breach of an antecedent obligation. Yet, it results in an order imposing a new and enduring </w:t>
      </w:r>
      <w:r w:rsidRPr="00D546BA">
        <w:rPr>
          <w:rFonts w:ascii="Times New Roman" w:hAnsi="Times New Roman"/>
        </w:rPr>
        <w:lastRenderedPageBreak/>
        <w:t>restriction on liberty</w:t>
      </w:r>
      <w:r w:rsidRPr="00D546BA">
        <w:rPr>
          <w:rStyle w:val="FootnoteReference"/>
          <w:rFonts w:ascii="Times New Roman" w:hAnsi="Times New Roman"/>
          <w:sz w:val="24"/>
        </w:rPr>
        <w:footnoteReference w:id="316"/>
      </w:r>
      <w:r w:rsidRPr="00D546BA">
        <w:rPr>
          <w:rFonts w:ascii="Times New Roman" w:hAnsi="Times New Roman"/>
        </w:rPr>
        <w:t>. It operates by reference to the terrorist offender's status as a convicted offender</w:t>
      </w:r>
      <w:r w:rsidRPr="00D546BA">
        <w:rPr>
          <w:rStyle w:val="FootnoteReference"/>
          <w:rFonts w:ascii="Times New Roman" w:hAnsi="Times New Roman"/>
          <w:sz w:val="24"/>
        </w:rPr>
        <w:footnoteReference w:id="317"/>
      </w:r>
      <w:r w:rsidRPr="00D546BA">
        <w:rPr>
          <w:rFonts w:ascii="Times New Roman" w:hAnsi="Times New Roman"/>
        </w:rPr>
        <w:t>. And, in relation to the respondent, it operates retrospectively</w:t>
      </w:r>
      <w:r w:rsidRPr="00D546BA">
        <w:rPr>
          <w:rStyle w:val="FootnoteReference"/>
          <w:rFonts w:ascii="Times New Roman" w:hAnsi="Times New Roman"/>
          <w:sz w:val="24"/>
        </w:rPr>
        <w:footnoteReference w:id="318"/>
      </w:r>
      <w:r w:rsidRPr="00D546BA">
        <w:rPr>
          <w:rFonts w:ascii="Times New Roman" w:hAnsi="Times New Roman"/>
        </w:rPr>
        <w:t xml:space="preserve">. Those considerations are not determinative of validity. </w:t>
      </w:r>
    </w:p>
    <w:p w14:paraId="454D1ED7"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It is what follows that is determinative – the CDO regime in Div 105A is not sufficiently tailored to its stated purpose of ensuring the safety and protection of the community</w:t>
      </w:r>
      <w:r w:rsidRPr="00D546BA">
        <w:rPr>
          <w:rStyle w:val="FootnoteReference"/>
          <w:rFonts w:ascii="Times New Roman" w:hAnsi="Times New Roman"/>
          <w:sz w:val="24"/>
        </w:rPr>
        <w:footnoteReference w:id="319"/>
      </w:r>
      <w:r w:rsidRPr="00D546BA">
        <w:rPr>
          <w:rFonts w:ascii="Times New Roman" w:hAnsi="Times New Roman"/>
        </w:rPr>
        <w:t xml:space="preserve">. Unlike </w:t>
      </w:r>
      <w:proofErr w:type="spellStart"/>
      <w:r w:rsidRPr="00D546BA">
        <w:rPr>
          <w:rFonts w:ascii="Times New Roman" w:hAnsi="Times New Roman"/>
        </w:rPr>
        <w:t>Divs</w:t>
      </w:r>
      <w:proofErr w:type="spellEnd"/>
      <w:r w:rsidRPr="00D546BA">
        <w:rPr>
          <w:rFonts w:ascii="Times New Roman" w:hAnsi="Times New Roman"/>
        </w:rPr>
        <w:t> 104 and 105</w:t>
      </w:r>
      <w:r w:rsidRPr="00D546BA">
        <w:rPr>
          <w:rStyle w:val="FootnoteReference"/>
          <w:rFonts w:ascii="Times New Roman" w:hAnsi="Times New Roman"/>
          <w:sz w:val="24"/>
        </w:rPr>
        <w:footnoteReference w:id="320"/>
      </w:r>
      <w:r w:rsidRPr="00D546BA">
        <w:rPr>
          <w:rFonts w:ascii="Times New Roman" w:hAnsi="Times New Roman"/>
        </w:rPr>
        <w:t>, the relevant criteria in Div 105A are not limited to a "terrorist act" or providing support for or facilitating a terrorist act. Division 105A permits a Court to order the continuing detention of a terrorist offender who poses an unacceptable risk of committing a "serious Part 5.3 offence", an offence against Pt 5.3 where the maximum penalty is seven or more years of imprisonment</w:t>
      </w:r>
      <w:r w:rsidRPr="00D546BA">
        <w:rPr>
          <w:rStyle w:val="FootnoteReference"/>
          <w:rFonts w:ascii="Times New Roman" w:hAnsi="Times New Roman"/>
          <w:sz w:val="24"/>
        </w:rPr>
        <w:footnoteReference w:id="321"/>
      </w:r>
      <w:r w:rsidRPr="00D546BA">
        <w:rPr>
          <w:rFonts w:ascii="Times New Roman" w:hAnsi="Times New Roman"/>
        </w:rPr>
        <w:t>. A serious Part 5.3 offence includes engaging in a terrorist act (s 101.1) but it also includes each of the following offences:</w:t>
      </w:r>
    </w:p>
    <w:p w14:paraId="3AA4FCE4" w14:textId="77777777" w:rsidR="00CE4181" w:rsidRPr="00D546BA" w:rsidRDefault="00CE4181" w:rsidP="00D546BA">
      <w:pPr>
        <w:pStyle w:val="ListParagraph"/>
        <w:spacing w:after="260" w:line="280" w:lineRule="exact"/>
        <w:ind w:left="1440" w:right="0" w:hanging="720"/>
        <w:jc w:val="both"/>
        <w:rPr>
          <w:rFonts w:ascii="Times New Roman" w:hAnsi="Times New Roman"/>
        </w:rPr>
      </w:pPr>
      <w:r w:rsidRPr="00D546BA">
        <w:rPr>
          <w:rFonts w:ascii="Times New Roman" w:hAnsi="Times New Roman"/>
        </w:rPr>
        <w:noBreakHyphen/>
      </w:r>
      <w:r w:rsidRPr="00D546BA">
        <w:rPr>
          <w:rFonts w:ascii="Times New Roman" w:hAnsi="Times New Roman"/>
        </w:rPr>
        <w:tab/>
        <w:t>providing or receiving training connected with terrorist acts (s 101.2);</w:t>
      </w:r>
    </w:p>
    <w:p w14:paraId="6686880C" w14:textId="77777777" w:rsidR="00CE4181" w:rsidRPr="00D546BA" w:rsidRDefault="00CE4181" w:rsidP="00D546BA">
      <w:pPr>
        <w:pStyle w:val="ListParagraph"/>
        <w:spacing w:after="260" w:line="280" w:lineRule="exact"/>
        <w:ind w:left="1440" w:right="0" w:hanging="720"/>
        <w:jc w:val="both"/>
        <w:rPr>
          <w:rFonts w:ascii="Times New Roman" w:hAnsi="Times New Roman"/>
        </w:rPr>
      </w:pPr>
      <w:r w:rsidRPr="00D546BA">
        <w:rPr>
          <w:rFonts w:ascii="Times New Roman" w:hAnsi="Times New Roman"/>
        </w:rPr>
        <w:t>-</w:t>
      </w:r>
      <w:r w:rsidRPr="00D546BA">
        <w:rPr>
          <w:rFonts w:ascii="Times New Roman" w:hAnsi="Times New Roman"/>
        </w:rPr>
        <w:tab/>
        <w:t>possessing things connected with terrorist acts (s 101.4);</w:t>
      </w:r>
    </w:p>
    <w:p w14:paraId="521E30AA" w14:textId="77777777" w:rsidR="00CE4181" w:rsidRPr="00D546BA" w:rsidRDefault="00CE4181" w:rsidP="00D546BA">
      <w:pPr>
        <w:pStyle w:val="ListParagraph"/>
        <w:spacing w:after="260" w:line="280" w:lineRule="exact"/>
        <w:ind w:left="1440" w:right="0" w:hanging="720"/>
        <w:jc w:val="both"/>
        <w:rPr>
          <w:rFonts w:ascii="Times New Roman" w:hAnsi="Times New Roman"/>
        </w:rPr>
      </w:pPr>
      <w:r w:rsidRPr="00D546BA">
        <w:rPr>
          <w:rFonts w:ascii="Times New Roman" w:hAnsi="Times New Roman"/>
        </w:rPr>
        <w:t>-</w:t>
      </w:r>
      <w:r w:rsidRPr="00D546BA">
        <w:rPr>
          <w:rFonts w:ascii="Times New Roman" w:hAnsi="Times New Roman"/>
        </w:rPr>
        <w:tab/>
        <w:t>collecting or making documents likely to facilitate terrorist acts (s 101.5);</w:t>
      </w:r>
    </w:p>
    <w:p w14:paraId="6B3DD0B5" w14:textId="77777777" w:rsidR="00CE4181" w:rsidRPr="00D546BA" w:rsidRDefault="00CE4181" w:rsidP="00D546BA">
      <w:pPr>
        <w:pStyle w:val="ListParagraph"/>
        <w:spacing w:after="260" w:line="280" w:lineRule="exact"/>
        <w:ind w:left="1440" w:right="0" w:hanging="720"/>
        <w:jc w:val="both"/>
        <w:rPr>
          <w:rFonts w:ascii="Times New Roman" w:hAnsi="Times New Roman"/>
        </w:rPr>
      </w:pPr>
      <w:r w:rsidRPr="00D546BA">
        <w:rPr>
          <w:rFonts w:ascii="Times New Roman" w:hAnsi="Times New Roman"/>
        </w:rPr>
        <w:t>-</w:t>
      </w:r>
      <w:r w:rsidRPr="00D546BA">
        <w:rPr>
          <w:rFonts w:ascii="Times New Roman" w:hAnsi="Times New Roman"/>
        </w:rPr>
        <w:tab/>
        <w:t>any acts done in preparation for, or planning, a terrorist act (s 101.6);</w:t>
      </w:r>
    </w:p>
    <w:p w14:paraId="3D7C9F9F" w14:textId="77777777" w:rsidR="00CE4181" w:rsidRPr="00D546BA" w:rsidRDefault="00CE4181" w:rsidP="00D546BA">
      <w:pPr>
        <w:pStyle w:val="ListParagraph"/>
        <w:spacing w:after="260" w:line="280" w:lineRule="exact"/>
        <w:ind w:left="1440" w:right="0" w:hanging="720"/>
        <w:jc w:val="both"/>
        <w:rPr>
          <w:rFonts w:ascii="Times New Roman" w:hAnsi="Times New Roman"/>
        </w:rPr>
      </w:pPr>
      <w:r w:rsidRPr="00D546BA">
        <w:rPr>
          <w:rFonts w:ascii="Times New Roman" w:hAnsi="Times New Roman"/>
        </w:rPr>
        <w:t>-</w:t>
      </w:r>
      <w:r w:rsidRPr="00D546BA">
        <w:rPr>
          <w:rFonts w:ascii="Times New Roman" w:hAnsi="Times New Roman"/>
        </w:rPr>
        <w:tab/>
        <w:t>directing the activities of a terrorist organisation (s 102.2);</w:t>
      </w:r>
    </w:p>
    <w:p w14:paraId="710477F1" w14:textId="77777777" w:rsidR="00CE4181" w:rsidRPr="00D546BA" w:rsidRDefault="00CE4181" w:rsidP="00D546BA">
      <w:pPr>
        <w:pStyle w:val="ListParagraph"/>
        <w:spacing w:after="260" w:line="280" w:lineRule="exact"/>
        <w:ind w:left="0" w:right="0"/>
        <w:jc w:val="both"/>
        <w:rPr>
          <w:rFonts w:ascii="Times New Roman" w:hAnsi="Times New Roman"/>
        </w:rPr>
      </w:pPr>
      <w:r w:rsidRPr="00D546BA">
        <w:rPr>
          <w:rFonts w:ascii="Times New Roman" w:hAnsi="Times New Roman"/>
        </w:rPr>
        <w:t>-</w:t>
      </w:r>
      <w:r w:rsidRPr="00D546BA">
        <w:rPr>
          <w:rFonts w:ascii="Times New Roman" w:hAnsi="Times New Roman"/>
        </w:rPr>
        <w:tab/>
        <w:t>membership of a terrorist organisation (s 102.3);</w:t>
      </w:r>
    </w:p>
    <w:p w14:paraId="537A48F1" w14:textId="77777777" w:rsidR="00CE4181" w:rsidRPr="00D546BA" w:rsidRDefault="00CE4181" w:rsidP="00D546BA">
      <w:pPr>
        <w:pStyle w:val="ListParagraph"/>
        <w:spacing w:after="260" w:line="280" w:lineRule="exact"/>
        <w:ind w:left="0" w:right="0"/>
        <w:jc w:val="both"/>
        <w:rPr>
          <w:rFonts w:ascii="Times New Roman" w:hAnsi="Times New Roman"/>
        </w:rPr>
      </w:pPr>
      <w:r w:rsidRPr="00D546BA">
        <w:rPr>
          <w:rFonts w:ascii="Times New Roman" w:hAnsi="Times New Roman"/>
        </w:rPr>
        <w:t>-</w:t>
      </w:r>
      <w:r w:rsidRPr="00D546BA">
        <w:rPr>
          <w:rFonts w:ascii="Times New Roman" w:hAnsi="Times New Roman"/>
        </w:rPr>
        <w:tab/>
        <w:t>recruiting for a terrorist organisation (s 102.4);</w:t>
      </w:r>
    </w:p>
    <w:p w14:paraId="154D3113" w14:textId="77777777" w:rsidR="00CE4181" w:rsidRPr="00D546BA" w:rsidRDefault="00CE4181" w:rsidP="00D546BA">
      <w:pPr>
        <w:pStyle w:val="ListParagraph"/>
        <w:spacing w:after="260" w:line="280" w:lineRule="exact"/>
        <w:ind w:left="0" w:right="0"/>
        <w:jc w:val="both"/>
        <w:rPr>
          <w:rFonts w:ascii="Times New Roman" w:hAnsi="Times New Roman"/>
        </w:rPr>
      </w:pPr>
      <w:r w:rsidRPr="00D546BA">
        <w:rPr>
          <w:rFonts w:ascii="Times New Roman" w:hAnsi="Times New Roman"/>
        </w:rPr>
        <w:t>-</w:t>
      </w:r>
      <w:r w:rsidRPr="00D546BA">
        <w:rPr>
          <w:rFonts w:ascii="Times New Roman" w:hAnsi="Times New Roman"/>
        </w:rPr>
        <w:tab/>
        <w:t>training involving a terrorist organisation (s 102.5);</w:t>
      </w:r>
    </w:p>
    <w:p w14:paraId="4D60727B" w14:textId="77777777" w:rsidR="00CE4181" w:rsidRPr="00D546BA" w:rsidRDefault="00CE4181" w:rsidP="00D546BA">
      <w:pPr>
        <w:pStyle w:val="ListParagraph"/>
        <w:spacing w:after="260" w:line="280" w:lineRule="exact"/>
        <w:ind w:left="1440" w:right="0" w:hanging="720"/>
        <w:jc w:val="both"/>
        <w:rPr>
          <w:rFonts w:ascii="Times New Roman" w:hAnsi="Times New Roman"/>
        </w:rPr>
      </w:pPr>
      <w:r w:rsidRPr="00D546BA">
        <w:rPr>
          <w:rFonts w:ascii="Times New Roman" w:hAnsi="Times New Roman"/>
        </w:rPr>
        <w:t>-</w:t>
      </w:r>
      <w:r w:rsidRPr="00D546BA">
        <w:rPr>
          <w:rFonts w:ascii="Times New Roman" w:hAnsi="Times New Roman"/>
        </w:rPr>
        <w:tab/>
        <w:t>getting funds to, from or for a terrorist organisation (s 102.6);</w:t>
      </w:r>
    </w:p>
    <w:p w14:paraId="0814A497" w14:textId="77777777" w:rsidR="00CE4181" w:rsidRPr="00D546BA" w:rsidRDefault="00CE4181" w:rsidP="00D546BA">
      <w:pPr>
        <w:pStyle w:val="ListParagraph"/>
        <w:spacing w:after="260" w:line="280" w:lineRule="exact"/>
        <w:ind w:left="1440" w:right="0" w:hanging="720"/>
        <w:jc w:val="both"/>
        <w:rPr>
          <w:rFonts w:ascii="Times New Roman" w:hAnsi="Times New Roman"/>
        </w:rPr>
      </w:pPr>
      <w:r w:rsidRPr="00D546BA">
        <w:rPr>
          <w:rFonts w:ascii="Times New Roman" w:hAnsi="Times New Roman"/>
        </w:rPr>
        <w:t>-</w:t>
      </w:r>
      <w:r w:rsidRPr="00D546BA">
        <w:rPr>
          <w:rFonts w:ascii="Times New Roman" w:hAnsi="Times New Roman"/>
        </w:rPr>
        <w:tab/>
        <w:t>providing support to a terrorist organisation (s 102.7);</w:t>
      </w:r>
    </w:p>
    <w:p w14:paraId="1AFAE869" w14:textId="77777777" w:rsidR="00CE4181" w:rsidRPr="00D546BA" w:rsidRDefault="00CE4181" w:rsidP="00D546BA">
      <w:pPr>
        <w:pStyle w:val="ListParagraph"/>
        <w:spacing w:after="260" w:line="280" w:lineRule="exact"/>
        <w:ind w:left="0" w:right="0"/>
        <w:jc w:val="both"/>
        <w:rPr>
          <w:rFonts w:ascii="Times New Roman" w:hAnsi="Times New Roman"/>
        </w:rPr>
      </w:pPr>
      <w:r w:rsidRPr="00D546BA">
        <w:rPr>
          <w:rFonts w:ascii="Times New Roman" w:hAnsi="Times New Roman"/>
        </w:rPr>
        <w:t>-</w:t>
      </w:r>
      <w:r w:rsidRPr="00D546BA">
        <w:rPr>
          <w:rFonts w:ascii="Times New Roman" w:hAnsi="Times New Roman"/>
        </w:rPr>
        <w:tab/>
        <w:t xml:space="preserve">financing terrorism (s 103.1); and </w:t>
      </w:r>
    </w:p>
    <w:p w14:paraId="26B2B66C" w14:textId="77777777" w:rsidR="00CE4181" w:rsidRDefault="00CE4181" w:rsidP="00D546BA">
      <w:pPr>
        <w:pStyle w:val="ListParagraph"/>
        <w:spacing w:after="260" w:line="280" w:lineRule="exact"/>
        <w:ind w:left="0" w:right="0"/>
        <w:jc w:val="both"/>
        <w:rPr>
          <w:rFonts w:ascii="Times New Roman" w:hAnsi="Times New Roman"/>
        </w:rPr>
      </w:pPr>
      <w:r w:rsidRPr="00D546BA">
        <w:rPr>
          <w:rFonts w:ascii="Times New Roman" w:hAnsi="Times New Roman"/>
        </w:rPr>
        <w:t>-</w:t>
      </w:r>
      <w:r w:rsidRPr="00D546BA">
        <w:rPr>
          <w:rFonts w:ascii="Times New Roman" w:hAnsi="Times New Roman"/>
        </w:rPr>
        <w:tab/>
        <w:t xml:space="preserve">financing a terrorist (s 103.2). </w:t>
      </w:r>
    </w:p>
    <w:p w14:paraId="310D2281"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The only Pt 5.3 offence that is not a serious Part 5.3 offence is "[a]</w:t>
      </w:r>
      <w:proofErr w:type="spellStart"/>
      <w:r w:rsidRPr="00D546BA">
        <w:rPr>
          <w:rFonts w:ascii="Times New Roman" w:hAnsi="Times New Roman"/>
        </w:rPr>
        <w:t>ssociating</w:t>
      </w:r>
      <w:proofErr w:type="spellEnd"/>
      <w:r w:rsidRPr="00D546BA">
        <w:rPr>
          <w:rFonts w:ascii="Times New Roman" w:hAnsi="Times New Roman"/>
        </w:rPr>
        <w:t xml:space="preserve"> with terrorist organisations" in s 102.8. The maximum penalty for this offence is three years' imprisonment. Section 102.8 is contravened if: a person, on two or </w:t>
      </w:r>
      <w:r w:rsidRPr="00D546BA">
        <w:rPr>
          <w:rFonts w:ascii="Times New Roman" w:hAnsi="Times New Roman"/>
        </w:rPr>
        <w:lastRenderedPageBreak/>
        <w:t xml:space="preserve">more occasions, intentionally </w:t>
      </w:r>
      <w:r w:rsidRPr="00D546BA">
        <w:rPr>
          <w:rFonts w:ascii="Times New Roman" w:hAnsi="Times New Roman"/>
          <w:i/>
        </w:rPr>
        <w:t>associates</w:t>
      </w:r>
      <w:r w:rsidRPr="00D546BA">
        <w:rPr>
          <w:rFonts w:ascii="Times New Roman" w:hAnsi="Times New Roman"/>
        </w:rPr>
        <w:t xml:space="preserve"> with another person who is a member of, or a person who promotes or directs the activities of, an organisation</w:t>
      </w:r>
      <w:r w:rsidRPr="00D546BA">
        <w:rPr>
          <w:rStyle w:val="FootnoteReference"/>
          <w:rFonts w:ascii="Times New Roman" w:hAnsi="Times New Roman"/>
          <w:sz w:val="24"/>
        </w:rPr>
        <w:footnoteReference w:id="322"/>
      </w:r>
      <w:r w:rsidRPr="00D546BA">
        <w:rPr>
          <w:rFonts w:ascii="Times New Roman" w:hAnsi="Times New Roman"/>
        </w:rPr>
        <w:t>; the person knows that the organisation is a terrorist organisation; the association provides support to the organisation; the person intends that the support assist the organisation to expand or to continue to exist; and the person knows that the other person is a member of, or a person who promotes or directs the activities of, the</w:t>
      </w:r>
      <w:r>
        <w:rPr>
          <w:rFonts w:ascii="Times New Roman" w:hAnsi="Times New Roman"/>
        </w:rPr>
        <w:t> </w:t>
      </w:r>
      <w:r w:rsidRPr="00D546BA">
        <w:rPr>
          <w:rFonts w:ascii="Times New Roman" w:hAnsi="Times New Roman"/>
        </w:rPr>
        <w:t xml:space="preserve">organisation. </w:t>
      </w:r>
    </w:p>
    <w:p w14:paraId="5FF17D76"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As is readily apparent, a serious Part 5.3 offence covers a broad range of offences with maximum terms of imprisonment ranging from imprisonment for ten years</w:t>
      </w:r>
      <w:r w:rsidRPr="00D546BA">
        <w:rPr>
          <w:rStyle w:val="FootnoteReference"/>
          <w:rFonts w:ascii="Times New Roman" w:hAnsi="Times New Roman"/>
          <w:sz w:val="24"/>
        </w:rPr>
        <w:footnoteReference w:id="323"/>
      </w:r>
      <w:r w:rsidRPr="00D546BA">
        <w:rPr>
          <w:rFonts w:ascii="Times New Roman" w:hAnsi="Times New Roman"/>
        </w:rPr>
        <w:t xml:space="preserve"> to imprisonment for life</w:t>
      </w:r>
      <w:r w:rsidRPr="00D546BA">
        <w:rPr>
          <w:rStyle w:val="FootnoteReference"/>
          <w:rFonts w:ascii="Times New Roman" w:hAnsi="Times New Roman"/>
          <w:sz w:val="24"/>
        </w:rPr>
        <w:footnoteReference w:id="324"/>
      </w:r>
      <w:r w:rsidRPr="00D546BA">
        <w:rPr>
          <w:rFonts w:ascii="Times New Roman" w:hAnsi="Times New Roman"/>
        </w:rPr>
        <w:t xml:space="preserve">. Other offences created by the </w:t>
      </w:r>
      <w:r w:rsidRPr="00D546BA">
        <w:rPr>
          <w:rFonts w:ascii="Times New Roman" w:hAnsi="Times New Roman"/>
          <w:i/>
        </w:rPr>
        <w:t>Criminal Code</w:t>
      </w:r>
      <w:r w:rsidRPr="00D546BA">
        <w:rPr>
          <w:rFonts w:ascii="Times New Roman" w:hAnsi="Times New Roman"/>
        </w:rPr>
        <w:t xml:space="preserve"> that carry a maximum term of ten years' imprisonment include the offence of theft of property from the Commonwealth</w:t>
      </w:r>
      <w:r w:rsidRPr="00D546BA">
        <w:rPr>
          <w:rStyle w:val="FootnoteReference"/>
          <w:rFonts w:ascii="Times New Roman" w:hAnsi="Times New Roman"/>
          <w:sz w:val="24"/>
        </w:rPr>
        <w:footnoteReference w:id="325"/>
      </w:r>
      <w:r w:rsidRPr="00D546BA">
        <w:rPr>
          <w:rFonts w:ascii="Times New Roman" w:hAnsi="Times New Roman"/>
        </w:rPr>
        <w:t xml:space="preserve"> and other like offences under</w:t>
      </w:r>
      <w:r>
        <w:rPr>
          <w:rFonts w:ascii="Times New Roman" w:hAnsi="Times New Roman"/>
        </w:rPr>
        <w:t> </w:t>
      </w:r>
      <w:r w:rsidRPr="00D546BA">
        <w:rPr>
          <w:rFonts w:ascii="Times New Roman" w:hAnsi="Times New Roman"/>
        </w:rPr>
        <w:t>Pt 7.2.</w:t>
      </w:r>
      <w:r w:rsidRPr="00D546BA" w:rsidDel="00CE3205">
        <w:rPr>
          <w:rFonts w:ascii="Times New Roman" w:hAnsi="Times New Roman"/>
        </w:rPr>
        <w:t xml:space="preserve"> </w:t>
      </w:r>
    </w:p>
    <w:p w14:paraId="4E670676"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Not only do serious Part 5.3 offences cover a broad range of offences, they necessarily embrace a wide range of conduct. For example, one serious Part 5.3 offence is the offence committed by a person collecting or making a document in connection with the preparation for, the engagement of a person in, or assistance in a terrorist act</w:t>
      </w:r>
      <w:r w:rsidRPr="00D546BA">
        <w:rPr>
          <w:rStyle w:val="FootnoteReference"/>
          <w:rFonts w:ascii="Times New Roman" w:hAnsi="Times New Roman"/>
          <w:sz w:val="24"/>
        </w:rPr>
        <w:footnoteReference w:id="326"/>
      </w:r>
      <w:r w:rsidRPr="00D546BA">
        <w:rPr>
          <w:rFonts w:ascii="Times New Roman" w:hAnsi="Times New Roman"/>
        </w:rPr>
        <w:t>. That offence is committed even if:</w:t>
      </w:r>
    </w:p>
    <w:p w14:paraId="616FBA9A" w14:textId="77777777" w:rsidR="00CE4181" w:rsidRPr="00D546BA" w:rsidRDefault="00CE4181" w:rsidP="00D546BA">
      <w:pPr>
        <w:pStyle w:val="NormalBody"/>
        <w:spacing w:after="260" w:line="280" w:lineRule="exact"/>
        <w:ind w:left="720" w:right="0" w:hanging="720"/>
        <w:jc w:val="both"/>
        <w:rPr>
          <w:rFonts w:ascii="Times New Roman" w:hAnsi="Times New Roman"/>
        </w:rPr>
      </w:pPr>
      <w:r w:rsidRPr="00D546BA">
        <w:rPr>
          <w:rFonts w:ascii="Times New Roman" w:hAnsi="Times New Roman"/>
        </w:rPr>
        <w:t>(1)</w:t>
      </w:r>
      <w:r w:rsidRPr="00D546BA">
        <w:rPr>
          <w:rFonts w:ascii="Times New Roman" w:hAnsi="Times New Roman"/>
        </w:rPr>
        <w:tab/>
        <w:t xml:space="preserve">the person is reckless as to the existence of the connection between the document and the terrorist act; </w:t>
      </w:r>
    </w:p>
    <w:p w14:paraId="165688B4" w14:textId="77777777" w:rsidR="00CE4181" w:rsidRPr="00D546BA" w:rsidRDefault="00CE4181" w:rsidP="00D546BA">
      <w:pPr>
        <w:pStyle w:val="NormalBody"/>
        <w:spacing w:after="260" w:line="280" w:lineRule="exact"/>
        <w:ind w:left="720" w:right="0" w:hanging="720"/>
        <w:jc w:val="both"/>
        <w:rPr>
          <w:rFonts w:ascii="Times New Roman" w:hAnsi="Times New Roman"/>
        </w:rPr>
      </w:pPr>
      <w:r w:rsidRPr="00D546BA">
        <w:rPr>
          <w:rFonts w:ascii="Times New Roman" w:hAnsi="Times New Roman"/>
        </w:rPr>
        <w:t>(2)</w:t>
      </w:r>
      <w:r w:rsidRPr="00D546BA">
        <w:rPr>
          <w:rFonts w:ascii="Times New Roman" w:hAnsi="Times New Roman"/>
        </w:rPr>
        <w:tab/>
        <w:t>a terrorist act does not occur; or</w:t>
      </w:r>
    </w:p>
    <w:p w14:paraId="10C7244E" w14:textId="77777777" w:rsidR="00CE4181" w:rsidRPr="00D546BA" w:rsidRDefault="00CE4181" w:rsidP="00D546BA">
      <w:pPr>
        <w:pStyle w:val="NormalBody"/>
        <w:spacing w:after="260" w:line="280" w:lineRule="exact"/>
        <w:ind w:left="720" w:right="0" w:hanging="720"/>
        <w:jc w:val="both"/>
        <w:rPr>
          <w:rFonts w:ascii="Times New Roman" w:hAnsi="Times New Roman"/>
        </w:rPr>
      </w:pPr>
      <w:r w:rsidRPr="00D546BA">
        <w:rPr>
          <w:rFonts w:ascii="Times New Roman" w:hAnsi="Times New Roman"/>
        </w:rPr>
        <w:t>(3)</w:t>
      </w:r>
      <w:r w:rsidRPr="00D546BA">
        <w:rPr>
          <w:rFonts w:ascii="Times New Roman" w:hAnsi="Times New Roman"/>
        </w:rPr>
        <w:tab/>
        <w:t>the document is not connected with preparation for, the engagement of a person in, or assistance in a specific terrorist act</w:t>
      </w:r>
      <w:r w:rsidRPr="00D546BA">
        <w:rPr>
          <w:rStyle w:val="FootnoteReference"/>
          <w:rFonts w:ascii="Times New Roman" w:hAnsi="Times New Roman"/>
          <w:sz w:val="24"/>
        </w:rPr>
        <w:footnoteReference w:id="327"/>
      </w:r>
      <w:r w:rsidRPr="00D546BA">
        <w:rPr>
          <w:rFonts w:ascii="Times New Roman" w:hAnsi="Times New Roman"/>
        </w:rPr>
        <w:t xml:space="preserve">. </w:t>
      </w:r>
    </w:p>
    <w:p w14:paraId="42C87FAE" w14:textId="77777777" w:rsidR="00CE4181" w:rsidRPr="00D546BA" w:rsidRDefault="00CE4181" w:rsidP="00D546BA">
      <w:pPr>
        <w:pStyle w:val="NormalBody"/>
        <w:spacing w:after="260" w:line="280" w:lineRule="exact"/>
        <w:ind w:right="0"/>
        <w:jc w:val="both"/>
        <w:rPr>
          <w:rFonts w:ascii="Times New Roman" w:hAnsi="Times New Roman"/>
        </w:rPr>
      </w:pPr>
      <w:r w:rsidRPr="00D546BA">
        <w:rPr>
          <w:rFonts w:ascii="Times New Roman" w:hAnsi="Times New Roman"/>
        </w:rPr>
        <w:t xml:space="preserve">And each of the other offences within the class of serious Part 5.3 offences will themselves be capable of embracing a range, often a very wide range, of conduct. </w:t>
      </w:r>
      <w:r w:rsidRPr="00D546BA">
        <w:rPr>
          <w:rFonts w:ascii="Times New Roman" w:hAnsi="Times New Roman"/>
        </w:rPr>
        <w:lastRenderedPageBreak/>
        <w:t xml:space="preserve">Further still, the legal and practical operation of a number of offences can be altered from time to time by the executive passing regulations under the </w:t>
      </w:r>
      <w:r w:rsidRPr="00D546BA">
        <w:rPr>
          <w:rFonts w:ascii="Times New Roman" w:hAnsi="Times New Roman"/>
          <w:i/>
        </w:rPr>
        <w:t>Criminal Code</w:t>
      </w:r>
      <w:r w:rsidRPr="00D546BA">
        <w:rPr>
          <w:rStyle w:val="FootnoteReference"/>
          <w:rFonts w:ascii="Times New Roman" w:hAnsi="Times New Roman"/>
          <w:sz w:val="24"/>
        </w:rPr>
        <w:footnoteReference w:id="328"/>
      </w:r>
      <w:r w:rsidRPr="00D546BA">
        <w:rPr>
          <w:rFonts w:ascii="Times New Roman" w:hAnsi="Times New Roman"/>
        </w:rPr>
        <w:t>. And as this Court has recently observed, the offence</w:t>
      </w:r>
      <w:r>
        <w:rPr>
          <w:rFonts w:ascii="Times New Roman" w:hAnsi="Times New Roman"/>
        </w:rPr>
        <w:noBreakHyphen/>
      </w:r>
      <w:r w:rsidRPr="00D546BA">
        <w:rPr>
          <w:rFonts w:ascii="Times New Roman" w:hAnsi="Times New Roman"/>
        </w:rPr>
        <w:t xml:space="preserve">creating provisions in Pt 5.3 of the </w:t>
      </w:r>
      <w:r w:rsidRPr="00D546BA">
        <w:rPr>
          <w:rFonts w:ascii="Times New Roman" w:hAnsi="Times New Roman"/>
          <w:i/>
        </w:rPr>
        <w:t>Criminal Code</w:t>
      </w:r>
      <w:r w:rsidRPr="00D546BA">
        <w:rPr>
          <w:rFonts w:ascii="Times New Roman" w:hAnsi="Times New Roman"/>
        </w:rPr>
        <w:t>, including those creating serious Part 5.3 offences, extend criminal liability to certain preparatory or anticipatory acts that would not usually fall within the range of conduct generally regarded as criminal</w:t>
      </w:r>
      <w:r w:rsidRPr="00D546BA">
        <w:rPr>
          <w:rStyle w:val="FootnoteReference"/>
          <w:rFonts w:ascii="Times New Roman" w:hAnsi="Times New Roman"/>
          <w:sz w:val="24"/>
        </w:rPr>
        <w:footnoteReference w:id="329"/>
      </w:r>
      <w:r w:rsidRPr="00D546BA">
        <w:rPr>
          <w:rFonts w:ascii="Times New Roman" w:hAnsi="Times New Roman"/>
        </w:rPr>
        <w:t>.</w:t>
      </w:r>
    </w:p>
    <w:p w14:paraId="20D70AA8"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The premise which underpins making any conduct a crime is that its commission works some harm to society. But the nature and extent of the harm caused will vary widely. The legislature's assessment of possible harm is often reflected in the maximum punishment that is prescribed. By that measure, some</w:t>
      </w:r>
      <w:r>
        <w:rPr>
          <w:rFonts w:ascii="Times New Roman" w:hAnsi="Times New Roman"/>
        </w:rPr>
        <w:t> </w:t>
      </w:r>
      <w:r w:rsidRPr="00D546BA">
        <w:rPr>
          <w:rFonts w:ascii="Times New Roman" w:hAnsi="Times New Roman"/>
        </w:rPr>
        <w:t>serious Part 5.3 offences are treated as equivalent to, and in some cases less serious than, stealing property from the Commonwealth</w:t>
      </w:r>
      <w:r w:rsidRPr="00D546BA">
        <w:rPr>
          <w:rStyle w:val="FootnoteReference"/>
          <w:rFonts w:ascii="Times New Roman" w:hAnsi="Times New Roman"/>
          <w:sz w:val="24"/>
        </w:rPr>
        <w:footnoteReference w:id="330"/>
      </w:r>
      <w:r w:rsidRPr="00D546BA">
        <w:rPr>
          <w:rFonts w:ascii="Times New Roman" w:hAnsi="Times New Roman"/>
        </w:rPr>
        <w:t xml:space="preserve">. </w:t>
      </w:r>
    </w:p>
    <w:p w14:paraId="74C09DB4"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The nature and extent of the harm that may be caused to persons or property by commission of a serious Part 5.3 offence will vary widely. Some offences, like</w:t>
      </w:r>
      <w:r>
        <w:rPr>
          <w:rFonts w:ascii="Times New Roman" w:hAnsi="Times New Roman"/>
        </w:rPr>
        <w:t> </w:t>
      </w:r>
      <w:r w:rsidRPr="00D546BA">
        <w:rPr>
          <w:rFonts w:ascii="Times New Roman" w:hAnsi="Times New Roman"/>
        </w:rPr>
        <w:t>the offence under s 101.1 of committing a terrorist act, may (but need not) cause widespread death, injury or destruction. By contrast, committing an offence of possessing documents may work no direct harm at all to any person or any property. Merely describing certain offences as "serious Part 5.3 offences" does not, without more detailed inquiry, identify the kind or extent of the harm to the community caused by the commission of those offences. Parliament cannot draft itself into power by using labels</w:t>
      </w:r>
      <w:r w:rsidRPr="00D546BA">
        <w:rPr>
          <w:rStyle w:val="FootnoteReference"/>
          <w:rFonts w:ascii="Times New Roman" w:hAnsi="Times New Roman"/>
          <w:sz w:val="24"/>
        </w:rPr>
        <w:footnoteReference w:id="331"/>
      </w:r>
      <w:r w:rsidRPr="00D546BA">
        <w:rPr>
          <w:rFonts w:ascii="Times New Roman" w:hAnsi="Times New Roman"/>
        </w:rPr>
        <w:t xml:space="preserve">. </w:t>
      </w:r>
    </w:p>
    <w:p w14:paraId="1C6EF7F5"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Because the range of serious Part 5.3 offences is so broad, the offences and the conduct underlying these offences </w:t>
      </w:r>
      <w:r>
        <w:rPr>
          <w:rFonts w:ascii="Times New Roman" w:hAnsi="Times New Roman"/>
        </w:rPr>
        <w:t>are</w:t>
      </w:r>
      <w:r w:rsidRPr="00D546BA">
        <w:rPr>
          <w:rFonts w:ascii="Times New Roman" w:hAnsi="Times New Roman"/>
        </w:rPr>
        <w:t xml:space="preserve"> not restricted to offences or conduct having an immediate harm to persons or property. If the premise for casting the net so widely is that commission of any of these offences carries with it a high degree of probability of serious harm to persons or property, then, as with </w:t>
      </w:r>
      <w:proofErr w:type="spellStart"/>
      <w:r w:rsidRPr="00D546BA">
        <w:rPr>
          <w:rFonts w:ascii="Times New Roman" w:hAnsi="Times New Roman"/>
        </w:rPr>
        <w:t>Divs</w:t>
      </w:r>
      <w:proofErr w:type="spellEnd"/>
      <w:r w:rsidRPr="00D546BA">
        <w:rPr>
          <w:rFonts w:ascii="Times New Roman" w:hAnsi="Times New Roman"/>
        </w:rPr>
        <w:t xml:space="preserve"> 104 and 105, that is the inquiry the Supreme Court should have been directed to </w:t>
      </w:r>
      <w:r w:rsidRPr="00D546BA">
        <w:rPr>
          <w:rFonts w:ascii="Times New Roman" w:hAnsi="Times New Roman"/>
        </w:rPr>
        <w:lastRenderedPageBreak/>
        <w:t>perform – that is, whether the commission of the offence carries with it a high degree of probability of serious harm to persons or property.</w:t>
      </w:r>
    </w:p>
    <w:p w14:paraId="682B2554"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However, as Div 105A is drafted, in making a CDO the Court must be satisfied to a high degree of probability, on the basis of admissible evidence, that</w:t>
      </w:r>
      <w:r>
        <w:rPr>
          <w:rFonts w:ascii="Times New Roman" w:hAnsi="Times New Roman"/>
        </w:rPr>
        <w:t> </w:t>
      </w:r>
      <w:r w:rsidRPr="00D546BA">
        <w:rPr>
          <w:rFonts w:ascii="Times New Roman" w:hAnsi="Times New Roman"/>
        </w:rPr>
        <w:t>the offender poses an unacceptable risk of committing a serious Part 5.3 offence if the offender is released into the community</w:t>
      </w:r>
      <w:r w:rsidRPr="00D546BA">
        <w:rPr>
          <w:rStyle w:val="FootnoteReference"/>
          <w:rFonts w:ascii="Times New Roman" w:hAnsi="Times New Roman"/>
          <w:sz w:val="24"/>
        </w:rPr>
        <w:footnoteReference w:id="332"/>
      </w:r>
      <w:r w:rsidRPr="00D546BA">
        <w:rPr>
          <w:rFonts w:ascii="Times New Roman" w:hAnsi="Times New Roman"/>
        </w:rPr>
        <w:t xml:space="preserve">. The </w:t>
      </w:r>
      <w:r w:rsidRPr="00D546BA">
        <w:rPr>
          <w:rFonts w:ascii="Times New Roman" w:hAnsi="Times New Roman"/>
          <w:i/>
        </w:rPr>
        <w:t>unacceptable risk</w:t>
      </w:r>
      <w:r w:rsidRPr="00D546BA">
        <w:rPr>
          <w:rFonts w:ascii="Times New Roman" w:hAnsi="Times New Roman"/>
        </w:rPr>
        <w:t xml:space="preserve"> is not of harm to the community but of the offender committing a serious Part 5.3 offence, which, as has just been explained, concerns a wide range of offences. Although safety and protection of the community is a matter that the Court must consider</w:t>
      </w:r>
      <w:r w:rsidRPr="00D546BA">
        <w:rPr>
          <w:rStyle w:val="FootnoteReference"/>
          <w:rFonts w:ascii="Times New Roman" w:hAnsi="Times New Roman"/>
          <w:sz w:val="24"/>
        </w:rPr>
        <w:footnoteReference w:id="333"/>
      </w:r>
      <w:r w:rsidRPr="00D546BA">
        <w:rPr>
          <w:rFonts w:ascii="Times New Roman" w:hAnsi="Times New Roman"/>
        </w:rPr>
        <w:t>, the question for the Court is</w:t>
      </w:r>
      <w:r w:rsidRPr="00D546BA" w:rsidDel="00082144">
        <w:rPr>
          <w:rFonts w:ascii="Times New Roman" w:hAnsi="Times New Roman"/>
        </w:rPr>
        <w:t xml:space="preserve"> </w:t>
      </w:r>
      <w:r w:rsidRPr="00D546BA">
        <w:rPr>
          <w:rFonts w:ascii="Times New Roman" w:hAnsi="Times New Roman"/>
        </w:rPr>
        <w:t>whether it is satisfied to a high degree of probability that the offender poses an unacceptable risk of committing an offence if the offender is released into the community. The unacceptable risk is that identified in s 105A.7(1)(b), namely, the risk of the offender committing one of the many offences which are caught by the phrase "serious Part 5.3 offence". The</w:t>
      </w:r>
      <w:r>
        <w:rPr>
          <w:rFonts w:ascii="Times New Roman" w:hAnsi="Times New Roman"/>
        </w:rPr>
        <w:t> </w:t>
      </w:r>
      <w:r w:rsidRPr="00D546BA">
        <w:rPr>
          <w:rFonts w:ascii="Times New Roman" w:hAnsi="Times New Roman"/>
        </w:rPr>
        <w:t>concern is not of harm, but of the offender committing an offence regardless of the consequence of that offending for the community.</w:t>
      </w:r>
    </w:p>
    <w:p w14:paraId="5A43F19D" w14:textId="77777777" w:rsidR="00CE4181" w:rsidRPr="00D546BA" w:rsidRDefault="00CE4181" w:rsidP="00D546BA">
      <w:pPr>
        <w:pStyle w:val="FixListStyle"/>
        <w:spacing w:after="260" w:line="280" w:lineRule="exact"/>
        <w:ind w:right="0"/>
        <w:jc w:val="both"/>
        <w:rPr>
          <w:rFonts w:ascii="Times New Roman" w:hAnsi="Times New Roman"/>
        </w:rPr>
      </w:pPr>
      <w:r w:rsidRPr="00D546BA" w:rsidDel="00EA4506">
        <w:rPr>
          <w:rFonts w:ascii="Times New Roman" w:hAnsi="Times New Roman"/>
        </w:rPr>
        <w:tab/>
      </w:r>
      <w:r w:rsidRPr="00D546BA">
        <w:rPr>
          <w:rFonts w:ascii="Times New Roman" w:hAnsi="Times New Roman"/>
        </w:rPr>
        <w:t xml:space="preserve">It is in relation to the unacceptable risk that the Court must be satisfied that "there is no other less restrictive measure" that would be "effective in </w:t>
      </w:r>
      <w:r w:rsidRPr="00D546BA">
        <w:rPr>
          <w:rFonts w:ascii="Times New Roman" w:hAnsi="Times New Roman"/>
          <w:i/>
        </w:rPr>
        <w:t>preventing</w:t>
      </w:r>
      <w:r w:rsidRPr="00D546BA">
        <w:rPr>
          <w:rFonts w:ascii="Times New Roman" w:hAnsi="Times New Roman"/>
        </w:rPr>
        <w:t xml:space="preserve"> the unacceptable risk"</w:t>
      </w:r>
      <w:r w:rsidRPr="00D546BA">
        <w:rPr>
          <w:rStyle w:val="FootnoteReference"/>
          <w:rFonts w:ascii="Times New Roman" w:hAnsi="Times New Roman"/>
          <w:sz w:val="24"/>
        </w:rPr>
        <w:footnoteReference w:id="334"/>
      </w:r>
      <w:r w:rsidRPr="00D546BA">
        <w:rPr>
          <w:rFonts w:ascii="Times New Roman" w:hAnsi="Times New Roman"/>
        </w:rPr>
        <w:t xml:space="preserve"> (emphasis added). There must be another measure that "prevents" the unacceptable risk, namely the risk of the offender committing a relevant offence. </w:t>
      </w:r>
    </w:p>
    <w:p w14:paraId="7B98F5AA"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And the fact that the Court must be satisfied that there is no other, less</w:t>
      </w:r>
      <w:r>
        <w:rPr>
          <w:rFonts w:ascii="Times New Roman" w:hAnsi="Times New Roman"/>
        </w:rPr>
        <w:t> </w:t>
      </w:r>
      <w:r w:rsidRPr="00D546BA">
        <w:rPr>
          <w:rFonts w:ascii="Times New Roman" w:hAnsi="Times New Roman"/>
        </w:rPr>
        <w:t>restrictive measure that would be effective in preventing the unacceptable risk is problematic. In the notes to s 105A.7(1), the </w:t>
      </w:r>
      <w:r w:rsidRPr="00D546BA">
        <w:rPr>
          <w:rFonts w:ascii="Times New Roman" w:hAnsi="Times New Roman"/>
          <w:i/>
        </w:rPr>
        <w:t xml:space="preserve">Criminal Code </w:t>
      </w:r>
      <w:r w:rsidRPr="00D546BA">
        <w:rPr>
          <w:rFonts w:ascii="Times New Roman" w:hAnsi="Times New Roman"/>
        </w:rPr>
        <w:t>identifies a control order under Div 104 as "[a]n example of a less restrictive measure". But, as has been seen, Div 104 provides for the making of control orders, which impose obligations, prohibitions and restrictions on a person's liberty short of detention in prison, for the purpose of protecting the public from a terrorist act</w:t>
      </w:r>
      <w:r w:rsidRPr="00D546BA">
        <w:rPr>
          <w:rStyle w:val="FootnoteReference"/>
          <w:rFonts w:ascii="Times New Roman" w:hAnsi="Times New Roman"/>
          <w:sz w:val="24"/>
        </w:rPr>
        <w:footnoteReference w:id="335"/>
      </w:r>
      <w:r w:rsidRPr="00D546BA">
        <w:rPr>
          <w:rFonts w:ascii="Times New Roman" w:hAnsi="Times New Roman"/>
        </w:rPr>
        <w:t xml:space="preserve">. </w:t>
      </w:r>
    </w:p>
    <w:p w14:paraId="36156E99"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The problem that arises is that, under Div 105A, a Supreme Court is authorised to make a CDO without being satisfied that the person subject to the order poses an unacceptable risk of committing a terrorist act, or that the person will aid, abet, counsel or procure another person to commit a terrorist act. </w:t>
      </w:r>
      <w:r w:rsidRPr="00D546BA">
        <w:rPr>
          <w:rFonts w:ascii="Times New Roman" w:hAnsi="Times New Roman"/>
        </w:rPr>
        <w:lastRenderedPageBreak/>
        <w:t>This</w:t>
      </w:r>
      <w:r>
        <w:rPr>
          <w:rFonts w:ascii="Times New Roman" w:hAnsi="Times New Roman"/>
        </w:rPr>
        <w:t> </w:t>
      </w:r>
      <w:r w:rsidRPr="00D546BA">
        <w:rPr>
          <w:rFonts w:ascii="Times New Roman" w:hAnsi="Times New Roman"/>
        </w:rPr>
        <w:t>aspect of a Supreme Court's power to make a CDO is not tailored to the stated purpose of Div 105A.</w:t>
      </w:r>
    </w:p>
    <w:p w14:paraId="6F40B686"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A related problem is that Div 105A does not identify the amount of risk of a terrorist offender committing a serious Part 5.3 offence that would be </w:t>
      </w:r>
      <w:r w:rsidRPr="00D546BA">
        <w:rPr>
          <w:rFonts w:ascii="Times New Roman" w:hAnsi="Times New Roman"/>
          <w:i/>
        </w:rPr>
        <w:t>acceptable</w:t>
      </w:r>
      <w:r w:rsidRPr="00D546BA">
        <w:rPr>
          <w:rFonts w:ascii="Times New Roman" w:hAnsi="Times New Roman"/>
        </w:rPr>
        <w:t xml:space="preserve">. Yet, that question must necessarily be answered before a Court can be satisfied to a high degree of probability that the offender poses an </w:t>
      </w:r>
      <w:r w:rsidRPr="00D546BA">
        <w:rPr>
          <w:rFonts w:ascii="Times New Roman" w:hAnsi="Times New Roman"/>
          <w:i/>
        </w:rPr>
        <w:t>unacceptable</w:t>
      </w:r>
      <w:r w:rsidRPr="00D546BA">
        <w:rPr>
          <w:rFonts w:ascii="Times New Roman" w:hAnsi="Times New Roman"/>
        </w:rPr>
        <w:t xml:space="preserve"> risk of committing a serious Part 5.3 offence if released into the community. And whether a terrorist offender poses an unacceptable risk of committing a serious Part 5.3 offence is not directed to the risk of harm to the community.</w:t>
      </w:r>
    </w:p>
    <w:p w14:paraId="20A735CE"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Division 105A, and the criteria for making a CDO, are too broad. The</w:t>
      </w:r>
      <w:r>
        <w:rPr>
          <w:rFonts w:ascii="Times New Roman" w:hAnsi="Times New Roman"/>
        </w:rPr>
        <w:t> </w:t>
      </w:r>
      <w:r w:rsidRPr="00D546BA">
        <w:rPr>
          <w:rFonts w:ascii="Times New Roman" w:hAnsi="Times New Roman"/>
        </w:rPr>
        <w:t xml:space="preserve">Division refers to a wide range of offences. It permits a Supreme Court to make a CDO even though the conduct anticipated may be less harmful than the conduct necessary to found a control order under Div 104. </w:t>
      </w:r>
      <w:r w:rsidRPr="00D546BA">
        <w:rPr>
          <w:rFonts w:ascii="Times New Roman" w:eastAsia="Calibri" w:hAnsi="Times New Roman"/>
        </w:rPr>
        <w:t xml:space="preserve">It is not to the point that, in some cases, </w:t>
      </w:r>
      <w:r w:rsidRPr="00D546BA">
        <w:rPr>
          <w:rFonts w:ascii="Times New Roman" w:hAnsi="Times New Roman"/>
        </w:rPr>
        <w:t>preparatory or anticipatory acts might in some way or other advance an ideology that increases the possibility that harm to persons or property will be caused at some time in the future. The relevant inquiry is not how a Supreme Court might reason when applying the criteria set out</w:t>
      </w:r>
      <w:r>
        <w:rPr>
          <w:rFonts w:ascii="Times New Roman" w:hAnsi="Times New Roman"/>
        </w:rPr>
        <w:t xml:space="preserve"> in</w:t>
      </w:r>
      <w:r w:rsidRPr="00D546BA">
        <w:rPr>
          <w:rFonts w:ascii="Times New Roman" w:hAnsi="Times New Roman"/>
        </w:rPr>
        <w:t xml:space="preserve"> s 105A.7(1) in a given case but the proper construction of Div 105A. Section 105A.7(1) states three criteria – one procedural (the making of an application</w:t>
      </w:r>
      <w:r w:rsidRPr="00D546BA">
        <w:rPr>
          <w:rStyle w:val="FootnoteReference"/>
          <w:rFonts w:ascii="Times New Roman" w:hAnsi="Times New Roman"/>
          <w:sz w:val="24"/>
        </w:rPr>
        <w:footnoteReference w:id="336"/>
      </w:r>
      <w:r w:rsidRPr="00D546BA">
        <w:rPr>
          <w:rFonts w:ascii="Times New Roman" w:hAnsi="Times New Roman"/>
        </w:rPr>
        <w:t>) and two substantive</w:t>
      </w:r>
      <w:r w:rsidRPr="00D546BA">
        <w:rPr>
          <w:rStyle w:val="FootnoteReference"/>
          <w:rFonts w:ascii="Times New Roman" w:hAnsi="Times New Roman"/>
          <w:sz w:val="24"/>
        </w:rPr>
        <w:footnoteReference w:id="337"/>
      </w:r>
      <w:r w:rsidRPr="00D546BA">
        <w:rPr>
          <w:rFonts w:ascii="Times New Roman" w:hAnsi="Times New Roman"/>
        </w:rPr>
        <w:t xml:space="preserve">. The substantive criteria both turn on an unacceptable risk of committing a serious Part 5.3 offence, </w:t>
      </w:r>
      <w:r w:rsidRPr="00D546BA">
        <w:rPr>
          <w:rFonts w:ascii="Times New Roman" w:hAnsi="Times New Roman"/>
          <w:i/>
        </w:rPr>
        <w:t>not</w:t>
      </w:r>
      <w:r w:rsidRPr="00D546BA">
        <w:rPr>
          <w:rFonts w:ascii="Times New Roman" w:hAnsi="Times New Roman"/>
        </w:rPr>
        <w:t xml:space="preserve"> what consequences the commission of the offence might</w:t>
      </w:r>
      <w:r>
        <w:rPr>
          <w:rFonts w:ascii="Times New Roman" w:hAnsi="Times New Roman"/>
        </w:rPr>
        <w:t> </w:t>
      </w:r>
      <w:r w:rsidRPr="00D546BA">
        <w:rPr>
          <w:rFonts w:ascii="Times New Roman" w:hAnsi="Times New Roman"/>
        </w:rPr>
        <w:t xml:space="preserve">entail. </w:t>
      </w:r>
    </w:p>
    <w:p w14:paraId="49C7F4E1"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Division 105A is not saved by the so</w:t>
      </w:r>
      <w:r w:rsidRPr="00D546BA">
        <w:rPr>
          <w:rFonts w:ascii="Times New Roman" w:hAnsi="Times New Roman"/>
        </w:rPr>
        <w:noBreakHyphen/>
        <w:t xml:space="preserve">called "safety valve", the possibility of a less restrictive measure provided for by s 105A.7(1)(c). That is not a valve but a padlock because, unlike the legislation in </w:t>
      </w:r>
      <w:proofErr w:type="spellStart"/>
      <w:r w:rsidRPr="00D546BA">
        <w:rPr>
          <w:rFonts w:ascii="Times New Roman" w:hAnsi="Times New Roman"/>
          <w:i/>
        </w:rPr>
        <w:t>Fardon</w:t>
      </w:r>
      <w:proofErr w:type="spellEnd"/>
      <w:r w:rsidRPr="00D546BA">
        <w:rPr>
          <w:rStyle w:val="FootnoteReference"/>
          <w:rFonts w:ascii="Times New Roman" w:hAnsi="Times New Roman"/>
          <w:sz w:val="24"/>
        </w:rPr>
        <w:footnoteReference w:id="338"/>
      </w:r>
      <w:r w:rsidRPr="00D546BA">
        <w:rPr>
          <w:rFonts w:ascii="Times New Roman" w:hAnsi="Times New Roman"/>
        </w:rPr>
        <w:t xml:space="preserve">, the focus in </w:t>
      </w:r>
      <w:proofErr w:type="spellStart"/>
      <w:r w:rsidRPr="00D546BA">
        <w:rPr>
          <w:rFonts w:ascii="Times New Roman" w:hAnsi="Times New Roman"/>
        </w:rPr>
        <w:t>Div</w:t>
      </w:r>
      <w:proofErr w:type="spellEnd"/>
      <w:r w:rsidRPr="00D546BA">
        <w:rPr>
          <w:rFonts w:ascii="Times New Roman" w:hAnsi="Times New Roman"/>
        </w:rPr>
        <w:t> 105A is on the unacceptable risk of the commission of an offence. It is not focussed upon the unacceptable risk of harm, or potential harm, caused by the possible offending. Once the threshold of the possibility of a less restrictive measure is met, the</w:t>
      </w:r>
      <w:r>
        <w:rPr>
          <w:rFonts w:ascii="Times New Roman" w:hAnsi="Times New Roman"/>
        </w:rPr>
        <w:t> </w:t>
      </w:r>
      <w:r w:rsidRPr="00D546BA">
        <w:rPr>
          <w:rFonts w:ascii="Times New Roman" w:hAnsi="Times New Roman"/>
        </w:rPr>
        <w:t>padlock can be opened only if a less restrictive measure that "prevents" the risk</w:t>
      </w:r>
      <w:r>
        <w:rPr>
          <w:rFonts w:ascii="Times New Roman" w:hAnsi="Times New Roman"/>
        </w:rPr>
        <w:t> – </w:t>
      </w:r>
      <w:r w:rsidRPr="00D546BA">
        <w:rPr>
          <w:rFonts w:ascii="Times New Roman" w:hAnsi="Times New Roman"/>
        </w:rPr>
        <w:t xml:space="preserve">the commission of the offence – can be identified. It is anything but clear how anything less than exclusion from the community could </w:t>
      </w:r>
      <w:r w:rsidRPr="00D546BA">
        <w:rPr>
          <w:rFonts w:ascii="Times New Roman" w:hAnsi="Times New Roman"/>
          <w:i/>
        </w:rPr>
        <w:t>prevent</w:t>
      </w:r>
      <w:r w:rsidRPr="00D546BA">
        <w:rPr>
          <w:rFonts w:ascii="Times New Roman" w:hAnsi="Times New Roman"/>
        </w:rPr>
        <w:t xml:space="preserve"> (as distinct from lessening the probability of, or deterring) the commission of future offences. </w:t>
      </w:r>
    </w:p>
    <w:p w14:paraId="170A3BCD"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It follows that the power of a Supreme Court to make a CDO under s 105A.7 is not sufficiently tailored to the stated purpose of Div 105A to be an </w:t>
      </w:r>
      <w:r w:rsidRPr="00D546BA">
        <w:rPr>
          <w:rFonts w:ascii="Times New Roman" w:hAnsi="Times New Roman"/>
        </w:rPr>
        <w:lastRenderedPageBreak/>
        <w:t xml:space="preserve">exercise of Commonwealth judicial power. It is therefore not necessary to decide whether there is to be a new exception to the principle in </w:t>
      </w:r>
      <w:r w:rsidRPr="00D546BA">
        <w:rPr>
          <w:rFonts w:ascii="Times New Roman" w:hAnsi="Times New Roman"/>
          <w:i/>
        </w:rPr>
        <w:t>Lim</w:t>
      </w:r>
      <w:r w:rsidRPr="00D546BA">
        <w:rPr>
          <w:rFonts w:ascii="Times New Roman" w:hAnsi="Times New Roman"/>
        </w:rPr>
        <w:t xml:space="preserve"> for judicially ordered preventative detention to protect the public from serious harm of the kind described in the definition of a "terrorist act". If there were to be such an exception, then</w:t>
      </w:r>
      <w:r>
        <w:rPr>
          <w:rFonts w:ascii="Times New Roman" w:hAnsi="Times New Roman"/>
        </w:rPr>
        <w:t> </w:t>
      </w:r>
      <w:r w:rsidRPr="00D546BA">
        <w:rPr>
          <w:rFonts w:ascii="Times New Roman" w:hAnsi="Times New Roman"/>
        </w:rPr>
        <w:t>Div 105A goes further than necessary to achieve that objective</w:t>
      </w:r>
      <w:r w:rsidRPr="00D546BA">
        <w:rPr>
          <w:rStyle w:val="FootnoteReference"/>
          <w:rFonts w:ascii="Times New Roman" w:hAnsi="Times New Roman"/>
          <w:sz w:val="24"/>
        </w:rPr>
        <w:footnoteReference w:id="339"/>
      </w:r>
      <w:r w:rsidRPr="00D546BA">
        <w:rPr>
          <w:rFonts w:ascii="Times New Roman" w:hAnsi="Times New Roman"/>
        </w:rPr>
        <w:t>. It follows from the construction given above that Div 105A, in its practical and legal operation, is not properly characterised or justified as protective. It is not for this Court to identify how legislation is to be drafted but, as presently enacted, Div 105A is not sufficiently tailored</w:t>
      </w:r>
      <w:r w:rsidRPr="00D546BA">
        <w:rPr>
          <w:rStyle w:val="FootnoteReference"/>
          <w:rFonts w:ascii="Times New Roman" w:hAnsi="Times New Roman"/>
          <w:sz w:val="24"/>
        </w:rPr>
        <w:footnoteReference w:id="340"/>
      </w:r>
      <w:r w:rsidRPr="00D546BA">
        <w:rPr>
          <w:rFonts w:ascii="Times New Roman" w:hAnsi="Times New Roman"/>
        </w:rPr>
        <w:t xml:space="preserve">, whether to the achievement of its stated objective or otherwise. </w:t>
      </w:r>
    </w:p>
    <w:p w14:paraId="7EA4D5B3"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 xml:space="preserve">Any such new exception would need to reflect the reasons for the separation of Commonwealth judicial power and the </w:t>
      </w:r>
      <w:r w:rsidRPr="00D546BA">
        <w:rPr>
          <w:rFonts w:ascii="Times New Roman" w:hAnsi="Times New Roman"/>
          <w:i/>
        </w:rPr>
        <w:t xml:space="preserve">Lim </w:t>
      </w:r>
      <w:r w:rsidRPr="00D546BA">
        <w:rPr>
          <w:rFonts w:ascii="Times New Roman" w:hAnsi="Times New Roman"/>
        </w:rPr>
        <w:t xml:space="preserve">principle. Otherwise, the exception would deprive Ch III of its content. </w:t>
      </w:r>
    </w:p>
    <w:p w14:paraId="14A73701" w14:textId="77777777" w:rsidR="00CE4181" w:rsidRPr="00D546BA" w:rsidRDefault="00CE4181" w:rsidP="00D546BA">
      <w:pPr>
        <w:pStyle w:val="HeadingL1"/>
        <w:spacing w:after="260" w:line="280" w:lineRule="exact"/>
        <w:ind w:right="0"/>
        <w:jc w:val="both"/>
        <w:rPr>
          <w:rFonts w:ascii="Times New Roman" w:hAnsi="Times New Roman"/>
        </w:rPr>
      </w:pPr>
      <w:r w:rsidRPr="00D546BA">
        <w:rPr>
          <w:rFonts w:ascii="Times New Roman" w:hAnsi="Times New Roman"/>
        </w:rPr>
        <w:t>Conclusion and orders</w:t>
      </w:r>
    </w:p>
    <w:p w14:paraId="6DF5E851" w14:textId="77777777" w:rsidR="00CE4181" w:rsidRPr="00D546BA" w:rsidRDefault="00CE4181" w:rsidP="00D546BA">
      <w:pPr>
        <w:pStyle w:val="FixListStyle"/>
        <w:spacing w:after="260" w:line="280" w:lineRule="exact"/>
        <w:ind w:right="0"/>
        <w:jc w:val="both"/>
        <w:rPr>
          <w:rFonts w:ascii="Times New Roman" w:hAnsi="Times New Roman"/>
        </w:rPr>
      </w:pPr>
      <w:r w:rsidRPr="00D546BA">
        <w:rPr>
          <w:rFonts w:ascii="Times New Roman" w:hAnsi="Times New Roman"/>
        </w:rPr>
        <w:tab/>
        <w:t>For those reasons, the reserved question should be answered as set out above. The respondent's costs should be paid by the Commonwealth.</w:t>
      </w:r>
    </w:p>
    <w:p w14:paraId="2F7BB650" w14:textId="77777777" w:rsidR="00CE4181" w:rsidRDefault="00CE4181" w:rsidP="00207864">
      <w:pPr>
        <w:pStyle w:val="NormalBody"/>
        <w:spacing w:after="260" w:line="280" w:lineRule="exact"/>
        <w:ind w:left="1440" w:right="0" w:hanging="720"/>
        <w:jc w:val="both"/>
        <w:rPr>
          <w:rFonts w:ascii="Times New Roman" w:hAnsi="Times New Roman"/>
        </w:rPr>
      </w:pPr>
    </w:p>
    <w:p w14:paraId="0AACD144" w14:textId="77777777" w:rsidR="00CE4181" w:rsidRDefault="00CE4181" w:rsidP="00207864">
      <w:pPr>
        <w:pStyle w:val="NormalBody"/>
        <w:spacing w:after="260" w:line="280" w:lineRule="exact"/>
        <w:ind w:left="1440" w:right="0" w:hanging="720"/>
        <w:jc w:val="both"/>
        <w:rPr>
          <w:rFonts w:ascii="Times New Roman" w:hAnsi="Times New Roman"/>
        </w:rPr>
        <w:sectPr w:rsidR="00CE4181" w:rsidSect="00CE4181">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0B29D97D" w14:textId="77777777" w:rsidR="00CE4181" w:rsidRPr="003C5786" w:rsidRDefault="00CE4181" w:rsidP="003C5786">
      <w:pPr>
        <w:pStyle w:val="NormalBody"/>
        <w:tabs>
          <w:tab w:val="clear" w:pos="720"/>
          <w:tab w:val="left" w:pos="0"/>
        </w:tabs>
        <w:spacing w:after="260" w:line="280" w:lineRule="exact"/>
        <w:ind w:right="0"/>
        <w:jc w:val="both"/>
        <w:rPr>
          <w:rFonts w:ascii="Times New Roman" w:hAnsi="Times New Roman"/>
        </w:rPr>
      </w:pPr>
      <w:r w:rsidRPr="003C5786">
        <w:rPr>
          <w:rFonts w:ascii="Times New Roman" w:hAnsi="Times New Roman"/>
        </w:rPr>
        <w:lastRenderedPageBreak/>
        <w:t xml:space="preserve">EDELMAN J.   </w:t>
      </w:r>
    </w:p>
    <w:p w14:paraId="5F893B44" w14:textId="77777777" w:rsidR="00CE4181" w:rsidRPr="003C5786" w:rsidRDefault="00CE4181" w:rsidP="003C5786">
      <w:pPr>
        <w:pStyle w:val="HeadingL1"/>
        <w:spacing w:after="260" w:line="280" w:lineRule="exact"/>
        <w:ind w:right="0"/>
        <w:jc w:val="both"/>
        <w:rPr>
          <w:rFonts w:ascii="Times New Roman" w:hAnsi="Times New Roman"/>
        </w:rPr>
      </w:pPr>
      <w:r w:rsidRPr="003C5786">
        <w:rPr>
          <w:rFonts w:ascii="Times New Roman" w:hAnsi="Times New Roman"/>
        </w:rPr>
        <w:t>Introduction</w:t>
      </w:r>
    </w:p>
    <w:p w14:paraId="2EB39C0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Mr Benbrika is a terrorist offender. He has served a sentence of 15 years in prison after conviction in the Supreme Court of Victoria for intentional membership of a terrorist organisation and for intentionally directing the activities of a terrorist organisation. Division 105A</w:t>
      </w:r>
      <w:r w:rsidRPr="003C5786">
        <w:rPr>
          <w:rStyle w:val="FootnoteReference"/>
          <w:rFonts w:ascii="Times New Roman" w:hAnsi="Times New Roman"/>
          <w:sz w:val="24"/>
        </w:rPr>
        <w:footnoteReference w:id="341"/>
      </w:r>
      <w:r w:rsidRPr="003C5786">
        <w:rPr>
          <w:rFonts w:ascii="Times New Roman" w:hAnsi="Times New Roman"/>
        </w:rPr>
        <w:t xml:space="preserve"> of the </w:t>
      </w:r>
      <w:r w:rsidRPr="003C5786">
        <w:rPr>
          <w:rFonts w:ascii="Times New Roman" w:hAnsi="Times New Roman"/>
          <w:i/>
          <w:iCs/>
        </w:rPr>
        <w:t xml:space="preserve">Criminal Code </w:t>
      </w:r>
      <w:r w:rsidRPr="003C5786">
        <w:rPr>
          <w:rFonts w:ascii="Times New Roman" w:hAnsi="Times New Roman"/>
        </w:rPr>
        <w:t>(Cth) establishes a scheme which empowers the Supreme Court of a State or Territory to make an order for the continuing detention of a terrorist offender. One condition that must be satisfied before a continuing detention order can be made</w:t>
      </w:r>
      <w:r w:rsidRPr="003C5786">
        <w:rPr>
          <w:rStyle w:val="FootnoteReference"/>
          <w:rFonts w:ascii="Times New Roman" w:hAnsi="Times New Roman"/>
          <w:sz w:val="24"/>
        </w:rPr>
        <w:footnoteReference w:id="342"/>
      </w:r>
      <w:r w:rsidRPr="003C5786">
        <w:rPr>
          <w:rFonts w:ascii="Times New Roman" w:hAnsi="Times New Roman"/>
        </w:rPr>
        <w:t xml:space="preserve"> is that the Minister must satisfy the court "to a high degree of probability, on the basis of admissible evidence", that the offender poses an "unacceptable risk" of committing one or more terrorism-related offences, examples of which include engaging in a terrorist act</w:t>
      </w:r>
      <w:r w:rsidRPr="003C5786">
        <w:rPr>
          <w:rStyle w:val="FootnoteReference"/>
          <w:rFonts w:ascii="Times New Roman" w:hAnsi="Times New Roman"/>
          <w:sz w:val="24"/>
        </w:rPr>
        <w:footnoteReference w:id="343"/>
      </w:r>
      <w:r w:rsidRPr="003C5786">
        <w:rPr>
          <w:rFonts w:ascii="Times New Roman" w:hAnsi="Times New Roman"/>
        </w:rPr>
        <w:t>, providing or receiving training connected with terrorist acts</w:t>
      </w:r>
      <w:r w:rsidRPr="003C5786">
        <w:rPr>
          <w:rStyle w:val="FootnoteReference"/>
          <w:rFonts w:ascii="Times New Roman" w:hAnsi="Times New Roman"/>
          <w:sz w:val="24"/>
        </w:rPr>
        <w:footnoteReference w:id="344"/>
      </w:r>
      <w:r w:rsidRPr="003C5786">
        <w:rPr>
          <w:rFonts w:ascii="Times New Roman" w:hAnsi="Times New Roman"/>
        </w:rPr>
        <w:t>, and directing the activities of a terrorist organisation</w:t>
      </w:r>
      <w:r w:rsidRPr="003C5786">
        <w:rPr>
          <w:rStyle w:val="FootnoteReference"/>
          <w:rFonts w:ascii="Times New Roman" w:hAnsi="Times New Roman"/>
          <w:sz w:val="24"/>
        </w:rPr>
        <w:footnoteReference w:id="345"/>
      </w:r>
      <w:r w:rsidRPr="003C5786">
        <w:rPr>
          <w:rFonts w:ascii="Times New Roman" w:hAnsi="Times New Roman"/>
        </w:rPr>
        <w:t>.</w:t>
      </w:r>
    </w:p>
    <w:p w14:paraId="3B74DFAE"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The question reserved which has been removed into this Court is whether all or any part of Div 105A is invalid because the power to make a continuing detention order under s 105A.7 is not within the judicial power of the Commonwealth and has been conferred on courts, including the Supreme Court of Victoria, contrary to Ch III of the </w:t>
      </w:r>
      <w:r w:rsidRPr="003C5786">
        <w:rPr>
          <w:rFonts w:ascii="Times New Roman" w:hAnsi="Times New Roman"/>
          <w:i/>
        </w:rPr>
        <w:t>Constitution</w:t>
      </w:r>
      <w:r w:rsidRPr="003C5786">
        <w:rPr>
          <w:rFonts w:ascii="Times New Roman" w:hAnsi="Times New Roman"/>
        </w:rPr>
        <w:t xml:space="preserve">. A central focus of the parties' submissions was the reasoning in the joint judgment of Brennan, Deane and Dawson JJ in </w:t>
      </w:r>
      <w:r w:rsidRPr="003C5786">
        <w:rPr>
          <w:rFonts w:ascii="Times New Roman" w:hAnsi="Times New Roman"/>
          <w:i/>
        </w:rPr>
        <w:t>Chu Kheng Lim v Minister for Immigration, Local Government and Ethnic Affairs</w:t>
      </w:r>
      <w:r w:rsidRPr="003C5786">
        <w:rPr>
          <w:rStyle w:val="FootnoteReference"/>
          <w:rFonts w:ascii="Times New Roman" w:hAnsi="Times New Roman"/>
          <w:sz w:val="24"/>
        </w:rPr>
        <w:footnoteReference w:id="346"/>
      </w:r>
      <w:r w:rsidRPr="003C5786">
        <w:rPr>
          <w:rFonts w:ascii="Times New Roman" w:hAnsi="Times New Roman"/>
        </w:rPr>
        <w:t xml:space="preserve">. That reasoning concerned the separation of Commonwealth powers. The essential point made by their Honours was that subject to limited historical exceptions, such as the power of the Commonwealth Parliament to punish for contempt and the power of Commonwealth military tribunals to punish for military discipline, the involuntary detention of a person as an incident of adjudging and punishing criminal guilt is exclusively a judicial power that is subject to Ch III of the </w:t>
      </w:r>
      <w:r w:rsidRPr="003C5786">
        <w:rPr>
          <w:rFonts w:ascii="Times New Roman" w:hAnsi="Times New Roman"/>
          <w:i/>
        </w:rPr>
        <w:t>Constitution</w:t>
      </w:r>
      <w:r w:rsidRPr="003C5786">
        <w:rPr>
          <w:rFonts w:ascii="Times New Roman" w:hAnsi="Times New Roman"/>
        </w:rPr>
        <w:t xml:space="preserve">. The power to punish that is generally the exclusive province of the judiciary was expressed, and is to be understood, in a broad sense. </w:t>
      </w:r>
    </w:p>
    <w:p w14:paraId="0DB5DFB8"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lastRenderedPageBreak/>
        <w:tab/>
        <w:t xml:space="preserve">The answer to the question reserved is that no part of Div 105A is contrary to Ch III of the </w:t>
      </w:r>
      <w:r w:rsidRPr="003C5786">
        <w:rPr>
          <w:rFonts w:ascii="Times New Roman" w:hAnsi="Times New Roman"/>
          <w:i/>
        </w:rPr>
        <w:t>Constitution</w:t>
      </w:r>
      <w:r w:rsidRPr="003C5786">
        <w:rPr>
          <w:rFonts w:ascii="Times New Roman" w:hAnsi="Times New Roman"/>
        </w:rPr>
        <w:t>. In answering this question, transparency and constitutional fidelity require the true character of a continuing detention order made under Div 105A to be recognised. Properly characterised, and although not a form of traditional criminal punishment, which primarily looks backwards in responding to commission of past offences, the power to grant a continuing detention order within Div 105A involves notions sufficiently similar to traditional criminal punishment so as also to fall within the sphere of power that is exclusively judicial. Consistently with the broad use of the category of "punishment" by this Court and by many leading writers, the continuing detention order should be described as a form of "protective punishment". Whilst it could equally be given a different description to emphasise that it is not traditional punishment, the benefits of a description such as "protective punishment" are that it avoids drawing an unprincipled line between closely related orders in the application of principles of separation of Commonwealth powers and it avoids the error of treating punishment as always independent of prevention.</w:t>
      </w:r>
    </w:p>
    <w:p w14:paraId="15545097"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It is a category error to reason that Div 105A is not punitive because it aims to protect the community by preventing the commission of offences. These categories are not independent: prevention of the commission of offences is one of the goals of punishment – it was even thought by Oliver Wendell Holmes Jr to be the "chief and only universal purpose of punishment"</w:t>
      </w:r>
      <w:r w:rsidRPr="003C5786">
        <w:rPr>
          <w:rStyle w:val="FootnoteReference"/>
          <w:rFonts w:ascii="Times New Roman" w:hAnsi="Times New Roman"/>
          <w:sz w:val="24"/>
        </w:rPr>
        <w:footnoteReference w:id="347"/>
      </w:r>
      <w:r w:rsidRPr="003C5786">
        <w:rPr>
          <w:rFonts w:ascii="Times New Roman" w:hAnsi="Times New Roman"/>
        </w:rPr>
        <w:t xml:space="preserve">. As Gleeson CJ, Gummow, Hayne, Callinan and Heydon JJ said in </w:t>
      </w:r>
      <w:r w:rsidRPr="003C5786">
        <w:rPr>
          <w:rFonts w:ascii="Times New Roman" w:eastAsia="Times-Italic" w:hAnsi="Times New Roman"/>
          <w:i/>
        </w:rPr>
        <w:t>Rich v Australian Securities and Investments Commission</w:t>
      </w:r>
      <w:r w:rsidRPr="003C5786">
        <w:rPr>
          <w:rStyle w:val="FootnoteReference"/>
          <w:rFonts w:ascii="Times New Roman" w:hAnsi="Times New Roman"/>
          <w:sz w:val="24"/>
        </w:rPr>
        <w:footnoteReference w:id="348"/>
      </w:r>
      <w:r w:rsidRPr="003C5786">
        <w:rPr>
          <w:rFonts w:ascii="Times New Roman" w:eastAsia="Times-Italic" w:hAnsi="Times New Roman"/>
        </w:rPr>
        <w:t xml:space="preserve"> of a similar attempt to distinguish punishment from protection, "[a]t best, the distinction between 'punitive' and 'protective' is elusive"</w:t>
      </w:r>
      <w:r w:rsidRPr="003C5786">
        <w:rPr>
          <w:rFonts w:ascii="Times New Roman" w:hAnsi="Times New Roman"/>
        </w:rPr>
        <w:t xml:space="preserve">. </w:t>
      </w:r>
    </w:p>
    <w:p w14:paraId="5EA473EA"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It is equally erroneous to reason that a continuing detention order made under Div 105A cannot be punitive in a broad sense because it is thought to be inconsistent with an a priori conception of proportionality between criminal punishment and the crime committed. A prisoner who was scheduled for execution for the offence of robbery in the 19th century would be unlikely to be persuaded by the suggestion that the execution was not punishment because it was a </w:t>
      </w:r>
      <w:r w:rsidRPr="003C5786">
        <w:rPr>
          <w:rFonts w:ascii="Times New Roman" w:hAnsi="Times New Roman"/>
        </w:rPr>
        <w:lastRenderedPageBreak/>
        <w:t>disproportionate order imposed to discourage others on the theory that punishment for a few will deter all</w:t>
      </w:r>
      <w:r w:rsidRPr="003C5786">
        <w:rPr>
          <w:rStyle w:val="FootnoteReference"/>
          <w:rFonts w:ascii="Times New Roman" w:hAnsi="Times New Roman"/>
          <w:sz w:val="24"/>
        </w:rPr>
        <w:footnoteReference w:id="349"/>
      </w:r>
      <w:r w:rsidRPr="003C5786">
        <w:rPr>
          <w:rFonts w:ascii="Times New Roman" w:hAnsi="Times New Roman"/>
        </w:rPr>
        <w:t>.</w:t>
      </w:r>
    </w:p>
    <w:p w14:paraId="65FFC7A6"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When a power, such as that in Div 105A, is punitive in the broad sense conveyed in </w:t>
      </w:r>
      <w:r w:rsidRPr="003C5786">
        <w:rPr>
          <w:rFonts w:ascii="Times New Roman" w:hAnsi="Times New Roman"/>
          <w:i/>
        </w:rPr>
        <w:t>Lim</w:t>
      </w:r>
      <w:r w:rsidRPr="003C5786">
        <w:rPr>
          <w:rFonts w:ascii="Times New Roman" w:hAnsi="Times New Roman"/>
        </w:rPr>
        <w:t xml:space="preserve"> it is a power that can only be conferred upon the judiciary, an exclusively judicial power. It must be conferred upon the judiciary in the form of judicial power. And it must also be "accompanied by the necessary curial and judicial character"</w:t>
      </w:r>
      <w:r w:rsidRPr="003C5786">
        <w:rPr>
          <w:rStyle w:val="FootnoteReference"/>
          <w:rFonts w:ascii="Times New Roman" w:hAnsi="Times New Roman"/>
          <w:sz w:val="24"/>
        </w:rPr>
        <w:footnoteReference w:id="350"/>
      </w:r>
      <w:r w:rsidRPr="003C5786">
        <w:rPr>
          <w:rFonts w:ascii="Times New Roman" w:hAnsi="Times New Roman"/>
        </w:rPr>
        <w:t>; that is, as a matter of substance it must also be a power that is exercised judicially. An order that imprisons a person for something that they have not done, but might do, has been said to deprive the person "of the rights of a human being"</w:t>
      </w:r>
      <w:r w:rsidRPr="003C5786">
        <w:rPr>
          <w:rStyle w:val="FootnoteReference"/>
          <w:rFonts w:ascii="Times New Roman" w:hAnsi="Times New Roman"/>
          <w:sz w:val="24"/>
        </w:rPr>
        <w:footnoteReference w:id="351"/>
      </w:r>
      <w:r w:rsidRPr="003C5786">
        <w:rPr>
          <w:rFonts w:ascii="Times New Roman" w:hAnsi="Times New Roman"/>
        </w:rPr>
        <w:t xml:space="preserve"> and to treat them as "judged to have lost all of their essential humanity"</w:t>
      </w:r>
      <w:r w:rsidRPr="003C5786">
        <w:rPr>
          <w:rStyle w:val="FootnoteReference"/>
          <w:rFonts w:ascii="Times New Roman" w:hAnsi="Times New Roman"/>
          <w:sz w:val="24"/>
        </w:rPr>
        <w:footnoteReference w:id="352"/>
      </w:r>
      <w:r w:rsidRPr="003C5786">
        <w:rPr>
          <w:rFonts w:ascii="Times New Roman" w:hAnsi="Times New Roman"/>
        </w:rPr>
        <w:t>. To the extent that a continuing detention order is only forward</w:t>
      </w:r>
      <w:r w:rsidRPr="003C5786">
        <w:rPr>
          <w:rFonts w:ascii="Times New Roman" w:hAnsi="Times New Roman"/>
        </w:rPr>
        <w:noBreakHyphen/>
        <w:t xml:space="preserve">looking it can be seen to involve individual injustice. But this alone does not make the exercise of such a punitive power unjudicial. Commonwealth judicial power operates also at a social or systemic level. It involves implementing justified legislative policies, even those that might cause individual injustice. Courts should be wary before invalidating, as unjustified, a power that can only be exercised as a last resort in order to implement legislative policy with a fundamental purpose of ensuring the safety and protection of the community. The power contained in Div 105A of the </w:t>
      </w:r>
      <w:r w:rsidRPr="003C5786">
        <w:rPr>
          <w:rFonts w:ascii="Times New Roman" w:hAnsi="Times New Roman"/>
          <w:i/>
          <w:iCs/>
        </w:rPr>
        <w:t>Criminal Code</w:t>
      </w:r>
      <w:r w:rsidRPr="003C5786">
        <w:rPr>
          <w:rFonts w:ascii="Times New Roman" w:hAnsi="Times New Roman"/>
        </w:rPr>
        <w:t xml:space="preserve"> is, in form, a judicial power and in its manner of exercise it is justified and valid.</w:t>
      </w:r>
    </w:p>
    <w:p w14:paraId="209B1DDF" w14:textId="77777777" w:rsidR="00CE4181" w:rsidRPr="003C5786" w:rsidRDefault="00CE4181" w:rsidP="003C5786">
      <w:pPr>
        <w:pStyle w:val="HeadingL1"/>
        <w:spacing w:after="260" w:line="280" w:lineRule="exact"/>
        <w:ind w:right="0"/>
        <w:jc w:val="both"/>
        <w:rPr>
          <w:rFonts w:ascii="Times New Roman" w:hAnsi="Times New Roman"/>
          <w:i/>
          <w:iCs/>
        </w:rPr>
      </w:pPr>
      <w:r w:rsidRPr="003C5786">
        <w:rPr>
          <w:rFonts w:ascii="Times New Roman" w:hAnsi="Times New Roman"/>
        </w:rPr>
        <w:t xml:space="preserve">Mr </w:t>
      </w:r>
      <w:proofErr w:type="spellStart"/>
      <w:r w:rsidRPr="003C5786">
        <w:rPr>
          <w:rFonts w:ascii="Times New Roman" w:hAnsi="Times New Roman"/>
        </w:rPr>
        <w:t>Benbrika's</w:t>
      </w:r>
      <w:proofErr w:type="spellEnd"/>
      <w:r w:rsidRPr="003C5786">
        <w:rPr>
          <w:rFonts w:ascii="Times New Roman" w:hAnsi="Times New Roman"/>
        </w:rPr>
        <w:t xml:space="preserve"> circumstances</w:t>
      </w:r>
    </w:p>
    <w:p w14:paraId="79D5C36F"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In 2008, Mr Benbrika was convicted under ss 102.2(1) and 102.3(1) in Pt 5.3 of the </w:t>
      </w:r>
      <w:r w:rsidRPr="003C5786">
        <w:rPr>
          <w:rFonts w:ascii="Times New Roman" w:hAnsi="Times New Roman"/>
          <w:i/>
          <w:iCs/>
        </w:rPr>
        <w:t xml:space="preserve">Criminal Code </w:t>
      </w:r>
      <w:r w:rsidRPr="003C5786">
        <w:rPr>
          <w:rFonts w:ascii="Times New Roman" w:hAnsi="Times New Roman"/>
        </w:rPr>
        <w:t xml:space="preserve">of the offences of intentionally directing the activities of a terrorist organisation and intentional membership of a terrorist organisation. His total effective sentence of 15 years' imprisonment was due to expire on 5 November 2020. On 4 September 2020, the Minister applied to the Supreme Court of Victoria under s 105A.5 of the </w:t>
      </w:r>
      <w:r w:rsidRPr="003C5786">
        <w:rPr>
          <w:rFonts w:ascii="Times New Roman" w:hAnsi="Times New Roman"/>
          <w:i/>
        </w:rPr>
        <w:t xml:space="preserve">Criminal Code </w:t>
      </w:r>
      <w:r w:rsidRPr="003C5786">
        <w:rPr>
          <w:rFonts w:ascii="Times New Roman" w:hAnsi="Times New Roman"/>
        </w:rPr>
        <w:t xml:space="preserve">for a continuing detention </w:t>
      </w:r>
      <w:r w:rsidRPr="003C5786">
        <w:rPr>
          <w:rFonts w:ascii="Times New Roman" w:hAnsi="Times New Roman"/>
        </w:rPr>
        <w:lastRenderedPageBreak/>
        <w:t>order in relation to Mr Benbrika. The Minister asserted that Mr Benbrika poses an unacceptable risk of committing numerous terrorism-related offences</w:t>
      </w:r>
      <w:r w:rsidRPr="003C5786">
        <w:rPr>
          <w:rStyle w:val="FootnoteReference"/>
          <w:rFonts w:ascii="Times New Roman" w:hAnsi="Times New Roman"/>
          <w:sz w:val="24"/>
        </w:rPr>
        <w:footnoteReference w:id="353"/>
      </w:r>
      <w:r w:rsidRPr="003C5786">
        <w:rPr>
          <w:rFonts w:ascii="Times New Roman" w:hAnsi="Times New Roman"/>
        </w:rPr>
        <w:t>. Following the conclusion of his sentence, Mr Benbrika was the subject of an interim detention order which was due to expire on 30 December 2020.</w:t>
      </w:r>
    </w:p>
    <w:p w14:paraId="18B767D9"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Subsequent to the hearing of the question reserved, this Court was informed by the parties that a continuing detention order was made against Mr Benbrika in the Supreme Court of Victoria on 24 December 2020. The term of that order was the statutory maximum period of three years</w:t>
      </w:r>
      <w:r w:rsidRPr="003C5786">
        <w:rPr>
          <w:rStyle w:val="FootnoteReference"/>
          <w:rFonts w:ascii="Times New Roman" w:hAnsi="Times New Roman"/>
          <w:sz w:val="24"/>
        </w:rPr>
        <w:footnoteReference w:id="354"/>
      </w:r>
      <w:r w:rsidRPr="003C5786">
        <w:rPr>
          <w:rFonts w:ascii="Times New Roman" w:hAnsi="Times New Roman"/>
        </w:rPr>
        <w:t>.</w:t>
      </w:r>
    </w:p>
    <w:p w14:paraId="4F17A04F" w14:textId="77777777" w:rsidR="00CE4181" w:rsidRPr="003C5786" w:rsidRDefault="00CE4181" w:rsidP="003C5786">
      <w:pPr>
        <w:pStyle w:val="HeadingL1"/>
        <w:spacing w:after="260" w:line="280" w:lineRule="exact"/>
        <w:ind w:right="0"/>
        <w:jc w:val="both"/>
        <w:rPr>
          <w:rFonts w:ascii="Times New Roman" w:hAnsi="Times New Roman"/>
        </w:rPr>
      </w:pPr>
      <w:r w:rsidRPr="003C5786">
        <w:rPr>
          <w:rFonts w:ascii="Times New Roman" w:hAnsi="Times New Roman"/>
        </w:rPr>
        <w:t xml:space="preserve">The operation and character of Div 105A of the </w:t>
      </w:r>
      <w:r w:rsidRPr="003C5786">
        <w:rPr>
          <w:rFonts w:ascii="Times New Roman" w:hAnsi="Times New Roman"/>
          <w:i/>
        </w:rPr>
        <w:t>Criminal Code</w:t>
      </w:r>
    </w:p>
    <w:p w14:paraId="586DE48B" w14:textId="77777777" w:rsidR="00CE4181" w:rsidRPr="003C5786" w:rsidRDefault="00CE4181" w:rsidP="003C5786">
      <w:pPr>
        <w:pStyle w:val="HeadingL2"/>
        <w:spacing w:after="260" w:line="280" w:lineRule="exact"/>
        <w:ind w:right="0"/>
        <w:jc w:val="both"/>
        <w:rPr>
          <w:rFonts w:ascii="Times New Roman" w:hAnsi="Times New Roman"/>
        </w:rPr>
      </w:pPr>
      <w:r w:rsidRPr="003C5786">
        <w:rPr>
          <w:rFonts w:ascii="Times New Roman" w:hAnsi="Times New Roman"/>
        </w:rPr>
        <w:t>The operation of Div 105A</w:t>
      </w:r>
    </w:p>
    <w:p w14:paraId="0AE58D47"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Any challenge to the validity of a legislative provision requires the provision to be interpreted so that its meaning and scope of application can be ascertained. If necessary to ensure validity the meaning can be read down, severed in part, or disapplied in its application</w:t>
      </w:r>
      <w:r w:rsidRPr="003C5786">
        <w:rPr>
          <w:rStyle w:val="FootnoteReference"/>
          <w:rFonts w:ascii="Times New Roman" w:hAnsi="Times New Roman"/>
          <w:sz w:val="24"/>
        </w:rPr>
        <w:footnoteReference w:id="355"/>
      </w:r>
      <w:r w:rsidRPr="003C5786">
        <w:rPr>
          <w:rFonts w:ascii="Times New Roman" w:hAnsi="Times New Roman"/>
        </w:rPr>
        <w:t xml:space="preserve">. </w:t>
      </w:r>
    </w:p>
    <w:p w14:paraId="23699C09" w14:textId="1484C024"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Part 5.3 of the </w:t>
      </w:r>
      <w:r w:rsidRPr="003C5786">
        <w:rPr>
          <w:rFonts w:ascii="Times New Roman" w:hAnsi="Times New Roman"/>
          <w:i/>
        </w:rPr>
        <w:t xml:space="preserve">Criminal Code </w:t>
      </w:r>
      <w:r w:rsidRPr="003C5786">
        <w:rPr>
          <w:rFonts w:ascii="Times New Roman" w:hAnsi="Times New Roman"/>
        </w:rPr>
        <w:t xml:space="preserve">is concerned with terrorism. The Pt 5.3 remedial regime includes </w:t>
      </w:r>
      <w:proofErr w:type="spellStart"/>
      <w:r w:rsidRPr="003C5786">
        <w:rPr>
          <w:rFonts w:ascii="Times New Roman" w:hAnsi="Times New Roman"/>
        </w:rPr>
        <w:t>Divs</w:t>
      </w:r>
      <w:proofErr w:type="spellEnd"/>
      <w:r w:rsidRPr="003C5786">
        <w:rPr>
          <w:rFonts w:ascii="Times New Roman" w:hAnsi="Times New Roman"/>
        </w:rPr>
        <w:t xml:space="preserve"> 104, 105 and 105A. Division 104 creates sweeping powers to restrict a person's liberty through interim control orders, in circumstances which do not require the commission of an offence. The validity of </w:t>
      </w:r>
      <w:proofErr w:type="spellStart"/>
      <w:r w:rsidR="004E7F58">
        <w:rPr>
          <w:rFonts w:ascii="Times New Roman" w:hAnsi="Times New Roman"/>
        </w:rPr>
        <w:t>S</w:t>
      </w:r>
      <w:r w:rsidR="00395865">
        <w:rPr>
          <w:rFonts w:ascii="Times New Roman" w:hAnsi="Times New Roman"/>
        </w:rPr>
        <w:t>ubdiv</w:t>
      </w:r>
      <w:proofErr w:type="spellEnd"/>
      <w:r w:rsidR="00096B81">
        <w:rPr>
          <w:rFonts w:ascii="Times New Roman" w:hAnsi="Times New Roman"/>
        </w:rPr>
        <w:t xml:space="preserve"> B of </w:t>
      </w:r>
      <w:proofErr w:type="spellStart"/>
      <w:r w:rsidRPr="003C5786">
        <w:rPr>
          <w:rFonts w:ascii="Times New Roman" w:hAnsi="Times New Roman"/>
        </w:rPr>
        <w:t>Div</w:t>
      </w:r>
      <w:proofErr w:type="spellEnd"/>
      <w:r w:rsidRPr="003C5786">
        <w:rPr>
          <w:rFonts w:ascii="Times New Roman" w:hAnsi="Times New Roman"/>
        </w:rPr>
        <w:t xml:space="preserve"> 104 was upheld by this Court in </w:t>
      </w:r>
      <w:r w:rsidRPr="003C5786">
        <w:rPr>
          <w:rFonts w:ascii="Times New Roman" w:hAnsi="Times New Roman"/>
          <w:i/>
          <w:iCs/>
        </w:rPr>
        <w:t>Thomas v Mowbray</w:t>
      </w:r>
      <w:r w:rsidRPr="003C5786">
        <w:rPr>
          <w:rStyle w:val="FootnoteReference"/>
          <w:rFonts w:ascii="Times New Roman" w:hAnsi="Times New Roman"/>
          <w:sz w:val="24"/>
        </w:rPr>
        <w:footnoteReference w:id="356"/>
      </w:r>
      <w:r w:rsidRPr="003C5786">
        <w:rPr>
          <w:rFonts w:ascii="Times New Roman" w:hAnsi="Times New Roman"/>
        </w:rPr>
        <w:t>. Division</w:t>
      </w:r>
      <w:r w:rsidR="00F173F8">
        <w:rPr>
          <w:rFonts w:ascii="Times New Roman" w:hAnsi="Times New Roman"/>
        </w:rPr>
        <w:t> </w:t>
      </w:r>
      <w:r w:rsidRPr="003C5786">
        <w:rPr>
          <w:rFonts w:ascii="Times New Roman" w:hAnsi="Times New Roman"/>
        </w:rPr>
        <w:t>105 creates a power to make preventative detention orders in order to prevent a terrorist act that is capable of being carried out, and could occur, within the next 14 days, or to preserve evidence of, or relating to, a recent terrorist act</w:t>
      </w:r>
      <w:r w:rsidRPr="003C5786">
        <w:rPr>
          <w:rStyle w:val="FootnoteReference"/>
          <w:rFonts w:ascii="Times New Roman" w:hAnsi="Times New Roman"/>
          <w:sz w:val="24"/>
        </w:rPr>
        <w:footnoteReference w:id="357"/>
      </w:r>
      <w:r w:rsidRPr="003C5786">
        <w:rPr>
          <w:rFonts w:ascii="Times New Roman" w:hAnsi="Times New Roman"/>
        </w:rPr>
        <w:t>. Division</w:t>
      </w:r>
      <w:r w:rsidR="008D2048">
        <w:rPr>
          <w:rFonts w:ascii="Times New Roman" w:hAnsi="Times New Roman"/>
        </w:rPr>
        <w:t> </w:t>
      </w:r>
      <w:r w:rsidRPr="003C5786">
        <w:rPr>
          <w:rFonts w:ascii="Times New Roman" w:hAnsi="Times New Roman"/>
        </w:rPr>
        <w:t xml:space="preserve">105A was enacted by the Commonwealth Parliament following, and relying in part upon, a reference of power from the Parliaments of the States under </w:t>
      </w:r>
      <w:r w:rsidRPr="003C5786">
        <w:rPr>
          <w:rFonts w:ascii="Times New Roman" w:hAnsi="Times New Roman"/>
        </w:rPr>
        <w:lastRenderedPageBreak/>
        <w:t xml:space="preserve">s 51(xxxvii) of the </w:t>
      </w:r>
      <w:r w:rsidRPr="003C5786">
        <w:rPr>
          <w:rFonts w:ascii="Times New Roman" w:hAnsi="Times New Roman"/>
          <w:i/>
        </w:rPr>
        <w:t>Constitution</w:t>
      </w:r>
      <w:r w:rsidRPr="003C5786">
        <w:rPr>
          <w:rStyle w:val="FootnoteReference"/>
          <w:rFonts w:ascii="Times New Roman" w:hAnsi="Times New Roman"/>
          <w:sz w:val="24"/>
        </w:rPr>
        <w:footnoteReference w:id="358"/>
      </w:r>
      <w:r w:rsidRPr="003C5786">
        <w:rPr>
          <w:rFonts w:ascii="Times New Roman" w:hAnsi="Times New Roman"/>
        </w:rPr>
        <w:t>. The object of Div 105A is to "ensure the safety and protection of the community by providing for the continuing detention of terrorist offenders who pose an unacceptable risk of committing serious Part 5.3 offences if released into the community"</w:t>
      </w:r>
      <w:r w:rsidRPr="003C5786">
        <w:rPr>
          <w:rStyle w:val="FootnoteReference"/>
          <w:rFonts w:ascii="Times New Roman" w:hAnsi="Times New Roman"/>
          <w:sz w:val="24"/>
        </w:rPr>
        <w:footnoteReference w:id="359"/>
      </w:r>
      <w:r w:rsidRPr="003C5786">
        <w:rPr>
          <w:rFonts w:ascii="Times New Roman" w:hAnsi="Times New Roman"/>
        </w:rPr>
        <w:t>. It creates a judicial power to make continuing detention orders where a terrorist offender poses an unacceptable risk of committing a terrorism</w:t>
      </w:r>
      <w:r w:rsidRPr="003C5786">
        <w:rPr>
          <w:rFonts w:ascii="Times New Roman" w:hAnsi="Times New Roman"/>
        </w:rPr>
        <w:noBreakHyphen/>
        <w:t>related offence under Pt 5.3 if released into the community.</w:t>
      </w:r>
    </w:p>
    <w:p w14:paraId="2593C470"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The range of terrorism-related offences in Pt 5.3 of the </w:t>
      </w:r>
      <w:r w:rsidRPr="003C5786">
        <w:rPr>
          <w:rFonts w:ascii="Times New Roman" w:hAnsi="Times New Roman"/>
          <w:i/>
        </w:rPr>
        <w:t xml:space="preserve">Criminal Code </w:t>
      </w:r>
      <w:r w:rsidRPr="003C5786">
        <w:rPr>
          <w:rFonts w:ascii="Times New Roman" w:hAnsi="Times New Roman"/>
        </w:rPr>
        <w:t>is wide. The offences include those that could cause significant and widespread harm to the community such as committing "terrorist acts" which intimidate the public for a political, religious or ideological cause with the intention of causing death to people</w:t>
      </w:r>
      <w:r w:rsidRPr="003C5786">
        <w:rPr>
          <w:rStyle w:val="FootnoteReference"/>
          <w:rFonts w:ascii="Times New Roman" w:hAnsi="Times New Roman"/>
          <w:sz w:val="24"/>
        </w:rPr>
        <w:footnoteReference w:id="360"/>
      </w:r>
      <w:r w:rsidRPr="003C5786">
        <w:rPr>
          <w:rFonts w:ascii="Times New Roman" w:hAnsi="Times New Roman"/>
        </w:rPr>
        <w:t>. The offences can also be less extreme, extending, for example, to "preliminary acts" which "do not themselves constitute terrorist acts"</w:t>
      </w:r>
      <w:r w:rsidRPr="003C5786">
        <w:rPr>
          <w:rStyle w:val="FootnoteReference"/>
          <w:rFonts w:ascii="Times New Roman" w:hAnsi="Times New Roman"/>
          <w:sz w:val="24"/>
        </w:rPr>
        <w:footnoteReference w:id="361"/>
      </w:r>
      <w:r w:rsidRPr="003C5786">
        <w:rPr>
          <w:rFonts w:ascii="Times New Roman" w:hAnsi="Times New Roman"/>
        </w:rPr>
        <w:t xml:space="preserve"> but which are preliminary to causing "serious damage" to property</w:t>
      </w:r>
      <w:r w:rsidRPr="003C5786">
        <w:rPr>
          <w:rStyle w:val="FootnoteReference"/>
          <w:rFonts w:ascii="Times New Roman" w:hAnsi="Times New Roman"/>
          <w:sz w:val="24"/>
        </w:rPr>
        <w:footnoteReference w:id="362"/>
      </w:r>
      <w:r w:rsidRPr="003C5786">
        <w:rPr>
          <w:rFonts w:ascii="Times New Roman" w:hAnsi="Times New Roman"/>
        </w:rPr>
        <w:t>. But these less extreme actions must still be taken with the intention of: (</w:t>
      </w:r>
      <w:proofErr w:type="spellStart"/>
      <w:r w:rsidRPr="003C5786">
        <w:rPr>
          <w:rFonts w:ascii="Times New Roman" w:hAnsi="Times New Roman"/>
        </w:rPr>
        <w:t>i</w:t>
      </w:r>
      <w:proofErr w:type="spellEnd"/>
      <w:r w:rsidRPr="003C5786">
        <w:rPr>
          <w:rFonts w:ascii="Times New Roman" w:hAnsi="Times New Roman"/>
        </w:rPr>
        <w:t>) "advancing a political, religious or ideological cause"; and (ii) "coercing, or influencing by intimidation, the government of the Commonwealth or a State, Territory or foreign country, or of part of a State, Territory or foreign country" or "intimidating the public or a section of the public"</w:t>
      </w:r>
      <w:r w:rsidRPr="003C5786">
        <w:rPr>
          <w:rStyle w:val="FootnoteReference"/>
          <w:rFonts w:ascii="Times New Roman" w:hAnsi="Times New Roman"/>
          <w:sz w:val="24"/>
        </w:rPr>
        <w:footnoteReference w:id="363"/>
      </w:r>
      <w:r w:rsidRPr="003C5786">
        <w:rPr>
          <w:rFonts w:ascii="Times New Roman" w:hAnsi="Times New Roman"/>
        </w:rPr>
        <w:t>. And, even acts with this intention will not constitute terrorist acts if they are for reasons of "advocacy, protest, dissent or industrial action" and are not intended to cause various types of serious harm to people</w:t>
      </w:r>
      <w:r w:rsidRPr="003C5786">
        <w:rPr>
          <w:rStyle w:val="FootnoteReference"/>
          <w:rFonts w:ascii="Times New Roman" w:hAnsi="Times New Roman"/>
          <w:sz w:val="24"/>
        </w:rPr>
        <w:footnoteReference w:id="364"/>
      </w:r>
      <w:r w:rsidRPr="003C5786">
        <w:rPr>
          <w:rFonts w:ascii="Times New Roman" w:hAnsi="Times New Roman"/>
        </w:rPr>
        <w:t>. There are also offences "connected" with terrorist acts. These include, in broad terms, where a person with the requisite intention or recklessness</w:t>
      </w:r>
      <w:r w:rsidRPr="003C5786">
        <w:rPr>
          <w:rStyle w:val="FootnoteReference"/>
          <w:rFonts w:ascii="Times New Roman" w:hAnsi="Times New Roman"/>
          <w:sz w:val="24"/>
        </w:rPr>
        <w:footnoteReference w:id="365"/>
      </w:r>
      <w:r w:rsidRPr="003C5786">
        <w:rPr>
          <w:rFonts w:ascii="Times New Roman" w:hAnsi="Times New Roman"/>
        </w:rPr>
        <w:t xml:space="preserve"> performs actions of </w:t>
      </w:r>
      <w:r w:rsidRPr="003C5786">
        <w:rPr>
          <w:rFonts w:ascii="Times New Roman" w:hAnsi="Times New Roman"/>
        </w:rPr>
        <w:lastRenderedPageBreak/>
        <w:t>preparation for or planning of a terrorist act</w:t>
      </w:r>
      <w:r w:rsidRPr="003C5786">
        <w:rPr>
          <w:rStyle w:val="FootnoteReference"/>
          <w:rFonts w:ascii="Times New Roman" w:hAnsi="Times New Roman"/>
          <w:sz w:val="24"/>
        </w:rPr>
        <w:footnoteReference w:id="366"/>
      </w:r>
      <w:r w:rsidRPr="003C5786">
        <w:rPr>
          <w:rFonts w:ascii="Times New Roman" w:hAnsi="Times New Roman"/>
        </w:rPr>
        <w:t>, or, knowing of a variously described connection with a terrorist act, or reckless as to the connection, provides or receives training, possesses things, or collects or makes documents</w:t>
      </w:r>
      <w:r w:rsidRPr="003C5786">
        <w:rPr>
          <w:rStyle w:val="FootnoteReference"/>
          <w:rFonts w:ascii="Times New Roman" w:hAnsi="Times New Roman"/>
          <w:sz w:val="24"/>
        </w:rPr>
        <w:footnoteReference w:id="367"/>
      </w:r>
      <w:r w:rsidRPr="003C5786">
        <w:rPr>
          <w:rFonts w:ascii="Times New Roman" w:hAnsi="Times New Roman"/>
        </w:rPr>
        <w:t>.</w:t>
      </w:r>
    </w:p>
    <w:p w14:paraId="30E3B4E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The pre-conditions to a court making a continuing detention order under s 105A.7(1) include that it must be satisfied: (</w:t>
      </w:r>
      <w:proofErr w:type="spellStart"/>
      <w:r w:rsidRPr="003C5786">
        <w:rPr>
          <w:rFonts w:ascii="Times New Roman" w:hAnsi="Times New Roman"/>
        </w:rPr>
        <w:t>i</w:t>
      </w:r>
      <w:proofErr w:type="spellEnd"/>
      <w:r w:rsidRPr="003C5786">
        <w:rPr>
          <w:rFonts w:ascii="Times New Roman" w:hAnsi="Times New Roman"/>
        </w:rPr>
        <w:t>) to a high degree of probability, on the basis of admissible evidence, that the offender poses an unacceptable risk of committing an offence against Pt 5.3 for which the maximum imprisonment is seven years or more if the offender is released into the community (a "serious Part 5.3 offence")</w:t>
      </w:r>
      <w:r w:rsidRPr="003C5786">
        <w:rPr>
          <w:rStyle w:val="FootnoteReference"/>
          <w:rFonts w:ascii="Times New Roman" w:hAnsi="Times New Roman"/>
          <w:sz w:val="24"/>
        </w:rPr>
        <w:footnoteReference w:id="368"/>
      </w:r>
      <w:r w:rsidRPr="003C5786">
        <w:rPr>
          <w:rFonts w:ascii="Times New Roman" w:hAnsi="Times New Roman"/>
        </w:rPr>
        <w:t>; and (ii) that there is no other, less restrictive measure that would be effective in preventing the unacceptable risk. The Australian Federal Police Minister bears the onus of satisfying the court of those matters</w:t>
      </w:r>
      <w:r w:rsidRPr="003C5786">
        <w:rPr>
          <w:rStyle w:val="FootnoteReference"/>
          <w:rFonts w:ascii="Times New Roman" w:hAnsi="Times New Roman"/>
          <w:sz w:val="24"/>
        </w:rPr>
        <w:footnoteReference w:id="369"/>
      </w:r>
      <w:r w:rsidRPr="003C5786">
        <w:rPr>
          <w:rFonts w:ascii="Times New Roman" w:hAnsi="Times New Roman"/>
        </w:rPr>
        <w:t>.</w:t>
      </w:r>
    </w:p>
    <w:p w14:paraId="2A9F24C9"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The criterion of an "unacceptable risk" of committing a serious Pt 5.3 offence is an open-textured expression commonly used in bail legislation</w:t>
      </w:r>
      <w:r w:rsidRPr="003C5786">
        <w:rPr>
          <w:rStyle w:val="FootnoteReference"/>
          <w:rFonts w:ascii="Times New Roman" w:hAnsi="Times New Roman"/>
          <w:sz w:val="24"/>
        </w:rPr>
        <w:footnoteReference w:id="370"/>
      </w:r>
      <w:r w:rsidRPr="003C5786">
        <w:rPr>
          <w:rFonts w:ascii="Times New Roman" w:hAnsi="Times New Roman"/>
        </w:rPr>
        <w:t>. In relation to a consideration of whether to deprive a parent of access to a child, this Court said that "unacceptable risk" requires a balancing of factors</w:t>
      </w:r>
      <w:r w:rsidRPr="003C5786">
        <w:rPr>
          <w:rStyle w:val="FootnoteReference"/>
          <w:rFonts w:ascii="Times New Roman" w:hAnsi="Times New Roman"/>
          <w:sz w:val="24"/>
        </w:rPr>
        <w:footnoteReference w:id="371"/>
      </w:r>
      <w:r w:rsidRPr="003C5786">
        <w:rPr>
          <w:rFonts w:ascii="Times New Roman" w:hAnsi="Times New Roman"/>
        </w:rPr>
        <w:t>. The same is true of s 105A.7(1)(b). Whether the risk of commission of a Pt 5.3 offence is "unacceptable" is not limited to the likelihood of the commission of the offence. It extends also to the magnitude of harm to the community in light of the interest that the terrorist offender has in their liberty</w:t>
      </w:r>
      <w:r w:rsidRPr="003C5786">
        <w:rPr>
          <w:rStyle w:val="FootnoteReference"/>
          <w:rFonts w:ascii="Times New Roman" w:hAnsi="Times New Roman"/>
          <w:sz w:val="24"/>
        </w:rPr>
        <w:footnoteReference w:id="372"/>
      </w:r>
      <w:r w:rsidRPr="003C5786">
        <w:rPr>
          <w:rFonts w:ascii="Times New Roman" w:hAnsi="Times New Roman"/>
        </w:rPr>
        <w:t>. Due to the separation of the "less restrictive measure" criterion, which expressly requires minimal intrusion into the liberty of the terrorist offender, the "unacceptable risk" criterion treats the liberty of the terrorist offender only as an "underlying assumption" when determining the likelihood and magnitude of harm that will be tolerable</w:t>
      </w:r>
      <w:r w:rsidRPr="003C5786">
        <w:rPr>
          <w:rStyle w:val="FootnoteReference"/>
          <w:rFonts w:ascii="Times New Roman" w:hAnsi="Times New Roman"/>
          <w:sz w:val="24"/>
        </w:rPr>
        <w:footnoteReference w:id="373"/>
      </w:r>
      <w:r w:rsidRPr="003C5786">
        <w:rPr>
          <w:rFonts w:ascii="Times New Roman" w:hAnsi="Times New Roman"/>
        </w:rPr>
        <w:t xml:space="preserve">. The focus is upon the likelihood of the commission of the offence and the magnitude of harm to the community. A level of risk which is not high, concerning an offence that would </w:t>
      </w:r>
      <w:r w:rsidRPr="003C5786">
        <w:rPr>
          <w:rFonts w:ascii="Times New Roman" w:hAnsi="Times New Roman"/>
        </w:rPr>
        <w:lastRenderedPageBreak/>
        <w:t>not greatly threaten the safety and protection of the community (and hence might not imperil the object of Div 105A</w:t>
      </w:r>
      <w:r w:rsidRPr="003C5786">
        <w:rPr>
          <w:rStyle w:val="FootnoteReference"/>
          <w:rFonts w:ascii="Times New Roman" w:hAnsi="Times New Roman"/>
          <w:sz w:val="24"/>
        </w:rPr>
        <w:footnoteReference w:id="374"/>
      </w:r>
      <w:r w:rsidRPr="003C5786">
        <w:rPr>
          <w:rFonts w:ascii="Times New Roman" w:hAnsi="Times New Roman"/>
        </w:rPr>
        <w:t>), might not be unacceptable although the same level of risk for an offence that greatly threatens the safety and protection of the community might be unacceptable.</w:t>
      </w:r>
    </w:p>
    <w:p w14:paraId="3652EEF7"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The need to consider both the likelihood of the commission of the offence and the magnitude of possible harm to the community when assessing whether a risk is "unacceptable" is reinforced by the mandatory considerations required when the court exercises the evaluative judgment of "acceptability" of the risk of a terrorist offender committing a serious Pt 5.3 offence. The mandatory considerations are prescribed in s 105A.8(1) in addition to other matters that the court considers relevant</w:t>
      </w:r>
      <w:r w:rsidRPr="003C5786">
        <w:rPr>
          <w:rStyle w:val="FootnoteReference"/>
          <w:rFonts w:ascii="Times New Roman" w:hAnsi="Times New Roman"/>
          <w:sz w:val="24"/>
        </w:rPr>
        <w:footnoteReference w:id="375"/>
      </w:r>
      <w:r w:rsidRPr="003C5786">
        <w:rPr>
          <w:rFonts w:ascii="Times New Roman" w:hAnsi="Times New Roman"/>
        </w:rPr>
        <w:t xml:space="preserve">. The first mandatory factor, concerning "the safety and protection of the community", requires the court to consider both the likelihood that a serious Pt 5.3 offence will be committed by the terrorist offender and the magnitude of harm to the community of such an offence. Naturally, the greater the potential harm to the community from commission of the offence and the more likely that harm is to occur, the more likely it is that the court will conclude that the risk is unacceptable. </w:t>
      </w:r>
    </w:p>
    <w:p w14:paraId="26A63932"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Another open-textured criterion is that the court must be satisfied that there is "no other less restrictive measure" that would be effective in preventing the unacceptable risk</w:t>
      </w:r>
      <w:r w:rsidRPr="003C5786">
        <w:rPr>
          <w:rStyle w:val="FootnoteReference"/>
          <w:rFonts w:ascii="Times New Roman" w:hAnsi="Times New Roman"/>
          <w:sz w:val="24"/>
        </w:rPr>
        <w:footnoteReference w:id="376"/>
      </w:r>
      <w:r w:rsidRPr="003C5786">
        <w:rPr>
          <w:rFonts w:ascii="Times New Roman" w:hAnsi="Times New Roman"/>
        </w:rPr>
        <w:t>. This does not require the elimination of the risk. It will be sufficient if the less restrictive measures are able to reduce the risk to a level that is not unacceptable. One less restrictive measure is a control order</w:t>
      </w:r>
      <w:r w:rsidRPr="003C5786">
        <w:rPr>
          <w:rStyle w:val="FootnoteReference"/>
          <w:rFonts w:ascii="Times New Roman" w:hAnsi="Times New Roman"/>
          <w:sz w:val="24"/>
        </w:rPr>
        <w:footnoteReference w:id="377"/>
      </w:r>
      <w:r w:rsidRPr="003C5786">
        <w:rPr>
          <w:rFonts w:ascii="Times New Roman" w:hAnsi="Times New Roman"/>
        </w:rPr>
        <w:t>. The breadth of possible obligations, prohibitions and restrictions that may be imposed on a person by a control order is almost unlimited. For instance, had Mr Benbrika been released from custody and had the control order imposed on him by the Federal Court come into force then he would have been required to do, amongst other things, all of the following</w:t>
      </w:r>
      <w:r w:rsidRPr="003C5786">
        <w:rPr>
          <w:rStyle w:val="FootnoteReference"/>
          <w:rFonts w:ascii="Times New Roman" w:hAnsi="Times New Roman"/>
          <w:sz w:val="24"/>
        </w:rPr>
        <w:footnoteReference w:id="378"/>
      </w:r>
      <w:r w:rsidRPr="003C5786">
        <w:rPr>
          <w:rFonts w:ascii="Times New Roman" w:hAnsi="Times New Roman"/>
        </w:rPr>
        <w:t xml:space="preserve">: wear a tracking device at all times or, alternatively, report daily to a police officer; remain at a specified premises between 10 pm and 6 am; avoid entering any prohibited places including exclusion zones at airports or ports and the residences of a long list of persons with whom association is also forbidden; not form, join or affiliate with any group, club or organisation without written permission from an Australian Federal Police Superintendent; not form prayer groups in or out of a Mosque, lead prayers, instruct others on leading </w:t>
      </w:r>
      <w:r w:rsidRPr="003C5786">
        <w:rPr>
          <w:rFonts w:ascii="Times New Roman" w:hAnsi="Times New Roman"/>
        </w:rPr>
        <w:lastRenderedPageBreak/>
        <w:t>prayers, or influence any other person in relation to religion in any group; and not access, or allow access on his behalf to, any telephone (other than one provided by the Australian Federal Police subject to strict conditions), computer, tablet or device or email without permission from an Australian Federal Police Superintendent and with any use subject to strict conditions. Breach of any of those requirements would render Mr Benbrika liable to imprisonment for contempt.</w:t>
      </w:r>
    </w:p>
    <w:p w14:paraId="51ED073C"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With the extraordinary breadth of possible control order obligations, and assuming the availability of sufficient police resources, it should be possible to reduce to an acceptable level the risk of the commission of many serious Pt 5.3 offences. An exception may be where the risk concerns an offence where the magnitude of harm to the community is great and the person's determination to commit the offence is strong. The possibility of a great magnitude of harm might mean that the risk would remain unacceptable even if extreme control measures and substantial police resourcing meant that the risk had become extremely small. And even if the risk remained unacceptable, a reduction in the extent of the risk by alternative available orders such as a control order upon the conclusion of the continuing detention might lead a court to impose a period of continuing detention that is shorter than would otherwise be imposed</w:t>
      </w:r>
      <w:r w:rsidRPr="003C5786">
        <w:rPr>
          <w:rStyle w:val="FootnoteReference"/>
          <w:rFonts w:ascii="Times New Roman" w:hAnsi="Times New Roman"/>
          <w:sz w:val="24"/>
        </w:rPr>
        <w:footnoteReference w:id="379"/>
      </w:r>
      <w:r w:rsidRPr="003C5786">
        <w:rPr>
          <w:rFonts w:ascii="Times New Roman" w:hAnsi="Times New Roman"/>
        </w:rPr>
        <w:t>.</w:t>
      </w:r>
    </w:p>
    <w:p w14:paraId="0D3B5AFF" w14:textId="77777777" w:rsidR="00CE4181" w:rsidRPr="003C5786" w:rsidRDefault="00CE4181" w:rsidP="003C5786">
      <w:pPr>
        <w:pStyle w:val="HeadingL1"/>
        <w:spacing w:after="260" w:line="280" w:lineRule="exact"/>
        <w:ind w:right="0"/>
        <w:jc w:val="both"/>
        <w:rPr>
          <w:rFonts w:ascii="Times New Roman" w:hAnsi="Times New Roman"/>
        </w:rPr>
      </w:pPr>
      <w:r w:rsidRPr="003C5786">
        <w:rPr>
          <w:rFonts w:ascii="Times New Roman" w:hAnsi="Times New Roman"/>
        </w:rPr>
        <w:t>The punitive nature of an order under Div 105A</w:t>
      </w:r>
    </w:p>
    <w:p w14:paraId="391EA614"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A vast literature has developed around preventive justice orders. Although doing so for various different reasons, many leading writers recognise that at least some preventive justice orders should be characterised as punitive</w:t>
      </w:r>
      <w:r w:rsidRPr="003C5786">
        <w:rPr>
          <w:rStyle w:val="FootnoteReference"/>
          <w:rFonts w:ascii="Times New Roman" w:hAnsi="Times New Roman"/>
          <w:sz w:val="24"/>
        </w:rPr>
        <w:footnoteReference w:id="380"/>
      </w:r>
      <w:r w:rsidRPr="003C5786">
        <w:rPr>
          <w:rFonts w:ascii="Times New Roman" w:hAnsi="Times New Roman"/>
        </w:rPr>
        <w:t>. Any denial of the punitive nature of preventive justice orders is usually carefully expressed by reference only to narrow definitions of criminal punishment in traditional terms confined to primarily backwards-looking orders of State retribution upon the adjudication of offences</w:t>
      </w:r>
      <w:r w:rsidRPr="003C5786">
        <w:rPr>
          <w:rStyle w:val="FootnoteReference"/>
          <w:rFonts w:ascii="Times New Roman" w:hAnsi="Times New Roman"/>
          <w:sz w:val="24"/>
        </w:rPr>
        <w:footnoteReference w:id="381"/>
      </w:r>
      <w:r w:rsidRPr="003C5786">
        <w:rPr>
          <w:rFonts w:ascii="Times New Roman" w:hAnsi="Times New Roman"/>
        </w:rPr>
        <w:t xml:space="preserve">. For the reasons below, to give "punishment" this narrow meaning in the context of assessing the principles of separation of powers </w:t>
      </w:r>
      <w:r w:rsidRPr="003C5786">
        <w:rPr>
          <w:rFonts w:ascii="Times New Roman" w:hAnsi="Times New Roman"/>
        </w:rPr>
        <w:lastRenderedPageBreak/>
        <w:t>would create incoherent distinctions based upon a category error that punishment and prevention are separate categories. Such a narrow meaning in this context could also have the potential to permit redefinition of "any measure which is claimed to be punishment as 'regulation,' and, magically, the Constitution no longer prohibits its imposition"</w:t>
      </w:r>
      <w:r w:rsidRPr="003C5786">
        <w:rPr>
          <w:rStyle w:val="FootnoteReference"/>
          <w:rFonts w:ascii="Times New Roman" w:hAnsi="Times New Roman"/>
          <w:sz w:val="24"/>
        </w:rPr>
        <w:footnoteReference w:id="382"/>
      </w:r>
      <w:r w:rsidRPr="003C5786">
        <w:rPr>
          <w:rFonts w:ascii="Times New Roman" w:hAnsi="Times New Roman"/>
        </w:rPr>
        <w:t xml:space="preserve">. And such a narrow meaning would not be consistent with the broader approach to punishment taken in the joint judgment in </w:t>
      </w:r>
      <w:r w:rsidRPr="003C5786">
        <w:rPr>
          <w:rFonts w:ascii="Times New Roman" w:hAnsi="Times New Roman"/>
          <w:i/>
          <w:iCs/>
        </w:rPr>
        <w:t xml:space="preserve">Lim </w:t>
      </w:r>
      <w:r w:rsidRPr="003C5786">
        <w:rPr>
          <w:rFonts w:ascii="Times New Roman" w:hAnsi="Times New Roman"/>
        </w:rPr>
        <w:t xml:space="preserve">or in the unanimous decision of this Court in </w:t>
      </w:r>
      <w:r w:rsidRPr="003C5786">
        <w:rPr>
          <w:rFonts w:ascii="Times New Roman" w:hAnsi="Times New Roman"/>
          <w:i/>
          <w:iCs/>
        </w:rPr>
        <w:t>Chester v The Queen</w:t>
      </w:r>
      <w:r w:rsidRPr="003C5786">
        <w:rPr>
          <w:rStyle w:val="FootnoteReference"/>
          <w:rFonts w:ascii="Times New Roman" w:hAnsi="Times New Roman"/>
          <w:sz w:val="24"/>
        </w:rPr>
        <w:footnoteReference w:id="383"/>
      </w:r>
      <w:r w:rsidRPr="003C5786">
        <w:rPr>
          <w:rFonts w:ascii="Times New Roman" w:hAnsi="Times New Roman"/>
        </w:rPr>
        <w:t xml:space="preserve">. </w:t>
      </w:r>
    </w:p>
    <w:p w14:paraId="67D62501"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If the category of "punishment" is not strictly confined to its traditional sense, the relationship between preventive justice orders and punishment might best be understood by reference to a spectrum. At one end of the spectrum are orders that are distant from traditional notions of criminal punishment. There, the orders can be characterised as purely protective. An example is orders confining in detention those who, by reason of extreme mental illness, pose a danger to the public: "[</w:t>
      </w:r>
      <w:proofErr w:type="spellStart"/>
      <w:r w:rsidRPr="003C5786">
        <w:rPr>
          <w:rFonts w:ascii="Times New Roman" w:hAnsi="Times New Roman"/>
        </w:rPr>
        <w:t>i</w:t>
      </w:r>
      <w:proofErr w:type="spellEnd"/>
      <w:r w:rsidRPr="003C5786">
        <w:rPr>
          <w:rFonts w:ascii="Times New Roman" w:hAnsi="Times New Roman"/>
        </w:rPr>
        <w:t>]t was the doctrine of our ancient law, that persons deprived of their reason might be confined till they recovered their senses"</w:t>
      </w:r>
      <w:r w:rsidRPr="003C5786">
        <w:rPr>
          <w:rStyle w:val="FootnoteReference"/>
          <w:rFonts w:ascii="Times New Roman" w:hAnsi="Times New Roman"/>
          <w:sz w:val="24"/>
        </w:rPr>
        <w:footnoteReference w:id="384"/>
      </w:r>
      <w:r w:rsidRPr="003C5786">
        <w:rPr>
          <w:rFonts w:ascii="Times New Roman" w:hAnsi="Times New Roman"/>
        </w:rPr>
        <w:t>. A more difficult example is orders made historically to "bind over" in order to keep the peace or to ensure good behaviour</w:t>
      </w:r>
      <w:r w:rsidRPr="003C5786">
        <w:rPr>
          <w:rStyle w:val="FootnoteReference"/>
          <w:rFonts w:ascii="Times New Roman" w:hAnsi="Times New Roman"/>
          <w:sz w:val="24"/>
        </w:rPr>
        <w:footnoteReference w:id="385"/>
      </w:r>
      <w:r w:rsidRPr="003C5786">
        <w:rPr>
          <w:rFonts w:ascii="Times New Roman" w:hAnsi="Times New Roman"/>
        </w:rPr>
        <w:t xml:space="preserve">. A person who was suspected of future misbehaviour would be required to give an undertaking and security as </w:t>
      </w:r>
      <w:r w:rsidRPr="003C5786">
        <w:rPr>
          <w:rFonts w:ascii="Times New Roman" w:hAnsi="Times New Roman"/>
          <w:iCs/>
        </w:rPr>
        <w:t>"</w:t>
      </w:r>
      <w:r w:rsidRPr="003C5786">
        <w:rPr>
          <w:rFonts w:ascii="Times New Roman" w:hAnsi="Times New Roman"/>
        </w:rPr>
        <w:t>full assurance to the public, that such offence as is apprehended shall not happen"</w:t>
      </w:r>
      <w:r w:rsidRPr="003C5786">
        <w:rPr>
          <w:rStyle w:val="FootnoteReference"/>
          <w:rFonts w:ascii="Times New Roman" w:hAnsi="Times New Roman"/>
          <w:iCs/>
          <w:sz w:val="24"/>
        </w:rPr>
        <w:footnoteReference w:id="386"/>
      </w:r>
      <w:r w:rsidRPr="003C5786">
        <w:rPr>
          <w:rFonts w:ascii="Times New Roman" w:hAnsi="Times New Roman"/>
        </w:rPr>
        <w:t>. The suspected behaviour need not have been criminal</w:t>
      </w:r>
      <w:r w:rsidRPr="003C5786">
        <w:rPr>
          <w:rStyle w:val="FootnoteReference"/>
          <w:rFonts w:ascii="Times New Roman" w:hAnsi="Times New Roman"/>
          <w:sz w:val="24"/>
        </w:rPr>
        <w:footnoteReference w:id="387"/>
      </w:r>
      <w:r w:rsidRPr="003C5786">
        <w:rPr>
          <w:rFonts w:ascii="Times New Roman" w:hAnsi="Times New Roman"/>
        </w:rPr>
        <w:t>. Some have argued that these orders are not equivalent to traditional criminal punishment</w:t>
      </w:r>
      <w:r w:rsidRPr="003C5786">
        <w:rPr>
          <w:rStyle w:val="FootnoteReference"/>
          <w:rFonts w:ascii="Times New Roman" w:hAnsi="Times New Roman"/>
          <w:sz w:val="24"/>
        </w:rPr>
        <w:footnoteReference w:id="388"/>
      </w:r>
      <w:r w:rsidRPr="003C5786">
        <w:rPr>
          <w:rFonts w:ascii="Times New Roman" w:hAnsi="Times New Roman"/>
        </w:rPr>
        <w:t xml:space="preserve">. But others have described </w:t>
      </w:r>
      <w:r w:rsidRPr="003C5786">
        <w:rPr>
          <w:rFonts w:ascii="Times New Roman" w:hAnsi="Times New Roman"/>
        </w:rPr>
        <w:lastRenderedPageBreak/>
        <w:t>them as "quasi-penal"</w:t>
      </w:r>
      <w:r w:rsidRPr="003C5786">
        <w:rPr>
          <w:rStyle w:val="FootnoteReference"/>
          <w:rFonts w:ascii="Times New Roman" w:hAnsi="Times New Roman"/>
          <w:sz w:val="24"/>
        </w:rPr>
        <w:footnoteReference w:id="389"/>
      </w:r>
      <w:r w:rsidRPr="003C5786">
        <w:rPr>
          <w:rFonts w:ascii="Times New Roman" w:hAnsi="Times New Roman"/>
        </w:rPr>
        <w:t>. Denning LJ once remarked that the proceedings are analogous to a criminal proceeding since, in substance, they are based not merely on a fear of what the person might do but upon the person's words or conduct giving rise to the apprehension and the failure to provide security could result in imprisonment</w:t>
      </w:r>
      <w:r w:rsidRPr="003C5786">
        <w:rPr>
          <w:rStyle w:val="FootnoteReference"/>
          <w:rFonts w:ascii="Times New Roman" w:hAnsi="Times New Roman"/>
          <w:sz w:val="24"/>
        </w:rPr>
        <w:footnoteReference w:id="390"/>
      </w:r>
      <w:r w:rsidRPr="003C5786">
        <w:rPr>
          <w:rFonts w:ascii="Times New Roman" w:hAnsi="Times New Roman"/>
        </w:rPr>
        <w:t>.</w:t>
      </w:r>
    </w:p>
    <w:p w14:paraId="1D568C1B"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At the other end of the spectrum are orders that are much closer to traditional notions of criminal punishment. These orders might be described as "protective punishment" to recognise both the contrasts and commonalities with traditional criminal punishment. The commonalities, discussed below, are the reason that at this end of the spectrum, as the European Court of Human Rights has observed, the same type of protective punishment order has been described in Italy as preventive and in France as penal</w:t>
      </w:r>
      <w:r w:rsidRPr="003C5786">
        <w:rPr>
          <w:rStyle w:val="FootnoteReference"/>
          <w:rFonts w:ascii="Times New Roman" w:hAnsi="Times New Roman"/>
          <w:sz w:val="24"/>
        </w:rPr>
        <w:footnoteReference w:id="391"/>
      </w:r>
      <w:r w:rsidRPr="003C5786">
        <w:rPr>
          <w:rFonts w:ascii="Times New Roman" w:hAnsi="Times New Roman"/>
        </w:rPr>
        <w:t>.</w:t>
      </w:r>
    </w:p>
    <w:p w14:paraId="1C499B2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An example of a protective order that has been recognised by this Court as punitive is that in </w:t>
      </w:r>
      <w:r w:rsidRPr="003C5786">
        <w:rPr>
          <w:rFonts w:ascii="Times New Roman" w:hAnsi="Times New Roman"/>
          <w:i/>
          <w:iCs/>
        </w:rPr>
        <w:t>Chester v The Queen</w:t>
      </w:r>
      <w:r w:rsidRPr="003C5786">
        <w:rPr>
          <w:rStyle w:val="FootnoteReference"/>
          <w:rFonts w:ascii="Times New Roman" w:hAnsi="Times New Roman"/>
          <w:sz w:val="24"/>
        </w:rPr>
        <w:footnoteReference w:id="392"/>
      </w:r>
      <w:r w:rsidRPr="003C5786">
        <w:rPr>
          <w:rFonts w:ascii="Times New Roman" w:hAnsi="Times New Roman"/>
        </w:rPr>
        <w:t>. There, this Court considered a power of a judge sentencing for an offence to order that a person be detained indefinitely at the Governor's pleasure at the conclusion of a sentence, with release to be in the discretion of the Parole Board. The Court treated this power as one to extend a sentence of imprisonment. In light of the common law principle that a sentence of imprisonment should not be extended beyond what is proportionate to the crime merely for the purpose of protection of society, the Court held that the exercise of the power should be reserved for "exceptional cases"</w:t>
      </w:r>
      <w:r w:rsidRPr="003C5786">
        <w:rPr>
          <w:rStyle w:val="FootnoteReference"/>
          <w:rFonts w:ascii="Times New Roman" w:hAnsi="Times New Roman"/>
          <w:sz w:val="24"/>
        </w:rPr>
        <w:footnoteReference w:id="393"/>
      </w:r>
      <w:r w:rsidRPr="003C5786">
        <w:rPr>
          <w:rFonts w:ascii="Times New Roman" w:hAnsi="Times New Roman"/>
        </w:rPr>
        <w:t>. The Court concluded that this exceptional power was punitive</w:t>
      </w:r>
      <w:r w:rsidRPr="003C5786">
        <w:rPr>
          <w:rStyle w:val="FootnoteReference"/>
          <w:rFonts w:ascii="Times New Roman" w:hAnsi="Times New Roman"/>
          <w:sz w:val="24"/>
        </w:rPr>
        <w:footnoteReference w:id="394"/>
      </w:r>
      <w:r w:rsidRPr="003C5786">
        <w:rPr>
          <w:rFonts w:ascii="Times New Roman" w:hAnsi="Times New Roman"/>
        </w:rPr>
        <w:t>:</w:t>
      </w:r>
    </w:p>
    <w:p w14:paraId="4ED15173" w14:textId="77777777" w:rsidR="00CE4181" w:rsidRDefault="00CE4181" w:rsidP="003C5786">
      <w:pPr>
        <w:pStyle w:val="LeftrightafterHC"/>
        <w:spacing w:before="0" w:after="260" w:line="280" w:lineRule="exact"/>
        <w:ind w:right="0"/>
        <w:jc w:val="both"/>
        <w:rPr>
          <w:rFonts w:ascii="Times New Roman" w:hAnsi="Times New Roman"/>
        </w:rPr>
      </w:pPr>
      <w:r w:rsidRPr="003C5786">
        <w:rPr>
          <w:rFonts w:ascii="Times New Roman" w:hAnsi="Times New Roman"/>
        </w:rPr>
        <w:t xml:space="preserve">"The stark and extraordinary nature of punishment by way of indeterminate detention, the term of which is terminable by executive, not by judicial, decision, requires that the sentencing judge be clearly satisfied by cogent </w:t>
      </w:r>
      <w:r w:rsidRPr="003C5786">
        <w:rPr>
          <w:rFonts w:ascii="Times New Roman" w:hAnsi="Times New Roman"/>
        </w:rPr>
        <w:lastRenderedPageBreak/>
        <w:t>evidence that the convicted person is a constant danger to the community in the sense already explained."</w:t>
      </w:r>
      <w:r w:rsidRPr="003C5786" w:rsidDel="00540130">
        <w:rPr>
          <w:rFonts w:ascii="Times New Roman" w:hAnsi="Times New Roman"/>
        </w:rPr>
        <w:t xml:space="preserve"> </w:t>
      </w:r>
    </w:p>
    <w:p w14:paraId="4F2E8A69"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For three reasons, the power to make a continuing detention order, like the power considered in </w:t>
      </w:r>
      <w:r w:rsidRPr="003C5786">
        <w:rPr>
          <w:rFonts w:ascii="Times New Roman" w:hAnsi="Times New Roman"/>
          <w:i/>
          <w:iCs/>
        </w:rPr>
        <w:t>Chester</w:t>
      </w:r>
      <w:r w:rsidRPr="003C5786">
        <w:rPr>
          <w:rFonts w:ascii="Times New Roman" w:hAnsi="Times New Roman"/>
          <w:iCs/>
        </w:rPr>
        <w:t>,</w:t>
      </w:r>
      <w:r w:rsidRPr="003C5786">
        <w:rPr>
          <w:rFonts w:ascii="Times New Roman" w:hAnsi="Times New Roman"/>
        </w:rPr>
        <w:t xml:space="preserve"> is sufficiently closely associated with concepts of traditional criminal punishment to attract the description of "protective punishment" when considering whether a continuing detention order under the </w:t>
      </w:r>
      <w:r w:rsidRPr="003C5786">
        <w:rPr>
          <w:rFonts w:ascii="Times New Roman" w:hAnsi="Times New Roman"/>
          <w:i/>
          <w:iCs/>
        </w:rPr>
        <w:t xml:space="preserve">Criminal Code </w:t>
      </w:r>
      <w:r w:rsidRPr="003C5786">
        <w:rPr>
          <w:rFonts w:ascii="Times New Roman" w:hAnsi="Times New Roman"/>
        </w:rPr>
        <w:t xml:space="preserve">is an exclusive exercise of the judicial power of the Commonwealth. </w:t>
      </w:r>
    </w:p>
    <w:p w14:paraId="4780AB9F"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First, there is a close association between detention and punishment: as one of the strongest forms of hard treatment, detention fulfils a central aspect of punishment. It is generally the "deprivation of liberty involved" in detention of a citizen that is the mark of a punitive power</w:t>
      </w:r>
      <w:r w:rsidRPr="003C5786">
        <w:rPr>
          <w:rStyle w:val="FootnoteReference"/>
          <w:rFonts w:ascii="Times New Roman" w:hAnsi="Times New Roman"/>
          <w:sz w:val="24"/>
        </w:rPr>
        <w:footnoteReference w:id="395"/>
      </w:r>
      <w:r w:rsidRPr="003C5786">
        <w:rPr>
          <w:rFonts w:ascii="Times New Roman" w:hAnsi="Times New Roman"/>
        </w:rPr>
        <w:t>. Unless some other, independent purpose can be identified, the order is likely to be characterised as punitive</w:t>
      </w:r>
      <w:r w:rsidRPr="003C5786">
        <w:rPr>
          <w:rStyle w:val="FootnoteReference"/>
          <w:rFonts w:ascii="Times New Roman" w:hAnsi="Times New Roman"/>
          <w:sz w:val="24"/>
        </w:rPr>
        <w:footnoteReference w:id="396"/>
      </w:r>
      <w:r w:rsidRPr="003C5786">
        <w:rPr>
          <w:rFonts w:ascii="Times New Roman" w:hAnsi="Times New Roman"/>
        </w:rPr>
        <w:t>. Protection of the community from crime is not an independent purpose. Indeed, on a consequentialist view, the ultimate focus of punishment is always the end "of preventing future crimes"</w:t>
      </w:r>
      <w:r w:rsidRPr="003C5786">
        <w:rPr>
          <w:rStyle w:val="FootnoteReference"/>
          <w:rFonts w:ascii="Times New Roman" w:hAnsi="Times New Roman"/>
          <w:sz w:val="24"/>
        </w:rPr>
        <w:footnoteReference w:id="397"/>
      </w:r>
      <w:r w:rsidRPr="003C5786">
        <w:rPr>
          <w:rFonts w:ascii="Times New Roman" w:hAnsi="Times New Roman"/>
        </w:rPr>
        <w:t xml:space="preserve">. But even on the more widely held view of punishment, as centrally concerned with retribution or moral desert, the goal of prevention remains important. As the Supreme Court of the United States said in </w:t>
      </w:r>
      <w:r w:rsidRPr="003C5786">
        <w:rPr>
          <w:rFonts w:ascii="Times New Roman" w:hAnsi="Times New Roman"/>
          <w:i/>
          <w:iCs/>
        </w:rPr>
        <w:t>United States v Brown</w:t>
      </w:r>
      <w:r w:rsidRPr="003C5786">
        <w:rPr>
          <w:rStyle w:val="FootnoteReference"/>
          <w:rFonts w:ascii="Times New Roman" w:hAnsi="Times New Roman"/>
          <w:sz w:val="24"/>
        </w:rPr>
        <w:footnoteReference w:id="398"/>
      </w:r>
      <w:r w:rsidRPr="003C5786">
        <w:rPr>
          <w:rFonts w:ascii="Times New Roman" w:hAnsi="Times New Roman"/>
        </w:rPr>
        <w:t xml:space="preserve">, it would be: </w:t>
      </w:r>
    </w:p>
    <w:p w14:paraId="2E44C58F" w14:textId="77777777" w:rsidR="00CE4181" w:rsidRDefault="00CE4181" w:rsidP="003C5786">
      <w:pPr>
        <w:pStyle w:val="LeftrightafterHC"/>
        <w:spacing w:before="0" w:after="260" w:line="280" w:lineRule="exact"/>
        <w:ind w:right="0"/>
        <w:jc w:val="both"/>
        <w:rPr>
          <w:rFonts w:ascii="Times New Roman" w:hAnsi="Times New Roman"/>
        </w:rPr>
      </w:pPr>
      <w:r w:rsidRPr="003C5786">
        <w:rPr>
          <w:rFonts w:ascii="Times New Roman" w:hAnsi="Times New Roman"/>
        </w:rPr>
        <w:t xml:space="preserve">"archaic to limit the definition of 'punishment' to 'retribution.' Punishment serves several purposes: retributive, rehabilitative, deterrent – and preventive. One of the reasons society imprisons those convicted of crimes is to keep them from inflicting future harm, but that does not make imprisonment any the less punishment." </w:t>
      </w:r>
    </w:p>
    <w:p w14:paraId="1F5BCDC7"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The close relationship between detention and punishment becomes even closer where the purpose of the detention is prevention of future crime. Whilst traditional criminal punishment is centrally backwards-looking in shaping its response to an offence based on moral desert, the punishment is also usually </w:t>
      </w:r>
      <w:r w:rsidRPr="003C5786">
        <w:rPr>
          <w:rFonts w:ascii="Times New Roman" w:hAnsi="Times New Roman"/>
        </w:rPr>
        <w:lastRenderedPageBreak/>
        <w:t>shaped by forward-looking criteria such as specific and general deterrence of the commission of similar offences in the future. Protective punishment, by continuing detention orders such as those made under Div 105A, is centrally forward-looking but one essential criterion is backwards-looking: the commission of a past offence of the same nature. Traditional criminal punishment and protective punishment both involve backwards-looking and forward-looking criteria although giving different weight to each.</w:t>
      </w:r>
    </w:p>
    <w:p w14:paraId="1FF20211"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Secondly, a continuing detention order under Div 105A is not wholly independent of the sentencing process. Although, unlike the sentencing process in </w:t>
      </w:r>
      <w:r w:rsidRPr="003C5786">
        <w:rPr>
          <w:rFonts w:ascii="Times New Roman" w:hAnsi="Times New Roman"/>
          <w:i/>
        </w:rPr>
        <w:t>Chester</w:t>
      </w:r>
      <w:r w:rsidRPr="003C5786">
        <w:rPr>
          <w:rFonts w:ascii="Times New Roman" w:hAnsi="Times New Roman"/>
        </w:rPr>
        <w:t>, a continuing detention order in Div 105A can only be made for the first time within the final 12 months of imprisonment</w:t>
      </w:r>
      <w:r w:rsidRPr="003C5786">
        <w:rPr>
          <w:rStyle w:val="FootnoteReference"/>
          <w:rFonts w:ascii="Times New Roman" w:hAnsi="Times New Roman"/>
          <w:sz w:val="24"/>
        </w:rPr>
        <w:footnoteReference w:id="399"/>
      </w:r>
      <w:r w:rsidRPr="003C5786">
        <w:rPr>
          <w:rFonts w:ascii="Times New Roman" w:hAnsi="Times New Roman"/>
        </w:rPr>
        <w:t>, the separation of powers principles that are affected by a characterisation of an order as punishment are concerned "with substance and not mere form"</w:t>
      </w:r>
      <w:r w:rsidRPr="003C5786">
        <w:rPr>
          <w:rStyle w:val="FootnoteReference"/>
          <w:rFonts w:ascii="Times New Roman" w:hAnsi="Times New Roman"/>
          <w:sz w:val="24"/>
        </w:rPr>
        <w:footnoteReference w:id="400"/>
      </w:r>
      <w:r w:rsidRPr="003C5786">
        <w:rPr>
          <w:rFonts w:ascii="Times New Roman" w:hAnsi="Times New Roman"/>
        </w:rPr>
        <w:t>. It would elevate form over substance if the mere expedient of having the judge make the order at the conclusion of the sentence rather than at the commencement of the sentence were sufficient for the continuing detention order to be characterised as something wholly different from a punitive regime. Indeed, when sentencing for a terrorism</w:t>
      </w:r>
      <w:r w:rsidRPr="003C5786">
        <w:rPr>
          <w:rFonts w:ascii="Times New Roman" w:hAnsi="Times New Roman"/>
        </w:rPr>
        <w:noBreakHyphen/>
        <w:t>related offence the court must warn the offender that an application may be made under Div 105A for a continuing detention order</w:t>
      </w:r>
      <w:r w:rsidRPr="003C5786">
        <w:rPr>
          <w:rStyle w:val="FootnoteReference"/>
          <w:rFonts w:ascii="Times New Roman" w:hAnsi="Times New Roman"/>
          <w:sz w:val="24"/>
        </w:rPr>
        <w:footnoteReference w:id="401"/>
      </w:r>
      <w:r w:rsidRPr="003C5786">
        <w:rPr>
          <w:rFonts w:ascii="Times New Roman" w:hAnsi="Times New Roman"/>
        </w:rPr>
        <w:t>. And during the continuing detention order, the offender will be detained in the same area or unit of a prison as prisoners serving sentences of imprisonment if, for example, that is reasonably necessary for the purposes of rehabilitation, treatment, work, education, general socialisation, or other group activities</w:t>
      </w:r>
      <w:r w:rsidRPr="003C5786">
        <w:rPr>
          <w:rStyle w:val="FootnoteReference"/>
          <w:rFonts w:ascii="Times New Roman" w:hAnsi="Times New Roman"/>
          <w:sz w:val="24"/>
        </w:rPr>
        <w:footnoteReference w:id="402"/>
      </w:r>
      <w:r w:rsidRPr="003C5786">
        <w:rPr>
          <w:rFonts w:ascii="Times New Roman" w:hAnsi="Times New Roman"/>
        </w:rPr>
        <w:t>.</w:t>
      </w:r>
    </w:p>
    <w:p w14:paraId="2246178D"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Thirdly, a continuing detention order is, at least, closely analogous to orders that meet the elements of Hart's classic "standard case" of punishment</w:t>
      </w:r>
      <w:r w:rsidRPr="003C5786">
        <w:rPr>
          <w:rStyle w:val="FootnoteReference"/>
          <w:rFonts w:ascii="Times New Roman" w:hAnsi="Times New Roman"/>
          <w:sz w:val="24"/>
        </w:rPr>
        <w:footnoteReference w:id="403"/>
      </w:r>
      <w:r w:rsidRPr="003C5786">
        <w:rPr>
          <w:rFonts w:ascii="Times New Roman" w:hAnsi="Times New Roman"/>
        </w:rPr>
        <w:t xml:space="preserve">. The only </w:t>
      </w:r>
      <w:r w:rsidRPr="003C5786">
        <w:rPr>
          <w:rFonts w:ascii="Times New Roman" w:hAnsi="Times New Roman"/>
        </w:rPr>
        <w:lastRenderedPageBreak/>
        <w:t>submission in this case which could suggest that a continuing detention order was other than a standard case of punishment was the submission by the Attorney</w:t>
      </w:r>
      <w:r w:rsidRPr="003C5786">
        <w:rPr>
          <w:rFonts w:ascii="Times New Roman" w:hAnsi="Times New Roman"/>
        </w:rPr>
        <w:noBreakHyphen/>
        <w:t xml:space="preserve">General of the Commonwealth that the order is not made against an offender for a past offence against legal rules. In one sense this submission is correct because the past terrorism-related offence is not sufficient for the imposition of the continuing detention order. But nor was the commission of the offence in </w:t>
      </w:r>
      <w:r w:rsidRPr="003C5786">
        <w:rPr>
          <w:rFonts w:ascii="Times New Roman" w:hAnsi="Times New Roman"/>
          <w:i/>
          <w:iCs/>
        </w:rPr>
        <w:t>Chester</w:t>
      </w:r>
      <w:r w:rsidRPr="003C5786">
        <w:rPr>
          <w:rFonts w:ascii="Times New Roman" w:hAnsi="Times New Roman"/>
          <w:iCs/>
        </w:rPr>
        <w:t>.</w:t>
      </w:r>
      <w:r w:rsidRPr="003C5786">
        <w:rPr>
          <w:rFonts w:ascii="Times New Roman" w:hAnsi="Times New Roman"/>
          <w:i/>
          <w:iCs/>
        </w:rPr>
        <w:t xml:space="preserve"> </w:t>
      </w:r>
      <w:r w:rsidRPr="003C5786">
        <w:rPr>
          <w:rFonts w:ascii="Times New Roman" w:hAnsi="Times New Roman"/>
        </w:rPr>
        <w:t xml:space="preserve">Like the regime in </w:t>
      </w:r>
      <w:r w:rsidRPr="003C5786">
        <w:rPr>
          <w:rFonts w:ascii="Times New Roman" w:hAnsi="Times New Roman"/>
          <w:i/>
          <w:iCs/>
        </w:rPr>
        <w:t>Chester</w:t>
      </w:r>
      <w:r w:rsidRPr="003C5786">
        <w:rPr>
          <w:rFonts w:ascii="Times New Roman" w:hAnsi="Times New Roman"/>
          <w:iCs/>
        </w:rPr>
        <w:t>,</w:t>
      </w:r>
      <w:r w:rsidRPr="003C5786">
        <w:rPr>
          <w:rFonts w:ascii="Times New Roman" w:hAnsi="Times New Roman"/>
          <w:i/>
          <w:iCs/>
        </w:rPr>
        <w:t xml:space="preserve"> </w:t>
      </w:r>
      <w:r w:rsidRPr="003C5786">
        <w:rPr>
          <w:rFonts w:ascii="Times New Roman" w:hAnsi="Times New Roman"/>
        </w:rPr>
        <w:t>a necessary condition for a continuing detention order, with a likely motivation of specific deterrence in order to protect the community, is that the person has been convicted of an offence</w:t>
      </w:r>
      <w:r w:rsidRPr="003C5786">
        <w:rPr>
          <w:rStyle w:val="FootnoteReference"/>
          <w:rFonts w:ascii="Times New Roman" w:hAnsi="Times New Roman"/>
          <w:sz w:val="24"/>
        </w:rPr>
        <w:footnoteReference w:id="404"/>
      </w:r>
      <w:r w:rsidRPr="003C5786">
        <w:rPr>
          <w:rFonts w:ascii="Times New Roman" w:hAnsi="Times New Roman"/>
        </w:rPr>
        <w:t>. Other criteria for a continuing detention order also appear to be based upon notions of specific deterrence including that the offender is detained in custody</w:t>
      </w:r>
      <w:r w:rsidRPr="003C5786">
        <w:rPr>
          <w:rStyle w:val="FootnoteReference"/>
          <w:rFonts w:ascii="Times New Roman" w:hAnsi="Times New Roman"/>
          <w:sz w:val="24"/>
        </w:rPr>
        <w:footnoteReference w:id="405"/>
      </w:r>
      <w:r w:rsidRPr="003C5786">
        <w:rPr>
          <w:rFonts w:ascii="Times New Roman" w:hAnsi="Times New Roman"/>
        </w:rPr>
        <w:t xml:space="preserve"> and poses an unacceptable risk of committing a serious Pt 5.3 offence</w:t>
      </w:r>
      <w:r w:rsidRPr="003C5786">
        <w:rPr>
          <w:rStyle w:val="FootnoteReference"/>
          <w:rFonts w:ascii="Times New Roman" w:hAnsi="Times New Roman"/>
          <w:sz w:val="24"/>
        </w:rPr>
        <w:footnoteReference w:id="406"/>
      </w:r>
      <w:r w:rsidRPr="003C5786">
        <w:rPr>
          <w:rFonts w:ascii="Times New Roman" w:hAnsi="Times New Roman"/>
        </w:rPr>
        <w:t xml:space="preserve">. These other criteria are insufficient departures from the regime in </w:t>
      </w:r>
      <w:r w:rsidRPr="003C5786">
        <w:rPr>
          <w:rFonts w:ascii="Times New Roman" w:hAnsi="Times New Roman"/>
          <w:i/>
          <w:iCs/>
        </w:rPr>
        <w:t xml:space="preserve">Chester </w:t>
      </w:r>
      <w:r w:rsidRPr="003C5786">
        <w:rPr>
          <w:rFonts w:ascii="Times New Roman" w:hAnsi="Times New Roman"/>
        </w:rPr>
        <w:t>to warrant removing continuing detention under Div 105A from the category of punishment for the purposes of assessing the boundaries of exclusive judicial power.</w:t>
      </w:r>
    </w:p>
    <w:p w14:paraId="760239BC" w14:textId="77777777" w:rsidR="00CE4181" w:rsidRPr="003C5786" w:rsidRDefault="00CE4181" w:rsidP="003C5786">
      <w:pPr>
        <w:pStyle w:val="HeadingL1"/>
        <w:spacing w:after="260" w:line="280" w:lineRule="exact"/>
        <w:ind w:right="0"/>
        <w:jc w:val="both"/>
        <w:rPr>
          <w:rFonts w:ascii="Times New Roman" w:hAnsi="Times New Roman"/>
          <w:i/>
          <w:iCs/>
        </w:rPr>
      </w:pPr>
      <w:r w:rsidRPr="003C5786">
        <w:rPr>
          <w:rFonts w:ascii="Times New Roman" w:hAnsi="Times New Roman"/>
        </w:rPr>
        <w:t xml:space="preserve">The principle in </w:t>
      </w:r>
      <w:r w:rsidRPr="003C5786">
        <w:rPr>
          <w:rFonts w:ascii="Times New Roman" w:hAnsi="Times New Roman"/>
          <w:i/>
          <w:iCs/>
        </w:rPr>
        <w:t>Lim</w:t>
      </w:r>
    </w:p>
    <w:p w14:paraId="4E6DE65E"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It is a sign of difficulty in understanding the rationale for a legal rule when the legal rule is described by reference to the case in which it was recognised. The legal rule usually described by reference to the decision in </w:t>
      </w:r>
      <w:r w:rsidRPr="003C5786">
        <w:rPr>
          <w:rFonts w:ascii="Times New Roman" w:hAnsi="Times New Roman"/>
          <w:i/>
          <w:iCs/>
        </w:rPr>
        <w:t xml:space="preserve">Lim </w:t>
      </w:r>
      <w:r w:rsidRPr="003C5786">
        <w:rPr>
          <w:rFonts w:ascii="Times New Roman" w:hAnsi="Times New Roman"/>
        </w:rPr>
        <w:t>is one such example. It has been revised and restated. But rarely has its rationale been explained.</w:t>
      </w:r>
    </w:p>
    <w:p w14:paraId="692B94C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The issue in </w:t>
      </w:r>
      <w:r w:rsidRPr="003C5786">
        <w:rPr>
          <w:rFonts w:ascii="Times New Roman" w:hAnsi="Times New Roman"/>
          <w:i/>
          <w:iCs/>
        </w:rPr>
        <w:t xml:space="preserve">Lim </w:t>
      </w:r>
      <w:r w:rsidRPr="003C5786">
        <w:rPr>
          <w:rFonts w:ascii="Times New Roman" w:hAnsi="Times New Roman"/>
        </w:rPr>
        <w:t xml:space="preserve">concerned the validity of provisions of the </w:t>
      </w:r>
      <w:r w:rsidRPr="003C5786">
        <w:rPr>
          <w:rFonts w:ascii="Times New Roman" w:hAnsi="Times New Roman"/>
          <w:i/>
          <w:iCs/>
        </w:rPr>
        <w:t xml:space="preserve">Migration Act </w:t>
      </w:r>
      <w:r w:rsidRPr="003C5786">
        <w:rPr>
          <w:rFonts w:ascii="Times New Roman" w:hAnsi="Times New Roman"/>
          <w:i/>
        </w:rPr>
        <w:t>1958</w:t>
      </w:r>
      <w:r w:rsidRPr="003C5786">
        <w:rPr>
          <w:rFonts w:ascii="Times New Roman" w:hAnsi="Times New Roman"/>
        </w:rPr>
        <w:t xml:space="preserve"> (Cth) concerning detention in custody by the Executive of certain non-citizen arrivals in Australia until their removal or grant of an entry permit. The relevant part of the joint judgment comprising the "</w:t>
      </w:r>
      <w:r w:rsidRPr="003C5786">
        <w:rPr>
          <w:rFonts w:ascii="Times New Roman" w:hAnsi="Times New Roman"/>
          <w:i/>
        </w:rPr>
        <w:t xml:space="preserve">Lim </w:t>
      </w:r>
      <w:r w:rsidRPr="003C5786">
        <w:rPr>
          <w:rFonts w:ascii="Times New Roman" w:hAnsi="Times New Roman"/>
        </w:rPr>
        <w:t>principle" is contained within a section entitled "Chapter III of the Constitution". That section begins by emphasising the long-established constitutional implication of the principle of separation of Commonwealth powers</w:t>
      </w:r>
      <w:r w:rsidRPr="003C5786">
        <w:rPr>
          <w:rStyle w:val="FootnoteReference"/>
          <w:rFonts w:ascii="Times New Roman" w:hAnsi="Times New Roman"/>
          <w:sz w:val="24"/>
        </w:rPr>
        <w:footnoteReference w:id="407"/>
      </w:r>
      <w:r w:rsidRPr="003C5786">
        <w:rPr>
          <w:rFonts w:ascii="Times New Roman" w:hAnsi="Times New Roman"/>
        </w:rPr>
        <w:t xml:space="preserve">. That principle generally requires that the judicial power of the Commonwealth cannot be conferred upon, or exercised by, </w:t>
      </w:r>
      <w:r w:rsidRPr="003C5786">
        <w:rPr>
          <w:rFonts w:ascii="Times New Roman" w:hAnsi="Times New Roman"/>
        </w:rPr>
        <w:lastRenderedPageBreak/>
        <w:t>the Commonwealth Parliament or the Commonwealth Executive</w:t>
      </w:r>
      <w:r w:rsidRPr="003C5786">
        <w:rPr>
          <w:rStyle w:val="FootnoteReference"/>
          <w:rFonts w:ascii="Times New Roman" w:hAnsi="Times New Roman"/>
          <w:sz w:val="24"/>
        </w:rPr>
        <w:footnoteReference w:id="408"/>
      </w:r>
      <w:r w:rsidRPr="003C5786">
        <w:rPr>
          <w:rFonts w:ascii="Times New Roman" w:hAnsi="Times New Roman"/>
        </w:rPr>
        <w:t>. A closely related principle, as the joint judgment observed, requires that courts in whom the judicial power of the Commonwealth is vested cannot exercise that power in a manner inconsistent with the nature of judicial power</w:t>
      </w:r>
      <w:r w:rsidRPr="003C5786">
        <w:rPr>
          <w:rStyle w:val="FootnoteReference"/>
          <w:rFonts w:ascii="Times New Roman" w:hAnsi="Times New Roman"/>
          <w:sz w:val="24"/>
        </w:rPr>
        <w:footnoteReference w:id="409"/>
      </w:r>
      <w:r w:rsidRPr="003C5786">
        <w:rPr>
          <w:rFonts w:ascii="Times New Roman" w:hAnsi="Times New Roman"/>
        </w:rPr>
        <w:t>; the judicial power of the Commonwealth must be exercised judicially.</w:t>
      </w:r>
    </w:p>
    <w:p w14:paraId="47F6FD44"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Following the enunciation of these principles, in the passage upon which both Mr Benbrika and the Attorney-General of the Commonwealth heavily relied, the joint judgment in </w:t>
      </w:r>
      <w:r w:rsidRPr="003C5786">
        <w:rPr>
          <w:rFonts w:ascii="Times New Roman" w:hAnsi="Times New Roman"/>
          <w:i/>
          <w:iCs/>
        </w:rPr>
        <w:t xml:space="preserve">Lim </w:t>
      </w:r>
      <w:r w:rsidRPr="003C5786">
        <w:rPr>
          <w:rFonts w:ascii="Times New Roman" w:hAnsi="Times New Roman"/>
        </w:rPr>
        <w:t>explained that one exclusively judicial power is the adjudgment and punishment of criminal guilt under a law of the Commonwealth. Their Honours continued</w:t>
      </w:r>
      <w:r w:rsidRPr="003C5786">
        <w:rPr>
          <w:rStyle w:val="FootnoteReference"/>
          <w:rFonts w:ascii="Times New Roman" w:hAnsi="Times New Roman"/>
          <w:sz w:val="24"/>
        </w:rPr>
        <w:footnoteReference w:id="410"/>
      </w:r>
      <w:r w:rsidRPr="003C5786">
        <w:rPr>
          <w:rFonts w:ascii="Times New Roman" w:hAnsi="Times New Roman"/>
        </w:rPr>
        <w:t xml:space="preserve">: </w:t>
      </w:r>
    </w:p>
    <w:p w14:paraId="695F0047" w14:textId="77777777" w:rsidR="00CE4181" w:rsidRDefault="00CE4181" w:rsidP="003C5786">
      <w:pPr>
        <w:pStyle w:val="LeftrightafterHC"/>
        <w:spacing w:before="0" w:after="260" w:line="280" w:lineRule="exact"/>
        <w:ind w:right="0"/>
        <w:jc w:val="both"/>
        <w:rPr>
          <w:rFonts w:ascii="Times New Roman" w:hAnsi="Times New Roman"/>
        </w:rPr>
      </w:pPr>
      <w:r w:rsidRPr="003C5786">
        <w:rPr>
          <w:rFonts w:ascii="Times New Roman" w:hAnsi="Times New Roman"/>
        </w:rPr>
        <w:t>"[P]</w:t>
      </w:r>
      <w:proofErr w:type="spellStart"/>
      <w:r w:rsidRPr="003C5786">
        <w:rPr>
          <w:rFonts w:ascii="Times New Roman" w:hAnsi="Times New Roman"/>
        </w:rPr>
        <w:t>utting</w:t>
      </w:r>
      <w:proofErr w:type="spellEnd"/>
      <w:r w:rsidRPr="003C5786">
        <w:rPr>
          <w:rFonts w:ascii="Times New Roman" w:hAnsi="Times New Roman"/>
        </w:rPr>
        <w:t xml:space="preserve"> to one side the exceptional cases to which reference is made below, the involuntary detention of a citizen in custody by the State is penal or punitive in character and, under our system of government, exists only as an incident of the exclusively judicial function of adjudging and punishing criminal guilt."</w:t>
      </w:r>
    </w:p>
    <w:p w14:paraId="7C9A972E" w14:textId="77777777" w:rsidR="00CE4181" w:rsidRPr="003C5786" w:rsidRDefault="00CE4181" w:rsidP="003C5786">
      <w:pPr>
        <w:pStyle w:val="NormalBody"/>
        <w:spacing w:after="260" w:line="280" w:lineRule="exact"/>
        <w:ind w:right="0"/>
        <w:jc w:val="both"/>
        <w:rPr>
          <w:rFonts w:ascii="Times New Roman" w:hAnsi="Times New Roman"/>
        </w:rPr>
      </w:pPr>
      <w:r w:rsidRPr="003C5786">
        <w:rPr>
          <w:rFonts w:ascii="Times New Roman" w:hAnsi="Times New Roman"/>
        </w:rPr>
        <w:t>The exceptional cases were: the executive power of arrest and detention in custody of a person accused of a crime to ensure that the person is available to be dealt with by the courts; and the involuntary detention by the Executive in cases of mental illness or infectious disease</w:t>
      </w:r>
      <w:r w:rsidRPr="003C5786">
        <w:rPr>
          <w:rStyle w:val="FootnoteReference"/>
          <w:rFonts w:ascii="Times New Roman" w:hAnsi="Times New Roman"/>
          <w:sz w:val="24"/>
        </w:rPr>
        <w:footnoteReference w:id="411"/>
      </w:r>
      <w:r w:rsidRPr="003C5786">
        <w:rPr>
          <w:rFonts w:ascii="Times New Roman" w:hAnsi="Times New Roman"/>
        </w:rPr>
        <w:t>. Other than to say that none of these instances were "punitive", the joint judgment rightly did not suggest that there was any commonality across these instances of executive detention. For instance, they are not united by a principle concerning protection of the community from harm. Rather than protection of the community, the core, and sometimes sole, function of detention of a person in custody pending trial was "for safe custody" to trial</w:t>
      </w:r>
      <w:r w:rsidRPr="003C5786">
        <w:rPr>
          <w:rStyle w:val="FootnoteReference"/>
          <w:rFonts w:ascii="Times New Roman" w:hAnsi="Times New Roman"/>
          <w:sz w:val="24"/>
        </w:rPr>
        <w:footnoteReference w:id="412"/>
      </w:r>
      <w:r w:rsidRPr="003C5786">
        <w:rPr>
          <w:rFonts w:ascii="Times New Roman" w:hAnsi="Times New Roman"/>
        </w:rPr>
        <w:t>. And when detention of non-citizens is added to the list of "exceptional" cases of detention, an alien might be detained despite posing no threat whatsoever to the community.</w:t>
      </w:r>
    </w:p>
    <w:p w14:paraId="51A6B56C"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The central point made by the joint judgment in the discussion in </w:t>
      </w:r>
      <w:r w:rsidRPr="003C5786">
        <w:rPr>
          <w:rFonts w:ascii="Times New Roman" w:hAnsi="Times New Roman"/>
          <w:i/>
          <w:iCs/>
        </w:rPr>
        <w:t xml:space="preserve">Lim </w:t>
      </w:r>
      <w:r w:rsidRPr="003C5786">
        <w:rPr>
          <w:rFonts w:ascii="Times New Roman" w:hAnsi="Times New Roman"/>
        </w:rPr>
        <w:t xml:space="preserve">concerning involuntary detention by the State concerned the separation of powers. </w:t>
      </w:r>
      <w:r w:rsidRPr="003C5786">
        <w:rPr>
          <w:rFonts w:ascii="Times New Roman" w:hAnsi="Times New Roman"/>
        </w:rPr>
        <w:lastRenderedPageBreak/>
        <w:t>That point, which was of longstanding authority</w:t>
      </w:r>
      <w:r w:rsidRPr="003C5786">
        <w:rPr>
          <w:rStyle w:val="FootnoteReference"/>
          <w:rFonts w:ascii="Times New Roman" w:hAnsi="Times New Roman"/>
          <w:sz w:val="24"/>
        </w:rPr>
        <w:footnoteReference w:id="413"/>
      </w:r>
      <w:r w:rsidRPr="003C5786">
        <w:rPr>
          <w:rFonts w:ascii="Times New Roman" w:hAnsi="Times New Roman"/>
        </w:rPr>
        <w:t xml:space="preserve"> and has been approved on many occasions subsequently</w:t>
      </w:r>
      <w:r w:rsidRPr="003C5786">
        <w:rPr>
          <w:rStyle w:val="FootnoteReference"/>
          <w:rFonts w:ascii="Times New Roman" w:hAnsi="Times New Roman"/>
          <w:sz w:val="24"/>
        </w:rPr>
        <w:footnoteReference w:id="414"/>
      </w:r>
      <w:r w:rsidRPr="003C5786">
        <w:rPr>
          <w:rFonts w:ascii="Times New Roman" w:hAnsi="Times New Roman"/>
        </w:rPr>
        <w:t xml:space="preserve">, is that the exercise of a power to detain a citizen in custody as an incident of adjudging and punishing criminal guilt is exclusively judicial. Hence, focusing upon punishment of criminal guilt, the joint judgment in </w:t>
      </w:r>
      <w:r w:rsidRPr="003C5786">
        <w:rPr>
          <w:rFonts w:ascii="Times New Roman" w:hAnsi="Times New Roman"/>
          <w:i/>
        </w:rPr>
        <w:t xml:space="preserve">Lim </w:t>
      </w:r>
      <w:r w:rsidRPr="003C5786">
        <w:rPr>
          <w:rFonts w:ascii="Times New Roman" w:hAnsi="Times New Roman"/>
        </w:rPr>
        <w:t>concluded that the only Commonwealth authority to imprison is by "an order by a court in the exercise of the judicial power of the Commonwealth"</w:t>
      </w:r>
      <w:r w:rsidRPr="003C5786">
        <w:rPr>
          <w:rStyle w:val="FootnoteReference"/>
          <w:rFonts w:ascii="Times New Roman" w:hAnsi="Times New Roman"/>
          <w:sz w:val="24"/>
        </w:rPr>
        <w:footnoteReference w:id="415"/>
      </w:r>
      <w:r w:rsidRPr="003C5786">
        <w:rPr>
          <w:rFonts w:ascii="Times New Roman" w:hAnsi="Times New Roman"/>
        </w:rPr>
        <w:t>.</w:t>
      </w:r>
    </w:p>
    <w:p w14:paraId="038AD7DD"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The separation of powers principle embodied in the Commonwealth</w:t>
      </w:r>
      <w:r w:rsidRPr="003C5786">
        <w:rPr>
          <w:rFonts w:ascii="Times New Roman" w:hAnsi="Times New Roman"/>
          <w:i/>
        </w:rPr>
        <w:t xml:space="preserve"> Constitution</w:t>
      </w:r>
      <w:r w:rsidRPr="003C5786">
        <w:rPr>
          <w:rFonts w:ascii="Times New Roman" w:hAnsi="Times New Roman"/>
        </w:rPr>
        <w:t xml:space="preserve"> is not absolute. As the joint judgment in </w:t>
      </w:r>
      <w:r w:rsidRPr="003C5786">
        <w:rPr>
          <w:rFonts w:ascii="Times New Roman" w:hAnsi="Times New Roman"/>
          <w:i/>
          <w:iCs/>
        </w:rPr>
        <w:t>Lim</w:t>
      </w:r>
      <w:r w:rsidRPr="003C5786">
        <w:rPr>
          <w:rFonts w:ascii="Times New Roman" w:hAnsi="Times New Roman"/>
        </w:rPr>
        <w:t xml:space="preserve"> recognised</w:t>
      </w:r>
      <w:r w:rsidRPr="003C5786">
        <w:rPr>
          <w:rStyle w:val="FootnoteReference"/>
          <w:rFonts w:ascii="Times New Roman" w:hAnsi="Times New Roman"/>
          <w:sz w:val="24"/>
        </w:rPr>
        <w:footnoteReference w:id="416"/>
      </w:r>
      <w:r w:rsidRPr="003C5786">
        <w:rPr>
          <w:rFonts w:ascii="Times New Roman" w:hAnsi="Times New Roman"/>
        </w:rPr>
        <w:t xml:space="preserve">, despite the constitutional separation of powers, there are at least two possible exceptions to the principle that, at the level of Commonwealth power, punishment is the sole province of a Ch III court. These exceptions, based upon deep historical roots that were not displaced by Ch III of the </w:t>
      </w:r>
      <w:r w:rsidRPr="003C5786">
        <w:rPr>
          <w:rFonts w:ascii="Times New Roman" w:hAnsi="Times New Roman"/>
          <w:i/>
        </w:rPr>
        <w:t>Constitution</w:t>
      </w:r>
      <w:r w:rsidRPr="003C5786">
        <w:rPr>
          <w:rFonts w:ascii="Times New Roman" w:hAnsi="Times New Roman"/>
        </w:rPr>
        <w:t>, are the Commonwealth Parliament's power to imprison for contempt</w:t>
      </w:r>
      <w:r w:rsidRPr="003C5786">
        <w:rPr>
          <w:rStyle w:val="FootnoteReference"/>
          <w:rFonts w:ascii="Times New Roman" w:hAnsi="Times New Roman"/>
          <w:sz w:val="24"/>
        </w:rPr>
        <w:footnoteReference w:id="417"/>
      </w:r>
      <w:r w:rsidRPr="003C5786">
        <w:rPr>
          <w:rFonts w:ascii="Times New Roman" w:hAnsi="Times New Roman"/>
        </w:rPr>
        <w:t xml:space="preserve"> and the power of military tribunals to punish for breach of military discipline</w:t>
      </w:r>
      <w:r w:rsidRPr="003C5786">
        <w:rPr>
          <w:rStyle w:val="FootnoteReference"/>
          <w:rFonts w:ascii="Times New Roman" w:hAnsi="Times New Roman"/>
          <w:sz w:val="24"/>
        </w:rPr>
        <w:footnoteReference w:id="418"/>
      </w:r>
      <w:r w:rsidRPr="003C5786">
        <w:rPr>
          <w:rFonts w:ascii="Times New Roman" w:hAnsi="Times New Roman"/>
        </w:rPr>
        <w:t xml:space="preserve">. But, putting to one side examples of entrenched historical exceptions, a Commonwealth power to detain in custody for reasons incidental to the adjudging and punishing of criminal guilt is the sole province of the judiciary and subject to Ch III of the </w:t>
      </w:r>
      <w:r w:rsidRPr="003C5786">
        <w:rPr>
          <w:rFonts w:ascii="Times New Roman" w:hAnsi="Times New Roman"/>
          <w:i/>
        </w:rPr>
        <w:t>Constitution</w:t>
      </w:r>
      <w:r w:rsidRPr="003C5786">
        <w:rPr>
          <w:rFonts w:ascii="Times New Roman" w:hAnsi="Times New Roman"/>
        </w:rPr>
        <w:t>.</w:t>
      </w:r>
    </w:p>
    <w:p w14:paraId="0087F4C8" w14:textId="77777777" w:rsidR="00CE4181" w:rsidRPr="003C5786" w:rsidRDefault="00CE4181" w:rsidP="003C5786">
      <w:pPr>
        <w:pStyle w:val="HeadingL1"/>
        <w:spacing w:after="260" w:line="280" w:lineRule="exact"/>
        <w:ind w:right="0"/>
        <w:jc w:val="both"/>
        <w:rPr>
          <w:rFonts w:ascii="Times New Roman" w:hAnsi="Times New Roman"/>
        </w:rPr>
      </w:pPr>
      <w:r w:rsidRPr="003C5786">
        <w:rPr>
          <w:rFonts w:ascii="Times New Roman" w:hAnsi="Times New Roman"/>
        </w:rPr>
        <w:lastRenderedPageBreak/>
        <w:t xml:space="preserve">The scope of the </w:t>
      </w:r>
      <w:r w:rsidRPr="003C5786">
        <w:rPr>
          <w:rFonts w:ascii="Times New Roman" w:hAnsi="Times New Roman"/>
          <w:i/>
          <w:iCs/>
        </w:rPr>
        <w:t xml:space="preserve">Lim </w:t>
      </w:r>
      <w:r w:rsidRPr="003C5786">
        <w:rPr>
          <w:rFonts w:ascii="Times New Roman" w:hAnsi="Times New Roman"/>
        </w:rPr>
        <w:t>principle: the category of "punishment"</w:t>
      </w:r>
    </w:p>
    <w:p w14:paraId="7AC658AC"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No narrow approach was intended in the statement of principle in the joint judgment in </w:t>
      </w:r>
      <w:r w:rsidRPr="003C5786">
        <w:rPr>
          <w:rFonts w:ascii="Times New Roman" w:hAnsi="Times New Roman"/>
          <w:i/>
          <w:iCs/>
        </w:rPr>
        <w:t xml:space="preserve">Lim </w:t>
      </w:r>
      <w:r w:rsidRPr="003C5786">
        <w:rPr>
          <w:rFonts w:ascii="Times New Roman" w:hAnsi="Times New Roman"/>
        </w:rPr>
        <w:t xml:space="preserve">that exercise of a power to detain a citizen in custody as an incident of adjudging and punishing criminal guilt is exclusively judicial. As four members of this Court said in </w:t>
      </w:r>
      <w:proofErr w:type="spellStart"/>
      <w:r w:rsidRPr="003C5786">
        <w:rPr>
          <w:rFonts w:ascii="Times New Roman" w:hAnsi="Times New Roman"/>
          <w:i/>
          <w:iCs/>
        </w:rPr>
        <w:t>Falzon</w:t>
      </w:r>
      <w:proofErr w:type="spellEnd"/>
      <w:r w:rsidRPr="003C5786">
        <w:rPr>
          <w:rFonts w:ascii="Times New Roman" w:hAnsi="Times New Roman"/>
          <w:i/>
          <w:iCs/>
        </w:rPr>
        <w:t xml:space="preserve"> v Minister for Immigration and Border Protection</w:t>
      </w:r>
      <w:r w:rsidRPr="003C5786">
        <w:rPr>
          <w:rStyle w:val="FootnoteReference"/>
          <w:rFonts w:ascii="Times New Roman" w:hAnsi="Times New Roman"/>
          <w:sz w:val="24"/>
        </w:rPr>
        <w:footnoteReference w:id="419"/>
      </w:r>
      <w:r w:rsidRPr="003C5786">
        <w:rPr>
          <w:rFonts w:ascii="Times New Roman" w:hAnsi="Times New Roman"/>
        </w:rPr>
        <w:t xml:space="preserve">, it was not disputed in that case that adjudging and punishing a breach of the law are disjunctive. Moreover, the scope of the exclusively judicial category of "punishment" was intended to be broad. The joint judgment in </w:t>
      </w:r>
      <w:r w:rsidRPr="003C5786">
        <w:rPr>
          <w:rFonts w:ascii="Times New Roman" w:hAnsi="Times New Roman"/>
          <w:i/>
        </w:rPr>
        <w:t xml:space="preserve">Lim </w:t>
      </w:r>
      <w:r w:rsidRPr="003C5786">
        <w:rPr>
          <w:rFonts w:ascii="Times New Roman" w:hAnsi="Times New Roman"/>
        </w:rPr>
        <w:t>emphasised that involuntary detention in custody is generally penal or punitive. Indeed, the joint judgment held that a law would be punitive if it authorised detention of an alien for a period that was not "limited to what is reasonably capable of being seen as necessary for the purposes of deportation or necessary to enable an application for an entry permit to be made and considered"</w:t>
      </w:r>
      <w:r w:rsidRPr="003C5786">
        <w:rPr>
          <w:rStyle w:val="FootnoteReference"/>
          <w:rFonts w:ascii="Times New Roman" w:hAnsi="Times New Roman"/>
          <w:sz w:val="24"/>
        </w:rPr>
        <w:footnoteReference w:id="420"/>
      </w:r>
      <w:r w:rsidRPr="003C5786">
        <w:rPr>
          <w:rFonts w:ascii="Times New Roman" w:hAnsi="Times New Roman"/>
        </w:rPr>
        <w:t>. In so reasoning, their Honours did not tie the exclusively judicial category of "punishment" to the traditional conception of criminal punishment involving hard treatment by the State in response to a past offence.</w:t>
      </w:r>
    </w:p>
    <w:p w14:paraId="2644AB49"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The joint judgment in </w:t>
      </w:r>
      <w:r w:rsidRPr="003C5786">
        <w:rPr>
          <w:rFonts w:ascii="Times New Roman" w:hAnsi="Times New Roman"/>
          <w:i/>
          <w:iCs/>
        </w:rPr>
        <w:t xml:space="preserve">Lim </w:t>
      </w:r>
      <w:r w:rsidRPr="003C5786">
        <w:rPr>
          <w:rFonts w:ascii="Times New Roman" w:hAnsi="Times New Roman"/>
        </w:rPr>
        <w:t xml:space="preserve">was correct not to take such a narrow approach to punishment in this context. For the reasons explained above, it would be incoherent in this context to treat the standard case of criminal punishment as falling within a different category from that of continuing detention orders. Two points of qualification must, however, be made to the conclusion that both traditional criminal punishment and protective punishment should be characterised as punitive and as generally exclusive to the judicial function. </w:t>
      </w:r>
    </w:p>
    <w:p w14:paraId="336BC4A5"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First, although both can be described as punishment in a broad sense for the purpose of assessing the scope of exclusive judicial power, they involve different approaches to criminal justice with different emphases and can therefore be the subject of different regimes. They will not give rise to issues of double punishment in the traditional sense of criminal punishment where the antipathy of the common law to double punishment rests upon the inherent contradiction in treating traditional criminal punishment as based upon moral desert yet imposing it again. A recent example is </w:t>
      </w:r>
      <w:r w:rsidRPr="003C5786">
        <w:rPr>
          <w:rFonts w:ascii="Times New Roman" w:hAnsi="Times New Roman"/>
          <w:i/>
          <w:iCs/>
        </w:rPr>
        <w:t>Vella v Commissioner of Police (NSW)</w:t>
      </w:r>
      <w:r w:rsidRPr="003C5786">
        <w:rPr>
          <w:rStyle w:val="FootnoteReference"/>
          <w:rFonts w:ascii="Times New Roman" w:hAnsi="Times New Roman"/>
          <w:sz w:val="24"/>
        </w:rPr>
        <w:footnoteReference w:id="421"/>
      </w:r>
      <w:r w:rsidRPr="003C5786">
        <w:rPr>
          <w:rFonts w:ascii="Times New Roman" w:hAnsi="Times New Roman"/>
        </w:rPr>
        <w:t xml:space="preserve">. In that case, a majority of this Court upheld the validity of a serious crime prevention order which permitted a range of restraints upon a person's liberty including in circumstances </w:t>
      </w:r>
      <w:r w:rsidRPr="003C5786">
        <w:rPr>
          <w:rFonts w:ascii="Times New Roman" w:hAnsi="Times New Roman"/>
        </w:rPr>
        <w:lastRenderedPageBreak/>
        <w:t>where the person had not been charged with, or convicted of, any offence. Bell, Keane, Nettle and Edelman JJ said that the regime was "separate and distinct from traditional criminal justice" and involved "different responses to a different subject matter"</w:t>
      </w:r>
      <w:r w:rsidRPr="003C5786">
        <w:rPr>
          <w:rStyle w:val="FootnoteReference"/>
          <w:rFonts w:ascii="Times New Roman" w:hAnsi="Times New Roman"/>
          <w:sz w:val="24"/>
        </w:rPr>
        <w:footnoteReference w:id="422"/>
      </w:r>
      <w:r w:rsidRPr="003C5786">
        <w:rPr>
          <w:rFonts w:ascii="Times New Roman" w:hAnsi="Times New Roman"/>
        </w:rPr>
        <w:t>.</w:t>
      </w:r>
    </w:p>
    <w:p w14:paraId="4863BF77"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Secondly, as with traditional criminal punishment, there may be deeply entrenched historical exceptions which, despite the separation of powers at the Commonwealth level, permit powers that might be characterised as protective punishment to be exercised by bodies that are not judicial. For instance, even if some instances of the arrest and detention in custody of persons accused of a crime were to be characterised, albeit with some difficulty, as protective punishment</w:t>
      </w:r>
      <w:r w:rsidRPr="003C5786">
        <w:rPr>
          <w:rStyle w:val="FootnoteReference"/>
          <w:rFonts w:ascii="Times New Roman" w:hAnsi="Times New Roman"/>
          <w:sz w:val="24"/>
        </w:rPr>
        <w:footnoteReference w:id="423"/>
      </w:r>
      <w:r w:rsidRPr="003C5786">
        <w:rPr>
          <w:rFonts w:ascii="Times New Roman" w:hAnsi="Times New Roman"/>
        </w:rPr>
        <w:t xml:space="preserve"> then this characterisation would not deprive the Executive of power, by executive warrant, within the scope of its historical exercise</w:t>
      </w:r>
      <w:r w:rsidRPr="003C5786">
        <w:rPr>
          <w:rStyle w:val="FootnoteReference"/>
          <w:rFonts w:ascii="Times New Roman" w:hAnsi="Times New Roman"/>
          <w:sz w:val="24"/>
        </w:rPr>
        <w:footnoteReference w:id="424"/>
      </w:r>
      <w:r w:rsidRPr="003C5786">
        <w:rPr>
          <w:rFonts w:ascii="Times New Roman" w:hAnsi="Times New Roman"/>
        </w:rPr>
        <w:t>.</w:t>
      </w:r>
    </w:p>
    <w:p w14:paraId="35B503AF"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The conclusion that at least some protective orders for continuing detention will be protective punishment is therefore mandated not merely by principle, by a need for coherence, and by the unanimous judgment in </w:t>
      </w:r>
      <w:r w:rsidRPr="003C5786">
        <w:rPr>
          <w:rFonts w:ascii="Times New Roman" w:hAnsi="Times New Roman"/>
          <w:i/>
          <w:iCs/>
        </w:rPr>
        <w:t>Chester</w:t>
      </w:r>
      <w:r w:rsidRPr="003C5786">
        <w:rPr>
          <w:rFonts w:ascii="Times New Roman" w:hAnsi="Times New Roman"/>
        </w:rPr>
        <w:t xml:space="preserve">. It also reflects the broad understanding of punishment taken in </w:t>
      </w:r>
      <w:r w:rsidRPr="003C5786">
        <w:rPr>
          <w:rFonts w:ascii="Times New Roman" w:hAnsi="Times New Roman"/>
          <w:i/>
          <w:iCs/>
        </w:rPr>
        <w:t xml:space="preserve">Lim </w:t>
      </w:r>
      <w:r w:rsidRPr="003C5786">
        <w:rPr>
          <w:rFonts w:ascii="Times New Roman" w:hAnsi="Times New Roman"/>
        </w:rPr>
        <w:t xml:space="preserve">and cases subsequently. In particular, it is consistent with the reasons of five members of this Court in </w:t>
      </w:r>
      <w:proofErr w:type="spellStart"/>
      <w:r w:rsidRPr="003C5786">
        <w:rPr>
          <w:rFonts w:ascii="Times New Roman" w:hAnsi="Times New Roman"/>
          <w:i/>
          <w:iCs/>
        </w:rPr>
        <w:t>Fardon</w:t>
      </w:r>
      <w:proofErr w:type="spellEnd"/>
      <w:r w:rsidRPr="003C5786">
        <w:rPr>
          <w:rFonts w:ascii="Times New Roman" w:hAnsi="Times New Roman"/>
          <w:i/>
          <w:iCs/>
        </w:rPr>
        <w:t xml:space="preserve"> v Attorney-General (Qld)</w:t>
      </w:r>
      <w:r w:rsidRPr="003C5786">
        <w:rPr>
          <w:rStyle w:val="FootnoteReference"/>
          <w:rFonts w:ascii="Times New Roman" w:hAnsi="Times New Roman"/>
          <w:sz w:val="24"/>
        </w:rPr>
        <w:footnoteReference w:id="425"/>
      </w:r>
      <w:r w:rsidRPr="003C5786">
        <w:rPr>
          <w:rFonts w:ascii="Times New Roman" w:hAnsi="Times New Roman"/>
        </w:rPr>
        <w:t xml:space="preserve">, none of whom separated punishment, in the broad sense expressed in </w:t>
      </w:r>
      <w:r w:rsidRPr="003C5786">
        <w:rPr>
          <w:rFonts w:ascii="Times New Roman" w:hAnsi="Times New Roman"/>
          <w:i/>
          <w:iCs/>
        </w:rPr>
        <w:t>Lim</w:t>
      </w:r>
      <w:r w:rsidRPr="003C5786">
        <w:rPr>
          <w:rFonts w:ascii="Times New Roman" w:hAnsi="Times New Roman"/>
        </w:rPr>
        <w:t>, from protection</w:t>
      </w:r>
      <w:r w:rsidRPr="003C5786">
        <w:rPr>
          <w:rFonts w:ascii="Times New Roman" w:hAnsi="Times New Roman"/>
          <w:i/>
          <w:iCs/>
        </w:rPr>
        <w:t xml:space="preserve">. </w:t>
      </w:r>
      <w:r w:rsidRPr="003C5786">
        <w:rPr>
          <w:rFonts w:ascii="Times New Roman" w:hAnsi="Times New Roman"/>
        </w:rPr>
        <w:t xml:space="preserve">In </w:t>
      </w:r>
      <w:proofErr w:type="spellStart"/>
      <w:r w:rsidRPr="003C5786">
        <w:rPr>
          <w:rFonts w:ascii="Times New Roman" w:hAnsi="Times New Roman"/>
          <w:i/>
          <w:iCs/>
        </w:rPr>
        <w:t>Fardon</w:t>
      </w:r>
      <w:proofErr w:type="spellEnd"/>
      <w:r w:rsidRPr="003C5786">
        <w:rPr>
          <w:rFonts w:ascii="Times New Roman" w:hAnsi="Times New Roman"/>
          <w:iCs/>
        </w:rPr>
        <w:t>,</w:t>
      </w:r>
      <w:r w:rsidRPr="003C5786">
        <w:rPr>
          <w:rFonts w:ascii="Times New Roman" w:hAnsi="Times New Roman"/>
          <w:i/>
          <w:iCs/>
        </w:rPr>
        <w:t xml:space="preserve"> </w:t>
      </w:r>
      <w:r w:rsidRPr="003C5786">
        <w:rPr>
          <w:rFonts w:ascii="Times New Roman" w:hAnsi="Times New Roman"/>
        </w:rPr>
        <w:t>Gleeson CJ said nothing to deny the punitive character of the legislation and, suggesting to the contrary, quoted from Chief Judge Haynsworth</w:t>
      </w:r>
      <w:r w:rsidRPr="003C5786">
        <w:rPr>
          <w:rStyle w:val="FootnoteReference"/>
          <w:rFonts w:ascii="Times New Roman" w:hAnsi="Times New Roman"/>
          <w:sz w:val="24"/>
        </w:rPr>
        <w:footnoteReference w:id="426"/>
      </w:r>
      <w:r w:rsidRPr="003C5786">
        <w:rPr>
          <w:rFonts w:ascii="Times New Roman" w:hAnsi="Times New Roman"/>
        </w:rPr>
        <w:t xml:space="preserve"> to the effect that the criminal law: existed "for the protection of society"; could eliminate punishment "for punishment's sake"; and could implement "wherever necessary, the ultimate isolation from society" of those who cannot conform their conduct "as active members of a free society to the requirements of the law"</w:t>
      </w:r>
      <w:r w:rsidRPr="003C5786">
        <w:rPr>
          <w:rStyle w:val="FootnoteReference"/>
          <w:rFonts w:ascii="Times New Roman" w:hAnsi="Times New Roman"/>
          <w:sz w:val="24"/>
        </w:rPr>
        <w:footnoteReference w:id="427"/>
      </w:r>
      <w:r w:rsidRPr="003C5786">
        <w:rPr>
          <w:rFonts w:ascii="Times New Roman" w:hAnsi="Times New Roman"/>
        </w:rPr>
        <w:t xml:space="preserve">. Gummow J, with whom Hayne J agreed </w:t>
      </w:r>
      <w:r w:rsidRPr="003C5786">
        <w:rPr>
          <w:rFonts w:ascii="Times New Roman" w:hAnsi="Times New Roman"/>
        </w:rPr>
        <w:lastRenderedPageBreak/>
        <w:t>on this point</w:t>
      </w:r>
      <w:r w:rsidRPr="003C5786">
        <w:rPr>
          <w:rStyle w:val="FootnoteReference"/>
          <w:rFonts w:ascii="Times New Roman" w:hAnsi="Times New Roman"/>
          <w:sz w:val="24"/>
        </w:rPr>
        <w:footnoteReference w:id="428"/>
      </w:r>
      <w:r w:rsidRPr="003C5786">
        <w:rPr>
          <w:rFonts w:ascii="Times New Roman" w:hAnsi="Times New Roman"/>
        </w:rPr>
        <w:t>, rejected the submission</w:t>
      </w:r>
      <w:r w:rsidRPr="003C5786">
        <w:rPr>
          <w:rStyle w:val="FootnoteReference"/>
          <w:rFonts w:ascii="Times New Roman" w:hAnsi="Times New Roman"/>
          <w:sz w:val="24"/>
        </w:rPr>
        <w:footnoteReference w:id="429"/>
      </w:r>
      <w:r w:rsidRPr="003C5786">
        <w:rPr>
          <w:rFonts w:ascii="Times New Roman" w:hAnsi="Times New Roman"/>
        </w:rPr>
        <w:t xml:space="preserve"> that the continuing detention order imposed double punishment</w:t>
      </w:r>
      <w:r w:rsidRPr="003C5786">
        <w:rPr>
          <w:rStyle w:val="FootnoteReference"/>
          <w:rFonts w:ascii="Times New Roman" w:hAnsi="Times New Roman"/>
          <w:sz w:val="24"/>
        </w:rPr>
        <w:footnoteReference w:id="430"/>
      </w:r>
      <w:r w:rsidRPr="003C5786">
        <w:rPr>
          <w:rFonts w:ascii="Times New Roman" w:hAnsi="Times New Roman"/>
        </w:rPr>
        <w:t>. But, and to the same effect as explained above</w:t>
      </w:r>
      <w:r w:rsidRPr="003C5786">
        <w:rPr>
          <w:rStyle w:val="FootnoteReference"/>
          <w:rFonts w:ascii="Times New Roman" w:hAnsi="Times New Roman"/>
          <w:sz w:val="24"/>
        </w:rPr>
        <w:footnoteReference w:id="431"/>
      </w:r>
      <w:r w:rsidRPr="003C5786">
        <w:rPr>
          <w:rFonts w:ascii="Times New Roman" w:hAnsi="Times New Roman"/>
        </w:rPr>
        <w:t xml:space="preserve">, his Honour was plainly speaking of punishment in the traditional sense rather than the extended sense used in </w:t>
      </w:r>
      <w:r w:rsidRPr="003C5786">
        <w:rPr>
          <w:rFonts w:ascii="Times New Roman" w:hAnsi="Times New Roman"/>
          <w:i/>
          <w:iCs/>
        </w:rPr>
        <w:t>Lim</w:t>
      </w:r>
      <w:r w:rsidRPr="003C5786">
        <w:rPr>
          <w:rFonts w:ascii="Times New Roman" w:hAnsi="Times New Roman"/>
        </w:rPr>
        <w:t xml:space="preserve">. He therefore did not contradict himself only seven paragraphs later when, considering the broad notion of punishment in the </w:t>
      </w:r>
      <w:r w:rsidRPr="003C5786">
        <w:rPr>
          <w:rFonts w:ascii="Times New Roman" w:hAnsi="Times New Roman"/>
          <w:i/>
          <w:iCs/>
        </w:rPr>
        <w:t xml:space="preserve">Lim </w:t>
      </w:r>
      <w:r w:rsidRPr="003C5786">
        <w:rPr>
          <w:rFonts w:ascii="Times New Roman" w:hAnsi="Times New Roman"/>
        </w:rPr>
        <w:t>principle, he eschewed characterisation of the deprivation of liberty as either punitive or non-punitive</w:t>
      </w:r>
      <w:r w:rsidRPr="003C5786">
        <w:rPr>
          <w:rStyle w:val="FootnoteReference"/>
          <w:rFonts w:ascii="Times New Roman" w:hAnsi="Times New Roman"/>
          <w:sz w:val="24"/>
        </w:rPr>
        <w:footnoteReference w:id="432"/>
      </w:r>
      <w:r w:rsidRPr="003C5786">
        <w:rPr>
          <w:rFonts w:ascii="Times New Roman" w:hAnsi="Times New Roman"/>
        </w:rPr>
        <w:t>. Certainly, Gummow J did not make the error of rigidly separating punishment from protection of the community. He observed, in relation to a United States decision that turned upon whether a preventive detention order was punitive</w:t>
      </w:r>
      <w:r w:rsidRPr="003C5786">
        <w:rPr>
          <w:rStyle w:val="FootnoteReference"/>
          <w:rFonts w:ascii="Times New Roman" w:hAnsi="Times New Roman"/>
          <w:sz w:val="24"/>
        </w:rPr>
        <w:footnoteReference w:id="433"/>
      </w:r>
      <w:r w:rsidRPr="003C5786">
        <w:rPr>
          <w:rFonts w:ascii="Times New Roman" w:hAnsi="Times New Roman"/>
        </w:rPr>
        <w:t>, that this Court has not treated the objectives of criminal punishment so narrowly that they could be contrasted with protection of the community from harm</w:t>
      </w:r>
      <w:r w:rsidRPr="003C5786">
        <w:rPr>
          <w:rStyle w:val="FootnoteReference"/>
          <w:rFonts w:ascii="Times New Roman" w:hAnsi="Times New Roman"/>
          <w:sz w:val="24"/>
        </w:rPr>
        <w:footnoteReference w:id="434"/>
      </w:r>
      <w:r w:rsidRPr="003C5786">
        <w:rPr>
          <w:rFonts w:ascii="Times New Roman" w:hAnsi="Times New Roman"/>
        </w:rPr>
        <w:t>. Kirby J considered that the continuing detention order was punitive and, despite the absence of a focus on moral desert that is present in traditional punishment, held that it amounted to double punishment</w:t>
      </w:r>
      <w:r w:rsidRPr="003C5786">
        <w:rPr>
          <w:rStyle w:val="FootnoteReference"/>
          <w:rFonts w:ascii="Times New Roman" w:hAnsi="Times New Roman"/>
          <w:sz w:val="24"/>
        </w:rPr>
        <w:footnoteReference w:id="435"/>
      </w:r>
      <w:r w:rsidRPr="003C5786">
        <w:rPr>
          <w:rFonts w:ascii="Times New Roman" w:hAnsi="Times New Roman"/>
        </w:rPr>
        <w:t xml:space="preserve">. McHugh J, choosing his words carefully, considered that the legislation was "not </w:t>
      </w:r>
      <w:r w:rsidRPr="003C5786">
        <w:rPr>
          <w:rFonts w:ascii="Times New Roman" w:hAnsi="Times New Roman"/>
          <w:i/>
          <w:iCs/>
        </w:rPr>
        <w:t>designed</w:t>
      </w:r>
      <w:r w:rsidRPr="003C5786">
        <w:rPr>
          <w:rFonts w:ascii="Times New Roman" w:hAnsi="Times New Roman"/>
        </w:rPr>
        <w:t xml:space="preserve"> to punish the prisoner"</w:t>
      </w:r>
      <w:r w:rsidRPr="003C5786">
        <w:rPr>
          <w:rStyle w:val="FootnoteReference"/>
          <w:rFonts w:ascii="Times New Roman" w:hAnsi="Times New Roman"/>
          <w:sz w:val="24"/>
        </w:rPr>
        <w:footnoteReference w:id="436"/>
      </w:r>
      <w:r w:rsidRPr="003C5786">
        <w:rPr>
          <w:rFonts w:ascii="Times New Roman" w:hAnsi="Times New Roman"/>
        </w:rPr>
        <w:t xml:space="preserve">. His Honour did not reach any conclusion about whether it should nevertheless be ascribed that character and plainly did not separate punishment and protection. It is very doubtful that McHugh J would have taken any narrow view of punishment and contrasted it with protection of the community. In </w:t>
      </w:r>
      <w:r w:rsidRPr="003C5786">
        <w:rPr>
          <w:rFonts w:ascii="Times New Roman" w:hAnsi="Times New Roman"/>
          <w:i/>
          <w:iCs/>
        </w:rPr>
        <w:t>Kable v Director of Public Prosecutions (NSW)</w:t>
      </w:r>
      <w:r w:rsidRPr="003C5786">
        <w:rPr>
          <w:rStyle w:val="FootnoteReference"/>
          <w:rFonts w:ascii="Times New Roman" w:hAnsi="Times New Roman"/>
          <w:sz w:val="24"/>
        </w:rPr>
        <w:footnoteReference w:id="437"/>
      </w:r>
      <w:r w:rsidRPr="003C5786">
        <w:rPr>
          <w:rFonts w:ascii="Times New Roman" w:hAnsi="Times New Roman"/>
        </w:rPr>
        <w:t xml:space="preserve">, which was at the forefront of the submissions in </w:t>
      </w:r>
      <w:proofErr w:type="spellStart"/>
      <w:r w:rsidRPr="003C5786">
        <w:rPr>
          <w:rFonts w:ascii="Times New Roman" w:hAnsi="Times New Roman"/>
          <w:i/>
          <w:iCs/>
        </w:rPr>
        <w:t>Fardon</w:t>
      </w:r>
      <w:proofErr w:type="spellEnd"/>
      <w:r w:rsidRPr="003C5786">
        <w:rPr>
          <w:rFonts w:ascii="Times New Roman" w:hAnsi="Times New Roman"/>
        </w:rPr>
        <w:t>,</w:t>
      </w:r>
      <w:r w:rsidRPr="003C5786">
        <w:rPr>
          <w:rFonts w:ascii="Times New Roman" w:hAnsi="Times New Roman"/>
          <w:i/>
          <w:iCs/>
        </w:rPr>
        <w:t xml:space="preserve"> </w:t>
      </w:r>
      <w:r w:rsidRPr="003C5786">
        <w:rPr>
          <w:rFonts w:ascii="Times New Roman" w:hAnsi="Times New Roman"/>
        </w:rPr>
        <w:t xml:space="preserve">his Honour had described the continuing detention legislation in that case as providing for "punishment by way </w:t>
      </w:r>
      <w:r w:rsidRPr="003C5786">
        <w:rPr>
          <w:rFonts w:ascii="Times New Roman" w:hAnsi="Times New Roman"/>
        </w:rPr>
        <w:lastRenderedPageBreak/>
        <w:t xml:space="preserve">of imprisonment for what the appellant is likely to do as opposed to what he has done". </w:t>
      </w:r>
    </w:p>
    <w:p w14:paraId="7C5B270A" w14:textId="77777777" w:rsidR="00CE4181" w:rsidRPr="003C5786" w:rsidRDefault="00CE4181" w:rsidP="003C5786">
      <w:pPr>
        <w:pStyle w:val="HeadingL1"/>
        <w:spacing w:after="260" w:line="280" w:lineRule="exact"/>
        <w:ind w:right="0"/>
        <w:jc w:val="both"/>
        <w:rPr>
          <w:rFonts w:ascii="Times New Roman" w:hAnsi="Times New Roman"/>
        </w:rPr>
      </w:pPr>
      <w:r w:rsidRPr="003C5786">
        <w:rPr>
          <w:rFonts w:ascii="Times New Roman" w:hAnsi="Times New Roman"/>
        </w:rPr>
        <w:t>A different principle limiting all governmental power to detain?</w:t>
      </w:r>
    </w:p>
    <w:p w14:paraId="4FF59C00"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In </w:t>
      </w:r>
      <w:proofErr w:type="spellStart"/>
      <w:r w:rsidRPr="003C5786">
        <w:rPr>
          <w:rFonts w:ascii="Times New Roman" w:hAnsi="Times New Roman"/>
          <w:i/>
          <w:iCs/>
        </w:rPr>
        <w:t>Fardon</w:t>
      </w:r>
      <w:proofErr w:type="spellEnd"/>
      <w:r w:rsidRPr="003C5786">
        <w:rPr>
          <w:rStyle w:val="FootnoteReference"/>
          <w:rFonts w:ascii="Times New Roman" w:hAnsi="Times New Roman"/>
          <w:sz w:val="24"/>
        </w:rPr>
        <w:footnoteReference w:id="438"/>
      </w:r>
      <w:r w:rsidRPr="003C5786">
        <w:rPr>
          <w:rFonts w:ascii="Times New Roman" w:hAnsi="Times New Roman"/>
        </w:rPr>
        <w:t>,</w:t>
      </w:r>
      <w:r w:rsidRPr="003C5786">
        <w:rPr>
          <w:rFonts w:ascii="Times New Roman" w:hAnsi="Times New Roman"/>
          <w:i/>
          <w:iCs/>
        </w:rPr>
        <w:t xml:space="preserve"> </w:t>
      </w:r>
      <w:proofErr w:type="spellStart"/>
      <w:r w:rsidRPr="003C5786">
        <w:rPr>
          <w:rFonts w:ascii="Times New Roman" w:hAnsi="Times New Roman"/>
        </w:rPr>
        <w:t>Gummow</w:t>
      </w:r>
      <w:proofErr w:type="spellEnd"/>
      <w:r w:rsidRPr="003C5786">
        <w:rPr>
          <w:rFonts w:ascii="Times New Roman" w:hAnsi="Times New Roman"/>
        </w:rPr>
        <w:t xml:space="preserve"> J sought to reformulate the </w:t>
      </w:r>
      <w:r w:rsidRPr="003C5786">
        <w:rPr>
          <w:rFonts w:ascii="Times New Roman" w:hAnsi="Times New Roman"/>
          <w:i/>
          <w:iCs/>
        </w:rPr>
        <w:t xml:space="preserve">Lim </w:t>
      </w:r>
      <w:r w:rsidRPr="003C5786">
        <w:rPr>
          <w:rFonts w:ascii="Times New Roman" w:hAnsi="Times New Roman"/>
        </w:rPr>
        <w:t xml:space="preserve">principle as one based on individual liberty in which, subject to exceptions, "the involuntary detention of a citizen in custody by the State is permissible only as a consequential step in the adjudication of criminal guilt of that citizen for past acts". Mr Benbrika relied upon this formulation. There is, however, insufficient constitutional foundation to expand the </w:t>
      </w:r>
      <w:r w:rsidRPr="003C5786">
        <w:rPr>
          <w:rFonts w:ascii="Times New Roman" w:hAnsi="Times New Roman"/>
          <w:i/>
          <w:iCs/>
        </w:rPr>
        <w:t xml:space="preserve">Lim </w:t>
      </w:r>
      <w:r w:rsidRPr="003C5786">
        <w:rPr>
          <w:rFonts w:ascii="Times New Roman" w:hAnsi="Times New Roman"/>
        </w:rPr>
        <w:t>principle from one which is concerned with the separation of powers to one which is also founded upon the liberty of the individual and is a substantive constraint upon all legislative, executive, and judicial power.</w:t>
      </w:r>
    </w:p>
    <w:p w14:paraId="1C6E7F19"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For better or for worse, every day every branch of government exercises power which deprives people of their liberty of action. In some circumstances, the deprivation of a person's liberty might be slight. An example is laws that prevent a person driving through a red light at an intersection. In other circumstances, the deprivation might be more substantial. An example is the inability during a pandemic to leave one's premises to engage in many of the usual activities of life. The involuntary detention of a person in custody is one of the most extreme constraints upon liberty but, apart from considerations founded upon separation of powers or pertaining to the nature of judicial power, there has never been any independent constitutional principle of individual liberty that denies to the State the power to implement a policy choice that deprivation of liberty is required for an orderly society.</w:t>
      </w:r>
    </w:p>
    <w:p w14:paraId="560EA66A"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From a libertarian perspective, the creation of new constitutional restraints upon power to detain a person in order to ensure their liberty might be laudable. But constitutional implications to protect liberty must be based upon the text and structure of the </w:t>
      </w:r>
      <w:r w:rsidRPr="003C5786">
        <w:rPr>
          <w:rFonts w:ascii="Times New Roman" w:hAnsi="Times New Roman"/>
          <w:i/>
        </w:rPr>
        <w:t>Constitution</w:t>
      </w:r>
      <w:r w:rsidRPr="003C5786">
        <w:rPr>
          <w:rFonts w:ascii="Times New Roman" w:hAnsi="Times New Roman"/>
        </w:rPr>
        <w:t>. However desirable such implications might be thought to be, they cannot be superimposed without constitutional foundation</w:t>
      </w:r>
      <w:r w:rsidRPr="003C5786">
        <w:rPr>
          <w:rStyle w:val="FootnoteReference"/>
          <w:rFonts w:ascii="Times New Roman" w:hAnsi="Times New Roman"/>
          <w:sz w:val="24"/>
        </w:rPr>
        <w:footnoteReference w:id="439"/>
      </w:r>
      <w:r w:rsidRPr="003C5786">
        <w:rPr>
          <w:rFonts w:ascii="Times New Roman" w:hAnsi="Times New Roman"/>
        </w:rPr>
        <w:t>. Moreover, even as a matter of superimposed policy, it is hard to see why such an implication should be limited only to full</w:t>
      </w:r>
      <w:r w:rsidRPr="003C5786">
        <w:rPr>
          <w:rFonts w:ascii="Times New Roman" w:hAnsi="Times New Roman"/>
        </w:rPr>
        <w:noBreakHyphen/>
        <w:t xml:space="preserve">time detention in the custody of the State. Why should the same protection of liberty not extend also to a regime of "periodic detention" in the custody of the State? Why should it not extend also to periods of home detention or detention at places outside a custodial institution? And why should the implication be limited to detention when non-custodial measures, such </w:t>
      </w:r>
      <w:r w:rsidRPr="003C5786">
        <w:rPr>
          <w:rFonts w:ascii="Times New Roman" w:hAnsi="Times New Roman"/>
        </w:rPr>
        <w:lastRenderedPageBreak/>
        <w:t>as sweeping control orders, could involve a greater overall restraint upon liberty than a short period of detention?</w:t>
      </w:r>
    </w:p>
    <w:p w14:paraId="0B132387"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The creation of a new implication that constrains the power of all branches of government to restrict a person's liberty by detention would also be subject to so many exceptions, which are neither "clear nor within precise and confined categories"</w:t>
      </w:r>
      <w:r w:rsidRPr="003C5786">
        <w:rPr>
          <w:rStyle w:val="FootnoteReference"/>
          <w:rFonts w:ascii="Times New Roman" w:hAnsi="Times New Roman"/>
          <w:sz w:val="24"/>
        </w:rPr>
        <w:footnoteReference w:id="440"/>
      </w:r>
      <w:r w:rsidRPr="003C5786">
        <w:rPr>
          <w:rFonts w:ascii="Times New Roman" w:hAnsi="Times New Roman"/>
        </w:rPr>
        <w:t>, as to deny any coherence to the rule. The exceptions would include disparate circumstances such as the following</w:t>
      </w:r>
      <w:r w:rsidRPr="003C5786">
        <w:rPr>
          <w:rStyle w:val="FootnoteReference"/>
          <w:rFonts w:ascii="Times New Roman" w:hAnsi="Times New Roman"/>
          <w:sz w:val="24"/>
        </w:rPr>
        <w:footnoteReference w:id="441"/>
      </w:r>
      <w:r w:rsidRPr="003C5786">
        <w:rPr>
          <w:rFonts w:ascii="Times New Roman" w:hAnsi="Times New Roman"/>
        </w:rPr>
        <w:t>: detention to protect the community from threatened harm by persons with contagious diseases or chemical, biological and radiological emergencies; detention of persons with mental illnesses or in need of drug treatment even where those persons pose no threat of harm to anyone other than themselves; the detention of aliens pending deportation where no harm to the community would be involved at all because the detained aliens pose no threat of any harm to anyone; and the refusal of bail for a person who poses no threat of reoffending but who might abscond.</w:t>
      </w:r>
    </w:p>
    <w:p w14:paraId="78469E8C"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Even if the focus of the proposed new implication were confined to judicial power – an implication that, subject to exceptions, detention could only be ordered as a consequential step in the adjudication of criminal guilt of that citizen for past acts – such an implication would likely recognise so many varied and diverse historical exceptions that the implication would lack coherence. The exceptions on historical grounds could include: </w:t>
      </w:r>
      <w:r w:rsidRPr="003C5786">
        <w:rPr>
          <w:rFonts w:ascii="Times New Roman" w:hAnsi="Times New Roman"/>
          <w:iCs/>
        </w:rPr>
        <w:t>judicial orders committing a person to an institution to be detained on the ground of insanity or mental illness</w:t>
      </w:r>
      <w:r w:rsidRPr="003C5786">
        <w:rPr>
          <w:rStyle w:val="FootnoteReference"/>
          <w:rFonts w:ascii="Times New Roman" w:hAnsi="Times New Roman"/>
          <w:iCs/>
          <w:sz w:val="24"/>
        </w:rPr>
        <w:footnoteReference w:id="442"/>
      </w:r>
      <w:r w:rsidRPr="003C5786">
        <w:rPr>
          <w:rFonts w:ascii="Times New Roman" w:hAnsi="Times New Roman"/>
          <w:iCs/>
        </w:rPr>
        <w:t>; judicial orders for arrest and detention pending extradition</w:t>
      </w:r>
      <w:r w:rsidRPr="003C5786">
        <w:rPr>
          <w:rStyle w:val="FootnoteReference"/>
          <w:rFonts w:ascii="Times New Roman" w:hAnsi="Times New Roman"/>
          <w:iCs/>
          <w:sz w:val="24"/>
        </w:rPr>
        <w:footnoteReference w:id="443"/>
      </w:r>
      <w:r w:rsidRPr="003C5786">
        <w:rPr>
          <w:rFonts w:ascii="Times New Roman" w:hAnsi="Times New Roman"/>
          <w:iCs/>
        </w:rPr>
        <w:t xml:space="preserve">; judicial orders detaining a </w:t>
      </w:r>
      <w:r w:rsidRPr="003C5786">
        <w:rPr>
          <w:rFonts w:ascii="Times New Roman" w:hAnsi="Times New Roman"/>
          <w:iCs/>
        </w:rPr>
        <w:lastRenderedPageBreak/>
        <w:t>person by refusal of bail pending trial</w:t>
      </w:r>
      <w:r w:rsidRPr="003C5786">
        <w:rPr>
          <w:rStyle w:val="FootnoteReference"/>
          <w:rFonts w:ascii="Times New Roman" w:hAnsi="Times New Roman"/>
          <w:iCs/>
          <w:sz w:val="24"/>
        </w:rPr>
        <w:footnoteReference w:id="444"/>
      </w:r>
      <w:r w:rsidRPr="003C5786">
        <w:rPr>
          <w:rFonts w:ascii="Times New Roman" w:hAnsi="Times New Roman"/>
          <w:iCs/>
        </w:rPr>
        <w:t>; judicial orders detaining particular debtors who were in default</w:t>
      </w:r>
      <w:r w:rsidRPr="003C5786">
        <w:rPr>
          <w:rStyle w:val="FootnoteReference"/>
          <w:rFonts w:ascii="Times New Roman" w:hAnsi="Times New Roman"/>
          <w:sz w:val="24"/>
        </w:rPr>
        <w:footnoteReference w:id="445"/>
      </w:r>
      <w:r w:rsidRPr="003C5786">
        <w:rPr>
          <w:rFonts w:ascii="Times New Roman" w:hAnsi="Times New Roman"/>
          <w:iCs/>
        </w:rPr>
        <w:t>; and judicial orders detaining inebriates</w:t>
      </w:r>
      <w:r w:rsidRPr="003C5786">
        <w:rPr>
          <w:rStyle w:val="FootnoteReference"/>
          <w:rFonts w:ascii="Times New Roman" w:hAnsi="Times New Roman"/>
          <w:iCs/>
          <w:sz w:val="24"/>
        </w:rPr>
        <w:footnoteReference w:id="446"/>
      </w:r>
      <w:r w:rsidRPr="003C5786">
        <w:rPr>
          <w:rFonts w:ascii="Times New Roman" w:hAnsi="Times New Roman"/>
        </w:rPr>
        <w:t>.</w:t>
      </w:r>
      <w:r w:rsidRPr="003C5786">
        <w:rPr>
          <w:rFonts w:ascii="Times New Roman" w:hAnsi="Times New Roman"/>
          <w:i/>
        </w:rPr>
        <w:t xml:space="preserve"> </w:t>
      </w:r>
    </w:p>
    <w:p w14:paraId="483D5D04" w14:textId="77777777" w:rsidR="00CE4181" w:rsidRPr="003C5786" w:rsidRDefault="00CE4181" w:rsidP="003C5786">
      <w:pPr>
        <w:pStyle w:val="HeadingL1"/>
        <w:spacing w:after="260" w:line="280" w:lineRule="exact"/>
        <w:ind w:right="0"/>
        <w:jc w:val="both"/>
        <w:rPr>
          <w:rFonts w:ascii="Times New Roman" w:hAnsi="Times New Roman"/>
        </w:rPr>
      </w:pPr>
      <w:r w:rsidRPr="003C5786">
        <w:rPr>
          <w:rFonts w:ascii="Times New Roman" w:hAnsi="Times New Roman"/>
        </w:rPr>
        <w:t xml:space="preserve">The boundaries of judicial power </w:t>
      </w:r>
    </w:p>
    <w:p w14:paraId="75263B8A" w14:textId="77777777" w:rsidR="00CE4181" w:rsidRPr="003C5786" w:rsidRDefault="00CE4181" w:rsidP="003C5786">
      <w:pPr>
        <w:pStyle w:val="HeadingL2"/>
        <w:spacing w:after="260" w:line="280" w:lineRule="exact"/>
        <w:ind w:right="0"/>
        <w:jc w:val="both"/>
        <w:rPr>
          <w:rFonts w:ascii="Times New Roman" w:hAnsi="Times New Roman"/>
        </w:rPr>
      </w:pPr>
      <w:r w:rsidRPr="003C5786">
        <w:rPr>
          <w:rFonts w:ascii="Times New Roman" w:hAnsi="Times New Roman"/>
        </w:rPr>
        <w:t>The form of judicial power is not limited to adjudication of existing rights and obligations</w:t>
      </w:r>
    </w:p>
    <w:p w14:paraId="56C71C36"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Mr Benbrika submitted that the power to make a continuing detention order is not judicial as it involves the determination of new rights and obligations, as opposed to the determination of existing rights and obligations having regard to past events. The latter is certainly the most common feature of power that is judicial in form. The most famous expression of judicial power, by Griffith CJ, focuses upon a tribunal being called upon to give a decision concerning "controversies between its subjects, or between itself and its subjects"</w:t>
      </w:r>
      <w:r w:rsidRPr="003C5786">
        <w:rPr>
          <w:rStyle w:val="FootnoteReference"/>
          <w:rFonts w:ascii="Times New Roman" w:hAnsi="Times New Roman"/>
          <w:sz w:val="24"/>
        </w:rPr>
        <w:footnoteReference w:id="447"/>
      </w:r>
      <w:r w:rsidRPr="003C5786">
        <w:rPr>
          <w:rFonts w:ascii="Times New Roman" w:hAnsi="Times New Roman"/>
        </w:rPr>
        <w:t xml:space="preserve">, which, as </w:t>
      </w:r>
      <w:proofErr w:type="spellStart"/>
      <w:r w:rsidRPr="003C5786">
        <w:rPr>
          <w:rFonts w:ascii="Times New Roman" w:hAnsi="Times New Roman"/>
        </w:rPr>
        <w:t>Kitto</w:t>
      </w:r>
      <w:proofErr w:type="spellEnd"/>
      <w:r w:rsidRPr="003C5786">
        <w:rPr>
          <w:rFonts w:ascii="Times New Roman" w:hAnsi="Times New Roman"/>
        </w:rPr>
        <w:t> J has explained, generally involve "a question as to the existence of a right or obligation, so that an exercise of the power creates a new charter by reference to which that question is in future to be decided as between those persons or classes of persons"</w:t>
      </w:r>
      <w:r w:rsidRPr="003C5786">
        <w:rPr>
          <w:rStyle w:val="FootnoteReference"/>
          <w:rFonts w:ascii="Times New Roman" w:hAnsi="Times New Roman"/>
          <w:sz w:val="24"/>
        </w:rPr>
        <w:footnoteReference w:id="448"/>
      </w:r>
      <w:r w:rsidRPr="003C5786">
        <w:rPr>
          <w:rFonts w:ascii="Times New Roman" w:hAnsi="Times New Roman"/>
        </w:rPr>
        <w:t>. But while such statements aim to describe "what lies at the very centre of judicial power"</w:t>
      </w:r>
      <w:r w:rsidRPr="003C5786">
        <w:rPr>
          <w:rStyle w:val="FootnoteReference"/>
          <w:rFonts w:ascii="Times New Roman" w:hAnsi="Times New Roman"/>
          <w:sz w:val="24"/>
        </w:rPr>
        <w:footnoteReference w:id="449"/>
      </w:r>
      <w:r w:rsidRPr="003C5786">
        <w:rPr>
          <w:rFonts w:ascii="Times New Roman" w:hAnsi="Times New Roman"/>
        </w:rPr>
        <w:t>, they are neither exclusive nor exhaustive statements of judicial power</w:t>
      </w:r>
      <w:r w:rsidRPr="003C5786">
        <w:rPr>
          <w:rStyle w:val="FootnoteReference"/>
          <w:rFonts w:ascii="Times New Roman" w:hAnsi="Times New Roman"/>
          <w:sz w:val="24"/>
        </w:rPr>
        <w:footnoteReference w:id="450"/>
      </w:r>
      <w:r w:rsidRPr="003C5786">
        <w:rPr>
          <w:rFonts w:ascii="Times New Roman" w:hAnsi="Times New Roman"/>
        </w:rPr>
        <w:t>.</w:t>
      </w:r>
    </w:p>
    <w:p w14:paraId="2F921FDB"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It would be a flawed approach to constitutional interpretation to give the fluid concept of judicial power an essential meaning that is "cribbed, cabined and </w:t>
      </w:r>
      <w:r w:rsidRPr="003C5786">
        <w:rPr>
          <w:rFonts w:ascii="Times New Roman" w:hAnsi="Times New Roman"/>
        </w:rPr>
        <w:lastRenderedPageBreak/>
        <w:t>confined"</w:t>
      </w:r>
      <w:r w:rsidRPr="003C5786">
        <w:rPr>
          <w:rStyle w:val="FootnoteReference"/>
          <w:rFonts w:ascii="Times New Roman" w:hAnsi="Times New Roman"/>
          <w:sz w:val="24"/>
        </w:rPr>
        <w:footnoteReference w:id="451"/>
      </w:r>
      <w:r w:rsidRPr="003C5786">
        <w:rPr>
          <w:rFonts w:ascii="Times New Roman" w:hAnsi="Times New Roman"/>
        </w:rPr>
        <w:t xml:space="preserve"> at a low level of generality closely associated with resolving controversies about rights and obligations. One reason this would be flawed is that this definition would exclude exercises of power, contemporary in 1901, involving the creation of rights and obligations by reference to a status such as in cases of matrimonial causes, bankruptcy, probate, and the winding up of companies</w:t>
      </w:r>
      <w:r w:rsidRPr="003C5786">
        <w:rPr>
          <w:rStyle w:val="FootnoteReference"/>
          <w:rFonts w:ascii="Times New Roman" w:hAnsi="Times New Roman"/>
          <w:sz w:val="24"/>
        </w:rPr>
        <w:footnoteReference w:id="452"/>
      </w:r>
      <w:r w:rsidRPr="003C5786">
        <w:rPr>
          <w:rFonts w:ascii="Times New Roman" w:hAnsi="Times New Roman"/>
        </w:rPr>
        <w:t>. Another reason is that it would exclude exercises of power, again contemporary in 1901, involving exposure of a party to a new liability such as an order to make discovery or to give an account</w:t>
      </w:r>
      <w:r w:rsidRPr="003C5786">
        <w:rPr>
          <w:rStyle w:val="FootnoteReference"/>
          <w:rFonts w:ascii="Times New Roman" w:hAnsi="Times New Roman"/>
          <w:sz w:val="24"/>
        </w:rPr>
        <w:footnoteReference w:id="453"/>
      </w:r>
      <w:r w:rsidRPr="003C5786">
        <w:rPr>
          <w:rFonts w:ascii="Times New Roman" w:hAnsi="Times New Roman"/>
        </w:rPr>
        <w:t xml:space="preserve">. Even more fundamentally, the fluidity of the concept of judicial power requires any attempt at essential meaning to be at a high level of generality. As </w:t>
      </w:r>
      <w:proofErr w:type="spellStart"/>
      <w:r w:rsidRPr="003C5786">
        <w:rPr>
          <w:rFonts w:ascii="Times New Roman" w:hAnsi="Times New Roman"/>
        </w:rPr>
        <w:t>Sawer</w:t>
      </w:r>
      <w:proofErr w:type="spellEnd"/>
      <w:r w:rsidRPr="003C5786">
        <w:rPr>
          <w:rFonts w:ascii="Times New Roman" w:hAnsi="Times New Roman"/>
        </w:rPr>
        <w:t xml:space="preserve"> wrote</w:t>
      </w:r>
      <w:r w:rsidRPr="003C5786">
        <w:rPr>
          <w:rStyle w:val="FootnoteReference"/>
          <w:rFonts w:ascii="Times New Roman" w:hAnsi="Times New Roman"/>
          <w:sz w:val="24"/>
        </w:rPr>
        <w:footnoteReference w:id="454"/>
      </w:r>
      <w:r w:rsidRPr="003C5786">
        <w:rPr>
          <w:rFonts w:ascii="Times New Roman" w:hAnsi="Times New Roman"/>
        </w:rPr>
        <w:t xml:space="preserve">: </w:t>
      </w:r>
    </w:p>
    <w:p w14:paraId="13DCDF0A" w14:textId="77777777" w:rsidR="00CE4181" w:rsidRDefault="00CE4181" w:rsidP="003C5786">
      <w:pPr>
        <w:pStyle w:val="LeftrightafterHC"/>
        <w:spacing w:before="0" w:after="260" w:line="280" w:lineRule="exact"/>
        <w:ind w:right="0"/>
        <w:jc w:val="both"/>
        <w:rPr>
          <w:rFonts w:ascii="Times New Roman" w:hAnsi="Times New Roman"/>
        </w:rPr>
      </w:pPr>
      <w:r w:rsidRPr="003C5786">
        <w:rPr>
          <w:rFonts w:ascii="Times New Roman" w:hAnsi="Times New Roman"/>
        </w:rPr>
        <w:t>"[T]he delimitation of the frontiers of judicial power for the purpose of applying Chapter 3 of the Constitution is never likely to be reduced to a deductive system of propositions. Like so many other questions of constitutional law, its solution requires judicial statesmanship in which questions of expediency and the adjustment of governmental methods to the changing needs of a complex society must play a large part."</w:t>
      </w:r>
    </w:p>
    <w:p w14:paraId="1B654B3E" w14:textId="77777777" w:rsidR="00CE4181" w:rsidRPr="003C5786" w:rsidRDefault="00CE4181" w:rsidP="003C5786">
      <w:pPr>
        <w:pStyle w:val="HeadingL2"/>
        <w:spacing w:after="260" w:line="280" w:lineRule="exact"/>
        <w:ind w:right="0"/>
        <w:jc w:val="both"/>
        <w:rPr>
          <w:rFonts w:ascii="Times New Roman" w:hAnsi="Times New Roman"/>
        </w:rPr>
      </w:pPr>
      <w:r w:rsidRPr="003C5786">
        <w:rPr>
          <w:rFonts w:ascii="Times New Roman" w:hAnsi="Times New Roman"/>
        </w:rPr>
        <w:t>Judicial power must be exercised judicially</w:t>
      </w:r>
    </w:p>
    <w:p w14:paraId="18043D60"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It is not enough to satisfy the requirements of Ch III of the </w:t>
      </w:r>
      <w:r w:rsidRPr="003C5786">
        <w:rPr>
          <w:rFonts w:ascii="Times New Roman" w:hAnsi="Times New Roman"/>
          <w:i/>
        </w:rPr>
        <w:t xml:space="preserve">Constitution </w:t>
      </w:r>
      <w:r w:rsidRPr="003C5786">
        <w:rPr>
          <w:rFonts w:ascii="Times New Roman" w:hAnsi="Times New Roman"/>
        </w:rPr>
        <w:t xml:space="preserve">that a power conferred upon a court is judicial in form. Apart from matters incidental to the power, it must also only be exercisable judicially. Mr Benbrika submitted that the exercise of judicial power to punish a person by involuntary detention is impermissible where the detention is "divorced from the judgment of guilt because it is prospective". Although Mr Benbrika did not articulate precisely why punishment of a person for something they have not done, but might do, was contrary to the requirements for judicial power, the basis for the submission must lie in the individual injustice that arises from a continuing detention order made under s 105A.7 which, the submission assumed, would require the exercise of that power in an unjudicial manner. </w:t>
      </w:r>
      <w:r w:rsidRPr="003C5786">
        <w:rPr>
          <w:rFonts w:ascii="Times New Roman" w:hAnsi="Times New Roman"/>
          <w:color w:val="000000"/>
        </w:rPr>
        <w:t xml:space="preserve">The use of a judicial power to impose further </w:t>
      </w:r>
      <w:r w:rsidRPr="003C5786">
        <w:rPr>
          <w:rFonts w:ascii="Times New Roman" w:hAnsi="Times New Roman"/>
          <w:color w:val="000000"/>
        </w:rPr>
        <w:lastRenderedPageBreak/>
        <w:t xml:space="preserve">detention as protective punishment beyond that which Parliament has assessed as deserved for the offence is unjust from the perspective of the individual. The individual experiences the order as punishment that they do not deserve for something that they have not done. </w:t>
      </w:r>
      <w:r w:rsidRPr="003C5786">
        <w:rPr>
          <w:rFonts w:ascii="Times New Roman" w:hAnsi="Times New Roman"/>
        </w:rPr>
        <w:t xml:space="preserve">As Ashworth and </w:t>
      </w:r>
      <w:proofErr w:type="spellStart"/>
      <w:r w:rsidRPr="003C5786">
        <w:rPr>
          <w:rFonts w:ascii="Times New Roman" w:hAnsi="Times New Roman"/>
        </w:rPr>
        <w:t>Zedner</w:t>
      </w:r>
      <w:proofErr w:type="spellEnd"/>
      <w:r w:rsidRPr="003C5786">
        <w:rPr>
          <w:rFonts w:ascii="Times New Roman" w:hAnsi="Times New Roman"/>
        </w:rPr>
        <w:t xml:space="preserve"> have observed, the logic of protective punishment</w:t>
      </w:r>
      <w:r w:rsidRPr="003C5786">
        <w:rPr>
          <w:rStyle w:val="FootnoteReference"/>
          <w:rFonts w:ascii="Times New Roman" w:hAnsi="Times New Roman"/>
          <w:sz w:val="24"/>
        </w:rPr>
        <w:footnoteReference w:id="455"/>
      </w:r>
      <w:r w:rsidRPr="003C5786">
        <w:rPr>
          <w:rFonts w:ascii="Times New Roman" w:hAnsi="Times New Roman"/>
        </w:rPr>
        <w:t xml:space="preserve"> "applies without respect for whether the subject is a responsible agent or not"</w:t>
      </w:r>
      <w:r w:rsidRPr="003C5786">
        <w:rPr>
          <w:rStyle w:val="FootnoteReference"/>
          <w:rFonts w:ascii="Times New Roman" w:hAnsi="Times New Roman"/>
          <w:sz w:val="24"/>
        </w:rPr>
        <w:footnoteReference w:id="456"/>
      </w:r>
      <w:r w:rsidRPr="003C5786">
        <w:rPr>
          <w:rFonts w:ascii="Times New Roman" w:hAnsi="Times New Roman"/>
        </w:rPr>
        <w:t xml:space="preserve">. </w:t>
      </w:r>
    </w:p>
    <w:p w14:paraId="75B35A06"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Consistently with the imprecision in any essential meaning of judicial power, the boundary at which the exercise of judicial power becomes unjudicial is also imprecise and elastic. But "[e]</w:t>
      </w:r>
      <w:proofErr w:type="spellStart"/>
      <w:r w:rsidRPr="003C5786">
        <w:rPr>
          <w:rFonts w:ascii="Times New Roman" w:hAnsi="Times New Roman"/>
        </w:rPr>
        <w:t>lasticity</w:t>
      </w:r>
      <w:proofErr w:type="spellEnd"/>
      <w:r w:rsidRPr="003C5786">
        <w:rPr>
          <w:rFonts w:ascii="Times New Roman" w:hAnsi="Times New Roman"/>
        </w:rPr>
        <w:t xml:space="preserve"> has not meant that what is of the essence of the judicial function may be destroyed"</w:t>
      </w:r>
      <w:r w:rsidRPr="003C5786">
        <w:rPr>
          <w:rStyle w:val="FootnoteReference"/>
          <w:rFonts w:ascii="Times New Roman" w:hAnsi="Times New Roman"/>
          <w:sz w:val="24"/>
        </w:rPr>
        <w:footnoteReference w:id="457"/>
      </w:r>
      <w:r w:rsidRPr="003C5786">
        <w:rPr>
          <w:rFonts w:ascii="Times New Roman" w:hAnsi="Times New Roman"/>
        </w:rPr>
        <w:t>. In different contexts, such as where judicial power is conferred without a duty to give reasons for decision on important issues</w:t>
      </w:r>
      <w:r w:rsidRPr="003C5786">
        <w:rPr>
          <w:rStyle w:val="FootnoteReference"/>
          <w:rFonts w:ascii="Times New Roman" w:hAnsi="Times New Roman"/>
          <w:sz w:val="24"/>
        </w:rPr>
        <w:footnoteReference w:id="458"/>
      </w:r>
      <w:r w:rsidRPr="003C5786">
        <w:rPr>
          <w:rFonts w:ascii="Times New Roman" w:hAnsi="Times New Roman"/>
        </w:rPr>
        <w:t xml:space="preserve"> or arguably some instances where judicial power is to be exercised without key elements of procedural fairness</w:t>
      </w:r>
      <w:r w:rsidRPr="003C5786">
        <w:rPr>
          <w:rStyle w:val="FootnoteReference"/>
          <w:rFonts w:ascii="Times New Roman" w:hAnsi="Times New Roman"/>
          <w:sz w:val="24"/>
        </w:rPr>
        <w:footnoteReference w:id="459"/>
      </w:r>
      <w:r w:rsidRPr="003C5786">
        <w:rPr>
          <w:rFonts w:ascii="Times New Roman" w:hAnsi="Times New Roman"/>
        </w:rPr>
        <w:t xml:space="preserve">, the assessment of when judicial power is exercised </w:t>
      </w:r>
      <w:proofErr w:type="spellStart"/>
      <w:r w:rsidRPr="003C5786">
        <w:rPr>
          <w:rFonts w:ascii="Times New Roman" w:hAnsi="Times New Roman"/>
        </w:rPr>
        <w:t>unjudicially</w:t>
      </w:r>
      <w:proofErr w:type="spellEnd"/>
      <w:r w:rsidRPr="003C5786">
        <w:rPr>
          <w:rFonts w:ascii="Times New Roman" w:hAnsi="Times New Roman"/>
        </w:rPr>
        <w:t>, or contrary to the essence of the judicial function, will involve different considerations.</w:t>
      </w:r>
    </w:p>
    <w:p w14:paraId="7C91835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The individual injustice of a continuing detention order is insufficient to make the manner of exercise of the relevant power unjudicial. The manner of exercise of judicial power does not cease to be judicial merely because that exercise would cause injustice from an individual perspective. Judicial power, and justice, also operate at a broader level of giving effect to the policy of Parliament as reflected in legislative purpose. But when considered from the perspective of both the individual and the legislative purpose then, almost by definition, power cannot be exercised judicially if its exercise would always cause injustice and if the power lacks justification.</w:t>
      </w:r>
    </w:p>
    <w:p w14:paraId="7567FDC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lastRenderedPageBreak/>
        <w:tab/>
        <w:t xml:space="preserve">The approach taken in the </w:t>
      </w:r>
      <w:r w:rsidRPr="003C5786">
        <w:rPr>
          <w:rFonts w:ascii="Times New Roman" w:hAnsi="Times New Roman"/>
          <w:iCs/>
        </w:rPr>
        <w:t xml:space="preserve">joint judgment in </w:t>
      </w:r>
      <w:r w:rsidRPr="003C5786">
        <w:rPr>
          <w:rFonts w:ascii="Times New Roman" w:hAnsi="Times New Roman"/>
          <w:i/>
        </w:rPr>
        <w:t xml:space="preserve">Lim </w:t>
      </w:r>
      <w:r w:rsidRPr="003C5786">
        <w:rPr>
          <w:rFonts w:ascii="Times New Roman" w:hAnsi="Times New Roman"/>
          <w:iCs/>
        </w:rPr>
        <w:t>when considering whether detention of aliens by the Executive was "justified by valid statutory provision"</w:t>
      </w:r>
      <w:r w:rsidRPr="003C5786">
        <w:rPr>
          <w:rStyle w:val="FootnoteReference"/>
          <w:rFonts w:ascii="Times New Roman" w:hAnsi="Times New Roman"/>
          <w:iCs/>
          <w:sz w:val="24"/>
        </w:rPr>
        <w:footnoteReference w:id="460"/>
      </w:r>
      <w:r w:rsidRPr="003C5786">
        <w:rPr>
          <w:rFonts w:ascii="Times New Roman" w:hAnsi="Times New Roman"/>
          <w:iCs/>
        </w:rPr>
        <w:t xml:space="preserve"> was that detention would be punitive and invalid if it was not "limited to what is reasonably capable of being seen as necessary" for the purposes of deportation or processing of an entry permit</w:t>
      </w:r>
      <w:r w:rsidRPr="003C5786">
        <w:rPr>
          <w:rStyle w:val="FootnoteReference"/>
          <w:rFonts w:ascii="Times New Roman" w:hAnsi="Times New Roman"/>
          <w:iCs/>
          <w:sz w:val="24"/>
        </w:rPr>
        <w:footnoteReference w:id="461"/>
      </w:r>
      <w:r w:rsidRPr="003C5786">
        <w:rPr>
          <w:rFonts w:ascii="Times New Roman" w:hAnsi="Times New Roman"/>
          <w:iCs/>
        </w:rPr>
        <w:t xml:space="preserve">. And, as to the exercise of judicial power, as Gummow J observed in </w:t>
      </w:r>
      <w:proofErr w:type="spellStart"/>
      <w:r w:rsidRPr="003C5786">
        <w:rPr>
          <w:rFonts w:ascii="Times New Roman" w:hAnsi="Times New Roman"/>
          <w:i/>
        </w:rPr>
        <w:t>Fardon</w:t>
      </w:r>
      <w:proofErr w:type="spellEnd"/>
      <w:r w:rsidRPr="003C5786">
        <w:rPr>
          <w:rStyle w:val="FootnoteReference"/>
          <w:rFonts w:ascii="Times New Roman" w:hAnsi="Times New Roman"/>
          <w:iCs/>
          <w:sz w:val="24"/>
        </w:rPr>
        <w:footnoteReference w:id="462"/>
      </w:r>
      <w:r w:rsidRPr="003C5786">
        <w:rPr>
          <w:rFonts w:ascii="Times New Roman" w:hAnsi="Times New Roman"/>
          <w:iCs/>
        </w:rPr>
        <w:t xml:space="preserve">, the majority judgments in </w:t>
      </w:r>
      <w:r w:rsidRPr="003C5786">
        <w:rPr>
          <w:rFonts w:ascii="Times New Roman" w:hAnsi="Times New Roman"/>
          <w:i/>
        </w:rPr>
        <w:t>Kable v Director of Public Prosecutions (NSW)</w:t>
      </w:r>
      <w:r w:rsidRPr="003C5786">
        <w:rPr>
          <w:rStyle w:val="FootnoteReference"/>
          <w:rFonts w:ascii="Times New Roman" w:hAnsi="Times New Roman"/>
          <w:iCs/>
          <w:sz w:val="24"/>
        </w:rPr>
        <w:footnoteReference w:id="463"/>
      </w:r>
      <w:r w:rsidRPr="003C5786">
        <w:rPr>
          <w:rFonts w:ascii="Times New Roman" w:hAnsi="Times New Roman"/>
          <w:iCs/>
        </w:rPr>
        <w:t xml:space="preserve">, to varying degrees, accepted the submission that the </w:t>
      </w:r>
      <w:r w:rsidRPr="003C5786">
        <w:rPr>
          <w:rFonts w:ascii="Times New Roman" w:hAnsi="Times New Roman"/>
        </w:rPr>
        <w:t>relevant Act,</w:t>
      </w:r>
      <w:r w:rsidRPr="003C5786">
        <w:rPr>
          <w:rFonts w:ascii="Times New Roman" w:hAnsi="Times New Roman"/>
          <w:iCs/>
        </w:rPr>
        <w:t xml:space="preserve"> which was held to be invalid, was "not a carefully calculated legislative response to a general social problem".</w:t>
      </w:r>
    </w:p>
    <w:p w14:paraId="317F105C"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iCs/>
        </w:rPr>
        <w:tab/>
        <w:t>As an issue separate from the characterisation of the type of power involved</w:t>
      </w:r>
      <w:r w:rsidRPr="003C5786">
        <w:rPr>
          <w:rStyle w:val="FootnoteReference"/>
          <w:rFonts w:ascii="Times New Roman" w:hAnsi="Times New Roman"/>
          <w:iCs/>
          <w:sz w:val="24"/>
        </w:rPr>
        <w:footnoteReference w:id="464"/>
      </w:r>
      <w:r w:rsidRPr="003C5786">
        <w:rPr>
          <w:rFonts w:ascii="Times New Roman" w:hAnsi="Times New Roman"/>
          <w:iCs/>
        </w:rPr>
        <w:t xml:space="preserve">, this "reasonable necessity" or "carefully calculated legislative response" approach to justification of the exercise of judicial power can be expressed with additional transparency by the more common explication of these concepts through a form of structured proportionality analysis. </w:t>
      </w:r>
      <w:r w:rsidRPr="003C5786">
        <w:rPr>
          <w:rFonts w:ascii="Times New Roman" w:hAnsi="Times New Roman"/>
        </w:rPr>
        <w:t>On that approach, protective punishment will be unable to be justified in two circumstances: (</w:t>
      </w:r>
      <w:proofErr w:type="spellStart"/>
      <w:r w:rsidRPr="003C5786">
        <w:rPr>
          <w:rFonts w:ascii="Times New Roman" w:hAnsi="Times New Roman"/>
        </w:rPr>
        <w:t>i</w:t>
      </w:r>
      <w:proofErr w:type="spellEnd"/>
      <w:r w:rsidRPr="003C5786">
        <w:rPr>
          <w:rFonts w:ascii="Times New Roman" w:hAnsi="Times New Roman"/>
        </w:rPr>
        <w:t>) where the purpose of the protective punishment could easily be met to the same extent by reasonable alternatives, such as less restrictive control orders, which could achieve the statutory purpose without the extreme constraint upon liberty of detention; and (ii) where the purpose for the protective punishment, assessed primarily by reference to the importance placed upon that purpose by Parliament</w:t>
      </w:r>
      <w:r w:rsidRPr="003C5786">
        <w:rPr>
          <w:rStyle w:val="FootnoteReference"/>
          <w:rFonts w:ascii="Times New Roman" w:hAnsi="Times New Roman"/>
          <w:sz w:val="24"/>
        </w:rPr>
        <w:footnoteReference w:id="465"/>
      </w:r>
      <w:r w:rsidRPr="003C5786">
        <w:rPr>
          <w:rFonts w:ascii="Times New Roman" w:hAnsi="Times New Roman"/>
        </w:rPr>
        <w:t>, is so slight or trivial that it cannot justify detention of an individual</w:t>
      </w:r>
      <w:r w:rsidRPr="003C5786">
        <w:rPr>
          <w:rFonts w:ascii="Times New Roman" w:hAnsi="Times New Roman"/>
          <w:iCs/>
        </w:rPr>
        <w:t>. As with other instances where structured proportionality applies, and subject to reading down, severance, or disapplication</w:t>
      </w:r>
      <w:r w:rsidRPr="003C5786">
        <w:rPr>
          <w:rStyle w:val="FootnoteReference"/>
          <w:rFonts w:ascii="Times New Roman" w:hAnsi="Times New Roman"/>
          <w:iCs/>
          <w:sz w:val="24"/>
        </w:rPr>
        <w:footnoteReference w:id="466"/>
      </w:r>
      <w:r w:rsidRPr="003C5786">
        <w:rPr>
          <w:rFonts w:ascii="Times New Roman" w:hAnsi="Times New Roman"/>
          <w:iCs/>
        </w:rPr>
        <w:t xml:space="preserve">, it will only be in extreme cases that justification will fail on this latter basis: the very integrity and impartiality of the courts which the principle protects would be seriously impaired if the judiciary </w:t>
      </w:r>
      <w:r w:rsidRPr="003C5786">
        <w:rPr>
          <w:rFonts w:ascii="Times New Roman" w:hAnsi="Times New Roman"/>
          <w:iCs/>
        </w:rPr>
        <w:lastRenderedPageBreak/>
        <w:t>could generally refuse to implement statutory provisions on the grounds of an objection to legislative policy</w:t>
      </w:r>
      <w:r w:rsidRPr="003C5786">
        <w:rPr>
          <w:rStyle w:val="FootnoteReference"/>
          <w:rFonts w:ascii="Times New Roman" w:hAnsi="Times New Roman"/>
          <w:iCs/>
          <w:sz w:val="24"/>
        </w:rPr>
        <w:footnoteReference w:id="467"/>
      </w:r>
      <w:r w:rsidRPr="003C5786">
        <w:rPr>
          <w:rFonts w:ascii="Times New Roman" w:hAnsi="Times New Roman"/>
          <w:iCs/>
        </w:rPr>
        <w:t>.</w:t>
      </w:r>
    </w:p>
    <w:p w14:paraId="72A3704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iCs/>
        </w:rPr>
        <w:tab/>
        <w:t>A</w:t>
      </w:r>
      <w:r w:rsidRPr="003C5786">
        <w:rPr>
          <w:rFonts w:ascii="Times New Roman" w:hAnsi="Times New Roman"/>
        </w:rPr>
        <w:t xml:space="preserve">n example of the first circumstance of lack of justification, in the different context of the fourteenth amendment due process limits to the exercise of judicial power in the United States, is the decision of Stevens J in </w:t>
      </w:r>
      <w:r w:rsidRPr="003C5786">
        <w:rPr>
          <w:rFonts w:ascii="Times New Roman" w:hAnsi="Times New Roman"/>
          <w:i/>
          <w:iCs/>
        </w:rPr>
        <w:t>BMW of North America Inc v Gore</w:t>
      </w:r>
      <w:r w:rsidRPr="003C5786">
        <w:rPr>
          <w:rStyle w:val="FootnoteReference"/>
          <w:rFonts w:ascii="Times New Roman" w:hAnsi="Times New Roman"/>
          <w:sz w:val="24"/>
        </w:rPr>
        <w:footnoteReference w:id="468"/>
      </w:r>
      <w:r w:rsidRPr="003C5786">
        <w:rPr>
          <w:rFonts w:ascii="Times New Roman" w:hAnsi="Times New Roman"/>
        </w:rPr>
        <w:t>. With the concurrence of four other members of the Supreme Court of the United States, Stevens J denied the power to make judicial awards that are "grossly excessive" in relation to the State's legitimate interests in punishing unlawful conduct and deterring its repetition</w:t>
      </w:r>
      <w:r w:rsidRPr="003C5786">
        <w:rPr>
          <w:rStyle w:val="FootnoteReference"/>
          <w:rFonts w:ascii="Times New Roman" w:hAnsi="Times New Roman"/>
          <w:sz w:val="24"/>
        </w:rPr>
        <w:footnoteReference w:id="469"/>
      </w:r>
      <w:r w:rsidRPr="003C5786">
        <w:rPr>
          <w:rFonts w:ascii="Times New Roman" w:hAnsi="Times New Roman"/>
        </w:rPr>
        <w:t xml:space="preserve">. </w:t>
      </w:r>
      <w:bookmarkStart w:id="8" w:name="_Hlk61601490"/>
      <w:r w:rsidRPr="003C5786">
        <w:rPr>
          <w:rFonts w:ascii="Times New Roman" w:hAnsi="Times New Roman"/>
          <w:iCs/>
        </w:rPr>
        <w:t>As to the second circumstance where justification will not be established, an extreme example, which has been described as "difficult to defend" in the United States and which might equally face difficulty in Australia, may be life preventive detention, without further review, after a sentence is served for a third minor fraud offence</w:t>
      </w:r>
      <w:r w:rsidRPr="003C5786">
        <w:rPr>
          <w:rStyle w:val="FootnoteReference"/>
          <w:rFonts w:ascii="Times New Roman" w:hAnsi="Times New Roman"/>
          <w:iCs/>
          <w:sz w:val="24"/>
        </w:rPr>
        <w:footnoteReference w:id="470"/>
      </w:r>
      <w:r w:rsidRPr="003C5786">
        <w:rPr>
          <w:rFonts w:ascii="Times New Roman" w:hAnsi="Times New Roman"/>
          <w:iCs/>
        </w:rPr>
        <w:t>.</w:t>
      </w:r>
    </w:p>
    <w:p w14:paraId="0316A830"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iCs/>
        </w:rPr>
        <w:tab/>
      </w:r>
      <w:r w:rsidRPr="003C5786">
        <w:rPr>
          <w:rFonts w:ascii="Times New Roman" w:hAnsi="Times New Roman"/>
        </w:rPr>
        <w:t>Mr Benbrika approached the question of justification by reference to different criteria. In the context of a submission concerning whether s 105A.7 could be justified if it did not have a punitive character, Mr Benbrika submitted that justification required a purpose to prevent harm rather than to prevent crime. This approach to justification should not be accepted. It would depart from longstanding and fundamental premises of our criminal system: "conduct is regarded as criminal for the very reason that its commission harms society, or some part of it"</w:t>
      </w:r>
      <w:r w:rsidRPr="003C5786">
        <w:rPr>
          <w:rStyle w:val="FootnoteReference"/>
          <w:rFonts w:ascii="Times New Roman" w:hAnsi="Times New Roman"/>
          <w:iCs/>
          <w:sz w:val="24"/>
        </w:rPr>
        <w:footnoteReference w:id="471"/>
      </w:r>
      <w:r w:rsidRPr="003C5786">
        <w:rPr>
          <w:rFonts w:ascii="Times New Roman" w:hAnsi="Times New Roman"/>
          <w:iCs/>
        </w:rPr>
        <w:t xml:space="preserve"> and it is rarely the role of a court to second-guess Parliament's decision about the </w:t>
      </w:r>
      <w:r w:rsidRPr="003C5786">
        <w:rPr>
          <w:rFonts w:ascii="Times New Roman" w:hAnsi="Times New Roman"/>
        </w:rPr>
        <w:t>seriousness of the harm that various crimes will have to the community.</w:t>
      </w:r>
    </w:p>
    <w:bookmarkEnd w:id="8"/>
    <w:p w14:paraId="173EF801"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An example can illustrate the difficulty of Mr </w:t>
      </w:r>
      <w:proofErr w:type="spellStart"/>
      <w:r w:rsidRPr="003C5786">
        <w:rPr>
          <w:rFonts w:ascii="Times New Roman" w:hAnsi="Times New Roman"/>
        </w:rPr>
        <w:t>Benbrika's</w:t>
      </w:r>
      <w:proofErr w:type="spellEnd"/>
      <w:r w:rsidRPr="003C5786">
        <w:rPr>
          <w:rFonts w:ascii="Times New Roman" w:hAnsi="Times New Roman"/>
        </w:rPr>
        <w:t xml:space="preserve"> approach, which would have the courts reassess Parliament's assumption that a serious Pt 5.3 offence always has the potential to involve harm to the community so as to warrant continuing detention in cases where the likelihood of committing a serious Pt 5.3 offence is sufficiently high and the consequences of the offence involve sufficient threat to "the safety and protection of the community" as to make the risk of </w:t>
      </w:r>
      <w:r w:rsidRPr="003C5786">
        <w:rPr>
          <w:rFonts w:ascii="Times New Roman" w:hAnsi="Times New Roman"/>
        </w:rPr>
        <w:lastRenderedPageBreak/>
        <w:t>committing the offence "unacceptable". The example is the offence contained in s 101.4(1) in Pt 5.3, punishable by up to 15 years' imprisonment, of possessing a thing connected with preparation for, the engagement of a person in, or assistance in a terrorist act where the person in possession knows of that connection. When that offence was first introduced into Parliament, it was proposed as one of absolute liability with a penalty of a maximum term of life imprisonment</w:t>
      </w:r>
      <w:r w:rsidRPr="003C5786">
        <w:rPr>
          <w:rStyle w:val="FootnoteReference"/>
          <w:rFonts w:ascii="Times New Roman" w:hAnsi="Times New Roman"/>
          <w:sz w:val="24"/>
        </w:rPr>
        <w:footnoteReference w:id="472"/>
      </w:r>
      <w:r w:rsidRPr="003C5786">
        <w:rPr>
          <w:rFonts w:ascii="Times New Roman" w:hAnsi="Times New Roman"/>
        </w:rPr>
        <w:t>, although the mental element was introduced following a report by the Senate Legal and Constitutional Legislation Committee</w:t>
      </w:r>
      <w:r w:rsidRPr="003C5786">
        <w:rPr>
          <w:rStyle w:val="FootnoteReference"/>
          <w:rFonts w:ascii="Times New Roman" w:hAnsi="Times New Roman"/>
          <w:sz w:val="24"/>
        </w:rPr>
        <w:footnoteReference w:id="473"/>
      </w:r>
      <w:r w:rsidRPr="003C5786">
        <w:rPr>
          <w:rFonts w:ascii="Times New Roman" w:hAnsi="Times New Roman"/>
        </w:rPr>
        <w:t>. Mr </w:t>
      </w:r>
      <w:proofErr w:type="spellStart"/>
      <w:r w:rsidRPr="003C5786">
        <w:rPr>
          <w:rFonts w:ascii="Times New Roman" w:hAnsi="Times New Roman"/>
        </w:rPr>
        <w:t>Benbrika's</w:t>
      </w:r>
      <w:proofErr w:type="spellEnd"/>
      <w:r w:rsidRPr="003C5786">
        <w:rPr>
          <w:rFonts w:ascii="Times New Roman" w:hAnsi="Times New Roman"/>
        </w:rPr>
        <w:t xml:space="preserve"> submission effectively invites this Court to conclude that, even when committed with the required mental element of knowledge of the connection with terrorism, Parliament erred by treating such conduct as always having the potential to involve harm to the community so as to empower continuing detention in cases involving relevantly "unacceptable" risk. This is so despite that conduct being connected with action which strikes at the heart of a civilised society, involving advancing a political, religious or ideological cause by intimidation or coercion, and excluding reasons of advocacy, protest, dissent or industrial action unless the action is intended to cause various types of serious harm to people.</w:t>
      </w:r>
    </w:p>
    <w:p w14:paraId="65BD0B8A"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An approach which asserts that the commission of any serious Pt 5.3 offences is not sufficient to empower a continuing detention order in appropriate cases is also inconsistent with this Court's decision in </w:t>
      </w:r>
      <w:proofErr w:type="spellStart"/>
      <w:r w:rsidRPr="003C5786">
        <w:rPr>
          <w:rFonts w:ascii="Times New Roman" w:hAnsi="Times New Roman"/>
          <w:i/>
          <w:iCs/>
        </w:rPr>
        <w:t>Fardon</w:t>
      </w:r>
      <w:proofErr w:type="spellEnd"/>
      <w:r w:rsidRPr="003C5786">
        <w:rPr>
          <w:rFonts w:ascii="Times New Roman" w:hAnsi="Times New Roman"/>
        </w:rPr>
        <w:t xml:space="preserve">, which upheld the validity of the </w:t>
      </w:r>
      <w:r w:rsidRPr="003C5786">
        <w:rPr>
          <w:rFonts w:ascii="Times New Roman" w:hAnsi="Times New Roman"/>
          <w:i/>
          <w:iCs/>
        </w:rPr>
        <w:t xml:space="preserve">Dangerous Prisoners (Sexual Offenders) Act 2003 </w:t>
      </w:r>
      <w:r w:rsidRPr="003C5786">
        <w:rPr>
          <w:rFonts w:ascii="Times New Roman" w:hAnsi="Times New Roman"/>
        </w:rPr>
        <w:t>(Qld). That regime empowered continuing detention orders to be made against a person serving a term of imprisonment for the commission of a "serious sexual offence", which was defined in the Schedule to the Act in terms which, irrespective of circumstances, extended to all offences of a sexual nature committed involving violence or against children. The definition of "serious sexual offence" contained in the Schedule has since been amended also to include offences of a sexual nature "against a person, including a fictitious person represented to the prisoner as a real person, whom the prisoner believed to be a child under the age of 16 years". Notwithstanding the vast range and "spectrum of conduct"</w:t>
      </w:r>
      <w:r w:rsidRPr="003C5786">
        <w:rPr>
          <w:rStyle w:val="FootnoteReference"/>
          <w:rFonts w:ascii="Times New Roman" w:hAnsi="Times New Roman"/>
          <w:sz w:val="24"/>
        </w:rPr>
        <w:footnoteReference w:id="474"/>
      </w:r>
      <w:r w:rsidRPr="003C5786">
        <w:rPr>
          <w:rFonts w:ascii="Times New Roman" w:hAnsi="Times New Roman"/>
        </w:rPr>
        <w:t xml:space="preserve"> involved in the included sexual offences, this Court in </w:t>
      </w:r>
      <w:proofErr w:type="spellStart"/>
      <w:r w:rsidRPr="003C5786">
        <w:rPr>
          <w:rFonts w:ascii="Times New Roman" w:hAnsi="Times New Roman"/>
          <w:i/>
        </w:rPr>
        <w:t>Fardon</w:t>
      </w:r>
      <w:proofErr w:type="spellEnd"/>
      <w:r w:rsidRPr="003C5786">
        <w:rPr>
          <w:rFonts w:ascii="Times New Roman" w:hAnsi="Times New Roman"/>
        </w:rPr>
        <w:t xml:space="preserve"> quite rightly did not second-guess Parliament's conclusion that all such offences could potentially involve harm to the community sufficient to permit consideration of a continuing detention order. It is hard to see why such an approach should be apt for sexual offences but not for offences of terrorism. This is particularly so in circumstances where the statutory </w:t>
      </w:r>
      <w:r w:rsidRPr="003C5786">
        <w:rPr>
          <w:rFonts w:ascii="Times New Roman" w:hAnsi="Times New Roman"/>
        </w:rPr>
        <w:lastRenderedPageBreak/>
        <w:t xml:space="preserve">scheme in </w:t>
      </w:r>
      <w:proofErr w:type="spellStart"/>
      <w:r w:rsidRPr="003C5786">
        <w:rPr>
          <w:rFonts w:ascii="Times New Roman" w:hAnsi="Times New Roman"/>
          <w:i/>
        </w:rPr>
        <w:t>Fardon</w:t>
      </w:r>
      <w:proofErr w:type="spellEnd"/>
      <w:r w:rsidRPr="003C5786">
        <w:rPr>
          <w:rFonts w:ascii="Times New Roman" w:hAnsi="Times New Roman"/>
          <w:i/>
        </w:rPr>
        <w:t xml:space="preserve"> </w:t>
      </w:r>
      <w:r w:rsidRPr="003C5786">
        <w:rPr>
          <w:rFonts w:ascii="Times New Roman" w:hAnsi="Times New Roman"/>
        </w:rPr>
        <w:t>provided for continuing detention orders to be ordered in relation to the risk of the commission of offences that are subject to any term of imprisonment, a power which contrasts with Div 105A, where a continuing detention order can be ordered only in relation to the risk of the commission of offences which carry sentences, none of which any party suggested to be contrived, that must be, at a</w:t>
      </w:r>
      <w:r w:rsidRPr="003C5786">
        <w:rPr>
          <w:rFonts w:ascii="Times New Roman" w:hAnsi="Times New Roman"/>
          <w:i/>
          <w:iCs/>
        </w:rPr>
        <w:t xml:space="preserve"> </w:t>
      </w:r>
      <w:r w:rsidRPr="003C5786">
        <w:rPr>
          <w:rFonts w:ascii="Times New Roman" w:hAnsi="Times New Roman"/>
        </w:rPr>
        <w:t>minimum, seven years' imprisonment.</w:t>
      </w:r>
    </w:p>
    <w:p w14:paraId="2070A16C"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Mr </w:t>
      </w:r>
      <w:proofErr w:type="spellStart"/>
      <w:r w:rsidRPr="003C5786">
        <w:rPr>
          <w:rFonts w:ascii="Times New Roman" w:hAnsi="Times New Roman"/>
        </w:rPr>
        <w:t>Benbrika's</w:t>
      </w:r>
      <w:proofErr w:type="spellEnd"/>
      <w:r w:rsidRPr="003C5786">
        <w:rPr>
          <w:rFonts w:ascii="Times New Roman" w:hAnsi="Times New Roman"/>
        </w:rPr>
        <w:t xml:space="preserve"> submission that the judiciary should draw a distinction, independently of the purpose of Parliament, between those crimes the commission of which will always involve harm to the community and those crimes which will not always do so has a strong resonance with Blackstone's distinction between those serious crimes and misdemeanours that are naturally wrongful, </w:t>
      </w:r>
      <w:r w:rsidRPr="003C5786">
        <w:rPr>
          <w:rFonts w:ascii="Times New Roman" w:hAnsi="Times New Roman"/>
          <w:i/>
          <w:iCs/>
        </w:rPr>
        <w:t>mala in se</w:t>
      </w:r>
      <w:r w:rsidRPr="003C5786">
        <w:rPr>
          <w:rFonts w:ascii="Times New Roman" w:hAnsi="Times New Roman"/>
        </w:rPr>
        <w:t xml:space="preserve">, and those that are only wrongful because Parliament has forbidden them, </w:t>
      </w:r>
      <w:r w:rsidRPr="003C5786">
        <w:rPr>
          <w:rFonts w:ascii="Times New Roman" w:hAnsi="Times New Roman"/>
          <w:i/>
          <w:iCs/>
        </w:rPr>
        <w:t xml:space="preserve">mala </w:t>
      </w:r>
      <w:proofErr w:type="spellStart"/>
      <w:r w:rsidRPr="003C5786">
        <w:rPr>
          <w:rFonts w:ascii="Times New Roman" w:hAnsi="Times New Roman"/>
          <w:i/>
          <w:iCs/>
        </w:rPr>
        <w:t>prohibita</w:t>
      </w:r>
      <w:proofErr w:type="spellEnd"/>
      <w:r w:rsidRPr="003C5786">
        <w:rPr>
          <w:rFonts w:ascii="Times New Roman" w:hAnsi="Times New Roman"/>
        </w:rPr>
        <w:t>, "for promoting the welfare of the society, and more effectually carrying on the purposes of civil life"</w:t>
      </w:r>
      <w:r w:rsidRPr="003C5786">
        <w:rPr>
          <w:rStyle w:val="FootnoteReference"/>
          <w:rFonts w:ascii="Times New Roman" w:hAnsi="Times New Roman"/>
          <w:sz w:val="24"/>
        </w:rPr>
        <w:footnoteReference w:id="475"/>
      </w:r>
      <w:r w:rsidRPr="003C5786">
        <w:rPr>
          <w:rFonts w:ascii="Times New Roman" w:hAnsi="Times New Roman"/>
        </w:rPr>
        <w:t xml:space="preserve">. The classification of those wrongs that are naturally wrongful, causing harm between people, and those that are not, has always been fraught with difficulty. For instance, serious offences such as robbery and burglary for which sentences even at Federation </w:t>
      </w:r>
      <w:r w:rsidRPr="003C5786">
        <w:rPr>
          <w:rFonts w:ascii="Times New Roman" w:hAnsi="Times New Roman"/>
          <w:iCs/>
        </w:rPr>
        <w:t>could still deprive people of their lives and not merely their liberty</w:t>
      </w:r>
      <w:r w:rsidRPr="003C5786">
        <w:rPr>
          <w:rStyle w:val="FootnoteReference"/>
          <w:rFonts w:ascii="Times New Roman" w:hAnsi="Times New Roman"/>
          <w:iCs/>
          <w:sz w:val="24"/>
        </w:rPr>
        <w:footnoteReference w:id="476"/>
      </w:r>
      <w:r w:rsidRPr="003C5786">
        <w:rPr>
          <w:rFonts w:ascii="Times New Roman" w:hAnsi="Times New Roman"/>
          <w:iCs/>
        </w:rPr>
        <w:t xml:space="preserve"> were considered at one point by Blackstone not to be "</w:t>
      </w:r>
      <w:r w:rsidRPr="003C5786">
        <w:rPr>
          <w:rFonts w:ascii="Times New Roman" w:hAnsi="Times New Roman"/>
        </w:rPr>
        <w:t>offences against natural, but only against social, rights"</w:t>
      </w:r>
      <w:r w:rsidRPr="003C5786">
        <w:rPr>
          <w:rStyle w:val="FootnoteReference"/>
          <w:rFonts w:ascii="Times New Roman" w:hAnsi="Times New Roman"/>
          <w:sz w:val="24"/>
        </w:rPr>
        <w:footnoteReference w:id="477"/>
      </w:r>
      <w:r w:rsidRPr="003C5786">
        <w:rPr>
          <w:rFonts w:ascii="Times New Roman" w:hAnsi="Times New Roman"/>
        </w:rPr>
        <w:t>. The distinction was described by Bentham as "being so shrewd and sounding so pretty" but having no meaning</w:t>
      </w:r>
      <w:r w:rsidRPr="003C5786">
        <w:rPr>
          <w:rStyle w:val="FootnoteReference"/>
          <w:rFonts w:ascii="Times New Roman" w:hAnsi="Times New Roman"/>
          <w:sz w:val="24"/>
        </w:rPr>
        <w:footnoteReference w:id="478"/>
      </w:r>
      <w:r w:rsidRPr="003C5786">
        <w:rPr>
          <w:rFonts w:ascii="Times New Roman" w:hAnsi="Times New Roman"/>
        </w:rPr>
        <w:t>. By 1822, Best J described the distinction as "long since exploded"</w:t>
      </w:r>
      <w:r w:rsidRPr="003C5786">
        <w:rPr>
          <w:rStyle w:val="FootnoteReference"/>
          <w:rFonts w:ascii="Times New Roman" w:hAnsi="Times New Roman"/>
          <w:sz w:val="24"/>
        </w:rPr>
        <w:footnoteReference w:id="479"/>
      </w:r>
      <w:r w:rsidRPr="003C5786">
        <w:rPr>
          <w:rFonts w:ascii="Times New Roman" w:hAnsi="Times New Roman"/>
        </w:rPr>
        <w:t xml:space="preserve"> and much later, in this Court, Brennan J described the distinction as "discarded"</w:t>
      </w:r>
      <w:r w:rsidRPr="003C5786">
        <w:rPr>
          <w:rStyle w:val="FootnoteReference"/>
          <w:rFonts w:ascii="Times New Roman" w:hAnsi="Times New Roman"/>
          <w:sz w:val="24"/>
        </w:rPr>
        <w:footnoteReference w:id="480"/>
      </w:r>
      <w:r w:rsidRPr="003C5786">
        <w:rPr>
          <w:rFonts w:ascii="Times New Roman" w:hAnsi="Times New Roman"/>
        </w:rPr>
        <w:t xml:space="preserve">. Whatever the merits of the distinction elsewhere, it is not a basis for discerning whether the exercise of the judicial power of the Commonwealth to detain is justified or not. </w:t>
      </w:r>
    </w:p>
    <w:p w14:paraId="1BED827B" w14:textId="77777777" w:rsidR="00CE4181" w:rsidRPr="003C5786" w:rsidRDefault="00CE4181" w:rsidP="003C5786">
      <w:pPr>
        <w:pStyle w:val="HeadingL1"/>
        <w:spacing w:after="260" w:line="280" w:lineRule="exact"/>
        <w:ind w:right="0"/>
        <w:jc w:val="both"/>
        <w:rPr>
          <w:rFonts w:ascii="Times New Roman" w:hAnsi="Times New Roman"/>
        </w:rPr>
      </w:pPr>
      <w:r w:rsidRPr="003C5786">
        <w:rPr>
          <w:rFonts w:ascii="Times New Roman" w:hAnsi="Times New Roman"/>
        </w:rPr>
        <w:lastRenderedPageBreak/>
        <w:t>Division 105A creates judicial power to be exercised judicially</w:t>
      </w:r>
    </w:p>
    <w:p w14:paraId="01B35EC9" w14:textId="77777777" w:rsidR="00CE4181" w:rsidRPr="003C5786" w:rsidRDefault="00CE4181" w:rsidP="003C5786">
      <w:pPr>
        <w:pStyle w:val="HeadingL2"/>
        <w:spacing w:after="260" w:line="280" w:lineRule="exact"/>
        <w:ind w:right="0"/>
        <w:jc w:val="both"/>
        <w:rPr>
          <w:rFonts w:ascii="Times New Roman" w:hAnsi="Times New Roman"/>
        </w:rPr>
      </w:pPr>
      <w:r w:rsidRPr="003C5786">
        <w:rPr>
          <w:rFonts w:ascii="Times New Roman" w:hAnsi="Times New Roman"/>
        </w:rPr>
        <w:t>Division 105A involves power that is judicial in form</w:t>
      </w:r>
    </w:p>
    <w:p w14:paraId="5947FE0A"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Mr Benbrika pointed to two aspects of the power to make a continuing detention order under Div 105A that, in his submission, supported the conclusion that the form of the power is not judicial: it creates new rights rather than determining existing rights or obligations; and it lacks the conclusiveness that attends an exercise of the judicial power of the Commonwealth because it is subject to continuing review which depends on an application for that review by the Minister</w:t>
      </w:r>
      <w:r w:rsidRPr="003C5786">
        <w:rPr>
          <w:rStyle w:val="FootnoteReference"/>
          <w:rFonts w:ascii="Times New Roman" w:hAnsi="Times New Roman"/>
          <w:sz w:val="24"/>
        </w:rPr>
        <w:footnoteReference w:id="481"/>
      </w:r>
      <w:r w:rsidRPr="003C5786">
        <w:rPr>
          <w:rFonts w:ascii="Times New Roman" w:hAnsi="Times New Roman"/>
        </w:rPr>
        <w:t xml:space="preserve">. As explained above, particular indicia such as these are not conclusive. In a different context, the failure of a power to determine existing rights or obligations or the involvement of the Executive might support a conclusion that the power is not, in form, judicial. But other significant aspects of Div 105A point powerfully to the judicial character of the power. </w:t>
      </w:r>
    </w:p>
    <w:p w14:paraId="39E9A83E"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First, the conferral on a court of the power to make a continuing detention order founds an inference that the power is a judicial power</w:t>
      </w:r>
      <w:r w:rsidRPr="003C5786">
        <w:rPr>
          <w:rStyle w:val="FootnoteReference"/>
          <w:rFonts w:ascii="Times New Roman" w:hAnsi="Times New Roman"/>
          <w:sz w:val="24"/>
        </w:rPr>
        <w:footnoteReference w:id="482"/>
      </w:r>
      <w:r w:rsidRPr="003C5786">
        <w:rPr>
          <w:rFonts w:ascii="Times New Roman" w:hAnsi="Times New Roman"/>
        </w:rPr>
        <w:t xml:space="preserve">. This inference is all the more compelling since the subject matter of the power to detain is analogous to traditional criminal punishment, which has long been accepted to be the exclusive province of the judiciary, and since the power is to be exercised, as described below, with the usual incidents of a judicial exercise of power. Secondly, as was explained in the joint judgment in </w:t>
      </w:r>
      <w:r w:rsidRPr="003C5786">
        <w:rPr>
          <w:rFonts w:ascii="Times New Roman" w:hAnsi="Times New Roman"/>
          <w:i/>
          <w:iCs/>
        </w:rPr>
        <w:t>Vella</w:t>
      </w:r>
      <w:r w:rsidRPr="003C5786">
        <w:rPr>
          <w:rStyle w:val="FootnoteReference"/>
          <w:rFonts w:ascii="Times New Roman" w:hAnsi="Times New Roman"/>
          <w:sz w:val="24"/>
        </w:rPr>
        <w:footnoteReference w:id="483"/>
      </w:r>
      <w:r w:rsidRPr="003C5786">
        <w:rPr>
          <w:rFonts w:ascii="Times New Roman" w:hAnsi="Times New Roman"/>
        </w:rPr>
        <w:t xml:space="preserve">, although preventive justice powers might be enacted with considerable judicial latitude to develop governing principles within open-textured criteria, the development of the scope of judicial power in this </w:t>
      </w:r>
      <w:proofErr w:type="spellStart"/>
      <w:r w:rsidRPr="003C5786">
        <w:rPr>
          <w:rFonts w:ascii="Times New Roman" w:hAnsi="Times New Roman"/>
        </w:rPr>
        <w:t>epexegetical</w:t>
      </w:r>
      <w:proofErr w:type="spellEnd"/>
      <w:r w:rsidRPr="003C5786">
        <w:rPr>
          <w:rFonts w:ascii="Times New Roman" w:hAnsi="Times New Roman"/>
        </w:rPr>
        <w:t xml:space="preserve"> manner is consistent with history, authority, and principle and the approach of balancing matters including magnitude and likelihood of risk is an exercise in which courts engage nearly every day</w:t>
      </w:r>
      <w:r w:rsidRPr="003C5786">
        <w:rPr>
          <w:rStyle w:val="FootnoteReference"/>
          <w:rFonts w:ascii="Times New Roman" w:hAnsi="Times New Roman"/>
          <w:sz w:val="24"/>
        </w:rPr>
        <w:footnoteReference w:id="484"/>
      </w:r>
      <w:r w:rsidRPr="003C5786">
        <w:rPr>
          <w:rFonts w:ascii="Times New Roman" w:hAnsi="Times New Roman"/>
        </w:rPr>
        <w:t>. Finally, even if there were doubt about whether the making of continuing detention orders by courts involved an exercise of judicial power, historical considerations would provide confirmation</w:t>
      </w:r>
      <w:r w:rsidRPr="003C5786">
        <w:rPr>
          <w:rStyle w:val="FootnoteReference"/>
          <w:rFonts w:ascii="Times New Roman" w:hAnsi="Times New Roman"/>
          <w:sz w:val="24"/>
        </w:rPr>
        <w:footnoteReference w:id="485"/>
      </w:r>
      <w:r w:rsidRPr="003C5786">
        <w:rPr>
          <w:rFonts w:ascii="Times New Roman" w:hAnsi="Times New Roman"/>
        </w:rPr>
        <w:t xml:space="preserve">. Since the 14th century, preventive order regimes such as binding over orders, writs of </w:t>
      </w:r>
      <w:proofErr w:type="spellStart"/>
      <w:r w:rsidRPr="003C5786">
        <w:rPr>
          <w:rFonts w:ascii="Times New Roman" w:hAnsi="Times New Roman"/>
        </w:rPr>
        <w:t>supplicavit</w:t>
      </w:r>
      <w:proofErr w:type="spellEnd"/>
      <w:r w:rsidRPr="003C5786">
        <w:rPr>
          <w:rFonts w:ascii="Times New Roman" w:hAnsi="Times New Roman"/>
        </w:rPr>
        <w:t xml:space="preserve">, and injunctions to restrain the </w:t>
      </w:r>
      <w:r w:rsidRPr="003C5786">
        <w:rPr>
          <w:rFonts w:ascii="Times New Roman" w:hAnsi="Times New Roman"/>
        </w:rPr>
        <w:lastRenderedPageBreak/>
        <w:t>commission of criminal acts and public wrongs have all been part of the exercise of judicial power</w:t>
      </w:r>
      <w:r w:rsidRPr="003C5786">
        <w:rPr>
          <w:rStyle w:val="FootnoteReference"/>
          <w:rFonts w:ascii="Times New Roman" w:hAnsi="Times New Roman"/>
          <w:sz w:val="24"/>
        </w:rPr>
        <w:footnoteReference w:id="486"/>
      </w:r>
      <w:r w:rsidRPr="003C5786">
        <w:rPr>
          <w:rFonts w:ascii="Times New Roman" w:hAnsi="Times New Roman"/>
        </w:rPr>
        <w:t>.</w:t>
      </w:r>
    </w:p>
    <w:p w14:paraId="53E81E80" w14:textId="77777777" w:rsidR="00CE4181" w:rsidRPr="003C5786" w:rsidRDefault="00CE4181" w:rsidP="003C5786">
      <w:pPr>
        <w:pStyle w:val="HeadingL2"/>
        <w:spacing w:after="260" w:line="280" w:lineRule="exact"/>
        <w:ind w:right="0"/>
        <w:jc w:val="both"/>
        <w:rPr>
          <w:rFonts w:ascii="Times New Roman" w:hAnsi="Times New Roman"/>
        </w:rPr>
      </w:pPr>
      <w:r w:rsidRPr="003C5786">
        <w:rPr>
          <w:rFonts w:ascii="Times New Roman" w:hAnsi="Times New Roman"/>
        </w:rPr>
        <w:t xml:space="preserve">The judicial power to make a continuing detention order is required by Div 105A to be exercised judicially </w:t>
      </w:r>
    </w:p>
    <w:p w14:paraId="0AE6F56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There are many aspects of Div 105A that require that the judicial power in s 105A.7 be exercised in a judicial manner. The formal hearing is conducted according to established and accepted judicial methods</w:t>
      </w:r>
      <w:r w:rsidRPr="003C5786">
        <w:rPr>
          <w:rStyle w:val="FootnoteReference"/>
          <w:rFonts w:ascii="Times New Roman" w:hAnsi="Times New Roman"/>
          <w:sz w:val="24"/>
        </w:rPr>
        <w:footnoteReference w:id="487"/>
      </w:r>
      <w:r w:rsidRPr="003C5786">
        <w:rPr>
          <w:rFonts w:ascii="Times New Roman" w:hAnsi="Times New Roman"/>
        </w:rPr>
        <w:t>. Civil rules of evidence and procedure generally apply</w:t>
      </w:r>
      <w:r w:rsidRPr="003C5786">
        <w:rPr>
          <w:rStyle w:val="FootnoteReference"/>
          <w:rFonts w:ascii="Times New Roman" w:hAnsi="Times New Roman"/>
          <w:sz w:val="24"/>
        </w:rPr>
        <w:footnoteReference w:id="488"/>
      </w:r>
      <w:r w:rsidRPr="003C5786">
        <w:rPr>
          <w:rFonts w:ascii="Times New Roman" w:hAnsi="Times New Roman"/>
        </w:rPr>
        <w:t>; rules of procedural fairness are expressly or impliedly required</w:t>
      </w:r>
      <w:r w:rsidRPr="003C5786">
        <w:rPr>
          <w:rStyle w:val="FootnoteReference"/>
          <w:rFonts w:ascii="Times New Roman" w:hAnsi="Times New Roman"/>
          <w:sz w:val="24"/>
        </w:rPr>
        <w:footnoteReference w:id="489"/>
      </w:r>
      <w:r w:rsidRPr="003C5786">
        <w:rPr>
          <w:rFonts w:ascii="Times New Roman" w:hAnsi="Times New Roman"/>
        </w:rPr>
        <w:t>; provision is made for financial assistance to obtain legal representation</w:t>
      </w:r>
      <w:r w:rsidRPr="003C5786">
        <w:rPr>
          <w:rStyle w:val="FootnoteReference"/>
          <w:rFonts w:ascii="Times New Roman" w:hAnsi="Times New Roman"/>
          <w:sz w:val="24"/>
        </w:rPr>
        <w:footnoteReference w:id="490"/>
      </w:r>
      <w:r w:rsidRPr="003C5786">
        <w:rPr>
          <w:rFonts w:ascii="Times New Roman" w:hAnsi="Times New Roman"/>
        </w:rPr>
        <w:t>; reasons are required for decision</w:t>
      </w:r>
      <w:r w:rsidRPr="003C5786">
        <w:rPr>
          <w:rStyle w:val="FootnoteReference"/>
          <w:rFonts w:ascii="Times New Roman" w:hAnsi="Times New Roman"/>
          <w:sz w:val="24"/>
        </w:rPr>
        <w:footnoteReference w:id="491"/>
      </w:r>
      <w:r w:rsidRPr="003C5786">
        <w:rPr>
          <w:rFonts w:ascii="Times New Roman" w:hAnsi="Times New Roman"/>
        </w:rPr>
        <w:t>; and rights of appeal are created</w:t>
      </w:r>
      <w:r w:rsidRPr="003C5786">
        <w:rPr>
          <w:rStyle w:val="FootnoteReference"/>
          <w:rFonts w:ascii="Times New Roman" w:hAnsi="Times New Roman"/>
          <w:sz w:val="24"/>
        </w:rPr>
        <w:footnoteReference w:id="492"/>
      </w:r>
      <w:r w:rsidRPr="003C5786">
        <w:rPr>
          <w:rFonts w:ascii="Times New Roman" w:hAnsi="Times New Roman"/>
        </w:rPr>
        <w:t xml:space="preserve">. However, Mr Benbrika submitted that the power to make a continuing detention order would not be exercised in a judicial manner, and hence could not be conferred by the Commonwealth Parliament consistently with Ch III of the </w:t>
      </w:r>
      <w:r w:rsidRPr="003C5786">
        <w:rPr>
          <w:rFonts w:ascii="Times New Roman" w:hAnsi="Times New Roman"/>
          <w:i/>
        </w:rPr>
        <w:t>Constitution</w:t>
      </w:r>
      <w:r w:rsidRPr="003C5786">
        <w:rPr>
          <w:rFonts w:ascii="Times New Roman" w:hAnsi="Times New Roman"/>
        </w:rPr>
        <w:t xml:space="preserve">, because it involves the imposition of criminal punishment but not in the traditional category of a response to an anterior finding of criminal guilt. As explained above, this submission is too blunt. Although the judicial power of the Commonwealth contemplated by Ch III of the </w:t>
      </w:r>
      <w:r w:rsidRPr="003C5786">
        <w:rPr>
          <w:rFonts w:ascii="Times New Roman" w:hAnsi="Times New Roman"/>
          <w:i/>
        </w:rPr>
        <w:t>Constitution</w:t>
      </w:r>
      <w:r w:rsidRPr="003C5786">
        <w:rPr>
          <w:rFonts w:ascii="Times New Roman" w:hAnsi="Times New Roman"/>
        </w:rPr>
        <w:t xml:space="preserve"> concerns power that must be exercised judicially, this does not preclude a court from making orders that impose an injustice upon an individual where that injustice is justified by the purpose of Parliament. </w:t>
      </w:r>
    </w:p>
    <w:p w14:paraId="5960851F"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Division 105A of the </w:t>
      </w:r>
      <w:r w:rsidRPr="003C5786">
        <w:rPr>
          <w:rFonts w:ascii="Times New Roman" w:hAnsi="Times New Roman"/>
          <w:i/>
          <w:iCs/>
        </w:rPr>
        <w:t xml:space="preserve">Criminal Code </w:t>
      </w:r>
      <w:r w:rsidRPr="003C5786">
        <w:rPr>
          <w:rFonts w:ascii="Times New Roman" w:hAnsi="Times New Roman"/>
        </w:rPr>
        <w:t xml:space="preserve">is not unjustified on the basis that Parliament's purpose in empowering continuing detention orders by s 105A.7 could easily be met to the same extent by reasonable, less restrictive alternatives. The regime of continuing detention of serious sexual offenders that was considered </w:t>
      </w:r>
      <w:r w:rsidRPr="003C5786">
        <w:rPr>
          <w:rFonts w:ascii="Times New Roman" w:hAnsi="Times New Roman"/>
        </w:rPr>
        <w:lastRenderedPageBreak/>
        <w:t xml:space="preserve">in </w:t>
      </w:r>
      <w:proofErr w:type="spellStart"/>
      <w:r w:rsidRPr="003C5786">
        <w:rPr>
          <w:rFonts w:ascii="Times New Roman" w:hAnsi="Times New Roman"/>
          <w:i/>
          <w:iCs/>
        </w:rPr>
        <w:t>Fardon</w:t>
      </w:r>
      <w:proofErr w:type="spellEnd"/>
      <w:r w:rsidRPr="003C5786">
        <w:rPr>
          <w:rFonts w:ascii="Times New Roman" w:hAnsi="Times New Roman"/>
          <w:i/>
          <w:iCs/>
        </w:rPr>
        <w:t xml:space="preserve"> </w:t>
      </w:r>
      <w:r w:rsidRPr="003C5786">
        <w:rPr>
          <w:rFonts w:ascii="Times New Roman" w:hAnsi="Times New Roman"/>
        </w:rPr>
        <w:t>permitted a "lesser option"</w:t>
      </w:r>
      <w:r w:rsidRPr="003C5786">
        <w:rPr>
          <w:rStyle w:val="FootnoteReference"/>
          <w:rFonts w:ascii="Times New Roman" w:hAnsi="Times New Roman"/>
          <w:sz w:val="24"/>
        </w:rPr>
        <w:footnoteReference w:id="493"/>
      </w:r>
      <w:r w:rsidRPr="003C5786">
        <w:rPr>
          <w:rFonts w:ascii="Times New Roman" w:hAnsi="Times New Roman"/>
        </w:rPr>
        <w:t xml:space="preserve"> of conditional release under a "supervision order". The terrorism regime in Div 105A goes further. It expressly requires, before</w:t>
      </w:r>
      <w:r w:rsidRPr="003C5786">
        <w:rPr>
          <w:rFonts w:ascii="Times New Roman" w:hAnsi="Times New Roman"/>
          <w:i/>
        </w:rPr>
        <w:t xml:space="preserve"> </w:t>
      </w:r>
      <w:r w:rsidRPr="003C5786">
        <w:rPr>
          <w:rFonts w:ascii="Times New Roman" w:hAnsi="Times New Roman"/>
        </w:rPr>
        <w:t xml:space="preserve">a continuing detention order can be made under s 105A.7(1), that the court is satisfied that there is "no other less restrictive measure that would be effective in preventing the unacceptable risk" of the terrorist offender committing a serious Pt 5.3 offence. </w:t>
      </w:r>
    </w:p>
    <w:p w14:paraId="66DFCBE7"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Further, as explained above, the proper interpretation of s 105A.7(1) requires the judicial assessment of whether the risk of commission of a serious Pt 5.3 offence is "unacceptable" to take into account both the likelihood of the risk and the magnitude of the harm to the community, including by the mandatory consideration of "the safety and protection of the community"</w:t>
      </w:r>
      <w:r w:rsidRPr="003C5786">
        <w:rPr>
          <w:rStyle w:val="FootnoteReference"/>
          <w:rFonts w:ascii="Times New Roman" w:hAnsi="Times New Roman"/>
          <w:sz w:val="24"/>
        </w:rPr>
        <w:footnoteReference w:id="494"/>
      </w:r>
      <w:r w:rsidRPr="003C5786">
        <w:rPr>
          <w:rFonts w:ascii="Times New Roman" w:hAnsi="Times New Roman"/>
        </w:rPr>
        <w:t>. The alternative interpretation contemplated by Mr Benbrika, which ignores the magnitude of harm in an attempt to find invalidity, is not reasonably open</w:t>
      </w:r>
      <w:r w:rsidRPr="003C5786">
        <w:rPr>
          <w:rStyle w:val="FootnoteReference"/>
          <w:rFonts w:ascii="Times New Roman" w:hAnsi="Times New Roman"/>
          <w:sz w:val="24"/>
        </w:rPr>
        <w:footnoteReference w:id="495"/>
      </w:r>
      <w:r w:rsidRPr="003C5786">
        <w:rPr>
          <w:rFonts w:ascii="Times New Roman" w:hAnsi="Times New Roman"/>
        </w:rPr>
        <w:t>. And even if it were open it would be an example of an approach to interpretation deprecated by this Court as one of "mutilating narrowness"</w:t>
      </w:r>
      <w:r w:rsidRPr="003C5786">
        <w:rPr>
          <w:rStyle w:val="FootnoteReference"/>
          <w:rFonts w:ascii="Times New Roman" w:hAnsi="Times New Roman"/>
          <w:sz w:val="24"/>
        </w:rPr>
        <w:footnoteReference w:id="496"/>
      </w:r>
      <w:r w:rsidRPr="003C5786">
        <w:rPr>
          <w:rFonts w:ascii="Times New Roman" w:hAnsi="Times New Roman"/>
        </w:rPr>
        <w:t>.</w:t>
      </w:r>
    </w:p>
    <w:p w14:paraId="329E4E5C"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Nor can it be said that Div 105A is unjustified because the extreme restraint on liberty of a continuing detention order under s 105A.7 could be made for slight or trivial reasons. The legislative purpose, enunciated in s 105A.1, of </w:t>
      </w:r>
      <w:r w:rsidRPr="003C5786">
        <w:rPr>
          <w:rFonts w:ascii="Times New Roman" w:hAnsi="Times New Roman"/>
          <w:iCs/>
        </w:rPr>
        <w:t xml:space="preserve">providing for the possibility of continuing detention for those who pose an unacceptable threat of committing serious Pt 5.3 offences is one which concerns the protection of the community from </w:t>
      </w:r>
      <w:r w:rsidRPr="003C5786">
        <w:rPr>
          <w:rFonts w:ascii="Times New Roman" w:hAnsi="Times New Roman"/>
        </w:rPr>
        <w:t>offences which can be aimed at the very destruction of civilised society</w:t>
      </w:r>
      <w:r w:rsidRPr="003C5786">
        <w:rPr>
          <w:rFonts w:ascii="Times New Roman" w:hAnsi="Times New Roman"/>
          <w:iCs/>
        </w:rPr>
        <w:t xml:space="preserve">. The Commonwealth Parliament treated this as a purpose of great importance and no submission was made to suggest the contrary. Weighed against the importance of this purpose, Div 105A imposes a serious constraint on liberty by protective punishment but </w:t>
      </w:r>
      <w:r w:rsidRPr="003C5786">
        <w:rPr>
          <w:rFonts w:ascii="Times New Roman" w:hAnsi="Times New Roman"/>
        </w:rPr>
        <w:t>Div 105A also places limits upon the protective punishment of the continuing detention order. The maximum term of an initial continuing detention order is three years</w:t>
      </w:r>
      <w:r w:rsidRPr="003C5786">
        <w:rPr>
          <w:rStyle w:val="FootnoteReference"/>
          <w:rFonts w:ascii="Times New Roman" w:hAnsi="Times New Roman"/>
          <w:iCs/>
          <w:sz w:val="24"/>
        </w:rPr>
        <w:footnoteReference w:id="497"/>
      </w:r>
      <w:r w:rsidRPr="003C5786">
        <w:rPr>
          <w:rFonts w:ascii="Times New Roman" w:hAnsi="Times New Roman"/>
          <w:iCs/>
        </w:rPr>
        <w:t>.</w:t>
      </w:r>
      <w:r w:rsidRPr="003C5786">
        <w:rPr>
          <w:rFonts w:ascii="Times New Roman" w:hAnsi="Times New Roman"/>
        </w:rPr>
        <w:t xml:space="preserve"> </w:t>
      </w:r>
      <w:r w:rsidRPr="003C5786">
        <w:rPr>
          <w:rFonts w:ascii="Times New Roman" w:hAnsi="Times New Roman"/>
          <w:iCs/>
        </w:rPr>
        <w:t>Reviews of the order are required at least on an annual basis</w:t>
      </w:r>
      <w:r w:rsidRPr="003C5786">
        <w:rPr>
          <w:rStyle w:val="FootnoteReference"/>
          <w:rFonts w:ascii="Times New Roman" w:hAnsi="Times New Roman"/>
          <w:iCs/>
          <w:sz w:val="24"/>
        </w:rPr>
        <w:footnoteReference w:id="498"/>
      </w:r>
      <w:r w:rsidRPr="003C5786">
        <w:rPr>
          <w:rFonts w:ascii="Times New Roman" w:hAnsi="Times New Roman"/>
          <w:iCs/>
        </w:rPr>
        <w:t xml:space="preserve">. And the terrorist offender can apply for a review of the </w:t>
      </w:r>
      <w:r w:rsidRPr="003C5786">
        <w:rPr>
          <w:rFonts w:ascii="Times New Roman" w:hAnsi="Times New Roman"/>
          <w:iCs/>
        </w:rPr>
        <w:lastRenderedPageBreak/>
        <w:t>order if there are new facts or circumstances which would justify the review or if a review would be in the interests of justice having regard to the purposes of the order and the manner and effect of its implementation</w:t>
      </w:r>
      <w:r w:rsidRPr="003C5786">
        <w:rPr>
          <w:rStyle w:val="FootnoteReference"/>
          <w:rFonts w:ascii="Times New Roman" w:hAnsi="Times New Roman"/>
          <w:iCs/>
          <w:sz w:val="24"/>
        </w:rPr>
        <w:footnoteReference w:id="499"/>
      </w:r>
      <w:r w:rsidRPr="003C5786">
        <w:rPr>
          <w:rFonts w:ascii="Times New Roman" w:hAnsi="Times New Roman"/>
          <w:iCs/>
        </w:rPr>
        <w:t>.</w:t>
      </w:r>
    </w:p>
    <w:p w14:paraId="7E30F968"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iCs/>
        </w:rPr>
        <w:tab/>
        <w:t xml:space="preserve">Finally, it should be noted that </w:t>
      </w:r>
      <w:r w:rsidRPr="003C5786">
        <w:rPr>
          <w:rFonts w:ascii="Times New Roman" w:hAnsi="Times New Roman"/>
        </w:rPr>
        <w:t>Mr </w:t>
      </w:r>
      <w:proofErr w:type="spellStart"/>
      <w:r w:rsidRPr="003C5786">
        <w:rPr>
          <w:rFonts w:ascii="Times New Roman" w:hAnsi="Times New Roman"/>
        </w:rPr>
        <w:t>Benbrika's</w:t>
      </w:r>
      <w:proofErr w:type="spellEnd"/>
      <w:r w:rsidRPr="003C5786">
        <w:rPr>
          <w:rFonts w:ascii="Times New Roman" w:hAnsi="Times New Roman"/>
        </w:rPr>
        <w:t xml:space="preserve"> submissions were premised upon the assumption that the protective punishment occasioned by a continuing detention order against him would arise from the order of a court. Mr Benbrika made no submission that the retrospective operation of Div 105A upon him, insofar as the regime of continuing detention applied to offenders like him whose offences were committed prior to its enactment, meant that the regime imposed punishment by the Commonwealth Parliament. A significant obstacle to such a submission in this case, as in </w:t>
      </w:r>
      <w:proofErr w:type="spellStart"/>
      <w:r w:rsidRPr="003C5786">
        <w:rPr>
          <w:rFonts w:ascii="Times New Roman" w:hAnsi="Times New Roman"/>
          <w:i/>
          <w:iCs/>
        </w:rPr>
        <w:t>Fardon</w:t>
      </w:r>
      <w:proofErr w:type="spellEnd"/>
      <w:r w:rsidRPr="003C5786">
        <w:rPr>
          <w:rFonts w:ascii="Times New Roman" w:hAnsi="Times New Roman"/>
        </w:rPr>
        <w:t>, would be that the legislation created only the liability for protective punishment and that the form of protective punishment created was primarily forward-looking to Mr </w:t>
      </w:r>
      <w:proofErr w:type="spellStart"/>
      <w:r w:rsidRPr="003C5786">
        <w:rPr>
          <w:rFonts w:ascii="Times New Roman" w:hAnsi="Times New Roman"/>
        </w:rPr>
        <w:t>Benbrika's</w:t>
      </w:r>
      <w:proofErr w:type="spellEnd"/>
      <w:r w:rsidRPr="003C5786">
        <w:rPr>
          <w:rFonts w:ascii="Times New Roman" w:hAnsi="Times New Roman"/>
        </w:rPr>
        <w:t xml:space="preserve"> circumstances in the final 12 months of his sentence.</w:t>
      </w:r>
    </w:p>
    <w:p w14:paraId="37DD10C1" w14:textId="77777777" w:rsidR="00CE4181" w:rsidRPr="003C5786" w:rsidRDefault="00CE4181" w:rsidP="003C5786">
      <w:pPr>
        <w:pStyle w:val="HeadingL1"/>
        <w:spacing w:after="260" w:line="280" w:lineRule="exact"/>
        <w:ind w:right="0"/>
        <w:jc w:val="both"/>
        <w:rPr>
          <w:rFonts w:ascii="Times New Roman" w:hAnsi="Times New Roman"/>
        </w:rPr>
      </w:pPr>
      <w:r w:rsidRPr="003C5786">
        <w:rPr>
          <w:rFonts w:ascii="Times New Roman" w:hAnsi="Times New Roman"/>
        </w:rPr>
        <w:t>Conclusion</w:t>
      </w:r>
    </w:p>
    <w:p w14:paraId="36D88D43"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As these reasons have explained, in answering the question reserved, namely whether all or any part of Div 105A is invalid for the reasons asserted, "deception or false labelling"</w:t>
      </w:r>
      <w:r w:rsidRPr="003C5786">
        <w:rPr>
          <w:rStyle w:val="FootnoteReference"/>
          <w:rFonts w:ascii="Times New Roman" w:hAnsi="Times New Roman"/>
          <w:sz w:val="24"/>
        </w:rPr>
        <w:footnoteReference w:id="500"/>
      </w:r>
      <w:r w:rsidRPr="003C5786">
        <w:rPr>
          <w:rFonts w:ascii="Times New Roman" w:hAnsi="Times New Roman"/>
        </w:rPr>
        <w:t xml:space="preserve"> should be avoided and it should be recognised that a continuing detention order under s 105A.7 is within the category of "punishment" in a broad sense as contemplated by the joint judgment in </w:t>
      </w:r>
      <w:r w:rsidRPr="003C5786">
        <w:rPr>
          <w:rFonts w:ascii="Times New Roman" w:hAnsi="Times New Roman"/>
          <w:i/>
          <w:iCs/>
        </w:rPr>
        <w:t xml:space="preserve">Lim. </w:t>
      </w:r>
      <w:r w:rsidRPr="003C5786">
        <w:rPr>
          <w:rFonts w:ascii="Times New Roman" w:hAnsi="Times New Roman"/>
        </w:rPr>
        <w:t>But, howsoever described, the issues anterior to the question reserved are: (</w:t>
      </w:r>
      <w:proofErr w:type="spellStart"/>
      <w:r w:rsidRPr="003C5786">
        <w:rPr>
          <w:rFonts w:ascii="Times New Roman" w:hAnsi="Times New Roman"/>
        </w:rPr>
        <w:t>i</w:t>
      </w:r>
      <w:proofErr w:type="spellEnd"/>
      <w:r w:rsidRPr="003C5786">
        <w:rPr>
          <w:rFonts w:ascii="Times New Roman" w:hAnsi="Times New Roman"/>
        </w:rPr>
        <w:t>) is the power in s 105A.7 of a nature that is exclusively judicial? If so, and in order for the conferral of power to be valid, (ii) has the power been conferred only upon the judiciary in the form of judicial power? and (iii) is the power to be exercised only judicially? The answers to these questions are "yes", "yes", and "yes". For these reasons the question reserved should be answered "no".</w:t>
      </w:r>
    </w:p>
    <w:p w14:paraId="2CB01251" w14:textId="77777777" w:rsidR="00CE4181" w:rsidRPr="003C5786" w:rsidRDefault="00CE4181" w:rsidP="003C5786">
      <w:pPr>
        <w:pStyle w:val="FixListStyle"/>
        <w:spacing w:after="260" w:line="280" w:lineRule="exact"/>
        <w:ind w:right="0"/>
        <w:jc w:val="both"/>
        <w:rPr>
          <w:rFonts w:ascii="Times New Roman" w:hAnsi="Times New Roman"/>
        </w:rPr>
      </w:pPr>
      <w:r w:rsidRPr="003C5786">
        <w:rPr>
          <w:rFonts w:ascii="Times New Roman" w:hAnsi="Times New Roman"/>
        </w:rPr>
        <w:tab/>
        <w:t xml:space="preserve">Mr Benbrika sought to make further submissions concerning costs in light of this Court's reasons for decision if the question were answered adversely to him. It appears that he had in mind submissions concerning provisions such as s 105A.15A and protective costs orders that were made in his favour in the Supreme Court of Victoria. I would have granted him that liberty. But in the absence of that liberty, and hence without considered submissions by Mr Benbrika concerning any connection between, on the one hand, the reasons given by this Court and, on the other hand, the issues in the proceedings heard in the Supreme </w:t>
      </w:r>
      <w:r w:rsidRPr="003C5786">
        <w:rPr>
          <w:rFonts w:ascii="Times New Roman" w:hAnsi="Times New Roman"/>
        </w:rPr>
        <w:lastRenderedPageBreak/>
        <w:t xml:space="preserve">Court of Victoria and costs orders in that Court, the usual order as to costs should be made requiring Mr Benbrika to pay the costs of the applicant. </w:t>
      </w:r>
    </w:p>
    <w:p w14:paraId="29D80D87" w14:textId="380DF640" w:rsidR="00F520E9" w:rsidRPr="00207864" w:rsidRDefault="00F520E9" w:rsidP="00207864">
      <w:pPr>
        <w:pStyle w:val="NormalBody"/>
        <w:spacing w:after="260" w:line="280" w:lineRule="exact"/>
        <w:ind w:left="1440" w:right="0" w:hanging="720"/>
        <w:jc w:val="both"/>
        <w:rPr>
          <w:rFonts w:ascii="Times New Roman" w:hAnsi="Times New Roman"/>
        </w:rPr>
      </w:pPr>
    </w:p>
    <w:sectPr w:rsidR="00F520E9" w:rsidRPr="00207864" w:rsidSect="00CE4181">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10A60" w14:textId="77777777" w:rsidR="00A45C58" w:rsidRDefault="00A45C58">
      <w:pPr>
        <w:spacing w:line="240" w:lineRule="auto"/>
      </w:pPr>
      <w:r>
        <w:separator/>
      </w:r>
    </w:p>
  </w:endnote>
  <w:endnote w:type="continuationSeparator" w:id="0">
    <w:p w14:paraId="28CB6BEA" w14:textId="77777777" w:rsidR="00A45C58" w:rsidRDefault="00A45C58">
      <w:pPr>
        <w:spacing w:line="240" w:lineRule="auto"/>
      </w:pPr>
      <w:r>
        <w:continuationSeparator/>
      </w:r>
    </w:p>
  </w:endnote>
  <w:endnote w:type="continuationNotice" w:id="1">
    <w:p w14:paraId="1FC5C103" w14:textId="77777777" w:rsidR="00A45C58" w:rsidRDefault="00A45C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Italic">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44C84" w14:textId="77777777" w:rsidR="00005D63" w:rsidRDefault="00005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7C24" w14:textId="77777777" w:rsidR="00005D63" w:rsidRDefault="00005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6693" w14:textId="77777777" w:rsidR="00005D63" w:rsidRDefault="00005D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1360" w14:textId="77777777" w:rsidR="00005D63" w:rsidRDefault="00005D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48AB" w14:textId="77777777" w:rsidR="00005D63" w:rsidRDefault="00005D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2684" w14:textId="77777777" w:rsidR="00005D63" w:rsidRDefault="0000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50504" w14:textId="77777777" w:rsidR="00A45C58" w:rsidRPr="00207864" w:rsidRDefault="00A45C58" w:rsidP="00207864">
      <w:pPr>
        <w:pStyle w:val="Footer"/>
        <w:spacing w:before="120" w:after="20"/>
        <w:ind w:right="0"/>
        <w:rPr>
          <w:rFonts w:ascii="Times New Roman" w:hAnsi="Times New Roman"/>
        </w:rPr>
      </w:pPr>
      <w:r>
        <w:continuationSeparator/>
      </w:r>
    </w:p>
  </w:footnote>
  <w:footnote w:type="continuationSeparator" w:id="0">
    <w:p w14:paraId="7DAB3501" w14:textId="77777777" w:rsidR="00A45C58" w:rsidRPr="00207864" w:rsidRDefault="00A45C58" w:rsidP="00207864">
      <w:pPr>
        <w:pStyle w:val="Footer"/>
        <w:spacing w:before="120" w:after="20"/>
        <w:ind w:right="0"/>
        <w:rPr>
          <w:rFonts w:ascii="Times New Roman" w:hAnsi="Times New Roman"/>
        </w:rPr>
      </w:pPr>
      <w:r w:rsidRPr="00207864">
        <w:rPr>
          <w:rFonts w:ascii="Times New Roman" w:hAnsi="Times New Roman"/>
        </w:rPr>
        <w:continuationSeparator/>
      </w:r>
    </w:p>
  </w:footnote>
  <w:footnote w:type="continuationNotice" w:id="1">
    <w:p w14:paraId="7E43610B" w14:textId="77777777" w:rsidR="00A45C58" w:rsidRPr="00CE4181" w:rsidRDefault="00A45C58">
      <w:pPr>
        <w:jc w:val="right"/>
        <w:rPr>
          <w:rFonts w:ascii="Times New Roman" w:hAnsi="Times New Roman"/>
          <w:sz w:val="24"/>
        </w:rPr>
      </w:pPr>
    </w:p>
  </w:footnote>
  <w:footnote w:id="2">
    <w:p w14:paraId="7FF6EE0F"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Kable v Director of Public Prosecutions (NSW)</w:t>
      </w:r>
      <w:r w:rsidRPr="00207864">
        <w:rPr>
          <w:rFonts w:ascii="Times New Roman" w:hAnsi="Times New Roman"/>
          <w:sz w:val="24"/>
        </w:rPr>
        <w:t xml:space="preserve"> (1996) 189 CLR 51.</w:t>
      </w:r>
    </w:p>
  </w:footnote>
  <w:footnote w:id="3">
    <w:p w14:paraId="4A102E14"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(2004) 223 CLR 575.</w:t>
      </w:r>
    </w:p>
  </w:footnote>
  <w:footnote w:id="4">
    <w:p w14:paraId="2244A927" w14:textId="33122CA6"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Criminal Code </w:t>
      </w:r>
      <w:r w:rsidRPr="00207864">
        <w:rPr>
          <w:rFonts w:ascii="Times New Roman" w:hAnsi="Times New Roman"/>
          <w:sz w:val="24"/>
        </w:rPr>
        <w:t xml:space="preserve">(Cth), s 102.3(1). </w:t>
      </w:r>
    </w:p>
  </w:footnote>
  <w:footnote w:id="5">
    <w:p w14:paraId="3F19FBF5" w14:textId="3334B95C"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102.2(1). </w:t>
      </w:r>
    </w:p>
  </w:footnote>
  <w:footnote w:id="6">
    <w:p w14:paraId="45CE083F" w14:textId="7E7228CE"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105A.2.</w:t>
      </w:r>
    </w:p>
  </w:footnote>
  <w:footnote w:id="7">
    <w:p w14:paraId="72D303A5" w14:textId="3A4902B6" w:rsidR="00871EF9" w:rsidRPr="00207864" w:rsidRDefault="00871EF9"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Benbrika v </w:t>
      </w:r>
      <w:r w:rsidR="00880F9F" w:rsidRPr="00207864">
        <w:rPr>
          <w:rFonts w:ascii="Times New Roman" w:hAnsi="Times New Roman"/>
          <w:i/>
          <w:sz w:val="24"/>
        </w:rPr>
        <w:t>The Queen</w:t>
      </w:r>
      <w:r w:rsidRPr="00207864">
        <w:rPr>
          <w:rFonts w:ascii="Times New Roman" w:hAnsi="Times New Roman"/>
          <w:sz w:val="24"/>
        </w:rPr>
        <w:t xml:space="preserve"> (2010) 29 VR 5</w:t>
      </w:r>
      <w:r w:rsidR="00880F9F" w:rsidRPr="00207864">
        <w:rPr>
          <w:rFonts w:ascii="Times New Roman" w:hAnsi="Times New Roman"/>
          <w:sz w:val="24"/>
        </w:rPr>
        <w:t>93</w:t>
      </w:r>
      <w:r w:rsidRPr="00207864">
        <w:rPr>
          <w:rFonts w:ascii="Times New Roman" w:hAnsi="Times New Roman"/>
          <w:sz w:val="24"/>
        </w:rPr>
        <w:t xml:space="preserve"> at 601-602 [5]-[6]. </w:t>
      </w:r>
    </w:p>
  </w:footnote>
  <w:footnote w:id="8">
    <w:p w14:paraId="243FCB87" w14:textId="1381F0D2" w:rsidR="00871EF9" w:rsidRPr="00207864" w:rsidRDefault="00871EF9"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Benbrika v </w:t>
      </w:r>
      <w:r w:rsidR="00880F9F" w:rsidRPr="00207864">
        <w:rPr>
          <w:rFonts w:ascii="Times New Roman" w:hAnsi="Times New Roman"/>
          <w:i/>
          <w:sz w:val="24"/>
        </w:rPr>
        <w:t>The Queen</w:t>
      </w:r>
      <w:r w:rsidRPr="00207864">
        <w:rPr>
          <w:rFonts w:ascii="Times New Roman" w:hAnsi="Times New Roman"/>
          <w:sz w:val="24"/>
        </w:rPr>
        <w:t xml:space="preserve"> (2010) 29 VR 5</w:t>
      </w:r>
      <w:r w:rsidR="00880F9F" w:rsidRPr="00207864">
        <w:rPr>
          <w:rFonts w:ascii="Times New Roman" w:hAnsi="Times New Roman"/>
          <w:sz w:val="24"/>
        </w:rPr>
        <w:t>93</w:t>
      </w:r>
      <w:r w:rsidRPr="00207864">
        <w:rPr>
          <w:rFonts w:ascii="Times New Roman" w:hAnsi="Times New Roman"/>
          <w:sz w:val="24"/>
        </w:rPr>
        <w:t xml:space="preserve"> at 604 [16].</w:t>
      </w:r>
    </w:p>
  </w:footnote>
  <w:footnote w:id="9">
    <w:p w14:paraId="316C1270" w14:textId="38CA50F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105A.9(2).</w:t>
      </w:r>
    </w:p>
  </w:footnote>
  <w:footnote w:id="10">
    <w:p w14:paraId="3FA926F5" w14:textId="716ED48A"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Minister for Home Affairs v Benbrika </w:t>
      </w:r>
      <w:r w:rsidRPr="00207864">
        <w:rPr>
          <w:rFonts w:ascii="Times New Roman" w:hAnsi="Times New Roman"/>
          <w:sz w:val="24"/>
        </w:rPr>
        <w:t>[2020] VSC 888 at [478]-[480].</w:t>
      </w:r>
    </w:p>
  </w:footnote>
  <w:footnote w:id="11">
    <w:p w14:paraId="10C49781"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Supreme Court Act</w:t>
      </w:r>
      <w:r w:rsidRPr="00207864">
        <w:rPr>
          <w:rFonts w:ascii="Times New Roman" w:hAnsi="Times New Roman"/>
          <w:sz w:val="24"/>
        </w:rPr>
        <w:t xml:space="preserve"> </w:t>
      </w:r>
      <w:r w:rsidRPr="00207864">
        <w:rPr>
          <w:rFonts w:ascii="Times New Roman" w:hAnsi="Times New Roman"/>
          <w:i/>
          <w:sz w:val="24"/>
        </w:rPr>
        <w:t>1986</w:t>
      </w:r>
      <w:r w:rsidRPr="00207864">
        <w:rPr>
          <w:rFonts w:ascii="Times New Roman" w:hAnsi="Times New Roman"/>
          <w:sz w:val="24"/>
        </w:rPr>
        <w:t xml:space="preserve"> (Vic), s 17B(2).</w:t>
      </w:r>
    </w:p>
  </w:footnote>
  <w:footnote w:id="12">
    <w:p w14:paraId="5FD0C1B6"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Judiciary Act 1903</w:t>
      </w:r>
      <w:r w:rsidRPr="00207864">
        <w:rPr>
          <w:rFonts w:ascii="Times New Roman" w:hAnsi="Times New Roman"/>
          <w:sz w:val="24"/>
        </w:rPr>
        <w:t xml:space="preserve"> (Cth), s 40. </w:t>
      </w:r>
    </w:p>
  </w:footnote>
  <w:footnote w:id="13">
    <w:p w14:paraId="61AF3E35" w14:textId="32F2D8D5"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w:t>
      </w:r>
    </w:p>
  </w:footnote>
  <w:footnote w:id="14">
    <w:p w14:paraId="1AF2616E" w14:textId="0E86974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105A.5.</w:t>
      </w:r>
    </w:p>
  </w:footnote>
  <w:footnote w:id="15">
    <w:p w14:paraId="55BC8FA6" w14:textId="39A59432"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105A.3(1)(b).</w:t>
      </w:r>
    </w:p>
  </w:footnote>
  <w:footnote w:id="16">
    <w:p w14:paraId="62EB6381" w14:textId="6093466B"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105A.3(1)(c).</w:t>
      </w:r>
    </w:p>
  </w:footnote>
  <w:footnote w:id="17">
    <w:p w14:paraId="564C57DF"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105A.3(2). </w:t>
      </w:r>
    </w:p>
  </w:footnote>
  <w:footnote w:id="18">
    <w:p w14:paraId="44D31CE2" w14:textId="08B7C20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105A.5(2). </w:t>
      </w:r>
    </w:p>
  </w:footnote>
  <w:footnote w:id="19">
    <w:p w14:paraId="4079F766" w14:textId="0C9A9A6D"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105A.6(1), (3) and (4). </w:t>
      </w:r>
    </w:p>
  </w:footnote>
  <w:footnote w:id="20">
    <w:p w14:paraId="46F5A193" w14:textId="2ABCD4A6"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105A.13.</w:t>
      </w:r>
    </w:p>
  </w:footnote>
  <w:footnote w:id="21">
    <w:p w14:paraId="58444D02" w14:textId="0A70DDDD"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105A.14.</w:t>
      </w:r>
    </w:p>
  </w:footnote>
  <w:footnote w:id="22">
    <w:p w14:paraId="7D875868" w14:textId="18EF394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105A.7(3).</w:t>
      </w:r>
    </w:p>
  </w:footnote>
  <w:footnote w:id="23">
    <w:p w14:paraId="69683734" w14:textId="53D66255"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105A.7(1)(b).</w:t>
      </w:r>
    </w:p>
  </w:footnote>
  <w:footnote w:id="24">
    <w:p w14:paraId="575530CE" w14:textId="0EB42A6E"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593 [22] per Gleeson CJ, 597 [34] per McHugh J, 6</w:t>
      </w:r>
      <w:r w:rsidR="00245A96" w:rsidRPr="00207864">
        <w:rPr>
          <w:rFonts w:ascii="Times New Roman" w:hAnsi="Times New Roman"/>
          <w:sz w:val="24"/>
        </w:rPr>
        <w:t>16</w:t>
      </w:r>
      <w:r w:rsidRPr="00207864">
        <w:rPr>
          <w:rFonts w:ascii="Times New Roman" w:hAnsi="Times New Roman"/>
          <w:sz w:val="24"/>
        </w:rPr>
        <w:t>-6</w:t>
      </w:r>
      <w:r w:rsidR="00245A96" w:rsidRPr="00207864">
        <w:rPr>
          <w:rFonts w:ascii="Times New Roman" w:hAnsi="Times New Roman"/>
          <w:sz w:val="24"/>
        </w:rPr>
        <w:t>17</w:t>
      </w:r>
      <w:r w:rsidRPr="00207864">
        <w:rPr>
          <w:rFonts w:ascii="Times New Roman" w:hAnsi="Times New Roman"/>
          <w:sz w:val="24"/>
        </w:rPr>
        <w:t xml:space="preserve"> [97]</w:t>
      </w:r>
      <w:r w:rsidRPr="00207864">
        <w:rPr>
          <w:rFonts w:ascii="Times New Roman" w:hAnsi="Times New Roman"/>
          <w:sz w:val="24"/>
        </w:rPr>
        <w:noBreakHyphen/>
        <w:t xml:space="preserve">[98] per Gummow J, 657 [225] per Callinan and Heydon JJ; </w:t>
      </w:r>
      <w:r w:rsidRPr="00207864">
        <w:rPr>
          <w:rFonts w:ascii="Times New Roman" w:hAnsi="Times New Roman"/>
          <w:i/>
          <w:sz w:val="24"/>
        </w:rPr>
        <w:t>Thomas v Mowbray</w:t>
      </w:r>
      <w:r w:rsidRPr="00207864">
        <w:rPr>
          <w:rFonts w:ascii="Times New Roman" w:hAnsi="Times New Roman"/>
          <w:sz w:val="24"/>
        </w:rPr>
        <w:t xml:space="preserve"> (2007) 233 CLR 307 at 327</w:t>
      </w:r>
      <w:r w:rsidRPr="00207864">
        <w:rPr>
          <w:rFonts w:ascii="Times New Roman" w:hAnsi="Times New Roman"/>
          <w:sz w:val="24"/>
        </w:rPr>
        <w:noBreakHyphen/>
        <w:t xml:space="preserve">329 [15]-[16], 334 [28] per Gleeson CJ; </w:t>
      </w:r>
      <w:r w:rsidRPr="00207864">
        <w:rPr>
          <w:rFonts w:ascii="Times New Roman" w:hAnsi="Times New Roman"/>
          <w:i/>
          <w:sz w:val="24"/>
        </w:rPr>
        <w:t>Vella v Commissioner of Police (NSW)</w:t>
      </w:r>
      <w:r w:rsidRPr="00207864">
        <w:rPr>
          <w:rFonts w:ascii="Times New Roman" w:hAnsi="Times New Roman"/>
          <w:sz w:val="24"/>
        </w:rPr>
        <w:t xml:space="preserve"> (2019) 93 ALJR 1236 at 1251 [57], 1253-1254 [66]-[68], 1255 [73]-[75], 1258-1259 [84]</w:t>
      </w:r>
      <w:r w:rsidRPr="00207864">
        <w:rPr>
          <w:rFonts w:ascii="Times New Roman" w:hAnsi="Times New Roman"/>
          <w:sz w:val="24"/>
        </w:rPr>
        <w:noBreakHyphen/>
        <w:t>[89] per Bell, Keane, Nettle and Edelman JJ; 374 ALR 1 at 17, 20, 22, 26-28.</w:t>
      </w:r>
    </w:p>
  </w:footnote>
  <w:footnote w:id="25">
    <w:p w14:paraId="00A71223" w14:textId="0FB38A62"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105A.7(1).</w:t>
      </w:r>
    </w:p>
  </w:footnote>
  <w:footnote w:id="26">
    <w:p w14:paraId="10152EB4" w14:textId="39272C0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w:t>
      </w:r>
      <w:r w:rsidR="00F260CC" w:rsidRPr="00207864">
        <w:rPr>
          <w:rFonts w:ascii="Times New Roman" w:hAnsi="Times New Roman"/>
          <w:sz w:val="24"/>
        </w:rPr>
        <w:t xml:space="preserve"> </w:t>
      </w:r>
      <w:r w:rsidRPr="00207864">
        <w:rPr>
          <w:rFonts w:ascii="Times New Roman" w:hAnsi="Times New Roman"/>
          <w:sz w:val="24"/>
        </w:rPr>
        <w:t>105A.16.</w:t>
      </w:r>
    </w:p>
  </w:footnote>
  <w:footnote w:id="27">
    <w:p w14:paraId="17AD742D" w14:textId="2ED0E82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w:t>
      </w:r>
      <w:r w:rsidR="00F260CC" w:rsidRPr="00207864">
        <w:rPr>
          <w:rFonts w:ascii="Times New Roman" w:hAnsi="Times New Roman"/>
          <w:sz w:val="24"/>
        </w:rPr>
        <w:t xml:space="preserve"> </w:t>
      </w:r>
      <w:r w:rsidRPr="00207864">
        <w:rPr>
          <w:rFonts w:ascii="Times New Roman" w:hAnsi="Times New Roman"/>
          <w:sz w:val="24"/>
        </w:rPr>
        <w:t>105A.17.</w:t>
      </w:r>
    </w:p>
  </w:footnote>
  <w:footnote w:id="28">
    <w:p w14:paraId="4030BC7F" w14:textId="03CB4C21"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105A.5(2A). </w:t>
      </w:r>
    </w:p>
  </w:footnote>
  <w:footnote w:id="29">
    <w:p w14:paraId="7E298696" w14:textId="3925265F"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105A.5(5).</w:t>
      </w:r>
    </w:p>
  </w:footnote>
  <w:footnote w:id="30">
    <w:p w14:paraId="57283A77" w14:textId="312CAA3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105A.5(3)(aa)(ii).</w:t>
      </w:r>
    </w:p>
  </w:footnote>
  <w:footnote w:id="31">
    <w:p w14:paraId="6B56EE45" w14:textId="0548B13A"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105A.15A.</w:t>
      </w:r>
    </w:p>
  </w:footnote>
  <w:footnote w:id="32">
    <w:p w14:paraId="41D8E6BE" w14:textId="29343939"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105A.10.</w:t>
      </w:r>
    </w:p>
  </w:footnote>
  <w:footnote w:id="33">
    <w:p w14:paraId="6339CE1A" w14:textId="53841221"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105A.12(4) and (5).</w:t>
      </w:r>
    </w:p>
  </w:footnote>
  <w:footnote w:id="34">
    <w:p w14:paraId="7648479F" w14:textId="0CB84E5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105A.10(4).</w:t>
      </w:r>
    </w:p>
  </w:footnote>
  <w:footnote w:id="35">
    <w:p w14:paraId="6A59A4FF" w14:textId="15A2049F"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Precision Data Holdings Ltd v Wills</w:t>
      </w:r>
      <w:r w:rsidRPr="00207864">
        <w:rPr>
          <w:rFonts w:ascii="Times New Roman" w:hAnsi="Times New Roman"/>
          <w:sz w:val="24"/>
        </w:rPr>
        <w:t xml:space="preserve"> (1991) 173 CLR 167 at 188</w:t>
      </w:r>
      <w:r w:rsidRPr="00207864">
        <w:rPr>
          <w:rFonts w:ascii="Times New Roman" w:hAnsi="Times New Roman"/>
          <w:sz w:val="24"/>
        </w:rPr>
        <w:noBreakHyphen/>
        <w:t>189.</w:t>
      </w:r>
    </w:p>
  </w:footnote>
  <w:footnote w:id="36">
    <w:p w14:paraId="20D150D3" w14:textId="30DA885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(2004) 223 CLR 575 at 596</w:t>
      </w:r>
      <w:r w:rsidRPr="00207864">
        <w:rPr>
          <w:rFonts w:ascii="Times New Roman" w:hAnsi="Times New Roman"/>
          <w:sz w:val="24"/>
        </w:rPr>
        <w:noBreakHyphen/>
        <w:t xml:space="preserve">597 [34]. </w:t>
      </w:r>
    </w:p>
  </w:footnote>
  <w:footnote w:id="37">
    <w:p w14:paraId="70006FAE" w14:textId="01933642"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R v Trade Practices Tribunal; Ex </w:t>
      </w:r>
      <w:proofErr w:type="spellStart"/>
      <w:r w:rsidRPr="00207864">
        <w:rPr>
          <w:rFonts w:ascii="Times New Roman" w:hAnsi="Times New Roman"/>
          <w:i/>
          <w:sz w:val="24"/>
        </w:rPr>
        <w:t>parte</w:t>
      </w:r>
      <w:proofErr w:type="spellEnd"/>
      <w:r w:rsidRPr="00207864">
        <w:rPr>
          <w:rFonts w:ascii="Times New Roman" w:hAnsi="Times New Roman"/>
          <w:i/>
          <w:sz w:val="24"/>
        </w:rPr>
        <w:t xml:space="preserve"> Tasmanian Breweries Pty Ltd </w:t>
      </w:r>
      <w:r w:rsidRPr="00207864">
        <w:rPr>
          <w:rFonts w:ascii="Times New Roman" w:hAnsi="Times New Roman"/>
          <w:sz w:val="24"/>
        </w:rPr>
        <w:t xml:space="preserve">(1970) 123 CLR 361 at 375 per </w:t>
      </w:r>
      <w:proofErr w:type="spellStart"/>
      <w:r w:rsidRPr="00207864">
        <w:rPr>
          <w:rFonts w:ascii="Times New Roman" w:hAnsi="Times New Roman"/>
          <w:sz w:val="24"/>
        </w:rPr>
        <w:t>Kitto</w:t>
      </w:r>
      <w:proofErr w:type="spellEnd"/>
      <w:r w:rsidRPr="00207864">
        <w:rPr>
          <w:rFonts w:ascii="Times New Roman" w:hAnsi="Times New Roman"/>
          <w:sz w:val="24"/>
        </w:rPr>
        <w:t xml:space="preserve"> J.</w:t>
      </w:r>
    </w:p>
  </w:footnote>
  <w:footnote w:id="38">
    <w:p w14:paraId="48DC65AC" w14:textId="1AC3DD9F"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(2007) 233 CLR 307 at 328 [15]-[16].</w:t>
      </w:r>
    </w:p>
  </w:footnote>
  <w:footnote w:id="39">
    <w:p w14:paraId="62ED835D" w14:textId="68643725"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(2014) 253 CLR 393 at 430-431 [57] per French CJ, Hayne, Crennan, Kiefel, Bell and Keane JJ. See also their Honours' discussion at 430-433 [57]-[63].</w:t>
      </w:r>
    </w:p>
  </w:footnote>
  <w:footnote w:id="40">
    <w:p w14:paraId="03EDFD14" w14:textId="4AAC9392"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(2007) 233 CLR 307 at 335 [31]-[32] per Gleeson CJ, 358 [126] per Gummow and Crennan JJ, 507-509 [595]-[600] per Callinan J, 526 [651] per Heydon J.</w:t>
      </w:r>
    </w:p>
  </w:footnote>
  <w:footnote w:id="41">
    <w:p w14:paraId="23EA8AEE" w14:textId="2A1A5076"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R v Kirby; Ex </w:t>
      </w:r>
      <w:proofErr w:type="spellStart"/>
      <w:r w:rsidRPr="00207864">
        <w:rPr>
          <w:rFonts w:ascii="Times New Roman" w:hAnsi="Times New Roman"/>
          <w:i/>
          <w:sz w:val="24"/>
        </w:rPr>
        <w:t>parte</w:t>
      </w:r>
      <w:proofErr w:type="spellEnd"/>
      <w:r w:rsidRPr="00207864">
        <w:rPr>
          <w:rFonts w:ascii="Times New Roman" w:hAnsi="Times New Roman"/>
          <w:i/>
          <w:sz w:val="24"/>
        </w:rPr>
        <w:t xml:space="preserve"> Boilermakers' Society of Australia </w:t>
      </w:r>
      <w:r w:rsidRPr="00207864">
        <w:rPr>
          <w:rFonts w:ascii="Times New Roman" w:hAnsi="Times New Roman"/>
          <w:sz w:val="24"/>
        </w:rPr>
        <w:t xml:space="preserve">(1956) 94 CLR 254 at 269-270 per Dixon CJ, </w:t>
      </w:r>
      <w:proofErr w:type="spellStart"/>
      <w:r w:rsidRPr="00207864">
        <w:rPr>
          <w:rFonts w:ascii="Times New Roman" w:hAnsi="Times New Roman"/>
          <w:sz w:val="24"/>
        </w:rPr>
        <w:t>McTiernan</w:t>
      </w:r>
      <w:proofErr w:type="spellEnd"/>
      <w:r w:rsidRPr="00207864">
        <w:rPr>
          <w:rFonts w:ascii="Times New Roman" w:hAnsi="Times New Roman"/>
          <w:sz w:val="24"/>
        </w:rPr>
        <w:t xml:space="preserve">, </w:t>
      </w:r>
      <w:proofErr w:type="spellStart"/>
      <w:r w:rsidRPr="00207864">
        <w:rPr>
          <w:rFonts w:ascii="Times New Roman" w:hAnsi="Times New Roman"/>
          <w:sz w:val="24"/>
        </w:rPr>
        <w:t>Fullagar</w:t>
      </w:r>
      <w:proofErr w:type="spellEnd"/>
      <w:r w:rsidRPr="00207864">
        <w:rPr>
          <w:rFonts w:ascii="Times New Roman" w:hAnsi="Times New Roman"/>
          <w:sz w:val="24"/>
        </w:rPr>
        <w:t xml:space="preserve"> and </w:t>
      </w:r>
      <w:proofErr w:type="spellStart"/>
      <w:r w:rsidRPr="00207864">
        <w:rPr>
          <w:rFonts w:ascii="Times New Roman" w:hAnsi="Times New Roman"/>
          <w:sz w:val="24"/>
        </w:rPr>
        <w:t>Kitto</w:t>
      </w:r>
      <w:proofErr w:type="spellEnd"/>
      <w:r w:rsidRPr="00207864">
        <w:rPr>
          <w:rFonts w:ascii="Times New Roman" w:hAnsi="Times New Roman"/>
          <w:sz w:val="24"/>
        </w:rPr>
        <w:t> JJ.</w:t>
      </w:r>
    </w:p>
  </w:footnote>
  <w:footnote w:id="42">
    <w:p w14:paraId="38AC2674" w14:textId="14EE8C7E"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In re Judiciary and Navigation Acts </w:t>
      </w:r>
      <w:r w:rsidRPr="00207864">
        <w:rPr>
          <w:rFonts w:ascii="Times New Roman" w:hAnsi="Times New Roman"/>
          <w:sz w:val="24"/>
        </w:rPr>
        <w:t>(1921) 29 CLR 257 at 265</w:t>
      </w:r>
      <w:r w:rsidRPr="00207864">
        <w:rPr>
          <w:rFonts w:ascii="Times New Roman" w:hAnsi="Times New Roman"/>
          <w:sz w:val="24"/>
        </w:rPr>
        <w:noBreakHyphen/>
        <w:t>266 per Knox CJ, Gavan Duffy, Powers, Rich and Starke JJ.</w:t>
      </w:r>
    </w:p>
  </w:footnote>
  <w:footnote w:id="43">
    <w:p w14:paraId="6A91F3A5" w14:textId="42C4D64B"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 xml:space="preserve">See </w:t>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 </w:t>
      </w:r>
      <w:r w:rsidRPr="00207864">
        <w:rPr>
          <w:rFonts w:ascii="Times New Roman" w:hAnsi="Times New Roman"/>
          <w:sz w:val="24"/>
        </w:rPr>
        <w:t xml:space="preserve">(2004) 223 CLR 575 at 596-597 [34] per McHugh J. </w:t>
      </w:r>
    </w:p>
  </w:footnote>
  <w:footnote w:id="44">
    <w:p w14:paraId="13E0AA06" w14:textId="63C93E74"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 xml:space="preserve">See </w:t>
      </w:r>
      <w:r w:rsidRPr="00207864">
        <w:rPr>
          <w:rFonts w:ascii="Times New Roman" w:hAnsi="Times New Roman"/>
          <w:i/>
          <w:sz w:val="24"/>
        </w:rPr>
        <w:t xml:space="preserve">R v Quinn; Ex </w:t>
      </w:r>
      <w:proofErr w:type="spellStart"/>
      <w:r w:rsidRPr="00207864">
        <w:rPr>
          <w:rFonts w:ascii="Times New Roman" w:hAnsi="Times New Roman"/>
          <w:i/>
          <w:sz w:val="24"/>
        </w:rPr>
        <w:t>parte</w:t>
      </w:r>
      <w:proofErr w:type="spellEnd"/>
      <w:r w:rsidRPr="00207864">
        <w:rPr>
          <w:rFonts w:ascii="Times New Roman" w:hAnsi="Times New Roman"/>
          <w:i/>
          <w:sz w:val="24"/>
        </w:rPr>
        <w:t xml:space="preserve"> Consolidated Foods Corporation</w:t>
      </w:r>
      <w:r w:rsidRPr="00207864">
        <w:rPr>
          <w:rFonts w:ascii="Times New Roman" w:hAnsi="Times New Roman"/>
          <w:sz w:val="24"/>
        </w:rPr>
        <w:t xml:space="preserve"> (1977) 138 CLR 1 at 11 per Jacobs J; </w:t>
      </w:r>
      <w:r w:rsidRPr="00207864">
        <w:rPr>
          <w:rFonts w:ascii="Times New Roman" w:hAnsi="Times New Roman"/>
          <w:i/>
          <w:sz w:val="24"/>
        </w:rPr>
        <w:t>Wilson v Minister for Aboriginal and Torres Strait Islander Affairs</w:t>
      </w:r>
      <w:r w:rsidRPr="00207864">
        <w:rPr>
          <w:rFonts w:ascii="Times New Roman" w:hAnsi="Times New Roman"/>
          <w:sz w:val="24"/>
        </w:rPr>
        <w:t xml:space="preserve"> (1996) 189 CLR 1 at 11-12 per Brennan CJ, Dawson, Toohey, McHugh and Gummow JJ.</w:t>
      </w:r>
    </w:p>
  </w:footnote>
  <w:footnote w:id="45">
    <w:p w14:paraId="2D43A8AA" w14:textId="145DD80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(1992) 176 CLR 1 at 27.</w:t>
      </w:r>
    </w:p>
  </w:footnote>
  <w:footnote w:id="46">
    <w:p w14:paraId="6AE28DF7" w14:textId="343DCCF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Chu Kheng Lim v Minister for Immigration </w:t>
      </w:r>
      <w:r w:rsidRPr="00207864">
        <w:rPr>
          <w:rFonts w:ascii="Times New Roman" w:hAnsi="Times New Roman"/>
          <w:sz w:val="24"/>
        </w:rPr>
        <w:t>(1992) 176 CLR 1 at 27 per Brennan, Deane and Dawson JJ.</w:t>
      </w:r>
    </w:p>
  </w:footnote>
  <w:footnote w:id="47">
    <w:p w14:paraId="2932CFD3" w14:textId="41EBEF0D"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Chu Kheng Lim v Minister for Immigration </w:t>
      </w:r>
      <w:r w:rsidRPr="00207864">
        <w:rPr>
          <w:rFonts w:ascii="Times New Roman" w:hAnsi="Times New Roman"/>
          <w:sz w:val="24"/>
        </w:rPr>
        <w:t>(1992) 176 CLR 1 at 28.</w:t>
      </w:r>
    </w:p>
  </w:footnote>
  <w:footnote w:id="48">
    <w:p w14:paraId="64A44F9D" w14:textId="58552B86"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Chu Kheng Lim v Minister for Immigration </w:t>
      </w:r>
      <w:r w:rsidRPr="00207864">
        <w:rPr>
          <w:rFonts w:ascii="Times New Roman" w:hAnsi="Times New Roman"/>
          <w:sz w:val="24"/>
        </w:rPr>
        <w:t>(1992) 176 CLR 1 at 28.</w:t>
      </w:r>
    </w:p>
  </w:footnote>
  <w:footnote w:id="49">
    <w:p w14:paraId="31E532E8" w14:textId="59A6237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Chu Kheng Lim v Minister for Immigration </w:t>
      </w:r>
      <w:r w:rsidRPr="00207864">
        <w:rPr>
          <w:rFonts w:ascii="Times New Roman" w:hAnsi="Times New Roman"/>
          <w:sz w:val="24"/>
        </w:rPr>
        <w:t xml:space="preserve">(1992) 176 CLR 1 at 28, citing Blackstone, </w:t>
      </w:r>
      <w:r w:rsidRPr="00207864">
        <w:rPr>
          <w:rFonts w:ascii="Times New Roman" w:hAnsi="Times New Roman"/>
          <w:i/>
          <w:sz w:val="24"/>
        </w:rPr>
        <w:t>Commentaries</w:t>
      </w:r>
      <w:r w:rsidRPr="00207864">
        <w:rPr>
          <w:rFonts w:ascii="Times New Roman" w:hAnsi="Times New Roman"/>
          <w:sz w:val="24"/>
        </w:rPr>
        <w:t xml:space="preserve">, 17th ed (1830), bk 1, paras 136-137 </w:t>
      </w:r>
      <w:r w:rsidR="00254CCD" w:rsidRPr="00207864">
        <w:rPr>
          <w:rFonts w:ascii="Times New Roman" w:hAnsi="Times New Roman"/>
          <w:sz w:val="24"/>
        </w:rPr>
        <w:t>and</w:t>
      </w:r>
      <w:r w:rsidRPr="00207864">
        <w:rPr>
          <w:rFonts w:ascii="Times New Roman" w:hAnsi="Times New Roman"/>
          <w:sz w:val="24"/>
        </w:rPr>
        <w:t xml:space="preserve"> Coke, </w:t>
      </w:r>
      <w:r w:rsidRPr="00207864">
        <w:rPr>
          <w:rFonts w:ascii="Times New Roman" w:hAnsi="Times New Roman"/>
          <w:i/>
          <w:sz w:val="24"/>
        </w:rPr>
        <w:t>Institutes of the Laws of England</w:t>
      </w:r>
      <w:r w:rsidRPr="00207864">
        <w:rPr>
          <w:rFonts w:ascii="Times New Roman" w:hAnsi="Times New Roman"/>
          <w:sz w:val="24"/>
        </w:rPr>
        <w:t xml:space="preserve"> (1809), </w:t>
      </w:r>
      <w:proofErr w:type="spellStart"/>
      <w:r w:rsidRPr="00207864">
        <w:rPr>
          <w:rFonts w:ascii="Times New Roman" w:hAnsi="Times New Roman"/>
          <w:sz w:val="24"/>
        </w:rPr>
        <w:t>pt</w:t>
      </w:r>
      <w:proofErr w:type="spellEnd"/>
      <w:r w:rsidRPr="00207864">
        <w:rPr>
          <w:rFonts w:ascii="Times New Roman" w:hAnsi="Times New Roman"/>
          <w:sz w:val="24"/>
        </w:rPr>
        <w:t> 2 at 589.</w:t>
      </w:r>
    </w:p>
  </w:footnote>
  <w:footnote w:id="50">
    <w:p w14:paraId="4FBC8328" w14:textId="3C8934B8"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Chu Kheng Lim v Minister for Immigration </w:t>
      </w:r>
      <w:r w:rsidRPr="00207864">
        <w:rPr>
          <w:rFonts w:ascii="Times New Roman" w:hAnsi="Times New Roman"/>
          <w:sz w:val="24"/>
        </w:rPr>
        <w:t>(1992) 176 CLR 1 at 27</w:t>
      </w:r>
      <w:r w:rsidRPr="00207864">
        <w:rPr>
          <w:rFonts w:ascii="Times New Roman" w:hAnsi="Times New Roman"/>
          <w:sz w:val="24"/>
        </w:rPr>
        <w:noBreakHyphen/>
        <w:t xml:space="preserve">28, citing Dicey, </w:t>
      </w:r>
      <w:r w:rsidRPr="00207864">
        <w:rPr>
          <w:rFonts w:ascii="Times New Roman" w:hAnsi="Times New Roman"/>
          <w:i/>
          <w:sz w:val="24"/>
        </w:rPr>
        <w:t>Introduction to the Study of the Law of the Constitution</w:t>
      </w:r>
      <w:r w:rsidRPr="00207864">
        <w:rPr>
          <w:rFonts w:ascii="Times New Roman" w:hAnsi="Times New Roman"/>
          <w:sz w:val="24"/>
        </w:rPr>
        <w:t>, 10th ed (1959) at 202.</w:t>
      </w:r>
    </w:p>
  </w:footnote>
  <w:footnote w:id="51">
    <w:p w14:paraId="716731B1" w14:textId="066D52E4"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Wilson v Minister for Aboriginal and Torres Strait Islander Affairs</w:t>
      </w:r>
      <w:r w:rsidRPr="00207864">
        <w:rPr>
          <w:rFonts w:ascii="Times New Roman" w:hAnsi="Times New Roman"/>
          <w:sz w:val="24"/>
        </w:rPr>
        <w:t xml:space="preserve"> (1996) 189 CLR 1 at 11-13 per Brennan CJ, Dawson, Toohey, McHugh and Gummow JJ.</w:t>
      </w:r>
    </w:p>
  </w:footnote>
  <w:footnote w:id="52">
    <w:p w14:paraId="4F29F7C6" w14:textId="4CBC5D47" w:rsidR="00DE4D8C" w:rsidRPr="00207864" w:rsidRDefault="00DE4D8C"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(1996) 189 CLR 51.</w:t>
      </w:r>
    </w:p>
  </w:footnote>
  <w:footnote w:id="53">
    <w:p w14:paraId="4CAB1FC6" w14:textId="17EDF33E"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Kable v Director of Public Prosecutions (NSW)</w:t>
      </w:r>
      <w:r w:rsidRPr="00207864">
        <w:rPr>
          <w:rFonts w:ascii="Times New Roman" w:hAnsi="Times New Roman"/>
          <w:sz w:val="24"/>
        </w:rPr>
        <w:t xml:space="preserve"> (1996) 189 CLR 51 at 103 per </w:t>
      </w:r>
      <w:proofErr w:type="spellStart"/>
      <w:r w:rsidRPr="00207864">
        <w:rPr>
          <w:rFonts w:ascii="Times New Roman" w:hAnsi="Times New Roman"/>
          <w:sz w:val="24"/>
        </w:rPr>
        <w:t>Gaudron</w:t>
      </w:r>
      <w:proofErr w:type="spellEnd"/>
      <w:r w:rsidRPr="00207864">
        <w:rPr>
          <w:rFonts w:ascii="Times New Roman" w:hAnsi="Times New Roman"/>
          <w:sz w:val="24"/>
        </w:rPr>
        <w:t xml:space="preserve"> J; </w:t>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 </w:t>
      </w:r>
      <w:r w:rsidRPr="00207864">
        <w:rPr>
          <w:rFonts w:ascii="Times New Roman" w:hAnsi="Times New Roman"/>
          <w:sz w:val="24"/>
        </w:rPr>
        <w:t>(2004)</w:t>
      </w:r>
      <w:r w:rsidRPr="00207864">
        <w:rPr>
          <w:rFonts w:ascii="Times New Roman" w:hAnsi="Times New Roman"/>
          <w:i/>
          <w:sz w:val="24"/>
        </w:rPr>
        <w:t xml:space="preserve"> </w:t>
      </w:r>
      <w:r w:rsidRPr="00207864">
        <w:rPr>
          <w:rFonts w:ascii="Times New Roman" w:hAnsi="Times New Roman"/>
          <w:sz w:val="24"/>
        </w:rPr>
        <w:t xml:space="preserve">223 CLR 575 at 617 [101] per </w:t>
      </w:r>
      <w:proofErr w:type="spellStart"/>
      <w:r w:rsidRPr="00207864">
        <w:rPr>
          <w:rFonts w:ascii="Times New Roman" w:hAnsi="Times New Roman"/>
          <w:sz w:val="24"/>
        </w:rPr>
        <w:t>Gummow</w:t>
      </w:r>
      <w:proofErr w:type="spellEnd"/>
      <w:r w:rsidRPr="00207864">
        <w:rPr>
          <w:rFonts w:ascii="Times New Roman" w:hAnsi="Times New Roman"/>
          <w:sz w:val="24"/>
        </w:rPr>
        <w:t xml:space="preserve"> J;</w:t>
      </w:r>
      <w:r w:rsidRPr="00207864">
        <w:rPr>
          <w:rFonts w:ascii="Times New Roman" w:hAnsi="Times New Roman"/>
          <w:i/>
          <w:sz w:val="24"/>
        </w:rPr>
        <w:t xml:space="preserve"> </w:t>
      </w:r>
      <w:proofErr w:type="spellStart"/>
      <w:r w:rsidRPr="00207864">
        <w:rPr>
          <w:rFonts w:ascii="Times New Roman" w:hAnsi="Times New Roman"/>
          <w:i/>
          <w:sz w:val="24"/>
        </w:rPr>
        <w:t>Wainohu</w:t>
      </w:r>
      <w:proofErr w:type="spellEnd"/>
      <w:r w:rsidRPr="00207864">
        <w:rPr>
          <w:rFonts w:ascii="Times New Roman" w:hAnsi="Times New Roman"/>
          <w:i/>
          <w:sz w:val="24"/>
        </w:rPr>
        <w:t xml:space="preserve"> v New South Wales</w:t>
      </w:r>
      <w:r w:rsidRPr="00207864">
        <w:rPr>
          <w:rFonts w:ascii="Times New Roman" w:hAnsi="Times New Roman"/>
          <w:sz w:val="24"/>
        </w:rPr>
        <w:t xml:space="preserve"> (2011) 243 CLR 181 at 209 [45] per French CJ and Kiefel J, 228-229 [105] per Gummow, Hayne, Crennan and Bell JJ; </w:t>
      </w:r>
      <w:r w:rsidRPr="00207864">
        <w:rPr>
          <w:rFonts w:ascii="Times New Roman" w:hAnsi="Times New Roman"/>
          <w:i/>
          <w:sz w:val="24"/>
        </w:rPr>
        <w:t>Condon v Pompano</w:t>
      </w:r>
      <w:r w:rsidRPr="00207864">
        <w:rPr>
          <w:rFonts w:ascii="Times New Roman" w:hAnsi="Times New Roman"/>
          <w:sz w:val="24"/>
        </w:rPr>
        <w:t xml:space="preserve"> </w:t>
      </w:r>
      <w:r w:rsidRPr="00207864">
        <w:rPr>
          <w:rFonts w:ascii="Times New Roman" w:hAnsi="Times New Roman"/>
          <w:i/>
          <w:sz w:val="24"/>
        </w:rPr>
        <w:t xml:space="preserve">Pty Ltd </w:t>
      </w:r>
      <w:r w:rsidRPr="00207864">
        <w:rPr>
          <w:rFonts w:ascii="Times New Roman" w:hAnsi="Times New Roman"/>
          <w:sz w:val="24"/>
        </w:rPr>
        <w:t xml:space="preserve">(2013) 252 CLR 38 at 89 [123] per Hayne, Crennan, Kiefel and Bell JJ; </w:t>
      </w:r>
      <w:r w:rsidRPr="00207864">
        <w:rPr>
          <w:rFonts w:ascii="Times New Roman" w:hAnsi="Times New Roman"/>
          <w:i/>
          <w:sz w:val="24"/>
        </w:rPr>
        <w:t xml:space="preserve">Vella v Commissioner of Police (NSW) </w:t>
      </w:r>
      <w:r w:rsidRPr="00207864">
        <w:rPr>
          <w:rFonts w:ascii="Times New Roman" w:hAnsi="Times New Roman"/>
          <w:sz w:val="24"/>
        </w:rPr>
        <w:t>(2019) 93 ALJR 1236 at 1270 [147] per Gageler J; 374 ALR 1 at 41-42.</w:t>
      </w:r>
    </w:p>
  </w:footnote>
  <w:footnote w:id="54">
    <w:p w14:paraId="7C9D08AD" w14:textId="3064D798"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Dangerous Prisoners (Sexual Offenders) Act 2003 </w:t>
      </w:r>
      <w:r w:rsidRPr="00207864">
        <w:rPr>
          <w:rFonts w:ascii="Times New Roman" w:hAnsi="Times New Roman"/>
          <w:sz w:val="24"/>
        </w:rPr>
        <w:t>(Qld), ss 5 and 13.</w:t>
      </w:r>
    </w:p>
  </w:footnote>
  <w:footnote w:id="55">
    <w:p w14:paraId="256871D7" w14:textId="7AC7CA35"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Dangerous Prisoners (Sexual Offenders) Act</w:t>
      </w:r>
      <w:r w:rsidRPr="00207864">
        <w:rPr>
          <w:rFonts w:ascii="Times New Roman" w:hAnsi="Times New Roman"/>
          <w:sz w:val="24"/>
        </w:rPr>
        <w:t>, s 13(2).</w:t>
      </w:r>
    </w:p>
  </w:footnote>
  <w:footnote w:id="56">
    <w:p w14:paraId="29FD4444" w14:textId="5DA5596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Dangerous Prisoners (Sexual Offenders) Act</w:t>
      </w:r>
      <w:r w:rsidRPr="00207864">
        <w:rPr>
          <w:rFonts w:ascii="Times New Roman" w:hAnsi="Times New Roman"/>
          <w:sz w:val="24"/>
        </w:rPr>
        <w:t>, s 5(2)(c).</w:t>
      </w:r>
    </w:p>
  </w:footnote>
  <w:footnote w:id="57">
    <w:p w14:paraId="44342DB7" w14:textId="6E7954F6"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Dangerous Prisoners (Sexual Offenders) Act</w:t>
      </w:r>
      <w:r w:rsidRPr="00207864">
        <w:rPr>
          <w:rFonts w:ascii="Times New Roman" w:hAnsi="Times New Roman"/>
          <w:sz w:val="24"/>
        </w:rPr>
        <w:t>, s 13(3).</w:t>
      </w:r>
    </w:p>
  </w:footnote>
  <w:footnote w:id="58">
    <w:p w14:paraId="5BF2479F" w14:textId="19805365"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Kable v Director of Public Prosecutions (NSW)</w:t>
      </w:r>
      <w:r w:rsidRPr="00207864">
        <w:rPr>
          <w:rFonts w:ascii="Times New Roman" w:hAnsi="Times New Roman"/>
          <w:sz w:val="24"/>
        </w:rPr>
        <w:t xml:space="preserve"> (1996) 189 CLR 51.</w:t>
      </w:r>
    </w:p>
  </w:footnote>
  <w:footnote w:id="59">
    <w:p w14:paraId="28A819A1" w14:textId="31C5024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 </w:t>
      </w:r>
      <w:r w:rsidRPr="00207864">
        <w:rPr>
          <w:rFonts w:ascii="Times New Roman" w:hAnsi="Times New Roman"/>
          <w:sz w:val="24"/>
        </w:rPr>
        <w:t>(2004)</w:t>
      </w:r>
      <w:r w:rsidRPr="00207864">
        <w:rPr>
          <w:rFonts w:ascii="Times New Roman" w:hAnsi="Times New Roman"/>
          <w:i/>
          <w:sz w:val="24"/>
        </w:rPr>
        <w:t xml:space="preserve"> </w:t>
      </w:r>
      <w:r w:rsidRPr="00207864">
        <w:rPr>
          <w:rFonts w:ascii="Times New Roman" w:hAnsi="Times New Roman"/>
          <w:sz w:val="24"/>
        </w:rPr>
        <w:t>223 CLR 575 at 592 [19] per Gleeson CJ, 594 [25], 598 [35] per McHugh J, 621 [117] per Gummow J</w:t>
      </w:r>
      <w:r w:rsidR="00640E38" w:rsidRPr="00207864">
        <w:rPr>
          <w:rFonts w:ascii="Times New Roman" w:hAnsi="Times New Roman"/>
          <w:sz w:val="24"/>
        </w:rPr>
        <w:t xml:space="preserve"> (Hayne J agreeing at 647 [196])</w:t>
      </w:r>
      <w:r w:rsidRPr="00207864">
        <w:rPr>
          <w:rFonts w:ascii="Times New Roman" w:hAnsi="Times New Roman"/>
          <w:sz w:val="24"/>
        </w:rPr>
        <w:t>, 658 [234] per Callinan and Heydon JJ.</w:t>
      </w:r>
    </w:p>
  </w:footnote>
  <w:footnote w:id="60">
    <w:p w14:paraId="150857AA" w14:textId="53B5DDB4"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580.</w:t>
      </w:r>
    </w:p>
  </w:footnote>
  <w:footnote w:id="61">
    <w:p w14:paraId="20185150" w14:textId="56D24652"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631 [145].</w:t>
      </w:r>
    </w:p>
  </w:footnote>
  <w:footnote w:id="62">
    <w:p w14:paraId="7191D999"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613 [84].</w:t>
      </w:r>
    </w:p>
  </w:footnote>
  <w:footnote w:id="63">
    <w:p w14:paraId="39D41C49"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612 [80].</w:t>
      </w:r>
    </w:p>
  </w:footnote>
  <w:footnote w:id="64">
    <w:p w14:paraId="5EC2FB29"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614 [85].</w:t>
      </w:r>
    </w:p>
  </w:footnote>
  <w:footnote w:id="65">
    <w:p w14:paraId="2F0F7147" w14:textId="672BEA89"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 xml:space="preserve">(1997) 190 CLR 1 at 109-110. See also </w:t>
      </w:r>
      <w:proofErr w:type="spellStart"/>
      <w:r w:rsidRPr="00207864">
        <w:rPr>
          <w:rFonts w:ascii="Times New Roman" w:hAnsi="Times New Roman"/>
          <w:i/>
          <w:sz w:val="24"/>
        </w:rPr>
        <w:t>Behrooz</w:t>
      </w:r>
      <w:proofErr w:type="spellEnd"/>
      <w:r w:rsidRPr="00207864">
        <w:rPr>
          <w:rFonts w:ascii="Times New Roman" w:hAnsi="Times New Roman"/>
          <w:i/>
          <w:sz w:val="24"/>
        </w:rPr>
        <w:t xml:space="preserve"> v Secretary, Department of Immigration and Multicultural and Indigenous Affairs</w:t>
      </w:r>
      <w:r w:rsidRPr="00207864">
        <w:rPr>
          <w:rFonts w:ascii="Times New Roman" w:hAnsi="Times New Roman"/>
          <w:sz w:val="24"/>
        </w:rPr>
        <w:t xml:space="preserve"> (2004) 219 CLR 486 at 498-499 [20] per Gleeson CJ; </w:t>
      </w:r>
      <w:r w:rsidRPr="00207864">
        <w:rPr>
          <w:rFonts w:ascii="Times New Roman" w:hAnsi="Times New Roman"/>
          <w:i/>
          <w:sz w:val="24"/>
        </w:rPr>
        <w:t>Al-</w:t>
      </w:r>
      <w:proofErr w:type="spellStart"/>
      <w:r w:rsidRPr="00207864">
        <w:rPr>
          <w:rFonts w:ascii="Times New Roman" w:hAnsi="Times New Roman"/>
          <w:i/>
          <w:sz w:val="24"/>
        </w:rPr>
        <w:t>Kateb</w:t>
      </w:r>
      <w:proofErr w:type="spellEnd"/>
      <w:r w:rsidRPr="00207864">
        <w:rPr>
          <w:rFonts w:ascii="Times New Roman" w:hAnsi="Times New Roman"/>
          <w:i/>
          <w:sz w:val="24"/>
        </w:rPr>
        <w:t xml:space="preserve"> v Godwin</w:t>
      </w:r>
      <w:r w:rsidRPr="00207864">
        <w:rPr>
          <w:rFonts w:ascii="Times New Roman" w:hAnsi="Times New Roman"/>
          <w:sz w:val="24"/>
        </w:rPr>
        <w:t xml:space="preserve"> (2004) 219 CLR 562 at 6</w:t>
      </w:r>
      <w:r w:rsidR="00DD7E2C" w:rsidRPr="00207864">
        <w:rPr>
          <w:rFonts w:ascii="Times New Roman" w:hAnsi="Times New Roman"/>
          <w:sz w:val="24"/>
        </w:rPr>
        <w:t>48-649</w:t>
      </w:r>
      <w:r w:rsidRPr="00207864">
        <w:rPr>
          <w:rFonts w:ascii="Times New Roman" w:hAnsi="Times New Roman"/>
          <w:sz w:val="24"/>
        </w:rPr>
        <w:t xml:space="preserve"> [257]</w:t>
      </w:r>
      <w:r w:rsidR="00786EC4" w:rsidRPr="00207864">
        <w:rPr>
          <w:rFonts w:ascii="Times New Roman" w:hAnsi="Times New Roman"/>
          <w:sz w:val="24"/>
        </w:rPr>
        <w:noBreakHyphen/>
      </w:r>
      <w:r w:rsidRPr="00207864">
        <w:rPr>
          <w:rFonts w:ascii="Times New Roman" w:hAnsi="Times New Roman"/>
          <w:sz w:val="24"/>
        </w:rPr>
        <w:t>[258] per Hayne J (Heydon J agreeing at 6</w:t>
      </w:r>
      <w:r w:rsidR="00DD7E2C" w:rsidRPr="00207864">
        <w:rPr>
          <w:rFonts w:ascii="Times New Roman" w:hAnsi="Times New Roman"/>
          <w:sz w:val="24"/>
        </w:rPr>
        <w:t>62-663</w:t>
      </w:r>
      <w:r w:rsidRPr="00207864">
        <w:rPr>
          <w:rFonts w:ascii="Times New Roman" w:hAnsi="Times New Roman"/>
          <w:sz w:val="24"/>
        </w:rPr>
        <w:t xml:space="preserve"> [303]).</w:t>
      </w:r>
    </w:p>
  </w:footnote>
  <w:footnote w:id="66">
    <w:p w14:paraId="173CD320" w14:textId="7B8424C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 xml:space="preserve">The submission references </w:t>
      </w:r>
      <w:r w:rsidRPr="00207864">
        <w:rPr>
          <w:rFonts w:ascii="Times New Roman" w:hAnsi="Times New Roman"/>
          <w:i/>
          <w:sz w:val="24"/>
        </w:rPr>
        <w:t>Al-</w:t>
      </w:r>
      <w:proofErr w:type="spellStart"/>
      <w:r w:rsidRPr="00207864">
        <w:rPr>
          <w:rFonts w:ascii="Times New Roman" w:hAnsi="Times New Roman"/>
          <w:i/>
          <w:sz w:val="24"/>
        </w:rPr>
        <w:t>Kateb</w:t>
      </w:r>
      <w:proofErr w:type="spellEnd"/>
      <w:r w:rsidRPr="00207864">
        <w:rPr>
          <w:rFonts w:ascii="Times New Roman" w:hAnsi="Times New Roman"/>
          <w:i/>
          <w:sz w:val="24"/>
        </w:rPr>
        <w:t xml:space="preserve"> v Godwin</w:t>
      </w:r>
      <w:r w:rsidRPr="00207864">
        <w:rPr>
          <w:rFonts w:ascii="Times New Roman" w:hAnsi="Times New Roman"/>
          <w:sz w:val="24"/>
        </w:rPr>
        <w:t xml:space="preserve"> (2004) 219 CLR 562 at 5</w:t>
      </w:r>
      <w:r w:rsidR="00C62586" w:rsidRPr="00207864">
        <w:rPr>
          <w:rFonts w:ascii="Times New Roman" w:hAnsi="Times New Roman"/>
          <w:sz w:val="24"/>
        </w:rPr>
        <w:t>84</w:t>
      </w:r>
      <w:r w:rsidRPr="00207864">
        <w:rPr>
          <w:rFonts w:ascii="Times New Roman" w:hAnsi="Times New Roman"/>
          <w:sz w:val="24"/>
        </w:rPr>
        <w:t xml:space="preserve"> [44]-[45], 5</w:t>
      </w:r>
      <w:r w:rsidR="00C62586" w:rsidRPr="00207864">
        <w:rPr>
          <w:rFonts w:ascii="Times New Roman" w:hAnsi="Times New Roman"/>
          <w:sz w:val="24"/>
        </w:rPr>
        <w:t>86</w:t>
      </w:r>
      <w:r w:rsidRPr="00207864">
        <w:rPr>
          <w:rFonts w:ascii="Times New Roman" w:hAnsi="Times New Roman"/>
          <w:sz w:val="24"/>
        </w:rPr>
        <w:t xml:space="preserve"> [49] per McHugh J, 6</w:t>
      </w:r>
      <w:r w:rsidR="00C62586" w:rsidRPr="00207864">
        <w:rPr>
          <w:rFonts w:ascii="Times New Roman" w:hAnsi="Times New Roman"/>
          <w:sz w:val="24"/>
        </w:rPr>
        <w:t>48</w:t>
      </w:r>
      <w:r w:rsidRPr="00207864">
        <w:rPr>
          <w:rFonts w:ascii="Times New Roman" w:hAnsi="Times New Roman"/>
          <w:sz w:val="24"/>
        </w:rPr>
        <w:t xml:space="preserve"> [255]-[256], 6</w:t>
      </w:r>
      <w:r w:rsidR="00C62586" w:rsidRPr="00207864">
        <w:rPr>
          <w:rFonts w:ascii="Times New Roman" w:hAnsi="Times New Roman"/>
          <w:sz w:val="24"/>
        </w:rPr>
        <w:t>49-650</w:t>
      </w:r>
      <w:r w:rsidRPr="00207864">
        <w:rPr>
          <w:rFonts w:ascii="Times New Roman" w:hAnsi="Times New Roman"/>
          <w:sz w:val="24"/>
        </w:rPr>
        <w:t xml:space="preserve"> [263] per Hayne J (Heydon J agreeing at </w:t>
      </w:r>
      <w:r w:rsidR="00C62586" w:rsidRPr="00207864">
        <w:rPr>
          <w:rFonts w:ascii="Times New Roman" w:hAnsi="Times New Roman"/>
          <w:sz w:val="24"/>
        </w:rPr>
        <w:t>662-663</w:t>
      </w:r>
      <w:r w:rsidRPr="00207864">
        <w:rPr>
          <w:rFonts w:ascii="Times New Roman" w:hAnsi="Times New Roman"/>
          <w:sz w:val="24"/>
        </w:rPr>
        <w:t xml:space="preserve"> [303]), 6</w:t>
      </w:r>
      <w:r w:rsidR="00C62586" w:rsidRPr="00207864">
        <w:rPr>
          <w:rFonts w:ascii="Times New Roman" w:hAnsi="Times New Roman"/>
          <w:sz w:val="24"/>
        </w:rPr>
        <w:t>57</w:t>
      </w:r>
      <w:r w:rsidRPr="00207864">
        <w:rPr>
          <w:rFonts w:ascii="Times New Roman" w:hAnsi="Times New Roman"/>
          <w:sz w:val="24"/>
        </w:rPr>
        <w:t xml:space="preserve"> [287] per </w:t>
      </w:r>
      <w:proofErr w:type="spellStart"/>
      <w:r w:rsidRPr="00207864">
        <w:rPr>
          <w:rFonts w:ascii="Times New Roman" w:hAnsi="Times New Roman"/>
          <w:sz w:val="24"/>
        </w:rPr>
        <w:t>Callinan</w:t>
      </w:r>
      <w:proofErr w:type="spellEnd"/>
      <w:r w:rsidRPr="00207864">
        <w:rPr>
          <w:rFonts w:ascii="Times New Roman" w:hAnsi="Times New Roman"/>
          <w:sz w:val="24"/>
        </w:rPr>
        <w:t xml:space="preserve"> J; </w:t>
      </w:r>
      <w:proofErr w:type="spellStart"/>
      <w:r w:rsidRPr="00207864">
        <w:rPr>
          <w:rFonts w:ascii="Times New Roman" w:hAnsi="Times New Roman"/>
          <w:i/>
          <w:sz w:val="24"/>
        </w:rPr>
        <w:t>Behrooz</w:t>
      </w:r>
      <w:proofErr w:type="spellEnd"/>
      <w:r w:rsidRPr="00207864">
        <w:rPr>
          <w:rFonts w:ascii="Times New Roman" w:hAnsi="Times New Roman"/>
          <w:i/>
          <w:sz w:val="24"/>
        </w:rPr>
        <w:t xml:space="preserve"> v Secretary, Department of Immigration and Multicultural and Indigenous Affairs</w:t>
      </w:r>
      <w:r w:rsidRPr="00207864">
        <w:rPr>
          <w:rFonts w:ascii="Times New Roman" w:hAnsi="Times New Roman"/>
          <w:sz w:val="24"/>
        </w:rPr>
        <w:t xml:space="preserve"> (2004) 219 CLR 486 at 499 [21] per Gleeson CJ, 559 [218] per Callinan J; </w:t>
      </w:r>
      <w:r w:rsidRPr="00207864">
        <w:rPr>
          <w:rFonts w:ascii="Times New Roman" w:hAnsi="Times New Roman"/>
          <w:i/>
          <w:sz w:val="24"/>
        </w:rPr>
        <w:t xml:space="preserve">Re Woolley; Ex </w:t>
      </w:r>
      <w:proofErr w:type="spellStart"/>
      <w:r w:rsidRPr="00207864">
        <w:rPr>
          <w:rFonts w:ascii="Times New Roman" w:hAnsi="Times New Roman"/>
          <w:i/>
          <w:sz w:val="24"/>
        </w:rPr>
        <w:t>parte</w:t>
      </w:r>
      <w:proofErr w:type="spellEnd"/>
      <w:r w:rsidRPr="00207864">
        <w:rPr>
          <w:rFonts w:ascii="Times New Roman" w:hAnsi="Times New Roman"/>
          <w:i/>
          <w:sz w:val="24"/>
        </w:rPr>
        <w:t xml:space="preserve"> Applicants M276/2003</w:t>
      </w:r>
      <w:r w:rsidRPr="00207864">
        <w:rPr>
          <w:rFonts w:ascii="Times New Roman" w:hAnsi="Times New Roman"/>
          <w:sz w:val="24"/>
        </w:rPr>
        <w:t xml:space="preserve"> (2004) 225 CLR 1 at 12 [17], 13 [19] per Gleeson CJ, 23-27 [53]-[62] per McHugh J, 75 [222], 77 [227] per Hayne J, 85 [261] per Callinan J; </w:t>
      </w:r>
      <w:r w:rsidRPr="00207864">
        <w:rPr>
          <w:rFonts w:ascii="Times New Roman" w:hAnsi="Times New Roman"/>
          <w:i/>
          <w:sz w:val="24"/>
        </w:rPr>
        <w:t>North Australian Aboriginal Justice Agency Ltd v Northern Territory</w:t>
      </w:r>
      <w:r w:rsidRPr="00207864">
        <w:rPr>
          <w:rFonts w:ascii="Times New Roman" w:hAnsi="Times New Roman"/>
          <w:sz w:val="24"/>
        </w:rPr>
        <w:t xml:space="preserve"> (2015) 256 CLR 569 at 592-593 [36]-[37] per French CJ, Kiefel and Bell JJ, 610-612 [94]-[103] per Gageler J; </w:t>
      </w:r>
      <w:r w:rsidRPr="00207864">
        <w:rPr>
          <w:rFonts w:ascii="Times New Roman" w:hAnsi="Times New Roman"/>
          <w:i/>
          <w:sz w:val="24"/>
        </w:rPr>
        <w:t>Plaintiff M68/2015 v Minister for Immigration and Border Protection</w:t>
      </w:r>
      <w:r w:rsidRPr="00207864">
        <w:rPr>
          <w:rFonts w:ascii="Times New Roman" w:hAnsi="Times New Roman"/>
          <w:sz w:val="24"/>
        </w:rPr>
        <w:t xml:space="preserve"> (2016) 257 CLR 42 at 69 [40] per French CJ, Kiefel and Nettle JJ, 86 [98], 87 [100] per Bell J, 111-112 [183]-[185] per Gageler J, 124-125 [238]-[241] per Keane J; </w:t>
      </w:r>
      <w:proofErr w:type="spellStart"/>
      <w:r w:rsidRPr="00207864">
        <w:rPr>
          <w:rFonts w:ascii="Times New Roman" w:hAnsi="Times New Roman"/>
          <w:i/>
          <w:sz w:val="24"/>
        </w:rPr>
        <w:t>Falzon</w:t>
      </w:r>
      <w:proofErr w:type="spellEnd"/>
      <w:r w:rsidRPr="00207864">
        <w:rPr>
          <w:rFonts w:ascii="Times New Roman" w:hAnsi="Times New Roman"/>
          <w:i/>
          <w:sz w:val="24"/>
        </w:rPr>
        <w:t xml:space="preserve"> v Minister for Immigration and Border Protection</w:t>
      </w:r>
      <w:r w:rsidRPr="00207864">
        <w:rPr>
          <w:rFonts w:ascii="Times New Roman" w:hAnsi="Times New Roman"/>
          <w:sz w:val="24"/>
        </w:rPr>
        <w:t xml:space="preserve"> (2018) 262 CLR 333 at 341 [17], 343 [27], 343-344 [29], 344 [33] per Kiefel CJ, Bell, Keane and Edelman JJ, 360 [96] per Nettle J.</w:t>
      </w:r>
    </w:p>
  </w:footnote>
  <w:footnote w:id="67">
    <w:p w14:paraId="3C2C7BC1" w14:textId="3F67731E"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Chu Kheng Lim v Minister for Immigration </w:t>
      </w:r>
      <w:r w:rsidRPr="00207864">
        <w:rPr>
          <w:rFonts w:ascii="Times New Roman" w:hAnsi="Times New Roman"/>
          <w:sz w:val="24"/>
        </w:rPr>
        <w:t>(1992) 176 CLR 1 at 28 per Brennan, Deane and Dawson JJ.</w:t>
      </w:r>
    </w:p>
  </w:footnote>
  <w:footnote w:id="68">
    <w:p w14:paraId="2F3E204B" w14:textId="431EABD4"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586 [2] per Gleeson CJ. See also </w:t>
      </w:r>
      <w:r w:rsidRPr="00207864">
        <w:rPr>
          <w:rFonts w:ascii="Times New Roman" w:hAnsi="Times New Roman"/>
          <w:i/>
          <w:sz w:val="24"/>
        </w:rPr>
        <w:t>Vella v Commissioner of Police (NSW)</w:t>
      </w:r>
      <w:r w:rsidRPr="00207864">
        <w:rPr>
          <w:rFonts w:ascii="Times New Roman" w:hAnsi="Times New Roman"/>
          <w:sz w:val="24"/>
        </w:rPr>
        <w:t xml:space="preserve"> (2019) 93 ALJR 1236 at 1260 [90] per Bell, Keane, Nettle and Edelman JJ</w:t>
      </w:r>
      <w:r w:rsidR="008F1077" w:rsidRPr="00207864">
        <w:rPr>
          <w:rFonts w:ascii="Times New Roman" w:hAnsi="Times New Roman"/>
          <w:sz w:val="24"/>
        </w:rPr>
        <w:t xml:space="preserve"> (</w:t>
      </w:r>
      <w:r w:rsidRPr="00207864">
        <w:rPr>
          <w:rFonts w:ascii="Times New Roman" w:hAnsi="Times New Roman"/>
          <w:sz w:val="24"/>
        </w:rPr>
        <w:t xml:space="preserve">quoting </w:t>
      </w:r>
      <w:r w:rsidRPr="00207864">
        <w:rPr>
          <w:rFonts w:ascii="Times New Roman" w:hAnsi="Times New Roman"/>
          <w:i/>
          <w:sz w:val="24"/>
        </w:rPr>
        <w:t>Thomas v Mowbray</w:t>
      </w:r>
      <w:r w:rsidRPr="00207864">
        <w:rPr>
          <w:rFonts w:ascii="Times New Roman" w:hAnsi="Times New Roman"/>
          <w:sz w:val="24"/>
        </w:rPr>
        <w:t xml:space="preserve"> (2007) 233 CLR 307 at 329 [17] per Gleeson CJ</w:t>
      </w:r>
      <w:r w:rsidR="008F1077" w:rsidRPr="00207864">
        <w:rPr>
          <w:rFonts w:ascii="Times New Roman" w:hAnsi="Times New Roman"/>
          <w:sz w:val="24"/>
        </w:rPr>
        <w:t>)</w:t>
      </w:r>
      <w:r w:rsidR="002A2775" w:rsidRPr="00207864">
        <w:rPr>
          <w:rFonts w:ascii="Times New Roman" w:hAnsi="Times New Roman"/>
          <w:sz w:val="24"/>
        </w:rPr>
        <w:t>,</w:t>
      </w:r>
      <w:r w:rsidRPr="00207864">
        <w:rPr>
          <w:rFonts w:ascii="Times New Roman" w:hAnsi="Times New Roman"/>
          <w:sz w:val="24"/>
        </w:rPr>
        <w:t xml:space="preserve"> 1272 [158] per Gageler J; 374 ALR 1 at 28</w:t>
      </w:r>
      <w:r w:rsidR="002A2775" w:rsidRPr="00207864">
        <w:rPr>
          <w:rFonts w:ascii="Times New Roman" w:hAnsi="Times New Roman"/>
          <w:sz w:val="24"/>
        </w:rPr>
        <w:t>,</w:t>
      </w:r>
      <w:r w:rsidRPr="00207864">
        <w:rPr>
          <w:rFonts w:ascii="Times New Roman" w:hAnsi="Times New Roman"/>
          <w:sz w:val="24"/>
        </w:rPr>
        <w:t xml:space="preserve"> 44.</w:t>
      </w:r>
    </w:p>
  </w:footnote>
  <w:footnote w:id="69">
    <w:p w14:paraId="25DFECBE" w14:textId="7E08E4BA"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 xml:space="preserve">See </w:t>
      </w:r>
      <w:r w:rsidRPr="00207864">
        <w:rPr>
          <w:rFonts w:ascii="Times New Roman" w:hAnsi="Times New Roman"/>
          <w:i/>
          <w:sz w:val="24"/>
        </w:rPr>
        <w:t>Habitual Criminals Act 1905</w:t>
      </w:r>
      <w:r w:rsidRPr="00207864">
        <w:rPr>
          <w:rFonts w:ascii="Times New Roman" w:hAnsi="Times New Roman"/>
          <w:sz w:val="24"/>
        </w:rPr>
        <w:t xml:space="preserve"> (NSW) and </w:t>
      </w:r>
      <w:r w:rsidRPr="00207864">
        <w:rPr>
          <w:rFonts w:ascii="Times New Roman" w:hAnsi="Times New Roman"/>
          <w:i/>
          <w:sz w:val="24"/>
        </w:rPr>
        <w:t>Prevention of Crime Act 1908</w:t>
      </w:r>
      <w:r w:rsidRPr="00207864">
        <w:rPr>
          <w:rFonts w:ascii="Times New Roman" w:hAnsi="Times New Roman"/>
          <w:sz w:val="24"/>
        </w:rPr>
        <w:t xml:space="preserve"> (UK), Pt II.</w:t>
      </w:r>
    </w:p>
  </w:footnote>
  <w:footnote w:id="70">
    <w:p w14:paraId="26383579" w14:textId="05DF8F99"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(2004) 223 CLR 575 at 613 [83].</w:t>
      </w:r>
    </w:p>
  </w:footnote>
  <w:footnote w:id="71">
    <w:p w14:paraId="7CAC0286" w14:textId="04B5C3E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Kruger v The Commonwealth </w:t>
      </w:r>
      <w:r w:rsidRPr="00207864">
        <w:rPr>
          <w:rFonts w:ascii="Times New Roman" w:hAnsi="Times New Roman"/>
          <w:sz w:val="24"/>
        </w:rPr>
        <w:t>(1997) 190 CLR 1 at 110 per Gaudron J.</w:t>
      </w:r>
    </w:p>
  </w:footnote>
  <w:footnote w:id="72">
    <w:p w14:paraId="2B964EBC" w14:textId="777777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613 [83].</w:t>
      </w:r>
    </w:p>
  </w:footnote>
  <w:footnote w:id="73">
    <w:p w14:paraId="74D56A96" w14:textId="1BA43E7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613 [83].</w:t>
      </w:r>
    </w:p>
  </w:footnote>
  <w:footnote w:id="74">
    <w:p w14:paraId="046994E7" w14:textId="4441D21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Fardon</w:t>
      </w:r>
      <w:proofErr w:type="spellEnd"/>
      <w:r w:rsidRPr="00207864">
        <w:rPr>
          <w:rFonts w:ascii="Times New Roman" w:hAnsi="Times New Roman"/>
          <w:i/>
          <w:sz w:val="24"/>
        </w:rPr>
        <w:t xml:space="preserve"> v Attorney-General (Qld)</w:t>
      </w:r>
      <w:r w:rsidRPr="00207864">
        <w:rPr>
          <w:rFonts w:ascii="Times New Roman" w:hAnsi="Times New Roman"/>
          <w:sz w:val="24"/>
        </w:rPr>
        <w:t xml:space="preserve"> (2004) 223 CLR 575 at 590 [1</w:t>
      </w:r>
      <w:r w:rsidR="00D0265A" w:rsidRPr="00207864">
        <w:rPr>
          <w:rFonts w:ascii="Times New Roman" w:hAnsi="Times New Roman"/>
          <w:sz w:val="24"/>
        </w:rPr>
        <w:t>3</w:t>
      </w:r>
      <w:r w:rsidRPr="00207864">
        <w:rPr>
          <w:rFonts w:ascii="Times New Roman" w:hAnsi="Times New Roman"/>
          <w:sz w:val="24"/>
        </w:rPr>
        <w:t>] per Gleeson CJ, citing Dershowitz, "The Origins of Preventive Confinement in Anglo-American Law</w:t>
      </w:r>
      <w:r w:rsidR="002A3D91" w:rsidRPr="00207864">
        <w:rPr>
          <w:rFonts w:ascii="Times New Roman" w:hAnsi="Times New Roman"/>
          <w:sz w:val="24"/>
        </w:rPr>
        <w:t xml:space="preserve"> – Part I: The English Experience</w:t>
      </w:r>
      <w:r w:rsidRPr="00207864">
        <w:rPr>
          <w:rFonts w:ascii="Times New Roman" w:hAnsi="Times New Roman"/>
          <w:sz w:val="24"/>
        </w:rPr>
        <w:t xml:space="preserve">" (1974) 43 </w:t>
      </w:r>
      <w:r w:rsidRPr="00207864">
        <w:rPr>
          <w:rFonts w:ascii="Times New Roman" w:hAnsi="Times New Roman"/>
          <w:i/>
          <w:sz w:val="24"/>
        </w:rPr>
        <w:t xml:space="preserve">University of Cincinnati Law Review </w:t>
      </w:r>
      <w:r w:rsidRPr="00207864">
        <w:rPr>
          <w:rFonts w:ascii="Times New Roman" w:hAnsi="Times New Roman"/>
          <w:sz w:val="24"/>
        </w:rPr>
        <w:t>1.</w:t>
      </w:r>
      <w:r w:rsidRPr="00207864" w:rsidDel="00B9711E">
        <w:rPr>
          <w:rFonts w:ascii="Times New Roman" w:hAnsi="Times New Roman"/>
          <w:sz w:val="24"/>
        </w:rPr>
        <w:t xml:space="preserve"> </w:t>
      </w:r>
      <w:r w:rsidRPr="00207864">
        <w:rPr>
          <w:rFonts w:ascii="Times New Roman" w:hAnsi="Times New Roman"/>
          <w:sz w:val="24"/>
        </w:rPr>
        <w:t xml:space="preserve">See also Professor Norval Morris' introduction to a number of the </w:t>
      </w:r>
      <w:r w:rsidRPr="00207864">
        <w:rPr>
          <w:rFonts w:ascii="Times New Roman" w:hAnsi="Times New Roman"/>
          <w:i/>
          <w:sz w:val="24"/>
        </w:rPr>
        <w:t xml:space="preserve">McGill Law Journal </w:t>
      </w:r>
      <w:r w:rsidRPr="00207864">
        <w:rPr>
          <w:rFonts w:ascii="Times New Roman" w:hAnsi="Times New Roman"/>
          <w:sz w:val="24"/>
        </w:rPr>
        <w:t xml:space="preserve">devoted to </w:t>
      </w:r>
      <w:r w:rsidR="006F6BF3" w:rsidRPr="00207864">
        <w:rPr>
          <w:rFonts w:ascii="Times New Roman" w:hAnsi="Times New Roman"/>
          <w:sz w:val="24"/>
        </w:rPr>
        <w:t xml:space="preserve">issues concerning </w:t>
      </w:r>
      <w:r w:rsidRPr="00207864">
        <w:rPr>
          <w:rFonts w:ascii="Times New Roman" w:hAnsi="Times New Roman"/>
          <w:sz w:val="24"/>
        </w:rPr>
        <w:t>habitual criminal</w:t>
      </w:r>
      <w:r w:rsidR="006F6BF3" w:rsidRPr="00207864">
        <w:rPr>
          <w:rFonts w:ascii="Times New Roman" w:hAnsi="Times New Roman"/>
          <w:sz w:val="24"/>
        </w:rPr>
        <w:t>s</w:t>
      </w:r>
      <w:r w:rsidRPr="00207864">
        <w:rPr>
          <w:rFonts w:ascii="Times New Roman" w:hAnsi="Times New Roman"/>
          <w:sz w:val="24"/>
        </w:rPr>
        <w:t xml:space="preserve"> and prevent</w:t>
      </w:r>
      <w:r w:rsidR="006F6BF3" w:rsidRPr="00207864">
        <w:rPr>
          <w:rFonts w:ascii="Times New Roman" w:hAnsi="Times New Roman"/>
          <w:sz w:val="24"/>
        </w:rPr>
        <w:t>at</w:t>
      </w:r>
      <w:r w:rsidRPr="00207864">
        <w:rPr>
          <w:rFonts w:ascii="Times New Roman" w:hAnsi="Times New Roman"/>
          <w:sz w:val="24"/>
        </w:rPr>
        <w:t xml:space="preserve">ive detention, (1967) 13(4) </w:t>
      </w:r>
      <w:r w:rsidRPr="00207864">
        <w:rPr>
          <w:rFonts w:ascii="Times New Roman" w:hAnsi="Times New Roman"/>
          <w:i/>
          <w:sz w:val="24"/>
        </w:rPr>
        <w:t xml:space="preserve">McGill Law Journal </w:t>
      </w:r>
      <w:r w:rsidRPr="00207864">
        <w:rPr>
          <w:rFonts w:ascii="Times New Roman" w:hAnsi="Times New Roman"/>
          <w:sz w:val="24"/>
        </w:rPr>
        <w:t xml:space="preserve">534 at 551 and </w:t>
      </w:r>
      <w:proofErr w:type="spellStart"/>
      <w:r w:rsidRPr="00207864">
        <w:rPr>
          <w:rFonts w:ascii="Times New Roman" w:hAnsi="Times New Roman"/>
          <w:sz w:val="24"/>
        </w:rPr>
        <w:t>Radzinowicz</w:t>
      </w:r>
      <w:proofErr w:type="spellEnd"/>
      <w:r w:rsidRPr="00207864">
        <w:rPr>
          <w:rFonts w:ascii="Times New Roman" w:hAnsi="Times New Roman"/>
          <w:sz w:val="24"/>
        </w:rPr>
        <w:t xml:space="preserve"> and Hood, "Incapacitating the Habitual Criminal: The English Experience" (1980) 78 </w:t>
      </w:r>
      <w:r w:rsidRPr="00207864">
        <w:rPr>
          <w:rFonts w:ascii="Times New Roman" w:hAnsi="Times New Roman"/>
          <w:i/>
          <w:sz w:val="24"/>
        </w:rPr>
        <w:t xml:space="preserve">Michigan Law Review </w:t>
      </w:r>
      <w:r w:rsidRPr="00207864">
        <w:rPr>
          <w:rFonts w:ascii="Times New Roman" w:hAnsi="Times New Roman"/>
          <w:sz w:val="24"/>
        </w:rPr>
        <w:t>1305.</w:t>
      </w:r>
    </w:p>
  </w:footnote>
  <w:footnote w:id="75">
    <w:p w14:paraId="4ADC8297" w14:textId="5EB44CD5"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(2001) 207 CLR 121.</w:t>
      </w:r>
    </w:p>
  </w:footnote>
  <w:footnote w:id="76">
    <w:p w14:paraId="55957AD7" w14:textId="2C256D8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Sentencing Act 1995</w:t>
      </w:r>
      <w:r w:rsidRPr="00207864">
        <w:rPr>
          <w:rFonts w:ascii="Times New Roman" w:hAnsi="Times New Roman"/>
          <w:sz w:val="24"/>
        </w:rPr>
        <w:t xml:space="preserve"> (WA), s 98.</w:t>
      </w:r>
    </w:p>
  </w:footnote>
  <w:footnote w:id="77">
    <w:p w14:paraId="3735E784" w14:textId="0F6E6C9B"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(2004) 223 CLR 575 at 586 [2].</w:t>
      </w:r>
    </w:p>
  </w:footnote>
  <w:footnote w:id="78">
    <w:p w14:paraId="63DD9861" w14:textId="1A491CE6" w:rsidR="005039D2" w:rsidRPr="00207864" w:rsidRDefault="005039D2" w:rsidP="00207864">
      <w:pPr>
        <w:pStyle w:val="FootnoteText"/>
        <w:spacing w:line="280" w:lineRule="exact"/>
        <w:ind w:right="0"/>
        <w:jc w:val="both"/>
        <w:rPr>
          <w:rFonts w:ascii="Times New Roman" w:hAnsi="Times New Roman"/>
          <w:i/>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i/>
          <w:sz w:val="24"/>
        </w:rPr>
        <w:tab/>
        <w:t xml:space="preserve">Thomas v Mowbray </w:t>
      </w:r>
      <w:r w:rsidRPr="00207864">
        <w:rPr>
          <w:rFonts w:ascii="Times New Roman" w:hAnsi="Times New Roman"/>
          <w:sz w:val="24"/>
        </w:rPr>
        <w:t xml:space="preserve">(2007) 233 CLR 307 at 490 [544] per Callinan J; </w:t>
      </w:r>
      <w:r w:rsidRPr="00207864">
        <w:rPr>
          <w:rFonts w:ascii="Times New Roman" w:hAnsi="Times New Roman"/>
          <w:i/>
          <w:sz w:val="24"/>
        </w:rPr>
        <w:t xml:space="preserve">Lodhi v The Queen </w:t>
      </w:r>
      <w:r w:rsidRPr="00207864">
        <w:rPr>
          <w:rFonts w:ascii="Times New Roman" w:hAnsi="Times New Roman"/>
          <w:sz w:val="24"/>
        </w:rPr>
        <w:t xml:space="preserve">(2007) 179 A Crim R 470 at 490 [86]-[87] per </w:t>
      </w:r>
      <w:proofErr w:type="spellStart"/>
      <w:r w:rsidRPr="00207864">
        <w:rPr>
          <w:rFonts w:ascii="Times New Roman" w:hAnsi="Times New Roman"/>
          <w:sz w:val="24"/>
        </w:rPr>
        <w:t>Spigelman</w:t>
      </w:r>
      <w:proofErr w:type="spellEnd"/>
      <w:r w:rsidRPr="00207864">
        <w:rPr>
          <w:rFonts w:ascii="Times New Roman" w:hAnsi="Times New Roman"/>
          <w:sz w:val="24"/>
        </w:rPr>
        <w:t xml:space="preserve"> CJ, quoting </w:t>
      </w:r>
      <w:proofErr w:type="spellStart"/>
      <w:r w:rsidRPr="00207864">
        <w:rPr>
          <w:rFonts w:ascii="Times New Roman" w:hAnsi="Times New Roman"/>
          <w:i/>
          <w:sz w:val="24"/>
        </w:rPr>
        <w:t>Sakr</w:t>
      </w:r>
      <w:proofErr w:type="spellEnd"/>
      <w:r w:rsidRPr="00207864">
        <w:rPr>
          <w:rFonts w:ascii="Times New Roman" w:hAnsi="Times New Roman"/>
          <w:i/>
          <w:sz w:val="24"/>
        </w:rPr>
        <w:t xml:space="preserve"> </w:t>
      </w:r>
      <w:r w:rsidRPr="00207864">
        <w:rPr>
          <w:rFonts w:ascii="Times New Roman" w:hAnsi="Times New Roman"/>
          <w:sz w:val="24"/>
        </w:rPr>
        <w:t>(1987) 31 A Crim R 444 at 451 per Crockett J.</w:t>
      </w:r>
    </w:p>
  </w:footnote>
  <w:footnote w:id="79">
    <w:p w14:paraId="60CF418E" w14:textId="27A531A7"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 xml:space="preserve">Bui v Director of Public Prosecutions </w:t>
      </w:r>
      <w:r w:rsidR="00BE42E4" w:rsidRPr="00207864">
        <w:rPr>
          <w:rFonts w:ascii="Times New Roman" w:hAnsi="Times New Roman"/>
          <w:i/>
          <w:sz w:val="24"/>
        </w:rPr>
        <w:t>(Cth</w:t>
      </w:r>
      <w:r w:rsidRPr="00207864">
        <w:rPr>
          <w:rFonts w:ascii="Times New Roman" w:hAnsi="Times New Roman"/>
          <w:i/>
          <w:sz w:val="24"/>
        </w:rPr>
        <w:t>)</w:t>
      </w:r>
      <w:r w:rsidRPr="00207864">
        <w:rPr>
          <w:rFonts w:ascii="Times New Roman" w:hAnsi="Times New Roman"/>
          <w:sz w:val="24"/>
        </w:rPr>
        <w:t xml:space="preserve"> (2012) 244 CLR 638 at 650-651 [18]; </w:t>
      </w:r>
      <w:r w:rsidRPr="00207864">
        <w:rPr>
          <w:rFonts w:ascii="Times New Roman" w:hAnsi="Times New Roman"/>
          <w:i/>
          <w:sz w:val="24"/>
        </w:rPr>
        <w:t>Director of Public Prosecutions (</w:t>
      </w:r>
      <w:proofErr w:type="spellStart"/>
      <w:r w:rsidRPr="00207864">
        <w:rPr>
          <w:rFonts w:ascii="Times New Roman" w:hAnsi="Times New Roman"/>
          <w:i/>
          <w:sz w:val="24"/>
        </w:rPr>
        <w:t>Cth</w:t>
      </w:r>
      <w:proofErr w:type="spellEnd"/>
      <w:r w:rsidRPr="00207864">
        <w:rPr>
          <w:rFonts w:ascii="Times New Roman" w:hAnsi="Times New Roman"/>
          <w:i/>
          <w:sz w:val="24"/>
        </w:rPr>
        <w:t>) v</w:t>
      </w:r>
      <w:r w:rsidRPr="00207864">
        <w:rPr>
          <w:rFonts w:ascii="Times New Roman" w:hAnsi="Times New Roman"/>
          <w:sz w:val="24"/>
        </w:rPr>
        <w:t xml:space="preserve"> </w:t>
      </w:r>
      <w:r w:rsidR="00005037" w:rsidRPr="00207864">
        <w:rPr>
          <w:rFonts w:ascii="Times New Roman" w:hAnsi="Times New Roman"/>
          <w:i/>
          <w:sz w:val="24"/>
        </w:rPr>
        <w:t>S</w:t>
      </w:r>
      <w:r w:rsidR="00E04A86" w:rsidRPr="00207864">
        <w:rPr>
          <w:rFonts w:ascii="Times New Roman" w:hAnsi="Times New Roman"/>
          <w:i/>
          <w:sz w:val="24"/>
        </w:rPr>
        <w:t>a</w:t>
      </w:r>
      <w:r w:rsidR="003D044B" w:rsidRPr="00207864">
        <w:rPr>
          <w:rFonts w:ascii="Times New Roman" w:hAnsi="Times New Roman"/>
          <w:i/>
          <w:sz w:val="24"/>
        </w:rPr>
        <w:t xml:space="preserve">id </w:t>
      </w:r>
      <w:proofErr w:type="spellStart"/>
      <w:r w:rsidR="003D044B" w:rsidRPr="00207864">
        <w:rPr>
          <w:rFonts w:ascii="Times New Roman" w:hAnsi="Times New Roman"/>
          <w:i/>
          <w:sz w:val="24"/>
        </w:rPr>
        <w:t>Khodor</w:t>
      </w:r>
      <w:proofErr w:type="spellEnd"/>
      <w:r w:rsidR="003D044B" w:rsidRPr="00207864">
        <w:rPr>
          <w:rFonts w:ascii="Times New Roman" w:hAnsi="Times New Roman"/>
          <w:i/>
          <w:sz w:val="24"/>
        </w:rPr>
        <w:t xml:space="preserve"> e</w:t>
      </w:r>
      <w:r w:rsidRPr="00207864">
        <w:rPr>
          <w:rFonts w:ascii="Times New Roman" w:hAnsi="Times New Roman"/>
          <w:i/>
          <w:sz w:val="24"/>
        </w:rPr>
        <w:t xml:space="preserve">l </w:t>
      </w:r>
      <w:proofErr w:type="spellStart"/>
      <w:r w:rsidRPr="00207864">
        <w:rPr>
          <w:rFonts w:ascii="Times New Roman" w:hAnsi="Times New Roman"/>
          <w:i/>
          <w:sz w:val="24"/>
        </w:rPr>
        <w:t>Karhani</w:t>
      </w:r>
      <w:proofErr w:type="spellEnd"/>
      <w:r w:rsidRPr="00207864">
        <w:rPr>
          <w:rFonts w:ascii="Times New Roman" w:hAnsi="Times New Roman"/>
          <w:sz w:val="24"/>
        </w:rPr>
        <w:t xml:space="preserve"> (1990) 21 NSWLR 370 at 377, quoting </w:t>
      </w:r>
      <w:r w:rsidRPr="00207864">
        <w:rPr>
          <w:rFonts w:ascii="Times New Roman" w:hAnsi="Times New Roman"/>
          <w:i/>
          <w:sz w:val="24"/>
        </w:rPr>
        <w:t xml:space="preserve">R v </w:t>
      </w:r>
      <w:proofErr w:type="spellStart"/>
      <w:r w:rsidRPr="00207864">
        <w:rPr>
          <w:rFonts w:ascii="Times New Roman" w:hAnsi="Times New Roman"/>
          <w:i/>
          <w:sz w:val="24"/>
        </w:rPr>
        <w:t>Radich</w:t>
      </w:r>
      <w:proofErr w:type="spellEnd"/>
      <w:r w:rsidRPr="00207864">
        <w:rPr>
          <w:rFonts w:ascii="Times New Roman" w:hAnsi="Times New Roman"/>
          <w:i/>
          <w:sz w:val="24"/>
        </w:rPr>
        <w:t xml:space="preserve"> </w:t>
      </w:r>
      <w:r w:rsidRPr="00207864">
        <w:rPr>
          <w:rFonts w:ascii="Times New Roman" w:hAnsi="Times New Roman"/>
          <w:sz w:val="24"/>
        </w:rPr>
        <w:t xml:space="preserve">[1954] NZLR 86 at 87. </w:t>
      </w:r>
    </w:p>
  </w:footnote>
  <w:footnote w:id="80">
    <w:p w14:paraId="3A1512F7" w14:textId="61A8B1F1"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Crimes Act 1914</w:t>
      </w:r>
      <w:r w:rsidRPr="00207864">
        <w:rPr>
          <w:rFonts w:ascii="Times New Roman" w:hAnsi="Times New Roman"/>
          <w:sz w:val="24"/>
        </w:rPr>
        <w:t xml:space="preserve"> (Cth), s 16A(1).</w:t>
      </w:r>
    </w:p>
  </w:footnote>
  <w:footnote w:id="81">
    <w:p w14:paraId="06E0C1FB" w14:textId="1075659B"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105A.23(1).</w:t>
      </w:r>
    </w:p>
  </w:footnote>
  <w:footnote w:id="82">
    <w:p w14:paraId="4A22B01C" w14:textId="768D1DF2"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105A.4(2).</w:t>
      </w:r>
    </w:p>
  </w:footnote>
  <w:footnote w:id="83">
    <w:p w14:paraId="76599C5A" w14:textId="0B9EA655"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ss 105A.6(4) and 105A.8(1)(b) and (c). </w:t>
      </w:r>
    </w:p>
  </w:footnote>
  <w:footnote w:id="84">
    <w:p w14:paraId="66D028D2" w14:textId="67B654FB"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105A.8(1)(d).</w:t>
      </w:r>
    </w:p>
  </w:footnote>
  <w:footnote w:id="85">
    <w:p w14:paraId="5ABAF181" w14:textId="1FD19AA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105A.8(1)(e).</w:t>
      </w:r>
    </w:p>
  </w:footnote>
  <w:footnote w:id="86">
    <w:p w14:paraId="587ABE9C" w14:textId="0A794236"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105A.10.</w:t>
      </w:r>
    </w:p>
  </w:footnote>
  <w:footnote w:id="87">
    <w:p w14:paraId="77EF4AB3" w14:textId="266C261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105A.12(4) and (5).</w:t>
      </w:r>
    </w:p>
  </w:footnote>
  <w:footnote w:id="88">
    <w:p w14:paraId="4477928A" w14:textId="076EAE69"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Pr="00207864">
        <w:rPr>
          <w:rFonts w:ascii="Times New Roman" w:hAnsi="Times New Roman"/>
          <w:i/>
          <w:sz w:val="24"/>
        </w:rPr>
        <w:t>Falzon</w:t>
      </w:r>
      <w:proofErr w:type="spellEnd"/>
      <w:r w:rsidRPr="00207864">
        <w:rPr>
          <w:rFonts w:ascii="Times New Roman" w:hAnsi="Times New Roman"/>
          <w:i/>
          <w:sz w:val="24"/>
        </w:rPr>
        <w:t xml:space="preserve"> v Minister for Immigration and Border Protection</w:t>
      </w:r>
      <w:r w:rsidRPr="00207864">
        <w:rPr>
          <w:rFonts w:ascii="Times New Roman" w:hAnsi="Times New Roman"/>
          <w:sz w:val="24"/>
        </w:rPr>
        <w:t xml:space="preserve"> (2018) 262 CLR 333 at 342 [24] per Kiefel CJ, Bell, Keane and Edelman JJ; </w:t>
      </w:r>
      <w:r w:rsidRPr="00207864">
        <w:rPr>
          <w:rFonts w:ascii="Times New Roman" w:hAnsi="Times New Roman"/>
          <w:i/>
          <w:sz w:val="24"/>
        </w:rPr>
        <w:t>North Australian Aboriginal Justice Agency L</w:t>
      </w:r>
      <w:r w:rsidR="001558FE" w:rsidRPr="00207864">
        <w:rPr>
          <w:rFonts w:ascii="Times New Roman" w:hAnsi="Times New Roman"/>
          <w:i/>
          <w:sz w:val="24"/>
        </w:rPr>
        <w:t>td</w:t>
      </w:r>
      <w:r w:rsidRPr="00207864">
        <w:rPr>
          <w:rFonts w:ascii="Times New Roman" w:hAnsi="Times New Roman"/>
          <w:i/>
          <w:sz w:val="24"/>
        </w:rPr>
        <w:t xml:space="preserve"> v Northern Territory</w:t>
      </w:r>
      <w:r w:rsidRPr="00207864">
        <w:rPr>
          <w:rFonts w:ascii="Times New Roman" w:hAnsi="Times New Roman"/>
          <w:sz w:val="24"/>
        </w:rPr>
        <w:t xml:space="preserve"> (2015) 256 CLR 569 at 611-612 [98] per Gageler J. </w:t>
      </w:r>
    </w:p>
  </w:footnote>
  <w:footnote w:id="89">
    <w:p w14:paraId="765A4675" w14:textId="549938D9" w:rsidR="006828EE" w:rsidRPr="00207864" w:rsidRDefault="006828EE"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007F3328" w:rsidRPr="00207864">
        <w:rPr>
          <w:rFonts w:ascii="Times New Roman" w:hAnsi="Times New Roman"/>
          <w:sz w:val="24"/>
        </w:rPr>
        <w:t>(2004) 223 CLR 575 at 592 [20] per Gleeson CJ, 597 [34] per McHugh J</w:t>
      </w:r>
      <w:r w:rsidR="00D10898" w:rsidRPr="00207864">
        <w:rPr>
          <w:rFonts w:ascii="Times New Roman" w:hAnsi="Times New Roman"/>
          <w:sz w:val="24"/>
        </w:rPr>
        <w:t xml:space="preserve">, 654 [217] per Callinan and Heydon JJ. See also </w:t>
      </w:r>
      <w:r w:rsidR="00D10898" w:rsidRPr="00207864">
        <w:rPr>
          <w:rFonts w:ascii="Times New Roman" w:hAnsi="Times New Roman"/>
          <w:i/>
          <w:sz w:val="24"/>
        </w:rPr>
        <w:t>Vella v Commissioner of Police (NSW)</w:t>
      </w:r>
      <w:r w:rsidR="00D10898" w:rsidRPr="00207864">
        <w:rPr>
          <w:rFonts w:ascii="Times New Roman" w:hAnsi="Times New Roman"/>
          <w:sz w:val="24"/>
        </w:rPr>
        <w:t xml:space="preserve"> (2019) 93 ALJR 1236 at 1257-1258 [83] per Bell, Keane, Nettle and Edelman JJ; 374 ALR 1 at 25-26.</w:t>
      </w:r>
    </w:p>
  </w:footnote>
  <w:footnote w:id="90">
    <w:p w14:paraId="2A574452" w14:textId="040E2BFA" w:rsidR="00DA5B32" w:rsidRPr="00207864" w:rsidRDefault="00DA5B3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proofErr w:type="spellStart"/>
      <w:r w:rsidR="00DB09ED" w:rsidRPr="00207864">
        <w:rPr>
          <w:rFonts w:ascii="Times New Roman" w:hAnsi="Times New Roman"/>
          <w:i/>
          <w:sz w:val="24"/>
        </w:rPr>
        <w:t>Fardon</w:t>
      </w:r>
      <w:proofErr w:type="spellEnd"/>
      <w:r w:rsidR="00DB09ED" w:rsidRPr="00207864">
        <w:rPr>
          <w:rFonts w:ascii="Times New Roman" w:hAnsi="Times New Roman"/>
          <w:i/>
          <w:sz w:val="24"/>
        </w:rPr>
        <w:t xml:space="preserve"> v Attorney-General (Qld) </w:t>
      </w:r>
      <w:r w:rsidR="00DB09ED" w:rsidRPr="00207864">
        <w:rPr>
          <w:rFonts w:ascii="Times New Roman" w:hAnsi="Times New Roman"/>
          <w:sz w:val="24"/>
        </w:rPr>
        <w:t>(2004) 223 CLR 575 at 610 [74]</w:t>
      </w:r>
      <w:r w:rsidR="00303938" w:rsidRPr="00207864">
        <w:rPr>
          <w:rFonts w:ascii="Times New Roman" w:hAnsi="Times New Roman"/>
          <w:sz w:val="24"/>
        </w:rPr>
        <w:t xml:space="preserve"> (Hayne J agreeing at 647 [196]).</w:t>
      </w:r>
    </w:p>
  </w:footnote>
  <w:footnote w:id="91">
    <w:p w14:paraId="58B059B5" w14:textId="5F3E01A5" w:rsidR="0035459F" w:rsidRPr="00207864" w:rsidRDefault="0035459F"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(2004) 223 CLR</w:t>
      </w:r>
      <w:r w:rsidR="007C3C08" w:rsidRPr="00207864">
        <w:rPr>
          <w:rFonts w:ascii="Times New Roman" w:hAnsi="Times New Roman"/>
          <w:sz w:val="24"/>
        </w:rPr>
        <w:t xml:space="preserve"> 575 at 588 [9]</w:t>
      </w:r>
      <w:r w:rsidR="00DD5D35" w:rsidRPr="00207864">
        <w:rPr>
          <w:rFonts w:ascii="Times New Roman" w:hAnsi="Times New Roman"/>
          <w:sz w:val="24"/>
        </w:rPr>
        <w:t>.</w:t>
      </w:r>
    </w:p>
  </w:footnote>
  <w:footnote w:id="92">
    <w:p w14:paraId="09F7AD7A" w14:textId="6F25CC74" w:rsidR="00774022" w:rsidRPr="00207864" w:rsidRDefault="0077402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00C10A4C" w:rsidRPr="00207864">
        <w:rPr>
          <w:rFonts w:ascii="Times New Roman" w:hAnsi="Times New Roman"/>
          <w:sz w:val="24"/>
        </w:rPr>
        <w:t>(1988) 164 CLR 465 at 495.</w:t>
      </w:r>
    </w:p>
  </w:footnote>
  <w:footnote w:id="93">
    <w:p w14:paraId="54AB0818" w14:textId="1FBF4E6F"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McGarry v The Queen</w:t>
      </w:r>
      <w:r w:rsidRPr="00207864">
        <w:rPr>
          <w:rFonts w:ascii="Times New Roman" w:hAnsi="Times New Roman"/>
          <w:sz w:val="24"/>
        </w:rPr>
        <w:t xml:space="preserve"> (2001) 207 CLR 121 at 129-130 [20]-[23] per Gleeson CJ, Gaudron, McHugh, Gummow and Hayne JJ. </w:t>
      </w:r>
    </w:p>
  </w:footnote>
  <w:footnote w:id="94">
    <w:p w14:paraId="692EAA32" w14:textId="5CF102D7" w:rsidR="002D7081" w:rsidRPr="00207864" w:rsidRDefault="002D7081"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 xml:space="preserve">See Australia, House of Representatives, </w:t>
      </w:r>
      <w:r w:rsidRPr="00207864">
        <w:rPr>
          <w:rFonts w:ascii="Times New Roman" w:hAnsi="Times New Roman"/>
          <w:i/>
          <w:sz w:val="24"/>
        </w:rPr>
        <w:t>Security Legislation Amendment (Terrorism) Bill 2002</w:t>
      </w:r>
      <w:r w:rsidRPr="00207864">
        <w:rPr>
          <w:rFonts w:ascii="Times New Roman" w:hAnsi="Times New Roman"/>
          <w:sz w:val="24"/>
        </w:rPr>
        <w:t xml:space="preserve">, Explanatory Memorandum at 9-10, noting </w:t>
      </w:r>
      <w:r w:rsidR="00891C10" w:rsidRPr="00207864">
        <w:rPr>
          <w:rFonts w:ascii="Times New Roman" w:hAnsi="Times New Roman"/>
          <w:sz w:val="24"/>
        </w:rPr>
        <w:t>Security Council of the United Nations, Resolution 1373 (2001), para 2(e).</w:t>
      </w:r>
    </w:p>
  </w:footnote>
  <w:footnote w:id="95">
    <w:p w14:paraId="3B3EBC25" w14:textId="6D3BF22A"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100.1</w:t>
      </w:r>
      <w:r w:rsidR="005F028C" w:rsidRPr="00207864">
        <w:rPr>
          <w:rFonts w:ascii="Times New Roman" w:hAnsi="Times New Roman"/>
          <w:sz w:val="24"/>
        </w:rPr>
        <w:t>(1)</w:t>
      </w:r>
      <w:r w:rsidRPr="00207864">
        <w:rPr>
          <w:rFonts w:ascii="Times New Roman" w:hAnsi="Times New Roman"/>
          <w:sz w:val="24"/>
        </w:rPr>
        <w:t>, definition of "terrorist act".</w:t>
      </w:r>
    </w:p>
  </w:footnote>
  <w:footnote w:id="96">
    <w:p w14:paraId="70C4A97C" w14:textId="0930B0AD"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101.1(1). </w:t>
      </w:r>
    </w:p>
  </w:footnote>
  <w:footnote w:id="97">
    <w:p w14:paraId="43A6F647" w14:textId="547B6B5A"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101.2(1)</w:t>
      </w:r>
      <w:r w:rsidR="00D05FE5" w:rsidRPr="00207864">
        <w:rPr>
          <w:rFonts w:ascii="Times New Roman" w:hAnsi="Times New Roman"/>
          <w:sz w:val="24"/>
        </w:rPr>
        <w:t xml:space="preserve"> and (2</w:t>
      </w:r>
      <w:r w:rsidRPr="00207864">
        <w:rPr>
          <w:rFonts w:ascii="Times New Roman" w:hAnsi="Times New Roman"/>
          <w:sz w:val="24"/>
        </w:rPr>
        <w:t xml:space="preserve">). </w:t>
      </w:r>
    </w:p>
  </w:footnote>
  <w:footnote w:id="98">
    <w:p w14:paraId="7742E1EC" w14:textId="48F0E90B"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101.4(1)</w:t>
      </w:r>
      <w:r w:rsidR="00B80538" w:rsidRPr="00207864">
        <w:rPr>
          <w:rFonts w:ascii="Times New Roman" w:hAnsi="Times New Roman"/>
          <w:sz w:val="24"/>
        </w:rPr>
        <w:t xml:space="preserve"> and (2</w:t>
      </w:r>
      <w:r w:rsidRPr="00207864">
        <w:rPr>
          <w:rFonts w:ascii="Times New Roman" w:hAnsi="Times New Roman"/>
          <w:sz w:val="24"/>
        </w:rPr>
        <w:t xml:space="preserve">). </w:t>
      </w:r>
    </w:p>
  </w:footnote>
  <w:footnote w:id="99">
    <w:p w14:paraId="5BE21CA9" w14:textId="795393FE"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101.5(1) and (2). </w:t>
      </w:r>
    </w:p>
  </w:footnote>
  <w:footnote w:id="100">
    <w:p w14:paraId="0C72580A" w14:textId="075B4176"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101.6(1). </w:t>
      </w:r>
    </w:p>
  </w:footnote>
  <w:footnote w:id="101">
    <w:p w14:paraId="40A56BA6" w14:textId="3C25A459"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103.1(1).</w:t>
      </w:r>
      <w:r w:rsidR="003B2770" w:rsidRPr="00207864">
        <w:rPr>
          <w:rFonts w:ascii="Times New Roman" w:hAnsi="Times New Roman"/>
          <w:sz w:val="24"/>
        </w:rPr>
        <w:t xml:space="preserve"> Note that this </w:t>
      </w:r>
      <w:r w:rsidR="005355BD" w:rsidRPr="00207864">
        <w:rPr>
          <w:rFonts w:ascii="Times New Roman" w:hAnsi="Times New Roman"/>
          <w:sz w:val="24"/>
        </w:rPr>
        <w:t>offence was en</w:t>
      </w:r>
      <w:r w:rsidR="00881067" w:rsidRPr="00207864">
        <w:rPr>
          <w:rFonts w:ascii="Times New Roman" w:hAnsi="Times New Roman"/>
          <w:sz w:val="24"/>
        </w:rPr>
        <w:t xml:space="preserve">acted </w:t>
      </w:r>
      <w:r w:rsidR="00A37970" w:rsidRPr="00207864">
        <w:rPr>
          <w:rFonts w:ascii="Times New Roman" w:hAnsi="Times New Roman"/>
          <w:sz w:val="24"/>
        </w:rPr>
        <w:t xml:space="preserve">to implement Australia's international obligations </w:t>
      </w:r>
      <w:r w:rsidR="000404C2" w:rsidRPr="00207864">
        <w:rPr>
          <w:rFonts w:ascii="Times New Roman" w:hAnsi="Times New Roman"/>
          <w:sz w:val="24"/>
        </w:rPr>
        <w:t xml:space="preserve">to criminalise </w:t>
      </w:r>
      <w:r w:rsidR="009B5B98" w:rsidRPr="00207864">
        <w:rPr>
          <w:rFonts w:ascii="Times New Roman" w:hAnsi="Times New Roman"/>
          <w:sz w:val="24"/>
        </w:rPr>
        <w:t xml:space="preserve">the collection and provision of </w:t>
      </w:r>
      <w:r w:rsidR="00CC621B" w:rsidRPr="00207864">
        <w:rPr>
          <w:rFonts w:ascii="Times New Roman" w:hAnsi="Times New Roman"/>
          <w:sz w:val="24"/>
        </w:rPr>
        <w:t>funds for terrorist acts</w:t>
      </w:r>
      <w:r w:rsidR="009E5A4D" w:rsidRPr="00207864">
        <w:rPr>
          <w:rFonts w:ascii="Times New Roman" w:hAnsi="Times New Roman"/>
          <w:sz w:val="24"/>
        </w:rPr>
        <w:t>:</w:t>
      </w:r>
      <w:r w:rsidR="00A52A59" w:rsidRPr="00207864">
        <w:rPr>
          <w:rFonts w:ascii="Times New Roman" w:hAnsi="Times New Roman"/>
          <w:sz w:val="24"/>
        </w:rPr>
        <w:t xml:space="preserve"> see </w:t>
      </w:r>
      <w:r w:rsidR="00AF38EF" w:rsidRPr="00207864">
        <w:rPr>
          <w:rFonts w:ascii="Times New Roman" w:hAnsi="Times New Roman"/>
          <w:sz w:val="24"/>
        </w:rPr>
        <w:t xml:space="preserve">Australia, </w:t>
      </w:r>
      <w:r w:rsidR="00214EAD" w:rsidRPr="00207864">
        <w:rPr>
          <w:rFonts w:ascii="Times New Roman" w:hAnsi="Times New Roman"/>
          <w:sz w:val="24"/>
        </w:rPr>
        <w:t>House of Representatives</w:t>
      </w:r>
      <w:r w:rsidR="00A242ED" w:rsidRPr="00207864">
        <w:rPr>
          <w:rFonts w:ascii="Times New Roman" w:hAnsi="Times New Roman"/>
          <w:sz w:val="24"/>
        </w:rPr>
        <w:t xml:space="preserve">, </w:t>
      </w:r>
      <w:r w:rsidR="00A05E55" w:rsidRPr="00207864">
        <w:rPr>
          <w:rFonts w:ascii="Times New Roman" w:hAnsi="Times New Roman"/>
          <w:i/>
          <w:sz w:val="24"/>
        </w:rPr>
        <w:t xml:space="preserve">Suppression </w:t>
      </w:r>
      <w:r w:rsidR="0039527F" w:rsidRPr="00207864">
        <w:rPr>
          <w:rFonts w:ascii="Times New Roman" w:hAnsi="Times New Roman"/>
          <w:i/>
          <w:sz w:val="24"/>
        </w:rPr>
        <w:t>of the Financing of Terrorism Bill 2002</w:t>
      </w:r>
      <w:r w:rsidR="006809D8" w:rsidRPr="00207864">
        <w:rPr>
          <w:rFonts w:ascii="Times New Roman" w:hAnsi="Times New Roman"/>
          <w:sz w:val="24"/>
        </w:rPr>
        <w:t>, Explanatory Memorandum</w:t>
      </w:r>
      <w:r w:rsidR="00FB07FC" w:rsidRPr="00207864">
        <w:rPr>
          <w:rFonts w:ascii="Times New Roman" w:hAnsi="Times New Roman"/>
          <w:sz w:val="24"/>
        </w:rPr>
        <w:t xml:space="preserve"> at </w:t>
      </w:r>
      <w:r w:rsidR="00A41192" w:rsidRPr="00207864">
        <w:rPr>
          <w:rFonts w:ascii="Times New Roman" w:hAnsi="Times New Roman"/>
          <w:sz w:val="24"/>
        </w:rPr>
        <w:t>5</w:t>
      </w:r>
      <w:r w:rsidR="001346E4" w:rsidRPr="00207864">
        <w:rPr>
          <w:rFonts w:ascii="Times New Roman" w:hAnsi="Times New Roman"/>
          <w:sz w:val="24"/>
        </w:rPr>
        <w:t xml:space="preserve">, referring to </w:t>
      </w:r>
      <w:r w:rsidR="008D4658" w:rsidRPr="00207864">
        <w:rPr>
          <w:rFonts w:ascii="Times New Roman" w:hAnsi="Times New Roman"/>
          <w:sz w:val="24"/>
        </w:rPr>
        <w:t xml:space="preserve">the International </w:t>
      </w:r>
      <w:r w:rsidR="00677EB9" w:rsidRPr="00207864">
        <w:rPr>
          <w:rFonts w:ascii="Times New Roman" w:hAnsi="Times New Roman"/>
          <w:sz w:val="24"/>
        </w:rPr>
        <w:t xml:space="preserve">Convention </w:t>
      </w:r>
      <w:r w:rsidR="00ED248A" w:rsidRPr="00207864">
        <w:rPr>
          <w:rFonts w:ascii="Times New Roman" w:hAnsi="Times New Roman"/>
          <w:sz w:val="24"/>
        </w:rPr>
        <w:t>for the Suppression of the Financing of Terrorism</w:t>
      </w:r>
      <w:r w:rsidR="001E47B2" w:rsidRPr="00207864">
        <w:rPr>
          <w:rFonts w:ascii="Times New Roman" w:hAnsi="Times New Roman"/>
          <w:sz w:val="24"/>
        </w:rPr>
        <w:t xml:space="preserve"> (2000)</w:t>
      </w:r>
      <w:r w:rsidR="00E259E5" w:rsidRPr="00207864">
        <w:rPr>
          <w:rFonts w:ascii="Times New Roman" w:hAnsi="Times New Roman"/>
          <w:sz w:val="24"/>
        </w:rPr>
        <w:t xml:space="preserve"> and Security Council of the United Nations, Resolution 1373</w:t>
      </w:r>
      <w:r w:rsidR="00FC573E" w:rsidRPr="00207864">
        <w:rPr>
          <w:rFonts w:ascii="Times New Roman" w:hAnsi="Times New Roman"/>
          <w:sz w:val="24"/>
        </w:rPr>
        <w:t xml:space="preserve"> (2001)</w:t>
      </w:r>
      <w:r w:rsidR="00A46D70" w:rsidRPr="00207864">
        <w:rPr>
          <w:rFonts w:ascii="Times New Roman" w:hAnsi="Times New Roman"/>
          <w:sz w:val="24"/>
        </w:rPr>
        <w:t xml:space="preserve">, </w:t>
      </w:r>
      <w:r w:rsidR="00F26E5C" w:rsidRPr="00207864">
        <w:rPr>
          <w:rFonts w:ascii="Times New Roman" w:hAnsi="Times New Roman"/>
          <w:sz w:val="24"/>
        </w:rPr>
        <w:t xml:space="preserve">para 1(b). See also </w:t>
      </w:r>
      <w:r w:rsidR="008C77C8" w:rsidRPr="00207864">
        <w:rPr>
          <w:rFonts w:ascii="Times New Roman" w:hAnsi="Times New Roman"/>
          <w:sz w:val="24"/>
        </w:rPr>
        <w:t xml:space="preserve">Australia, House of Representatives, </w:t>
      </w:r>
      <w:r w:rsidR="008C77C8" w:rsidRPr="00207864">
        <w:rPr>
          <w:rFonts w:ascii="Times New Roman" w:hAnsi="Times New Roman"/>
          <w:i/>
          <w:sz w:val="24"/>
        </w:rPr>
        <w:t>Security Legislation Amendment (Terrorism) Bill 2002</w:t>
      </w:r>
      <w:r w:rsidR="008C77C8" w:rsidRPr="00207864">
        <w:rPr>
          <w:rFonts w:ascii="Times New Roman" w:hAnsi="Times New Roman"/>
          <w:sz w:val="24"/>
        </w:rPr>
        <w:t>, Explanatory Memorandum at</w:t>
      </w:r>
      <w:r w:rsidR="001B35B8" w:rsidRPr="00207864">
        <w:rPr>
          <w:rFonts w:ascii="Times New Roman" w:hAnsi="Times New Roman"/>
          <w:sz w:val="24"/>
        </w:rPr>
        <w:t xml:space="preserve"> 9-10.</w:t>
      </w:r>
    </w:p>
  </w:footnote>
  <w:footnote w:id="102">
    <w:p w14:paraId="20AB326E" w14:textId="2FD10D39"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103.2(1). </w:t>
      </w:r>
    </w:p>
  </w:footnote>
  <w:footnote w:id="103">
    <w:p w14:paraId="19A8268A" w14:textId="613A8BDB"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102.1(1), definition of "terrorist organisation".</w:t>
      </w:r>
    </w:p>
  </w:footnote>
  <w:footnote w:id="104">
    <w:p w14:paraId="62DB4ABB" w14:textId="4CA8992F"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102.2. </w:t>
      </w:r>
    </w:p>
  </w:footnote>
  <w:footnote w:id="105">
    <w:p w14:paraId="11CED688" w14:textId="3421CEB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102.3(1). </w:t>
      </w:r>
    </w:p>
  </w:footnote>
  <w:footnote w:id="106">
    <w:p w14:paraId="4708D6C7" w14:textId="3237F5EE"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102.4. </w:t>
      </w:r>
    </w:p>
  </w:footnote>
  <w:footnote w:id="107">
    <w:p w14:paraId="3924730D" w14:textId="2E28F6C1"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xml:space="preserve">, s 102.5(1) and (2). </w:t>
      </w:r>
    </w:p>
  </w:footnote>
  <w:footnote w:id="108">
    <w:p w14:paraId="465E7CA2" w14:textId="6B62C0D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102.6(1) and (2).</w:t>
      </w:r>
    </w:p>
  </w:footnote>
  <w:footnote w:id="109">
    <w:p w14:paraId="31E0348F" w14:textId="5F341050"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102.7.</w:t>
      </w:r>
    </w:p>
  </w:footnote>
  <w:footnote w:id="110">
    <w:p w14:paraId="54C0C6EA" w14:textId="77777777" w:rsidR="002443A8" w:rsidRPr="00207864" w:rsidRDefault="002443A8"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Lodhi v The Queen</w:t>
      </w:r>
      <w:r w:rsidRPr="00207864">
        <w:rPr>
          <w:rFonts w:ascii="Times New Roman" w:hAnsi="Times New Roman"/>
          <w:sz w:val="24"/>
        </w:rPr>
        <w:t xml:space="preserve"> (2006) 199 FLR 303 at 318 [66].</w:t>
      </w:r>
    </w:p>
  </w:footnote>
  <w:footnote w:id="111">
    <w:p w14:paraId="679F7CC3" w14:textId="0B1EB8A3" w:rsidR="00CA43F3" w:rsidRPr="00207864" w:rsidRDefault="00CA43F3"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w:t>
      </w:r>
      <w:r w:rsidR="003233C9" w:rsidRPr="00207864">
        <w:rPr>
          <w:rFonts w:ascii="Times New Roman" w:hAnsi="Times New Roman"/>
          <w:sz w:val="24"/>
        </w:rPr>
        <w:t>s</w:t>
      </w:r>
      <w:r w:rsidRPr="00207864">
        <w:rPr>
          <w:rFonts w:ascii="Times New Roman" w:hAnsi="Times New Roman"/>
          <w:sz w:val="24"/>
        </w:rPr>
        <w:t xml:space="preserve"> 104.4</w:t>
      </w:r>
      <w:r w:rsidR="00782B7C" w:rsidRPr="00207864">
        <w:rPr>
          <w:rFonts w:ascii="Times New Roman" w:hAnsi="Times New Roman"/>
          <w:sz w:val="24"/>
        </w:rPr>
        <w:t xml:space="preserve"> and </w:t>
      </w:r>
      <w:r w:rsidR="003233C9" w:rsidRPr="00207864">
        <w:rPr>
          <w:rFonts w:ascii="Times New Roman" w:hAnsi="Times New Roman"/>
          <w:sz w:val="24"/>
        </w:rPr>
        <w:t>104.5(3)</w:t>
      </w:r>
      <w:r w:rsidR="0037322A" w:rsidRPr="00207864">
        <w:rPr>
          <w:rFonts w:ascii="Times New Roman" w:hAnsi="Times New Roman"/>
          <w:sz w:val="24"/>
        </w:rPr>
        <w:t>.</w:t>
      </w:r>
    </w:p>
  </w:footnote>
  <w:footnote w:id="112">
    <w:p w14:paraId="78DFBA8F" w14:textId="77777777" w:rsidR="008F4151" w:rsidRPr="00207864" w:rsidRDefault="008F4151"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105A.7(1)(c).</w:t>
      </w:r>
    </w:p>
  </w:footnote>
  <w:footnote w:id="113">
    <w:p w14:paraId="3A144163" w14:textId="6152AA02"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t>(2013) 252 CLR 118.</w:t>
      </w:r>
    </w:p>
  </w:footnote>
  <w:footnote w:id="114">
    <w:p w14:paraId="04AFF6AE" w14:textId="349DF19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w:t>
      </w:r>
      <w:r w:rsidR="00E44326" w:rsidRPr="00207864">
        <w:rPr>
          <w:rFonts w:ascii="Times New Roman" w:hAnsi="Times New Roman"/>
          <w:sz w:val="24"/>
        </w:rPr>
        <w:t>A</w:t>
      </w:r>
      <w:r w:rsidRPr="00207864">
        <w:rPr>
          <w:rFonts w:ascii="Times New Roman" w:hAnsi="Times New Roman"/>
          <w:sz w:val="24"/>
        </w:rPr>
        <w:t>.15A(1).</w:t>
      </w:r>
    </w:p>
  </w:footnote>
  <w:footnote w:id="115">
    <w:p w14:paraId="2B1F5BF5" w14:textId="2A495C43" w:rsidR="005039D2" w:rsidRPr="00207864" w:rsidRDefault="005039D2" w:rsidP="00207864">
      <w:pPr>
        <w:pStyle w:val="FootnoteText"/>
        <w:spacing w:line="280" w:lineRule="exact"/>
        <w:ind w:right="0"/>
        <w:jc w:val="both"/>
        <w:rPr>
          <w:rFonts w:ascii="Times New Roman" w:hAnsi="Times New Roman"/>
          <w:sz w:val="24"/>
        </w:rPr>
      </w:pPr>
      <w:r w:rsidRPr="00207864">
        <w:rPr>
          <w:rStyle w:val="FootnoteReference"/>
          <w:rFonts w:ascii="Times New Roman" w:hAnsi="Times New Roman"/>
          <w:sz w:val="22"/>
          <w:vertAlign w:val="baseline"/>
        </w:rPr>
        <w:footnoteRef/>
      </w:r>
      <w:r w:rsidRPr="00207864">
        <w:rPr>
          <w:rFonts w:ascii="Times New Roman" w:hAnsi="Times New Roman"/>
          <w:sz w:val="24"/>
        </w:rPr>
        <w:t xml:space="preserve"> </w:t>
      </w:r>
      <w:r w:rsidRPr="00207864">
        <w:rPr>
          <w:rFonts w:ascii="Times New Roman" w:hAnsi="Times New Roman"/>
          <w:sz w:val="24"/>
        </w:rPr>
        <w:tab/>
      </w:r>
      <w:r w:rsidRPr="00207864">
        <w:rPr>
          <w:rFonts w:ascii="Times New Roman" w:hAnsi="Times New Roman"/>
          <w:i/>
          <w:sz w:val="24"/>
        </w:rPr>
        <w:t>Criminal Code</w:t>
      </w:r>
      <w:r w:rsidRPr="00207864">
        <w:rPr>
          <w:rFonts w:ascii="Times New Roman" w:hAnsi="Times New Roman"/>
          <w:sz w:val="24"/>
        </w:rPr>
        <w:t>, s 105</w:t>
      </w:r>
      <w:r w:rsidR="00E44326" w:rsidRPr="00207864">
        <w:rPr>
          <w:rFonts w:ascii="Times New Roman" w:hAnsi="Times New Roman"/>
          <w:sz w:val="24"/>
        </w:rPr>
        <w:t>A</w:t>
      </w:r>
      <w:r w:rsidRPr="00207864">
        <w:rPr>
          <w:rFonts w:ascii="Times New Roman" w:hAnsi="Times New Roman"/>
          <w:sz w:val="24"/>
        </w:rPr>
        <w:t>.15A(2).</w:t>
      </w:r>
    </w:p>
  </w:footnote>
  <w:footnote w:id="116">
    <w:p w14:paraId="1F2D16C7"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100.1(1) of the </w:t>
      </w:r>
      <w:r w:rsidRPr="004C4BCF">
        <w:rPr>
          <w:rFonts w:ascii="Times New Roman" w:hAnsi="Times New Roman"/>
          <w:i/>
          <w:sz w:val="24"/>
        </w:rPr>
        <w:t>Criminal Code</w:t>
      </w:r>
      <w:r w:rsidRPr="004C4BCF">
        <w:rPr>
          <w:rFonts w:ascii="Times New Roman" w:hAnsi="Times New Roman"/>
          <w:sz w:val="24"/>
        </w:rPr>
        <w:t xml:space="preserve"> (definition of "terrorist act") read with s</w:t>
      </w:r>
      <w:r>
        <w:rPr>
          <w:rFonts w:ascii="Times New Roman" w:hAnsi="Times New Roman"/>
          <w:sz w:val="24"/>
        </w:rPr>
        <w:t> </w:t>
      </w:r>
      <w:r w:rsidRPr="004C4BCF">
        <w:rPr>
          <w:rFonts w:ascii="Times New Roman" w:hAnsi="Times New Roman"/>
          <w:sz w:val="24"/>
        </w:rPr>
        <w:t>100.1(2) and (3).</w:t>
      </w:r>
    </w:p>
  </w:footnote>
  <w:footnote w:id="117">
    <w:p w14:paraId="1FCFA44A"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101.1 of the </w:t>
      </w:r>
      <w:r w:rsidRPr="004C4BCF">
        <w:rPr>
          <w:rFonts w:ascii="Times New Roman" w:hAnsi="Times New Roman"/>
          <w:i/>
          <w:sz w:val="24"/>
        </w:rPr>
        <w:t>Criminal Code</w:t>
      </w:r>
      <w:r w:rsidRPr="004C4BCF">
        <w:rPr>
          <w:rFonts w:ascii="Times New Roman" w:hAnsi="Times New Roman"/>
          <w:sz w:val="24"/>
        </w:rPr>
        <w:t>.</w:t>
      </w:r>
    </w:p>
  </w:footnote>
  <w:footnote w:id="118">
    <w:p w14:paraId="7BDE761C"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102.8 of the </w:t>
      </w:r>
      <w:r w:rsidRPr="004C4BCF">
        <w:rPr>
          <w:rFonts w:ascii="Times New Roman" w:hAnsi="Times New Roman"/>
          <w:i/>
          <w:sz w:val="24"/>
        </w:rPr>
        <w:t>Criminal Code</w:t>
      </w:r>
      <w:r w:rsidRPr="004C4BCF">
        <w:rPr>
          <w:rFonts w:ascii="Times New Roman" w:hAnsi="Times New Roman"/>
          <w:sz w:val="24"/>
        </w:rPr>
        <w:t xml:space="preserve"> read with s 102.1(1) (definition of "member").</w:t>
      </w:r>
    </w:p>
  </w:footnote>
  <w:footnote w:id="119">
    <w:p w14:paraId="2065F81A"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102.1(1) of the </w:t>
      </w:r>
      <w:r w:rsidRPr="004C4BCF">
        <w:rPr>
          <w:rFonts w:ascii="Times New Roman" w:hAnsi="Times New Roman"/>
          <w:i/>
          <w:sz w:val="24"/>
        </w:rPr>
        <w:t>Criminal Code</w:t>
      </w:r>
      <w:r w:rsidRPr="004C4BCF">
        <w:rPr>
          <w:rFonts w:ascii="Times New Roman" w:hAnsi="Times New Roman"/>
          <w:sz w:val="24"/>
        </w:rPr>
        <w:t xml:space="preserve"> (definition of "terrorist organisation").</w:t>
      </w:r>
    </w:p>
  </w:footnote>
  <w:footnote w:id="120">
    <w:p w14:paraId="02EBAE87"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proofErr w:type="spellStart"/>
      <w:r w:rsidRPr="004C4BCF">
        <w:rPr>
          <w:rFonts w:ascii="Times New Roman" w:hAnsi="Times New Roman"/>
          <w:sz w:val="24"/>
        </w:rPr>
        <w:t>Simester</w:t>
      </w:r>
      <w:proofErr w:type="spellEnd"/>
      <w:r w:rsidRPr="004C4BCF">
        <w:rPr>
          <w:rFonts w:ascii="Times New Roman" w:hAnsi="Times New Roman"/>
          <w:sz w:val="24"/>
        </w:rPr>
        <w:t xml:space="preserve"> and von Hirsch, </w:t>
      </w:r>
      <w:r w:rsidRPr="004C4BCF">
        <w:rPr>
          <w:rFonts w:ascii="Times New Roman" w:hAnsi="Times New Roman"/>
          <w:i/>
          <w:sz w:val="24"/>
        </w:rPr>
        <w:t>Crimes, Harms, and Wrongs:</w:t>
      </w:r>
      <w:r w:rsidRPr="004C4BCF">
        <w:rPr>
          <w:rFonts w:ascii="Times New Roman" w:hAnsi="Times New Roman"/>
          <w:sz w:val="24"/>
        </w:rPr>
        <w:t xml:space="preserve"> </w:t>
      </w:r>
      <w:r w:rsidRPr="004C4BCF">
        <w:rPr>
          <w:rFonts w:ascii="Times New Roman" w:hAnsi="Times New Roman"/>
          <w:i/>
          <w:sz w:val="24"/>
        </w:rPr>
        <w:t>On the Principles of Criminalisation</w:t>
      </w:r>
      <w:r w:rsidRPr="004C4BCF">
        <w:rPr>
          <w:rFonts w:ascii="Times New Roman" w:hAnsi="Times New Roman"/>
          <w:sz w:val="24"/>
        </w:rPr>
        <w:t xml:space="preserve"> (2011) at 79. See also </w:t>
      </w:r>
      <w:r w:rsidRPr="004C4BCF">
        <w:rPr>
          <w:rFonts w:ascii="Times New Roman" w:hAnsi="Times New Roman"/>
          <w:i/>
          <w:color w:val="000000"/>
          <w:sz w:val="24"/>
          <w:shd w:val="clear" w:color="auto" w:fill="FFFFFF"/>
        </w:rPr>
        <w:t xml:space="preserve">Lodhi v The Queen </w:t>
      </w:r>
      <w:r w:rsidRPr="004C4BCF">
        <w:rPr>
          <w:rFonts w:ascii="Times New Roman" w:hAnsi="Times New Roman"/>
          <w:color w:val="000000"/>
          <w:sz w:val="24"/>
          <w:shd w:val="clear" w:color="auto" w:fill="FFFFFF"/>
        </w:rPr>
        <w:t>(2006) 199 FLR 303 at 318 </w:t>
      </w:r>
      <w:r w:rsidRPr="004C4BCF">
        <w:rPr>
          <w:rFonts w:ascii="Times New Roman" w:hAnsi="Times New Roman"/>
          <w:sz w:val="24"/>
        </w:rPr>
        <w:t>[66].</w:t>
      </w:r>
    </w:p>
  </w:footnote>
  <w:footnote w:id="121">
    <w:p w14:paraId="2693238C"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102.3 of the </w:t>
      </w:r>
      <w:r w:rsidRPr="004C4BCF">
        <w:rPr>
          <w:rFonts w:ascii="Times New Roman" w:hAnsi="Times New Roman"/>
          <w:i/>
          <w:sz w:val="24"/>
        </w:rPr>
        <w:t>Criminal Code</w:t>
      </w:r>
      <w:r w:rsidRPr="004C4BCF">
        <w:rPr>
          <w:rFonts w:ascii="Times New Roman" w:hAnsi="Times New Roman"/>
          <w:sz w:val="24"/>
        </w:rPr>
        <w:t xml:space="preserve"> read with s 102.1(1) (definition of "member").</w:t>
      </w:r>
    </w:p>
  </w:footnote>
  <w:footnote w:id="122">
    <w:p w14:paraId="75C775AB"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(2020) 94 ALJR 981; 384 ALR 1.</w:t>
      </w:r>
    </w:p>
  </w:footnote>
  <w:footnote w:id="123">
    <w:p w14:paraId="7FFA20B8"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104.4 of the </w:t>
      </w:r>
      <w:r w:rsidRPr="004C4BCF">
        <w:rPr>
          <w:rFonts w:ascii="Times New Roman" w:hAnsi="Times New Roman"/>
          <w:i/>
          <w:sz w:val="24"/>
        </w:rPr>
        <w:t>Criminal Code</w:t>
      </w:r>
      <w:r w:rsidRPr="004C4BCF">
        <w:rPr>
          <w:rFonts w:ascii="Times New Roman" w:hAnsi="Times New Roman"/>
          <w:sz w:val="24"/>
        </w:rPr>
        <w:t>.</w:t>
      </w:r>
    </w:p>
  </w:footnote>
  <w:footnote w:id="124">
    <w:p w14:paraId="39C63FEF"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15C of the </w:t>
      </w:r>
      <w:r w:rsidRPr="004C4BCF">
        <w:rPr>
          <w:rFonts w:ascii="Times New Roman" w:hAnsi="Times New Roman"/>
          <w:i/>
          <w:sz w:val="24"/>
        </w:rPr>
        <w:t>Acts Interpretation Act 1901</w:t>
      </w:r>
      <w:r w:rsidRPr="004C4BCF">
        <w:rPr>
          <w:rFonts w:ascii="Times New Roman" w:hAnsi="Times New Roman"/>
          <w:sz w:val="24"/>
        </w:rPr>
        <w:t xml:space="preserve"> (Cth).</w:t>
      </w:r>
    </w:p>
  </w:footnote>
  <w:footnote w:id="125">
    <w:p w14:paraId="058F8EDE"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Section 104.4(1)(d)(</w:t>
      </w:r>
      <w:proofErr w:type="spellStart"/>
      <w:r w:rsidRPr="004C4BCF">
        <w:rPr>
          <w:rFonts w:ascii="Times New Roman" w:hAnsi="Times New Roman"/>
          <w:sz w:val="24"/>
        </w:rPr>
        <w:t>i</w:t>
      </w:r>
      <w:proofErr w:type="spellEnd"/>
      <w:r w:rsidRPr="004C4BCF">
        <w:rPr>
          <w:rFonts w:ascii="Times New Roman" w:hAnsi="Times New Roman"/>
          <w:sz w:val="24"/>
        </w:rPr>
        <w:t xml:space="preserve">) and (ii) of the </w:t>
      </w:r>
      <w:r w:rsidRPr="004C4BCF">
        <w:rPr>
          <w:rFonts w:ascii="Times New Roman" w:hAnsi="Times New Roman"/>
          <w:i/>
          <w:sz w:val="24"/>
        </w:rPr>
        <w:t>Criminal Code</w:t>
      </w:r>
      <w:r w:rsidRPr="004C4BCF">
        <w:rPr>
          <w:rFonts w:ascii="Times New Roman" w:hAnsi="Times New Roman"/>
          <w:sz w:val="24"/>
        </w:rPr>
        <w:t>.</w:t>
      </w:r>
    </w:p>
  </w:footnote>
  <w:footnote w:id="126">
    <w:p w14:paraId="6F68825C"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105A.7 of the </w:t>
      </w:r>
      <w:r w:rsidRPr="004C4BCF">
        <w:rPr>
          <w:rFonts w:ascii="Times New Roman" w:hAnsi="Times New Roman"/>
          <w:i/>
          <w:sz w:val="24"/>
        </w:rPr>
        <w:t>Criminal Code</w:t>
      </w:r>
      <w:r w:rsidRPr="004C4BCF">
        <w:rPr>
          <w:rFonts w:ascii="Times New Roman" w:hAnsi="Times New Roman"/>
          <w:sz w:val="24"/>
        </w:rPr>
        <w:t>.</w:t>
      </w:r>
    </w:p>
  </w:footnote>
  <w:footnote w:id="127">
    <w:p w14:paraId="175DE79B"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15C of the </w:t>
      </w:r>
      <w:r w:rsidRPr="004C4BCF">
        <w:rPr>
          <w:rFonts w:ascii="Times New Roman" w:hAnsi="Times New Roman"/>
          <w:i/>
          <w:sz w:val="24"/>
        </w:rPr>
        <w:t>Acts Interpretation Act</w:t>
      </w:r>
      <w:r w:rsidRPr="004C4BCF">
        <w:rPr>
          <w:rFonts w:ascii="Times New Roman" w:hAnsi="Times New Roman"/>
          <w:sz w:val="24"/>
        </w:rPr>
        <w:t>.</w:t>
      </w:r>
    </w:p>
  </w:footnote>
  <w:footnote w:id="128">
    <w:p w14:paraId="088AD33E"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105A.5 of the </w:t>
      </w:r>
      <w:r w:rsidRPr="004C4BCF">
        <w:rPr>
          <w:rFonts w:ascii="Times New Roman" w:hAnsi="Times New Roman"/>
          <w:i/>
          <w:sz w:val="24"/>
        </w:rPr>
        <w:t>Criminal Code</w:t>
      </w:r>
      <w:r w:rsidRPr="004C4BCF">
        <w:rPr>
          <w:rFonts w:ascii="Times New Roman" w:hAnsi="Times New Roman"/>
          <w:sz w:val="24"/>
        </w:rPr>
        <w:t>.</w:t>
      </w:r>
    </w:p>
  </w:footnote>
  <w:footnote w:id="129">
    <w:p w14:paraId="50D6B243"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105A.7(1)(b) of the </w:t>
      </w:r>
      <w:r w:rsidRPr="004C4BCF">
        <w:rPr>
          <w:rFonts w:ascii="Times New Roman" w:hAnsi="Times New Roman"/>
          <w:i/>
          <w:sz w:val="24"/>
        </w:rPr>
        <w:t>Criminal Code</w:t>
      </w:r>
      <w:r w:rsidRPr="004C4BCF">
        <w:rPr>
          <w:rFonts w:ascii="Times New Roman" w:hAnsi="Times New Roman"/>
          <w:sz w:val="24"/>
        </w:rPr>
        <w:t>.</w:t>
      </w:r>
    </w:p>
  </w:footnote>
  <w:footnote w:id="130">
    <w:p w14:paraId="57818BC8"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105A.7(1)(c) of the </w:t>
      </w:r>
      <w:r w:rsidRPr="004C4BCF">
        <w:rPr>
          <w:rFonts w:ascii="Times New Roman" w:hAnsi="Times New Roman"/>
          <w:i/>
          <w:sz w:val="24"/>
        </w:rPr>
        <w:t>Criminal Code</w:t>
      </w:r>
      <w:r w:rsidRPr="004C4BCF">
        <w:rPr>
          <w:rFonts w:ascii="Times New Roman" w:hAnsi="Times New Roman"/>
          <w:sz w:val="24"/>
        </w:rPr>
        <w:t>.</w:t>
      </w:r>
    </w:p>
  </w:footnote>
  <w:footnote w:id="131">
    <w:p w14:paraId="1FDC5086"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105A.2 of the </w:t>
      </w:r>
      <w:r w:rsidRPr="004C4BCF">
        <w:rPr>
          <w:rFonts w:ascii="Times New Roman" w:hAnsi="Times New Roman"/>
          <w:i/>
          <w:sz w:val="24"/>
        </w:rPr>
        <w:t>Criminal Code</w:t>
      </w:r>
      <w:r w:rsidRPr="004C4BCF">
        <w:rPr>
          <w:rFonts w:ascii="Times New Roman" w:hAnsi="Times New Roman"/>
          <w:sz w:val="24"/>
        </w:rPr>
        <w:t>.</w:t>
      </w:r>
    </w:p>
  </w:footnote>
  <w:footnote w:id="132">
    <w:p w14:paraId="6209E87D"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Anti-Terrorism Act</w:t>
      </w:r>
      <w:r w:rsidRPr="004C4BCF">
        <w:rPr>
          <w:rFonts w:ascii="Times New Roman" w:hAnsi="Times New Roman"/>
          <w:sz w:val="24"/>
        </w:rPr>
        <w:t xml:space="preserve"> </w:t>
      </w:r>
      <w:r w:rsidRPr="004C4BCF">
        <w:rPr>
          <w:rFonts w:ascii="Times New Roman" w:hAnsi="Times New Roman"/>
          <w:i/>
          <w:sz w:val="24"/>
        </w:rPr>
        <w:t>(No 2)</w:t>
      </w:r>
      <w:r w:rsidRPr="004C4BCF">
        <w:rPr>
          <w:rFonts w:ascii="Times New Roman" w:hAnsi="Times New Roman"/>
          <w:sz w:val="24"/>
        </w:rPr>
        <w:t xml:space="preserve"> </w:t>
      </w:r>
      <w:r w:rsidRPr="004C4BCF">
        <w:rPr>
          <w:rFonts w:ascii="Times New Roman" w:hAnsi="Times New Roman"/>
          <w:i/>
          <w:sz w:val="24"/>
        </w:rPr>
        <w:t>2005</w:t>
      </w:r>
      <w:r w:rsidRPr="004C4BCF">
        <w:rPr>
          <w:rFonts w:ascii="Times New Roman" w:hAnsi="Times New Roman"/>
          <w:sz w:val="24"/>
        </w:rPr>
        <w:t xml:space="preserve"> (Cth).</w:t>
      </w:r>
    </w:p>
  </w:footnote>
  <w:footnote w:id="133">
    <w:p w14:paraId="3128EC03"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Thomas v Mowbray</w:t>
      </w:r>
      <w:r w:rsidRPr="004C4BCF">
        <w:rPr>
          <w:rFonts w:ascii="Times New Roman" w:hAnsi="Times New Roman"/>
          <w:sz w:val="24"/>
        </w:rPr>
        <w:t xml:space="preserve"> (2007) 233 CLR 307 at 330 [18].</w:t>
      </w:r>
    </w:p>
  </w:footnote>
  <w:footnote w:id="134">
    <w:p w14:paraId="09F2F873"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(2007) 233 CLR 307.</w:t>
      </w:r>
    </w:p>
  </w:footnote>
  <w:footnote w:id="135">
    <w:p w14:paraId="49320096"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Item 1 of Sch 1 to the </w:t>
      </w:r>
      <w:r w:rsidRPr="004C4BCF">
        <w:rPr>
          <w:rFonts w:ascii="Times New Roman" w:hAnsi="Times New Roman"/>
          <w:i/>
          <w:sz w:val="24"/>
        </w:rPr>
        <w:t>Criminal Code Amendment (High Risk Terrorist Offenders)</w:t>
      </w:r>
      <w:r w:rsidRPr="004C4BCF">
        <w:rPr>
          <w:rFonts w:ascii="Times New Roman" w:hAnsi="Times New Roman"/>
          <w:sz w:val="24"/>
        </w:rPr>
        <w:t xml:space="preserve"> </w:t>
      </w:r>
      <w:r w:rsidRPr="004C4BCF">
        <w:rPr>
          <w:rFonts w:ascii="Times New Roman" w:hAnsi="Times New Roman"/>
          <w:i/>
          <w:sz w:val="24"/>
        </w:rPr>
        <w:t xml:space="preserve">Act 2016 </w:t>
      </w:r>
      <w:r w:rsidRPr="004C4BCF">
        <w:rPr>
          <w:rFonts w:ascii="Times New Roman" w:hAnsi="Times New Roman"/>
          <w:sz w:val="24"/>
        </w:rPr>
        <w:t>(Cth), which relevantly commenced in 2017.</w:t>
      </w:r>
    </w:p>
  </w:footnote>
  <w:footnote w:id="136">
    <w:p w14:paraId="1E4D45CC"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(2004) 223 CLR 575.</w:t>
      </w:r>
    </w:p>
  </w:footnote>
  <w:footnote w:id="137">
    <w:p w14:paraId="157B6BA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R v Kirby;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Boilermakers' Society of Australia</w:t>
      </w:r>
      <w:r w:rsidRPr="004C4BCF">
        <w:rPr>
          <w:rFonts w:ascii="Times New Roman" w:hAnsi="Times New Roman"/>
          <w:sz w:val="24"/>
        </w:rPr>
        <w:t xml:space="preserve"> (1956) 94 CLR 254, affirmed in </w:t>
      </w:r>
      <w:r w:rsidRPr="004C4BCF">
        <w:rPr>
          <w:rFonts w:ascii="Times New Roman" w:hAnsi="Times New Roman"/>
          <w:i/>
          <w:sz w:val="24"/>
        </w:rPr>
        <w:t>Attorney-General</w:t>
      </w:r>
      <w:r w:rsidRPr="004C4BCF">
        <w:rPr>
          <w:rFonts w:ascii="Times New Roman" w:hAnsi="Times New Roman"/>
          <w:sz w:val="24"/>
        </w:rPr>
        <w:t xml:space="preserve"> </w:t>
      </w:r>
      <w:r w:rsidRPr="004C4BCF">
        <w:rPr>
          <w:rFonts w:ascii="Times New Roman" w:hAnsi="Times New Roman"/>
          <w:i/>
          <w:sz w:val="24"/>
        </w:rPr>
        <w:t>(Cth)</w:t>
      </w:r>
      <w:r w:rsidRPr="004C4BCF">
        <w:rPr>
          <w:rFonts w:ascii="Times New Roman" w:hAnsi="Times New Roman"/>
          <w:sz w:val="24"/>
        </w:rPr>
        <w:t xml:space="preserve"> </w:t>
      </w:r>
      <w:r w:rsidRPr="004C4BCF">
        <w:rPr>
          <w:rFonts w:ascii="Times New Roman" w:hAnsi="Times New Roman"/>
          <w:i/>
          <w:sz w:val="24"/>
        </w:rPr>
        <w:t>v The Queen</w:t>
      </w:r>
      <w:r w:rsidRPr="004C4BCF">
        <w:rPr>
          <w:rFonts w:ascii="Times New Roman" w:hAnsi="Times New Roman"/>
          <w:sz w:val="24"/>
        </w:rPr>
        <w:t xml:space="preserve"> (1957) 95 CLR 529; [1957] AC 288.</w:t>
      </w:r>
    </w:p>
  </w:footnote>
  <w:footnote w:id="138">
    <w:p w14:paraId="3ADD45D3"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Queen Victoria Memorial Hospital v Thornton</w:t>
      </w:r>
      <w:r w:rsidRPr="004C4BCF">
        <w:rPr>
          <w:rFonts w:ascii="Times New Roman" w:hAnsi="Times New Roman"/>
          <w:sz w:val="24"/>
        </w:rPr>
        <w:t xml:space="preserve"> (1953) 87 CLR 144 at 151-152; </w:t>
      </w:r>
      <w:r w:rsidRPr="004C4BCF">
        <w:rPr>
          <w:rFonts w:ascii="Times New Roman" w:hAnsi="Times New Roman"/>
          <w:i/>
          <w:sz w:val="24"/>
        </w:rPr>
        <w:t>R v Murphy</w:t>
      </w:r>
      <w:r w:rsidRPr="004C4BCF">
        <w:rPr>
          <w:rFonts w:ascii="Times New Roman" w:hAnsi="Times New Roman"/>
          <w:sz w:val="24"/>
        </w:rPr>
        <w:t xml:space="preserve"> (1985) 158 CLR 596 at 614-615.</w:t>
      </w:r>
    </w:p>
  </w:footnote>
  <w:footnote w:id="139">
    <w:p w14:paraId="55CC81EC"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North Australian Aboriginal Legal Aid Service Inc v Bradley</w:t>
      </w:r>
      <w:r w:rsidRPr="004C4BCF">
        <w:rPr>
          <w:rFonts w:ascii="Times New Roman" w:hAnsi="Times New Roman"/>
          <w:sz w:val="24"/>
        </w:rPr>
        <w:t xml:space="preserve"> (2004) 218 CLR 146 at 163 [28]; </w:t>
      </w:r>
      <w:r w:rsidRPr="004C4BCF">
        <w:rPr>
          <w:rFonts w:ascii="Times New Roman" w:hAnsi="Times New Roman"/>
          <w:i/>
          <w:sz w:val="24"/>
        </w:rPr>
        <w:t>North Australian Aboriginal Justice Agency Ltd v Northern Territory</w:t>
      </w:r>
      <w:r w:rsidRPr="004C4BCF">
        <w:rPr>
          <w:rFonts w:ascii="Times New Roman" w:hAnsi="Times New Roman"/>
          <w:sz w:val="24"/>
        </w:rPr>
        <w:t xml:space="preserve"> (2015) 256 CLR 569 at 615 [111].</w:t>
      </w:r>
    </w:p>
  </w:footnote>
  <w:footnote w:id="140">
    <w:p w14:paraId="21A12582"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(1992) 176 CLR 1 at 27.</w:t>
      </w:r>
    </w:p>
  </w:footnote>
  <w:footnote w:id="141">
    <w:p w14:paraId="3E28BFD9"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R v Trade Practices Tribunal;</w:t>
      </w:r>
      <w:r w:rsidRPr="004C4BCF">
        <w:rPr>
          <w:rFonts w:ascii="Times New Roman" w:hAnsi="Times New Roman"/>
          <w:sz w:val="24"/>
        </w:rPr>
        <w:t xml:space="preserve"> </w:t>
      </w:r>
      <w:r w:rsidRPr="004C4BCF">
        <w:rPr>
          <w:rFonts w:ascii="Times New Roman" w:hAnsi="Times New Roman"/>
          <w:i/>
          <w:sz w:val="24"/>
        </w:rPr>
        <w:t xml:space="preserve">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Tasmanian Breweries Pty Ltd</w:t>
      </w:r>
      <w:r w:rsidRPr="004C4BCF">
        <w:rPr>
          <w:rFonts w:ascii="Times New Roman" w:hAnsi="Times New Roman"/>
          <w:sz w:val="24"/>
        </w:rPr>
        <w:t xml:space="preserve"> (1970) 123 CLR 361 at 394.</w:t>
      </w:r>
    </w:p>
  </w:footnote>
  <w:footnote w:id="142">
    <w:p w14:paraId="3C54B69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R v Quinn;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Consolidated Foods Corporation</w:t>
      </w:r>
      <w:r w:rsidRPr="004C4BCF">
        <w:rPr>
          <w:rFonts w:ascii="Times New Roman" w:hAnsi="Times New Roman"/>
          <w:sz w:val="24"/>
        </w:rPr>
        <w:t xml:space="preserve"> (1977) 138 CLR 1 at 11.</w:t>
      </w:r>
    </w:p>
  </w:footnote>
  <w:footnote w:id="143">
    <w:p w14:paraId="18ED484D"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R v Davison</w:t>
      </w:r>
      <w:r w:rsidRPr="004C4BCF">
        <w:rPr>
          <w:rFonts w:ascii="Times New Roman" w:hAnsi="Times New Roman"/>
          <w:sz w:val="24"/>
        </w:rPr>
        <w:t xml:space="preserve"> (1954) 90 CLR 353 at 381-382.</w:t>
      </w:r>
    </w:p>
  </w:footnote>
  <w:footnote w:id="144">
    <w:p w14:paraId="61FB611A"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proofErr w:type="spellStart"/>
      <w:r w:rsidRPr="004C4BCF">
        <w:rPr>
          <w:rFonts w:ascii="Times New Roman" w:hAnsi="Times New Roman"/>
          <w:sz w:val="24"/>
        </w:rPr>
        <w:t>cf</w:t>
      </w:r>
      <w:proofErr w:type="spellEnd"/>
      <w:r w:rsidRPr="004C4BCF">
        <w:rPr>
          <w:rFonts w:ascii="Times New Roman" w:hAnsi="Times New Roman"/>
          <w:sz w:val="24"/>
        </w:rPr>
        <w:t xml:space="preserve"> </w:t>
      </w:r>
      <w:r w:rsidRPr="004C4BCF">
        <w:rPr>
          <w:rFonts w:ascii="Times New Roman" w:hAnsi="Times New Roman"/>
          <w:i/>
          <w:sz w:val="24"/>
        </w:rPr>
        <w:t>Palmer v Ayres</w:t>
      </w:r>
      <w:r w:rsidRPr="004C4BCF">
        <w:rPr>
          <w:rFonts w:ascii="Times New Roman" w:hAnsi="Times New Roman"/>
          <w:sz w:val="24"/>
        </w:rPr>
        <w:t xml:space="preserve"> (2017) 259 CLR 478 at 504 [69]; </w:t>
      </w:r>
      <w:r w:rsidRPr="004C4BCF">
        <w:rPr>
          <w:rFonts w:ascii="Times New Roman" w:hAnsi="Times New Roman"/>
          <w:i/>
          <w:sz w:val="24"/>
        </w:rPr>
        <w:t>Vella v Commissioner of Police</w:t>
      </w:r>
      <w:r w:rsidRPr="004C4BCF">
        <w:rPr>
          <w:rFonts w:ascii="Times New Roman" w:hAnsi="Times New Roman"/>
          <w:sz w:val="24"/>
        </w:rPr>
        <w:t xml:space="preserve"> </w:t>
      </w:r>
      <w:r w:rsidRPr="004C4BCF">
        <w:rPr>
          <w:rFonts w:ascii="Times New Roman" w:hAnsi="Times New Roman"/>
          <w:i/>
          <w:sz w:val="24"/>
        </w:rPr>
        <w:t>(NSW)</w:t>
      </w:r>
      <w:r w:rsidRPr="004C4BCF">
        <w:rPr>
          <w:rFonts w:ascii="Times New Roman" w:hAnsi="Times New Roman"/>
          <w:sz w:val="24"/>
        </w:rPr>
        <w:t xml:space="preserve"> (2019) 93 ALJR 1236 at 1268 [141]; 374 ALR 1 at 40.</w:t>
      </w:r>
    </w:p>
  </w:footnote>
  <w:footnote w:id="145">
    <w:p w14:paraId="03C905F4"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Witham v Holloway </w:t>
      </w:r>
      <w:r w:rsidRPr="004C4BCF">
        <w:rPr>
          <w:rFonts w:ascii="Times New Roman" w:hAnsi="Times New Roman"/>
          <w:sz w:val="24"/>
        </w:rPr>
        <w:t xml:space="preserve">(1995) 183 CLR 525 at 534, 549; </w:t>
      </w:r>
      <w:r w:rsidRPr="004C4BCF">
        <w:rPr>
          <w:rFonts w:ascii="Times New Roman" w:hAnsi="Times New Roman"/>
          <w:i/>
          <w:sz w:val="24"/>
        </w:rPr>
        <w:t>Chief Executive Officer of Customs v Labrador Liquor Wholesale Pty Ltd</w:t>
      </w:r>
      <w:r w:rsidRPr="004C4BCF">
        <w:rPr>
          <w:rFonts w:ascii="Times New Roman" w:hAnsi="Times New Roman"/>
          <w:sz w:val="24"/>
        </w:rPr>
        <w:t xml:space="preserve"> (2003) 216 CLR 161 at 179 [56], 198-199 [114].</w:t>
      </w:r>
    </w:p>
  </w:footnote>
  <w:footnote w:id="146">
    <w:p w14:paraId="51F61D82"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The Commonwealth v Director, Fair Work Building Industry Inspectorate</w:t>
      </w:r>
      <w:r w:rsidRPr="004C4BCF">
        <w:rPr>
          <w:rFonts w:ascii="Times New Roman" w:hAnsi="Times New Roman"/>
          <w:sz w:val="24"/>
        </w:rPr>
        <w:t xml:space="preserve"> (2015) 258 CLR 482 at 516-518 [90]-[93].</w:t>
      </w:r>
    </w:p>
  </w:footnote>
  <w:footnote w:id="147">
    <w:p w14:paraId="69D6E31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color w:val="000000"/>
          <w:sz w:val="24"/>
          <w:shd w:val="clear" w:color="auto" w:fill="FFFFFF"/>
        </w:rPr>
        <w:t>Munday v Gill</w:t>
      </w:r>
      <w:r w:rsidRPr="004C4BCF">
        <w:rPr>
          <w:rFonts w:ascii="Times New Roman" w:hAnsi="Times New Roman"/>
          <w:sz w:val="24"/>
        </w:rPr>
        <w:t xml:space="preserve"> (1930) 44 CLR 38 at 86.</w:t>
      </w:r>
    </w:p>
  </w:footnote>
  <w:footnote w:id="148">
    <w:p w14:paraId="73D29B2E"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Huddart, Parker &amp; Co Pty Ltd v </w:t>
      </w:r>
      <w:proofErr w:type="spellStart"/>
      <w:r w:rsidRPr="004C4BCF">
        <w:rPr>
          <w:rFonts w:ascii="Times New Roman" w:hAnsi="Times New Roman"/>
          <w:i/>
          <w:sz w:val="24"/>
        </w:rPr>
        <w:t>Moorehead</w:t>
      </w:r>
      <w:proofErr w:type="spellEnd"/>
      <w:r w:rsidRPr="004C4BCF">
        <w:rPr>
          <w:rFonts w:ascii="Times New Roman" w:hAnsi="Times New Roman"/>
          <w:sz w:val="24"/>
        </w:rPr>
        <w:t xml:space="preserve"> (1909) 8 CLR 330 at 357; </w:t>
      </w:r>
      <w:r w:rsidRPr="004C4BCF">
        <w:rPr>
          <w:rFonts w:ascii="Times New Roman" w:hAnsi="Times New Roman"/>
          <w:i/>
          <w:sz w:val="24"/>
        </w:rPr>
        <w:t xml:space="preserve">R v Trade Practices Tribunal;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Tasmanian Breweries Pty Ltd </w:t>
      </w:r>
      <w:r w:rsidRPr="004C4BCF">
        <w:rPr>
          <w:rFonts w:ascii="Times New Roman" w:hAnsi="Times New Roman"/>
          <w:sz w:val="24"/>
        </w:rPr>
        <w:t xml:space="preserve">(1970) 123 CLR 361 at 374, 396; </w:t>
      </w:r>
      <w:r w:rsidRPr="004C4BCF">
        <w:rPr>
          <w:rFonts w:ascii="Times New Roman" w:hAnsi="Times New Roman"/>
          <w:i/>
          <w:sz w:val="24"/>
        </w:rPr>
        <w:t xml:space="preserve">Re Cram;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Newcastle Wallsend Coal Co Pty Ltd</w:t>
      </w:r>
      <w:r w:rsidRPr="004C4BCF">
        <w:rPr>
          <w:rFonts w:ascii="Times New Roman" w:hAnsi="Times New Roman"/>
          <w:sz w:val="24"/>
        </w:rPr>
        <w:t xml:space="preserve"> (1987) 163 CLR 140 at 148-149; </w:t>
      </w:r>
      <w:r w:rsidRPr="004C4BCF">
        <w:rPr>
          <w:rFonts w:ascii="Times New Roman" w:hAnsi="Times New Roman"/>
          <w:i/>
          <w:sz w:val="24"/>
        </w:rPr>
        <w:t>Precision Data Holdings Ltd v Wills</w:t>
      </w:r>
      <w:r w:rsidRPr="004C4BCF">
        <w:rPr>
          <w:rFonts w:ascii="Times New Roman" w:hAnsi="Times New Roman"/>
          <w:sz w:val="24"/>
        </w:rPr>
        <w:t xml:space="preserve"> (1991) 173 CLR 167 at 188; </w:t>
      </w:r>
      <w:r w:rsidRPr="004C4BCF">
        <w:rPr>
          <w:rFonts w:ascii="Times New Roman" w:hAnsi="Times New Roman"/>
          <w:i/>
          <w:sz w:val="24"/>
        </w:rPr>
        <w:t>Ha v New South Wales</w:t>
      </w:r>
      <w:r w:rsidRPr="004C4BCF">
        <w:rPr>
          <w:rFonts w:ascii="Times New Roman" w:hAnsi="Times New Roman"/>
          <w:sz w:val="24"/>
        </w:rPr>
        <w:t xml:space="preserve"> (1997) 189 CLR 465 at 503-504; </w:t>
      </w:r>
      <w:r w:rsidRPr="004C4BCF">
        <w:rPr>
          <w:rFonts w:ascii="Times New Roman" w:hAnsi="Times New Roman"/>
          <w:i/>
          <w:sz w:val="24"/>
        </w:rPr>
        <w:t>Vella v Commissioner of Police</w:t>
      </w:r>
      <w:r w:rsidRPr="004C4BCF">
        <w:rPr>
          <w:rFonts w:ascii="Times New Roman" w:hAnsi="Times New Roman"/>
          <w:sz w:val="24"/>
        </w:rPr>
        <w:t xml:space="preserve"> </w:t>
      </w:r>
      <w:r w:rsidRPr="004C4BCF">
        <w:rPr>
          <w:rFonts w:ascii="Times New Roman" w:hAnsi="Times New Roman"/>
          <w:i/>
          <w:sz w:val="24"/>
        </w:rPr>
        <w:t>(NSW)</w:t>
      </w:r>
      <w:r w:rsidRPr="004C4BCF">
        <w:rPr>
          <w:rFonts w:ascii="Times New Roman" w:hAnsi="Times New Roman"/>
          <w:sz w:val="24"/>
        </w:rPr>
        <w:t xml:space="preserve"> (2019) 93 ALJR 1236 at 1270-1271 [152]; 374 ALR 1 at 43.</w:t>
      </w:r>
    </w:p>
  </w:footnote>
  <w:footnote w:id="149">
    <w:p w14:paraId="71982BE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R v Trade Practices Tribunal;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Tasmanian Breweries Pty Ltd </w:t>
      </w:r>
      <w:r w:rsidRPr="004C4BCF">
        <w:rPr>
          <w:rFonts w:ascii="Times New Roman" w:hAnsi="Times New Roman"/>
          <w:sz w:val="24"/>
        </w:rPr>
        <w:t xml:space="preserve">(1970) 123 CLR 361 at 374. See </w:t>
      </w:r>
      <w:r w:rsidRPr="004C4BCF">
        <w:rPr>
          <w:rFonts w:ascii="Times New Roman" w:hAnsi="Times New Roman"/>
          <w:i/>
          <w:sz w:val="24"/>
        </w:rPr>
        <w:t xml:space="preserve">Victorian Stevedoring and General Contracting Co Pty Ltd and </w:t>
      </w:r>
      <w:proofErr w:type="spellStart"/>
      <w:r w:rsidRPr="004C4BCF">
        <w:rPr>
          <w:rFonts w:ascii="Times New Roman" w:hAnsi="Times New Roman"/>
          <w:i/>
          <w:sz w:val="24"/>
        </w:rPr>
        <w:t>Meakes</w:t>
      </w:r>
      <w:proofErr w:type="spellEnd"/>
      <w:r w:rsidRPr="004C4BCF">
        <w:rPr>
          <w:rFonts w:ascii="Times New Roman" w:hAnsi="Times New Roman"/>
          <w:i/>
          <w:sz w:val="24"/>
        </w:rPr>
        <w:t xml:space="preserve"> v Dignan</w:t>
      </w:r>
      <w:r w:rsidRPr="004C4BCF">
        <w:rPr>
          <w:rFonts w:ascii="Times New Roman" w:hAnsi="Times New Roman"/>
          <w:sz w:val="24"/>
        </w:rPr>
        <w:t xml:space="preserve"> (1931) 46 CLR 73 at 106; </w:t>
      </w:r>
      <w:r w:rsidRPr="004C4BCF">
        <w:rPr>
          <w:rFonts w:ascii="Times New Roman" w:hAnsi="Times New Roman"/>
          <w:i/>
          <w:sz w:val="24"/>
        </w:rPr>
        <w:t>New South Wales v Kable</w:t>
      </w:r>
      <w:r w:rsidRPr="004C4BCF">
        <w:rPr>
          <w:rFonts w:ascii="Times New Roman" w:hAnsi="Times New Roman"/>
          <w:sz w:val="24"/>
        </w:rPr>
        <w:t xml:space="preserve"> (2013) 252 CLR 118 at 139 [53].</w:t>
      </w:r>
    </w:p>
  </w:footnote>
  <w:footnote w:id="150">
    <w:p w14:paraId="75D8D784"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proofErr w:type="spellStart"/>
      <w:r w:rsidRPr="004C4BCF">
        <w:rPr>
          <w:rFonts w:ascii="Times New Roman" w:hAnsi="Times New Roman"/>
          <w:i/>
          <w:sz w:val="24"/>
        </w:rPr>
        <w:t>Magaming</w:t>
      </w:r>
      <w:proofErr w:type="spellEnd"/>
      <w:r w:rsidRPr="004C4BCF">
        <w:rPr>
          <w:rFonts w:ascii="Times New Roman" w:hAnsi="Times New Roman"/>
          <w:i/>
          <w:sz w:val="24"/>
        </w:rPr>
        <w:t xml:space="preserve"> v The Queen</w:t>
      </w:r>
      <w:r w:rsidRPr="004C4BCF">
        <w:rPr>
          <w:rFonts w:ascii="Times New Roman" w:hAnsi="Times New Roman"/>
          <w:sz w:val="24"/>
        </w:rPr>
        <w:t xml:space="preserve"> (2013) 252 CLR 381 at 400 [63].</w:t>
      </w:r>
    </w:p>
  </w:footnote>
  <w:footnote w:id="151">
    <w:p w14:paraId="1AD0CF61"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Re Nolan;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Young</w:t>
      </w:r>
      <w:r w:rsidRPr="004C4BCF">
        <w:rPr>
          <w:rFonts w:ascii="Times New Roman" w:hAnsi="Times New Roman"/>
          <w:sz w:val="24"/>
        </w:rPr>
        <w:t xml:space="preserve"> (1991) 172 CLR 460 at 497. See </w:t>
      </w:r>
      <w:r w:rsidRPr="004C4BCF">
        <w:rPr>
          <w:rFonts w:ascii="Times New Roman" w:hAnsi="Times New Roman"/>
          <w:i/>
          <w:color w:val="000000"/>
          <w:sz w:val="24"/>
          <w:shd w:val="clear" w:color="auto" w:fill="FFFFFF"/>
        </w:rPr>
        <w:t>Waterside Workers' Federation of Australia v J W Alexander Ltd</w:t>
      </w:r>
      <w:r w:rsidRPr="004C4BCF">
        <w:rPr>
          <w:rFonts w:ascii="Times New Roman" w:hAnsi="Times New Roman"/>
          <w:color w:val="000000"/>
          <w:sz w:val="24"/>
          <w:shd w:val="clear" w:color="auto" w:fill="FFFFFF"/>
        </w:rPr>
        <w:t xml:space="preserve"> (1918) 25 CLR 434 at 444; </w:t>
      </w:r>
      <w:r w:rsidRPr="004C4BCF">
        <w:rPr>
          <w:rFonts w:ascii="Times New Roman" w:hAnsi="Times New Roman"/>
          <w:i/>
          <w:color w:val="000000"/>
          <w:sz w:val="24"/>
          <w:shd w:val="clear" w:color="auto" w:fill="FFFFFF"/>
        </w:rPr>
        <w:t>Federal Commissioner of Taxation v Munro</w:t>
      </w:r>
      <w:r w:rsidRPr="004C4BCF">
        <w:rPr>
          <w:rFonts w:ascii="Times New Roman" w:hAnsi="Times New Roman"/>
          <w:color w:val="000000"/>
          <w:sz w:val="24"/>
          <w:shd w:val="clear" w:color="auto" w:fill="FFFFFF"/>
        </w:rPr>
        <w:t xml:space="preserve"> (1926) 38 CLR 153 at 175; </w:t>
      </w:r>
      <w:r w:rsidRPr="004C4BCF">
        <w:rPr>
          <w:rFonts w:ascii="Times New Roman" w:hAnsi="Times New Roman"/>
          <w:i/>
          <w:color w:val="000000"/>
          <w:sz w:val="24"/>
          <w:shd w:val="clear" w:color="auto" w:fill="FFFFFF"/>
        </w:rPr>
        <w:t>Brandy v Human Rights and Equal Opportunity Commission</w:t>
      </w:r>
      <w:r w:rsidRPr="004C4BCF">
        <w:rPr>
          <w:rFonts w:ascii="Times New Roman" w:hAnsi="Times New Roman"/>
          <w:color w:val="000000"/>
          <w:sz w:val="24"/>
          <w:shd w:val="clear" w:color="auto" w:fill="FFFFFF"/>
        </w:rPr>
        <w:t xml:space="preserve"> (1995) 183 CLR 245 at 258, 269; </w:t>
      </w:r>
      <w:r w:rsidRPr="004C4BCF">
        <w:rPr>
          <w:rFonts w:ascii="Times New Roman" w:hAnsi="Times New Roman"/>
          <w:i/>
          <w:color w:val="000000"/>
          <w:sz w:val="24"/>
          <w:shd w:val="clear" w:color="auto" w:fill="FFFFFF"/>
        </w:rPr>
        <w:t>Duncan v New South Wales</w:t>
      </w:r>
      <w:r w:rsidRPr="004C4BCF">
        <w:rPr>
          <w:rFonts w:ascii="Times New Roman" w:hAnsi="Times New Roman"/>
          <w:color w:val="000000"/>
          <w:sz w:val="24"/>
          <w:shd w:val="clear" w:color="auto" w:fill="FFFFFF"/>
        </w:rPr>
        <w:t xml:space="preserve"> (2015) 255 CLR 388 at 407 [41].</w:t>
      </w:r>
    </w:p>
  </w:footnote>
  <w:footnote w:id="152">
    <w:p w14:paraId="57B0696B"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Bradley v The Commonwealth</w:t>
      </w:r>
      <w:r w:rsidRPr="004C4BCF">
        <w:rPr>
          <w:rFonts w:ascii="Times New Roman" w:hAnsi="Times New Roman"/>
          <w:sz w:val="24"/>
        </w:rPr>
        <w:t xml:space="preserve"> (1973) 128 CLR 557 at 582-583; </w:t>
      </w:r>
      <w:r w:rsidRPr="004C4BCF">
        <w:rPr>
          <w:rFonts w:ascii="Times New Roman" w:hAnsi="Times New Roman"/>
          <w:i/>
          <w:sz w:val="24"/>
        </w:rPr>
        <w:t>Re</w:t>
      </w:r>
      <w:r w:rsidRPr="004C4BCF">
        <w:rPr>
          <w:rFonts w:ascii="Times New Roman" w:hAnsi="Times New Roman"/>
          <w:sz w:val="24"/>
        </w:rPr>
        <w:t xml:space="preserve"> </w:t>
      </w:r>
      <w:r w:rsidRPr="004C4BCF">
        <w:rPr>
          <w:rFonts w:ascii="Times New Roman" w:hAnsi="Times New Roman"/>
          <w:i/>
          <w:sz w:val="24"/>
        </w:rPr>
        <w:t xml:space="preserve">Minister for Immigration and Multicultural Affairs;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w:t>
      </w:r>
      <w:proofErr w:type="spellStart"/>
      <w:r w:rsidRPr="004C4BCF">
        <w:rPr>
          <w:rFonts w:ascii="Times New Roman" w:hAnsi="Times New Roman"/>
          <w:i/>
          <w:sz w:val="24"/>
        </w:rPr>
        <w:t>Te</w:t>
      </w:r>
      <w:proofErr w:type="spellEnd"/>
      <w:r w:rsidRPr="004C4BCF">
        <w:rPr>
          <w:rFonts w:ascii="Times New Roman" w:hAnsi="Times New Roman"/>
          <w:sz w:val="24"/>
        </w:rPr>
        <w:t xml:space="preserve"> (2002) 212 CLR 162 at 197-199 [125]-[130].</w:t>
      </w:r>
    </w:p>
  </w:footnote>
  <w:footnote w:id="153">
    <w:p w14:paraId="25C91C0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North Australian Aboriginal Justice Agency Ltd v Northern Territory</w:t>
      </w:r>
      <w:r w:rsidRPr="004C4BCF">
        <w:rPr>
          <w:rFonts w:ascii="Times New Roman" w:hAnsi="Times New Roman"/>
          <w:sz w:val="24"/>
        </w:rPr>
        <w:t xml:space="preserve"> (2015) 256 CLR 569 at 611-612 [98].</w:t>
      </w:r>
    </w:p>
  </w:footnote>
  <w:footnote w:id="154">
    <w:p w14:paraId="2F449FBE"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proofErr w:type="spellStart"/>
      <w:r w:rsidRPr="004C4BCF">
        <w:rPr>
          <w:rFonts w:ascii="Times New Roman" w:hAnsi="Times New Roman"/>
          <w:sz w:val="24"/>
        </w:rPr>
        <w:t>cf</w:t>
      </w:r>
      <w:proofErr w:type="spellEnd"/>
      <w:r w:rsidRPr="004C4BCF">
        <w:rPr>
          <w:rFonts w:ascii="Times New Roman" w:hAnsi="Times New Roman"/>
          <w:sz w:val="24"/>
        </w:rPr>
        <w:t xml:space="preserve"> </w:t>
      </w:r>
      <w:r w:rsidRPr="004C4BCF">
        <w:rPr>
          <w:rFonts w:ascii="Times New Roman" w:hAnsi="Times New Roman"/>
          <w:i/>
          <w:sz w:val="24"/>
        </w:rPr>
        <w:t>Chester v The Queen</w:t>
      </w:r>
      <w:r w:rsidRPr="004C4BCF">
        <w:rPr>
          <w:rFonts w:ascii="Times New Roman" w:hAnsi="Times New Roman"/>
          <w:sz w:val="24"/>
        </w:rPr>
        <w:t xml:space="preserve"> (1988) 165 CLR 611 at 618.</w:t>
      </w:r>
    </w:p>
  </w:footnote>
  <w:footnote w:id="155">
    <w:p w14:paraId="76B11124"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Mill, </w:t>
      </w:r>
      <w:r w:rsidRPr="004C4BCF">
        <w:rPr>
          <w:rFonts w:ascii="Times New Roman" w:hAnsi="Times New Roman"/>
          <w:i/>
          <w:sz w:val="24"/>
        </w:rPr>
        <w:t>On Liberty</w:t>
      </w:r>
      <w:r w:rsidRPr="004C4BCF">
        <w:rPr>
          <w:rFonts w:ascii="Times New Roman" w:hAnsi="Times New Roman"/>
          <w:sz w:val="24"/>
        </w:rPr>
        <w:t xml:space="preserve"> (1859), quoted in Ashworth and </w:t>
      </w:r>
      <w:proofErr w:type="spellStart"/>
      <w:r w:rsidRPr="004C4BCF">
        <w:rPr>
          <w:rFonts w:ascii="Times New Roman" w:hAnsi="Times New Roman"/>
          <w:sz w:val="24"/>
        </w:rPr>
        <w:t>Zedner</w:t>
      </w:r>
      <w:proofErr w:type="spellEnd"/>
      <w:r w:rsidRPr="004C4BCF">
        <w:rPr>
          <w:rFonts w:ascii="Times New Roman" w:hAnsi="Times New Roman"/>
          <w:sz w:val="24"/>
        </w:rPr>
        <w:t xml:space="preserve">, </w:t>
      </w:r>
      <w:r w:rsidRPr="004C4BCF">
        <w:rPr>
          <w:rFonts w:ascii="Times New Roman" w:hAnsi="Times New Roman"/>
          <w:i/>
          <w:sz w:val="24"/>
        </w:rPr>
        <w:t>Preventive Justice</w:t>
      </w:r>
      <w:r w:rsidRPr="004C4BCF">
        <w:rPr>
          <w:rFonts w:ascii="Times New Roman" w:hAnsi="Times New Roman"/>
          <w:sz w:val="24"/>
        </w:rPr>
        <w:t xml:space="preserve"> (2014) at 42, 253.</w:t>
      </w:r>
    </w:p>
  </w:footnote>
  <w:footnote w:id="156">
    <w:p w14:paraId="01EB791C"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Carpenter v United States</w:t>
      </w:r>
      <w:r w:rsidRPr="004C4BCF">
        <w:rPr>
          <w:rFonts w:ascii="Times New Roman" w:hAnsi="Times New Roman"/>
          <w:sz w:val="24"/>
        </w:rPr>
        <w:t xml:space="preserve"> (2018) 138 S Ct 2206 at 2223.</w:t>
      </w:r>
    </w:p>
  </w:footnote>
  <w:footnote w:id="157">
    <w:p w14:paraId="4191D15B"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Olmstead v United States</w:t>
      </w:r>
      <w:r w:rsidRPr="004C4BCF">
        <w:rPr>
          <w:rFonts w:ascii="Times New Roman" w:hAnsi="Times New Roman"/>
          <w:sz w:val="24"/>
        </w:rPr>
        <w:t xml:space="preserve"> (1928) 277 US 438 at 479.</w:t>
      </w:r>
    </w:p>
  </w:footnote>
  <w:footnote w:id="158">
    <w:p w14:paraId="1219740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(1992) 176 CLR 1 at 28.</w:t>
      </w:r>
    </w:p>
  </w:footnote>
  <w:footnote w:id="159">
    <w:p w14:paraId="758493C4"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See also </w:t>
      </w:r>
      <w:proofErr w:type="spellStart"/>
      <w:r w:rsidRPr="004C4BCF">
        <w:rPr>
          <w:rFonts w:ascii="Times New Roman" w:hAnsi="Times New Roman"/>
          <w:i/>
          <w:sz w:val="24"/>
        </w:rPr>
        <w:t>Vasiljkovic</w:t>
      </w:r>
      <w:proofErr w:type="spellEnd"/>
      <w:r w:rsidRPr="004C4BCF">
        <w:rPr>
          <w:rFonts w:ascii="Times New Roman" w:hAnsi="Times New Roman"/>
          <w:i/>
          <w:sz w:val="24"/>
        </w:rPr>
        <w:t xml:space="preserve"> v The Commonwealth</w:t>
      </w:r>
      <w:r w:rsidRPr="004C4BCF">
        <w:rPr>
          <w:rFonts w:ascii="Times New Roman" w:hAnsi="Times New Roman"/>
          <w:sz w:val="24"/>
        </w:rPr>
        <w:t xml:space="preserve"> (2006) 227 CLR 614 at 630-631 [37], 648-650 [108]-[116], 676 [222].</w:t>
      </w:r>
    </w:p>
  </w:footnote>
  <w:footnote w:id="160">
    <w:p w14:paraId="7A25CFFE"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North Australian Aboriginal Justice Agency Ltd v Northern Territory</w:t>
      </w:r>
      <w:r w:rsidRPr="004C4BCF">
        <w:rPr>
          <w:rFonts w:ascii="Times New Roman" w:hAnsi="Times New Roman"/>
          <w:sz w:val="24"/>
        </w:rPr>
        <w:t xml:space="preserve"> (2015) 256 CLR 569 at 611-612 [98]-[99]; </w:t>
      </w:r>
      <w:r w:rsidRPr="004C4BCF">
        <w:rPr>
          <w:rFonts w:ascii="Times New Roman" w:hAnsi="Times New Roman"/>
          <w:i/>
          <w:sz w:val="24"/>
        </w:rPr>
        <w:t>Plaintiff M96A/2016 v The Commonwealth</w:t>
      </w:r>
      <w:r w:rsidRPr="004C4BCF">
        <w:rPr>
          <w:rFonts w:ascii="Times New Roman" w:hAnsi="Times New Roman"/>
          <w:sz w:val="24"/>
        </w:rPr>
        <w:t xml:space="preserve"> (2017) 261 CLR 582 at 593 [21].</w:t>
      </w:r>
    </w:p>
  </w:footnote>
  <w:footnote w:id="161">
    <w:p w14:paraId="17A944FA"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R v Commonwealth Court of Conciliation and Arbitration;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Barrett</w:t>
      </w:r>
      <w:r w:rsidRPr="004C4BCF">
        <w:rPr>
          <w:rFonts w:ascii="Times New Roman" w:hAnsi="Times New Roman"/>
          <w:sz w:val="24"/>
        </w:rPr>
        <w:t xml:space="preserve"> (1945) 70 CLR 141 at 165.</w:t>
      </w:r>
    </w:p>
  </w:footnote>
  <w:footnote w:id="162">
    <w:p w14:paraId="53C7EE7B"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Re </w:t>
      </w:r>
      <w:proofErr w:type="spellStart"/>
      <w:r w:rsidRPr="004C4BCF">
        <w:rPr>
          <w:rFonts w:ascii="Times New Roman" w:hAnsi="Times New Roman"/>
          <w:i/>
          <w:sz w:val="24"/>
        </w:rPr>
        <w:t>Dingjan</w:t>
      </w:r>
      <w:proofErr w:type="spellEnd"/>
      <w:r w:rsidRPr="004C4BCF">
        <w:rPr>
          <w:rFonts w:ascii="Times New Roman" w:hAnsi="Times New Roman"/>
          <w:i/>
          <w:sz w:val="24"/>
        </w:rPr>
        <w:t xml:space="preserve">; Ex </w:t>
      </w:r>
      <w:proofErr w:type="spellStart"/>
      <w:r w:rsidRPr="004C4BCF">
        <w:rPr>
          <w:rFonts w:ascii="Times New Roman" w:hAnsi="Times New Roman"/>
          <w:i/>
          <w:sz w:val="24"/>
        </w:rPr>
        <w:t>parte</w:t>
      </w:r>
      <w:proofErr w:type="spellEnd"/>
      <w:r w:rsidRPr="004C4BCF">
        <w:rPr>
          <w:rFonts w:ascii="Times New Roman" w:hAnsi="Times New Roman"/>
          <w:i/>
          <w:sz w:val="24"/>
        </w:rPr>
        <w:t xml:space="preserve"> Wagner</w:t>
      </w:r>
      <w:r w:rsidRPr="004C4BCF">
        <w:rPr>
          <w:rFonts w:ascii="Times New Roman" w:hAnsi="Times New Roman"/>
          <w:sz w:val="24"/>
        </w:rPr>
        <w:t xml:space="preserve"> (1995) 183 CLR 323 at 360, quoting </w:t>
      </w:r>
      <w:r w:rsidRPr="004C4BCF">
        <w:rPr>
          <w:rFonts w:ascii="Times New Roman" w:hAnsi="Times New Roman"/>
          <w:i/>
          <w:sz w:val="24"/>
        </w:rPr>
        <w:t>Precision Data Holdings Ltd v Wills</w:t>
      </w:r>
      <w:r w:rsidRPr="004C4BCF">
        <w:rPr>
          <w:rFonts w:ascii="Times New Roman" w:hAnsi="Times New Roman"/>
          <w:sz w:val="24"/>
        </w:rPr>
        <w:t xml:space="preserve"> (1991) 173 CLR 167 at 191. See also </w:t>
      </w:r>
      <w:r w:rsidRPr="004C4BCF">
        <w:rPr>
          <w:rFonts w:ascii="Times New Roman" w:hAnsi="Times New Roman"/>
          <w:i/>
          <w:color w:val="000000"/>
          <w:sz w:val="24"/>
          <w:shd w:val="clear" w:color="auto" w:fill="FFFFFF"/>
        </w:rPr>
        <w:t>Vella v Commissioner of Police</w:t>
      </w:r>
      <w:r w:rsidRPr="004C4BCF">
        <w:rPr>
          <w:rFonts w:ascii="Times New Roman" w:hAnsi="Times New Roman"/>
          <w:color w:val="000000"/>
          <w:sz w:val="24"/>
          <w:shd w:val="clear" w:color="auto" w:fill="FFFFFF"/>
        </w:rPr>
        <w:t xml:space="preserve"> </w:t>
      </w:r>
      <w:r w:rsidRPr="004C4BCF">
        <w:rPr>
          <w:rFonts w:ascii="Times New Roman" w:hAnsi="Times New Roman"/>
          <w:i/>
          <w:color w:val="000000"/>
          <w:sz w:val="24"/>
          <w:shd w:val="clear" w:color="auto" w:fill="FFFFFF"/>
        </w:rPr>
        <w:t>(NSW)</w:t>
      </w:r>
      <w:r w:rsidRPr="004C4BCF">
        <w:rPr>
          <w:rFonts w:ascii="Times New Roman" w:hAnsi="Times New Roman"/>
          <w:color w:val="000000"/>
          <w:sz w:val="24"/>
          <w:shd w:val="clear" w:color="auto" w:fill="FFFFFF"/>
        </w:rPr>
        <w:t xml:space="preserve"> (2019) 93 ALJR 1236 at 1272-1275 [158]-[172]; 374 ALR 1 at 44-48.</w:t>
      </w:r>
    </w:p>
  </w:footnote>
  <w:footnote w:id="163">
    <w:p w14:paraId="3814BF59"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color w:val="000000"/>
          <w:sz w:val="24"/>
          <w:shd w:val="clear" w:color="auto" w:fill="FFFFFF"/>
        </w:rPr>
        <w:t>Australian National Airways Pty Ltd v The Commonwealth</w:t>
      </w:r>
      <w:r w:rsidRPr="004C4BCF">
        <w:rPr>
          <w:rFonts w:ascii="Times New Roman" w:hAnsi="Times New Roman"/>
          <w:color w:val="000000"/>
          <w:sz w:val="24"/>
          <w:shd w:val="clear" w:color="auto" w:fill="FFFFFF"/>
        </w:rPr>
        <w:t xml:space="preserve"> (1945) 71 CLR 29 at 81.</w:t>
      </w:r>
      <w:r w:rsidRPr="004C4BCF">
        <w:rPr>
          <w:rFonts w:ascii="Times New Roman" w:hAnsi="Times New Roman"/>
          <w:sz w:val="24"/>
        </w:rPr>
        <w:t xml:space="preserve"> </w:t>
      </w:r>
    </w:p>
  </w:footnote>
  <w:footnote w:id="164">
    <w:p w14:paraId="0EFD8AEF"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color w:val="000000"/>
          <w:sz w:val="24"/>
          <w:shd w:val="clear" w:color="auto" w:fill="FFFFFF"/>
        </w:rPr>
        <w:t>Thomas v Mowbray</w:t>
      </w:r>
      <w:r w:rsidRPr="004C4BCF">
        <w:rPr>
          <w:rFonts w:ascii="Times New Roman" w:hAnsi="Times New Roman"/>
          <w:color w:val="000000"/>
          <w:sz w:val="24"/>
          <w:shd w:val="clear" w:color="auto" w:fill="FFFFFF"/>
        </w:rPr>
        <w:t xml:space="preserve"> (2007) 233 CLR 307 at 329 </w:t>
      </w:r>
      <w:r w:rsidRPr="004C4BCF">
        <w:rPr>
          <w:rFonts w:ascii="Times New Roman" w:hAnsi="Times New Roman"/>
          <w:sz w:val="24"/>
        </w:rPr>
        <w:t>[17]</w:t>
      </w:r>
      <w:r w:rsidRPr="004C4BCF">
        <w:rPr>
          <w:rFonts w:ascii="Times New Roman" w:hAnsi="Times New Roman"/>
          <w:color w:val="000000"/>
          <w:sz w:val="24"/>
          <w:shd w:val="clear" w:color="auto" w:fill="FFFFFF"/>
        </w:rPr>
        <w:t xml:space="preserve">. See also </w:t>
      </w:r>
      <w:r w:rsidRPr="004C4BCF">
        <w:rPr>
          <w:rFonts w:ascii="Times New Roman" w:hAnsi="Times New Roman"/>
          <w:i/>
          <w:color w:val="000000"/>
          <w:sz w:val="24"/>
          <w:shd w:val="clear" w:color="auto" w:fill="FFFFFF"/>
        </w:rPr>
        <w:t>Vella v Commissioner of Police</w:t>
      </w:r>
      <w:r w:rsidRPr="004C4BCF">
        <w:rPr>
          <w:rFonts w:ascii="Times New Roman" w:hAnsi="Times New Roman"/>
          <w:color w:val="000000"/>
          <w:sz w:val="24"/>
          <w:shd w:val="clear" w:color="auto" w:fill="FFFFFF"/>
        </w:rPr>
        <w:t xml:space="preserve"> </w:t>
      </w:r>
      <w:r w:rsidRPr="004C4BCF">
        <w:rPr>
          <w:rFonts w:ascii="Times New Roman" w:hAnsi="Times New Roman"/>
          <w:i/>
          <w:color w:val="000000"/>
          <w:sz w:val="24"/>
          <w:shd w:val="clear" w:color="auto" w:fill="FFFFFF"/>
        </w:rPr>
        <w:t>(NSW)</w:t>
      </w:r>
      <w:r w:rsidRPr="004C4BCF">
        <w:rPr>
          <w:rFonts w:ascii="Times New Roman" w:hAnsi="Times New Roman"/>
          <w:color w:val="000000"/>
          <w:sz w:val="24"/>
          <w:shd w:val="clear" w:color="auto" w:fill="FFFFFF"/>
        </w:rPr>
        <w:t xml:space="preserve"> (2019) 93 ALJR 1236 at 1272 [158]; 374 ALR 1 at 44.</w:t>
      </w:r>
    </w:p>
  </w:footnote>
  <w:footnote w:id="165">
    <w:p w14:paraId="2FC79EE2"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Kruger v The Commonwealth</w:t>
      </w:r>
      <w:r w:rsidRPr="004C4BCF">
        <w:rPr>
          <w:rFonts w:ascii="Times New Roman" w:hAnsi="Times New Roman"/>
          <w:sz w:val="24"/>
        </w:rPr>
        <w:t xml:space="preserve"> (1997) 190 CLR 1 at 162, citing </w:t>
      </w:r>
      <w:r w:rsidRPr="004C4BCF">
        <w:rPr>
          <w:rFonts w:ascii="Times New Roman" w:hAnsi="Times New Roman"/>
          <w:i/>
          <w:sz w:val="24"/>
        </w:rPr>
        <w:t>Chu Kheng Lim v Minister for Immigration, Local Government and Ethnic Affairs</w:t>
      </w:r>
      <w:r w:rsidRPr="004C4BCF">
        <w:rPr>
          <w:rFonts w:ascii="Times New Roman" w:hAnsi="Times New Roman"/>
          <w:sz w:val="24"/>
        </w:rPr>
        <w:t xml:space="preserve"> (1992) 176 CLR 1 at 33, 46, 56, 65, 71. See also </w:t>
      </w:r>
      <w:proofErr w:type="spellStart"/>
      <w:r w:rsidRPr="004C4BCF">
        <w:rPr>
          <w:rFonts w:ascii="Times New Roman" w:hAnsi="Times New Roman"/>
          <w:i/>
          <w:sz w:val="24"/>
        </w:rPr>
        <w:t>Fardon</w:t>
      </w:r>
      <w:proofErr w:type="spellEnd"/>
      <w:r w:rsidRPr="004C4BCF">
        <w:rPr>
          <w:rFonts w:ascii="Times New Roman" w:hAnsi="Times New Roman"/>
          <w:i/>
          <w:sz w:val="24"/>
        </w:rPr>
        <w:t xml:space="preserve"> v Attorney-General</w:t>
      </w:r>
      <w:r w:rsidRPr="004C4BCF">
        <w:rPr>
          <w:rFonts w:ascii="Times New Roman" w:hAnsi="Times New Roman"/>
          <w:sz w:val="24"/>
        </w:rPr>
        <w:t xml:space="preserve"> </w:t>
      </w:r>
      <w:r w:rsidRPr="004C4BCF">
        <w:rPr>
          <w:rFonts w:ascii="Times New Roman" w:hAnsi="Times New Roman"/>
          <w:i/>
          <w:sz w:val="24"/>
        </w:rPr>
        <w:t>(Qld)</w:t>
      </w:r>
      <w:r w:rsidRPr="004C4BCF">
        <w:rPr>
          <w:rFonts w:ascii="Times New Roman" w:hAnsi="Times New Roman"/>
          <w:sz w:val="24"/>
        </w:rPr>
        <w:t xml:space="preserve"> (2004) 223 CLR 575 at 653-654 [215]; </w:t>
      </w:r>
      <w:proofErr w:type="spellStart"/>
      <w:r w:rsidRPr="004C4BCF">
        <w:rPr>
          <w:rFonts w:ascii="Times New Roman" w:hAnsi="Times New Roman"/>
          <w:i/>
          <w:sz w:val="24"/>
        </w:rPr>
        <w:t>Falzon</w:t>
      </w:r>
      <w:proofErr w:type="spellEnd"/>
      <w:r w:rsidRPr="004C4BCF">
        <w:rPr>
          <w:rFonts w:ascii="Times New Roman" w:hAnsi="Times New Roman"/>
          <w:i/>
          <w:sz w:val="24"/>
        </w:rPr>
        <w:t xml:space="preserve"> v Minister for Immigration and Border Protection</w:t>
      </w:r>
      <w:r w:rsidRPr="004C4BCF">
        <w:rPr>
          <w:rFonts w:ascii="Times New Roman" w:hAnsi="Times New Roman"/>
          <w:sz w:val="24"/>
        </w:rPr>
        <w:t xml:space="preserve"> (2018) 262 CLR 333 at 343 [27].</w:t>
      </w:r>
    </w:p>
  </w:footnote>
  <w:footnote w:id="166">
    <w:p w14:paraId="18271673"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McCloy v New South Wales</w:t>
      </w:r>
      <w:r w:rsidRPr="004C4BCF">
        <w:rPr>
          <w:rFonts w:ascii="Times New Roman" w:hAnsi="Times New Roman"/>
          <w:sz w:val="24"/>
        </w:rPr>
        <w:t xml:space="preserve"> (2015) 257 CLR 178 at 232 [132]; </w:t>
      </w:r>
      <w:r w:rsidRPr="004C4BCF">
        <w:rPr>
          <w:rFonts w:ascii="Times New Roman" w:hAnsi="Times New Roman"/>
          <w:i/>
          <w:sz w:val="24"/>
        </w:rPr>
        <w:t>Brown v Tasmania</w:t>
      </w:r>
      <w:r w:rsidRPr="004C4BCF">
        <w:rPr>
          <w:rFonts w:ascii="Times New Roman" w:hAnsi="Times New Roman"/>
          <w:sz w:val="24"/>
        </w:rPr>
        <w:t xml:space="preserve"> (2017) 261 CLR 328 at 392 [209]; </w:t>
      </w:r>
      <w:r w:rsidRPr="004C4BCF">
        <w:rPr>
          <w:rFonts w:ascii="Times New Roman" w:hAnsi="Times New Roman"/>
          <w:i/>
          <w:sz w:val="24"/>
        </w:rPr>
        <w:t>Spence v Queensland</w:t>
      </w:r>
      <w:r w:rsidRPr="004C4BCF">
        <w:rPr>
          <w:rFonts w:ascii="Times New Roman" w:hAnsi="Times New Roman"/>
          <w:sz w:val="24"/>
        </w:rPr>
        <w:t xml:space="preserve"> (2019) 93 ALJR 643 at 665 [60]; 367 ALR 587 at 605.</w:t>
      </w:r>
    </w:p>
  </w:footnote>
  <w:footnote w:id="167">
    <w:p w14:paraId="2E950528"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proofErr w:type="spellStart"/>
      <w:r w:rsidRPr="004C4BCF">
        <w:rPr>
          <w:rFonts w:ascii="Times New Roman" w:hAnsi="Times New Roman"/>
          <w:sz w:val="24"/>
        </w:rPr>
        <w:t>cf</w:t>
      </w:r>
      <w:proofErr w:type="spellEnd"/>
      <w:r w:rsidRPr="004C4BCF">
        <w:rPr>
          <w:rFonts w:ascii="Times New Roman" w:hAnsi="Times New Roman"/>
          <w:sz w:val="24"/>
        </w:rPr>
        <w:t xml:space="preserve"> </w:t>
      </w:r>
      <w:r w:rsidRPr="004C4BCF">
        <w:rPr>
          <w:rFonts w:ascii="Times New Roman" w:hAnsi="Times New Roman"/>
          <w:i/>
          <w:sz w:val="24"/>
        </w:rPr>
        <w:t>McCloy v New South Wales</w:t>
      </w:r>
      <w:r w:rsidRPr="004C4BCF">
        <w:rPr>
          <w:rFonts w:ascii="Times New Roman" w:hAnsi="Times New Roman"/>
          <w:sz w:val="24"/>
        </w:rPr>
        <w:t xml:space="preserve"> (2015) 257 CLR 178 at 231 [130].</w:t>
      </w:r>
    </w:p>
  </w:footnote>
  <w:footnote w:id="168">
    <w:p w14:paraId="25F39F08"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Chu Kheng Lim v Minister for Immigration, Local Government and Ethnic Affairs</w:t>
      </w:r>
      <w:r w:rsidRPr="004C4BCF">
        <w:rPr>
          <w:rFonts w:ascii="Times New Roman" w:hAnsi="Times New Roman"/>
          <w:color w:val="000000"/>
          <w:sz w:val="24"/>
          <w:szCs w:val="27"/>
          <w:shd w:val="clear" w:color="auto" w:fill="FFFFFF"/>
        </w:rPr>
        <w:t xml:space="preserve"> (1992) 176 CLR 1 at 27.</w:t>
      </w:r>
    </w:p>
  </w:footnote>
  <w:footnote w:id="169">
    <w:p w14:paraId="0E28C509"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13 of the </w:t>
      </w:r>
      <w:r w:rsidRPr="004C4BCF">
        <w:rPr>
          <w:rFonts w:ascii="Times New Roman" w:hAnsi="Times New Roman"/>
          <w:i/>
          <w:sz w:val="24"/>
        </w:rPr>
        <w:t>Dangerous Prisoners</w:t>
      </w:r>
      <w:r w:rsidRPr="004C4BCF">
        <w:rPr>
          <w:rFonts w:ascii="Times New Roman" w:hAnsi="Times New Roman"/>
          <w:sz w:val="24"/>
        </w:rPr>
        <w:t xml:space="preserve"> </w:t>
      </w:r>
      <w:r w:rsidRPr="004C4BCF">
        <w:rPr>
          <w:rFonts w:ascii="Times New Roman" w:hAnsi="Times New Roman"/>
          <w:i/>
          <w:sz w:val="24"/>
        </w:rPr>
        <w:t>(Sexual Offenders)</w:t>
      </w:r>
      <w:r w:rsidRPr="004C4BCF">
        <w:rPr>
          <w:rFonts w:ascii="Times New Roman" w:hAnsi="Times New Roman"/>
          <w:sz w:val="24"/>
        </w:rPr>
        <w:t xml:space="preserve"> </w:t>
      </w:r>
      <w:r w:rsidRPr="004C4BCF">
        <w:rPr>
          <w:rFonts w:ascii="Times New Roman" w:hAnsi="Times New Roman"/>
          <w:i/>
          <w:sz w:val="24"/>
        </w:rPr>
        <w:t>Act 2003</w:t>
      </w:r>
      <w:r w:rsidRPr="004C4BCF">
        <w:rPr>
          <w:rFonts w:ascii="Times New Roman" w:hAnsi="Times New Roman"/>
          <w:sz w:val="24"/>
        </w:rPr>
        <w:t xml:space="preserve"> (Qld) read with the definition of "serious sexual offence" in the Schedule to that Act.</w:t>
      </w:r>
    </w:p>
  </w:footnote>
  <w:footnote w:id="170">
    <w:p w14:paraId="4D1B968D"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color w:val="000000"/>
          <w:sz w:val="24"/>
          <w:shd w:val="clear" w:color="auto" w:fill="FFFFFF"/>
        </w:rPr>
        <w:t>(1996) 189 CLR 51.</w:t>
      </w:r>
    </w:p>
  </w:footnote>
  <w:footnote w:id="171">
    <w:p w14:paraId="366B867A"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color w:val="000000"/>
          <w:sz w:val="24"/>
          <w:shd w:val="clear" w:color="auto" w:fill="FFFFFF"/>
        </w:rPr>
        <w:t>North Australian Aboriginal Legal Aid Service Inc v Bradley</w:t>
      </w:r>
      <w:r w:rsidRPr="004C4BCF">
        <w:rPr>
          <w:rFonts w:ascii="Times New Roman" w:hAnsi="Times New Roman"/>
          <w:color w:val="000000"/>
          <w:sz w:val="24"/>
          <w:shd w:val="clear" w:color="auto" w:fill="FFFFFF"/>
        </w:rPr>
        <w:t xml:space="preserve"> (2004) 218 CLR 146 at 163 </w:t>
      </w:r>
      <w:r w:rsidRPr="004C4BCF">
        <w:rPr>
          <w:rFonts w:ascii="Times New Roman" w:hAnsi="Times New Roman"/>
          <w:sz w:val="24"/>
        </w:rPr>
        <w:t xml:space="preserve">[29]; </w:t>
      </w:r>
      <w:r w:rsidRPr="004C4BCF">
        <w:rPr>
          <w:rFonts w:ascii="Times New Roman" w:hAnsi="Times New Roman"/>
          <w:i/>
          <w:color w:val="000000"/>
          <w:sz w:val="24"/>
          <w:shd w:val="clear" w:color="auto" w:fill="FFFFFF"/>
        </w:rPr>
        <w:t>Forge v Australian Securities and Investments Commission</w:t>
      </w:r>
      <w:r w:rsidRPr="004C4BCF">
        <w:rPr>
          <w:rFonts w:ascii="Times New Roman" w:hAnsi="Times New Roman"/>
          <w:color w:val="000000"/>
          <w:sz w:val="24"/>
          <w:shd w:val="clear" w:color="auto" w:fill="FFFFFF"/>
        </w:rPr>
        <w:t xml:space="preserve"> (2006) 228 CLR 45 at 81 </w:t>
      </w:r>
      <w:r w:rsidRPr="004C4BCF">
        <w:rPr>
          <w:rFonts w:ascii="Times New Roman" w:hAnsi="Times New Roman"/>
          <w:sz w:val="24"/>
        </w:rPr>
        <w:t xml:space="preserve">[78]; </w:t>
      </w:r>
      <w:r w:rsidRPr="004C4BCF">
        <w:rPr>
          <w:rFonts w:ascii="Times New Roman" w:hAnsi="Times New Roman"/>
          <w:i/>
          <w:sz w:val="24"/>
        </w:rPr>
        <w:t>Vella v Commissioner of Police</w:t>
      </w:r>
      <w:r w:rsidRPr="004C4BCF">
        <w:rPr>
          <w:rFonts w:ascii="Times New Roman" w:hAnsi="Times New Roman"/>
          <w:sz w:val="24"/>
        </w:rPr>
        <w:t xml:space="preserve"> </w:t>
      </w:r>
      <w:r w:rsidRPr="004C4BCF">
        <w:rPr>
          <w:rFonts w:ascii="Times New Roman" w:hAnsi="Times New Roman"/>
          <w:i/>
          <w:sz w:val="24"/>
        </w:rPr>
        <w:t>(NSW)</w:t>
      </w:r>
      <w:r w:rsidRPr="004C4BCF">
        <w:rPr>
          <w:rFonts w:ascii="Times New Roman" w:hAnsi="Times New Roman"/>
          <w:sz w:val="24"/>
        </w:rPr>
        <w:t xml:space="preserve"> (2019) 93 ALJR 1236 at 1268 [138]-[139]; 374 ALR 1 at 39.</w:t>
      </w:r>
    </w:p>
  </w:footnote>
  <w:footnote w:id="172">
    <w:p w14:paraId="5612B556"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K-Generation Pty Ltd v Liquor Licensing Court </w:t>
      </w:r>
      <w:r w:rsidRPr="004C4BCF">
        <w:rPr>
          <w:rFonts w:ascii="Times New Roman" w:hAnsi="Times New Roman"/>
          <w:sz w:val="24"/>
        </w:rPr>
        <w:t>(2009) 237 CLR 501 at 544 [153].</w:t>
      </w:r>
    </w:p>
  </w:footnote>
  <w:footnote w:id="173">
    <w:p w14:paraId="26C374DE"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proofErr w:type="spellStart"/>
      <w:r w:rsidRPr="004C4BCF">
        <w:rPr>
          <w:rFonts w:ascii="Times New Roman" w:hAnsi="Times New Roman"/>
          <w:sz w:val="24"/>
        </w:rPr>
        <w:t>eg</w:t>
      </w:r>
      <w:proofErr w:type="spellEnd"/>
      <w:r w:rsidRPr="004C4BCF">
        <w:rPr>
          <w:rFonts w:ascii="Times New Roman" w:hAnsi="Times New Roman"/>
          <w:sz w:val="24"/>
        </w:rPr>
        <w:t xml:space="preserve"> s 5 of the </w:t>
      </w:r>
      <w:r w:rsidRPr="004C4BCF">
        <w:rPr>
          <w:rFonts w:ascii="Times New Roman" w:hAnsi="Times New Roman"/>
          <w:i/>
          <w:sz w:val="24"/>
        </w:rPr>
        <w:t>Community Protection Act 1994</w:t>
      </w:r>
      <w:r w:rsidRPr="004C4BCF">
        <w:rPr>
          <w:rFonts w:ascii="Times New Roman" w:hAnsi="Times New Roman"/>
          <w:sz w:val="24"/>
        </w:rPr>
        <w:t xml:space="preserve"> (NSW), considered in </w:t>
      </w:r>
      <w:r w:rsidRPr="004C4BCF">
        <w:rPr>
          <w:rFonts w:ascii="Times New Roman" w:hAnsi="Times New Roman"/>
          <w:i/>
          <w:sz w:val="24"/>
        </w:rPr>
        <w:t>Kable v Director of Public Prosecutions</w:t>
      </w:r>
      <w:r w:rsidRPr="004C4BCF">
        <w:rPr>
          <w:rFonts w:ascii="Times New Roman" w:hAnsi="Times New Roman"/>
          <w:sz w:val="24"/>
        </w:rPr>
        <w:t xml:space="preserve"> </w:t>
      </w:r>
      <w:r w:rsidRPr="004C4BCF">
        <w:rPr>
          <w:rFonts w:ascii="Times New Roman" w:hAnsi="Times New Roman"/>
          <w:i/>
          <w:sz w:val="24"/>
        </w:rPr>
        <w:t xml:space="preserve">(NSW) </w:t>
      </w:r>
      <w:r w:rsidRPr="004C4BCF">
        <w:rPr>
          <w:rFonts w:ascii="Times New Roman" w:hAnsi="Times New Roman"/>
          <w:sz w:val="24"/>
        </w:rPr>
        <w:t>(1996) 189 CLR 51.</w:t>
      </w:r>
    </w:p>
  </w:footnote>
  <w:footnote w:id="174">
    <w:p w14:paraId="33672D3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proofErr w:type="spellStart"/>
      <w:r w:rsidRPr="004C4BCF">
        <w:rPr>
          <w:rFonts w:ascii="Times New Roman" w:hAnsi="Times New Roman"/>
          <w:sz w:val="24"/>
        </w:rPr>
        <w:t>eg</w:t>
      </w:r>
      <w:proofErr w:type="spellEnd"/>
      <w:r w:rsidRPr="004C4BCF">
        <w:rPr>
          <w:rFonts w:ascii="Times New Roman" w:hAnsi="Times New Roman"/>
          <w:sz w:val="24"/>
        </w:rPr>
        <w:t xml:space="preserve"> s 9 of the </w:t>
      </w:r>
      <w:r w:rsidRPr="004C4BCF">
        <w:rPr>
          <w:rFonts w:ascii="Times New Roman" w:hAnsi="Times New Roman"/>
          <w:i/>
          <w:sz w:val="24"/>
        </w:rPr>
        <w:t>Crimes</w:t>
      </w:r>
      <w:r w:rsidRPr="004C4BCF">
        <w:rPr>
          <w:rFonts w:ascii="Times New Roman" w:hAnsi="Times New Roman"/>
          <w:sz w:val="24"/>
        </w:rPr>
        <w:t xml:space="preserve"> </w:t>
      </w:r>
      <w:r w:rsidRPr="004C4BCF">
        <w:rPr>
          <w:rFonts w:ascii="Times New Roman" w:hAnsi="Times New Roman"/>
          <w:i/>
          <w:sz w:val="24"/>
        </w:rPr>
        <w:t>(Criminal Organisations Control)</w:t>
      </w:r>
      <w:r w:rsidRPr="004C4BCF">
        <w:rPr>
          <w:rFonts w:ascii="Times New Roman" w:hAnsi="Times New Roman"/>
          <w:sz w:val="24"/>
        </w:rPr>
        <w:t xml:space="preserve"> </w:t>
      </w:r>
      <w:r w:rsidRPr="004C4BCF">
        <w:rPr>
          <w:rFonts w:ascii="Times New Roman" w:hAnsi="Times New Roman"/>
          <w:i/>
          <w:sz w:val="24"/>
        </w:rPr>
        <w:t xml:space="preserve">Act 2009 </w:t>
      </w:r>
      <w:r w:rsidRPr="004C4BCF">
        <w:rPr>
          <w:rFonts w:ascii="Times New Roman" w:hAnsi="Times New Roman"/>
          <w:sz w:val="24"/>
        </w:rPr>
        <w:t xml:space="preserve">(NSW), considered in </w:t>
      </w:r>
      <w:proofErr w:type="spellStart"/>
      <w:r w:rsidRPr="004C4BCF">
        <w:rPr>
          <w:rFonts w:ascii="Times New Roman" w:hAnsi="Times New Roman"/>
          <w:i/>
          <w:sz w:val="24"/>
        </w:rPr>
        <w:t>Wainohu</w:t>
      </w:r>
      <w:proofErr w:type="spellEnd"/>
      <w:r w:rsidRPr="004C4BCF">
        <w:rPr>
          <w:rFonts w:ascii="Times New Roman" w:hAnsi="Times New Roman"/>
          <w:i/>
          <w:sz w:val="24"/>
        </w:rPr>
        <w:t xml:space="preserve"> v New South Wales</w:t>
      </w:r>
      <w:r w:rsidRPr="004C4BCF">
        <w:rPr>
          <w:rFonts w:ascii="Times New Roman" w:hAnsi="Times New Roman"/>
          <w:sz w:val="24"/>
        </w:rPr>
        <w:t xml:space="preserve"> (2011) 243 CLR 181.</w:t>
      </w:r>
    </w:p>
  </w:footnote>
  <w:footnote w:id="175">
    <w:p w14:paraId="183E2BD0"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Attorney-General</w:t>
      </w:r>
      <w:r w:rsidRPr="004C4BCF">
        <w:rPr>
          <w:rFonts w:ascii="Times New Roman" w:hAnsi="Times New Roman"/>
          <w:sz w:val="24"/>
        </w:rPr>
        <w:t xml:space="preserve"> </w:t>
      </w:r>
      <w:r w:rsidRPr="004C4BCF">
        <w:rPr>
          <w:rFonts w:ascii="Times New Roman" w:hAnsi="Times New Roman"/>
          <w:i/>
          <w:sz w:val="24"/>
        </w:rPr>
        <w:t>(NT)</w:t>
      </w:r>
      <w:r w:rsidRPr="004C4BCF">
        <w:rPr>
          <w:rFonts w:ascii="Times New Roman" w:hAnsi="Times New Roman"/>
          <w:sz w:val="24"/>
        </w:rPr>
        <w:t xml:space="preserve"> </w:t>
      </w:r>
      <w:r w:rsidRPr="004C4BCF">
        <w:rPr>
          <w:rFonts w:ascii="Times New Roman" w:hAnsi="Times New Roman"/>
          <w:i/>
          <w:sz w:val="24"/>
        </w:rPr>
        <w:t>v Emmerson</w:t>
      </w:r>
      <w:r w:rsidRPr="004C4BCF">
        <w:rPr>
          <w:rFonts w:ascii="Times New Roman" w:hAnsi="Times New Roman"/>
          <w:sz w:val="24"/>
        </w:rPr>
        <w:t xml:space="preserve"> (2014) 253 CLR 393 at 424 [40].</w:t>
      </w:r>
    </w:p>
  </w:footnote>
  <w:footnote w:id="176">
    <w:p w14:paraId="24239112"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color w:val="000000"/>
          <w:sz w:val="24"/>
          <w:shd w:val="clear" w:color="auto" w:fill="FFFFFF"/>
        </w:rPr>
        <w:t>H A Bachrach Pty Ltd v Queensland</w:t>
      </w:r>
      <w:r w:rsidRPr="004C4BCF">
        <w:rPr>
          <w:rFonts w:ascii="Times New Roman" w:hAnsi="Times New Roman"/>
          <w:color w:val="000000"/>
          <w:sz w:val="24"/>
          <w:shd w:val="clear" w:color="auto" w:fill="FFFFFF"/>
        </w:rPr>
        <w:t xml:space="preserve"> (1998) 195 CLR 547 at 561-562 [14]; </w:t>
      </w:r>
      <w:proofErr w:type="spellStart"/>
      <w:r w:rsidRPr="004C4BCF">
        <w:rPr>
          <w:rFonts w:ascii="Times New Roman" w:hAnsi="Times New Roman"/>
          <w:i/>
          <w:color w:val="000000"/>
          <w:sz w:val="24"/>
          <w:shd w:val="clear" w:color="auto" w:fill="FFFFFF"/>
        </w:rPr>
        <w:t>Silbert</w:t>
      </w:r>
      <w:proofErr w:type="spellEnd"/>
      <w:r w:rsidRPr="004C4BCF">
        <w:rPr>
          <w:rFonts w:ascii="Times New Roman" w:hAnsi="Times New Roman"/>
          <w:i/>
          <w:color w:val="000000"/>
          <w:sz w:val="24"/>
          <w:shd w:val="clear" w:color="auto" w:fill="FFFFFF"/>
        </w:rPr>
        <w:t xml:space="preserve"> v Director of Public Prosecutions (WA)</w:t>
      </w:r>
      <w:r w:rsidRPr="004C4BCF">
        <w:rPr>
          <w:rFonts w:ascii="Times New Roman" w:hAnsi="Times New Roman"/>
          <w:color w:val="000000"/>
          <w:sz w:val="24"/>
          <w:shd w:val="clear" w:color="auto" w:fill="FFFFFF"/>
        </w:rPr>
        <w:t xml:space="preserve"> (2004) 217 CLR 181 at 186 [9]-[11], 194 [39]; </w:t>
      </w:r>
      <w:r w:rsidRPr="004C4BCF">
        <w:rPr>
          <w:rFonts w:ascii="Times New Roman" w:hAnsi="Times New Roman"/>
          <w:i/>
          <w:color w:val="000000"/>
          <w:sz w:val="24"/>
          <w:shd w:val="clear" w:color="auto" w:fill="FFFFFF"/>
        </w:rPr>
        <w:t>Baker v The Queen</w:t>
      </w:r>
      <w:r w:rsidRPr="004C4BCF">
        <w:rPr>
          <w:rFonts w:ascii="Times New Roman" w:hAnsi="Times New Roman"/>
          <w:color w:val="000000"/>
          <w:sz w:val="24"/>
          <w:shd w:val="clear" w:color="auto" w:fill="FFFFFF"/>
        </w:rPr>
        <w:t xml:space="preserve"> (2004) 223 CLR 513 at 526-527 [22]-[24].</w:t>
      </w:r>
    </w:p>
  </w:footnote>
  <w:footnote w:id="177">
    <w:p w14:paraId="03813676"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(2004) 223 CLR 575 at 580.</w:t>
      </w:r>
    </w:p>
  </w:footnote>
  <w:footnote w:id="178">
    <w:p w14:paraId="0F12F4F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(2004) 223 CLR 575 at 608-614 [68]-[89], 631 [145].</w:t>
      </w:r>
    </w:p>
  </w:footnote>
  <w:footnote w:id="179">
    <w:p w14:paraId="654C154C"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(2004) 223 CLR 575 at 613 [84].</w:t>
      </w:r>
    </w:p>
  </w:footnote>
  <w:footnote w:id="180">
    <w:p w14:paraId="32D9EA97"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(2004) 223 CLR 575 at 614 [85].</w:t>
      </w:r>
    </w:p>
  </w:footnote>
  <w:footnote w:id="181">
    <w:p w14:paraId="6D095E7F"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(2004) 223 CLR 575 at 612-613 [81]. See also </w:t>
      </w:r>
      <w:r w:rsidRPr="004C4BCF">
        <w:rPr>
          <w:rFonts w:ascii="Times New Roman" w:hAnsi="Times New Roman"/>
          <w:i/>
          <w:sz w:val="24"/>
        </w:rPr>
        <w:t>Al-</w:t>
      </w:r>
      <w:proofErr w:type="spellStart"/>
      <w:r w:rsidRPr="004C4BCF">
        <w:rPr>
          <w:rFonts w:ascii="Times New Roman" w:hAnsi="Times New Roman"/>
          <w:i/>
          <w:sz w:val="24"/>
        </w:rPr>
        <w:t>Kateb</w:t>
      </w:r>
      <w:proofErr w:type="spellEnd"/>
      <w:r w:rsidRPr="004C4BCF">
        <w:rPr>
          <w:rFonts w:ascii="Times New Roman" w:hAnsi="Times New Roman"/>
          <w:i/>
          <w:sz w:val="24"/>
        </w:rPr>
        <w:t xml:space="preserve"> v Godwin</w:t>
      </w:r>
      <w:r w:rsidRPr="004C4BCF">
        <w:rPr>
          <w:rFonts w:ascii="Times New Roman" w:hAnsi="Times New Roman"/>
          <w:sz w:val="24"/>
        </w:rPr>
        <w:t xml:space="preserve"> (2004) 219 CLR 562 at 612-613 [137]-[138].</w:t>
      </w:r>
    </w:p>
  </w:footnote>
  <w:footnote w:id="182">
    <w:p w14:paraId="1B7B1E7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proofErr w:type="spellStart"/>
      <w:r w:rsidRPr="004C4BCF">
        <w:rPr>
          <w:rFonts w:ascii="Times New Roman" w:hAnsi="Times New Roman"/>
          <w:sz w:val="24"/>
        </w:rPr>
        <w:t>cf</w:t>
      </w:r>
      <w:proofErr w:type="spellEnd"/>
      <w:r w:rsidRPr="004C4BCF">
        <w:rPr>
          <w:rFonts w:ascii="Times New Roman" w:hAnsi="Times New Roman"/>
          <w:sz w:val="24"/>
        </w:rPr>
        <w:t xml:space="preserve"> </w:t>
      </w:r>
      <w:r w:rsidRPr="004C4BCF">
        <w:rPr>
          <w:rFonts w:ascii="Times New Roman" w:hAnsi="Times New Roman"/>
          <w:i/>
          <w:sz w:val="24"/>
        </w:rPr>
        <w:t>Wei v Minister for Immigration and Border Protection</w:t>
      </w:r>
      <w:r w:rsidRPr="004C4BCF">
        <w:rPr>
          <w:rFonts w:ascii="Times New Roman" w:hAnsi="Times New Roman"/>
          <w:sz w:val="24"/>
        </w:rPr>
        <w:t xml:space="preserve"> (2015) 257 CLR 22 at 32-33 [24]; </w:t>
      </w:r>
      <w:r w:rsidRPr="004C4BCF">
        <w:rPr>
          <w:rFonts w:ascii="Times New Roman" w:hAnsi="Times New Roman"/>
          <w:i/>
          <w:sz w:val="24"/>
        </w:rPr>
        <w:t>Hossain v Minister for Immigration and Border Protection</w:t>
      </w:r>
      <w:r w:rsidRPr="004C4BCF">
        <w:rPr>
          <w:rFonts w:ascii="Times New Roman" w:hAnsi="Times New Roman"/>
          <w:sz w:val="24"/>
        </w:rPr>
        <w:t xml:space="preserve"> (2018) 264 CLR 123 at 130-131 [18], 132 [22].</w:t>
      </w:r>
    </w:p>
  </w:footnote>
  <w:footnote w:id="183">
    <w:p w14:paraId="5D4C2CC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(2004) 223 CLR 575 at 654 [217].</w:t>
      </w:r>
    </w:p>
  </w:footnote>
  <w:footnote w:id="184">
    <w:p w14:paraId="4E5E593B"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(2004) 223 CLR 575 at 588-589 [9], quoting </w:t>
      </w:r>
      <w:r w:rsidRPr="004C4BCF">
        <w:rPr>
          <w:rFonts w:ascii="Times New Roman" w:hAnsi="Times New Roman"/>
          <w:i/>
          <w:sz w:val="24"/>
        </w:rPr>
        <w:t>Veen v The Queen [No 2]</w:t>
      </w:r>
      <w:r w:rsidRPr="004C4BCF">
        <w:rPr>
          <w:rFonts w:ascii="Times New Roman" w:hAnsi="Times New Roman"/>
          <w:sz w:val="24"/>
        </w:rPr>
        <w:t xml:space="preserve"> (1988) 164 CLR 465 at 495. See also (2004) 223 CLR 575 at 592 [20].</w:t>
      </w:r>
    </w:p>
  </w:footnote>
  <w:footnote w:id="185">
    <w:p w14:paraId="14921A35"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(2013) 252 CLR 118.</w:t>
      </w:r>
    </w:p>
  </w:footnote>
  <w:footnote w:id="186">
    <w:p w14:paraId="44041AB3"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(1996) 189 CLR 51.</w:t>
      </w:r>
    </w:p>
  </w:footnote>
  <w:footnote w:id="187">
    <w:p w14:paraId="6C812EC0"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(2013) 252 CLR 118 at 134 [36], 139-140 [53]-[55].</w:t>
      </w:r>
    </w:p>
  </w:footnote>
  <w:footnote w:id="188">
    <w:p w14:paraId="32EB60E8"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(2007) 233 CLR 307 at 328-330 [16]-[18], 356-357 [114]-[121], 507 [595], 526 [651].</w:t>
      </w:r>
    </w:p>
  </w:footnote>
  <w:footnote w:id="189">
    <w:p w14:paraId="0AF16027"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104.1 of the </w:t>
      </w:r>
      <w:r w:rsidRPr="004C4BCF">
        <w:rPr>
          <w:rFonts w:ascii="Times New Roman" w:hAnsi="Times New Roman"/>
          <w:i/>
          <w:sz w:val="24"/>
        </w:rPr>
        <w:t>Criminal Code</w:t>
      </w:r>
      <w:r w:rsidRPr="004C4BCF">
        <w:rPr>
          <w:rFonts w:ascii="Times New Roman" w:hAnsi="Times New Roman"/>
          <w:sz w:val="24"/>
        </w:rPr>
        <w:t xml:space="preserve">, as discussed in </w:t>
      </w:r>
      <w:r w:rsidRPr="004C4BCF">
        <w:rPr>
          <w:rFonts w:ascii="Times New Roman" w:hAnsi="Times New Roman"/>
          <w:i/>
          <w:sz w:val="24"/>
        </w:rPr>
        <w:t xml:space="preserve">Thomas v Mowbray </w:t>
      </w:r>
      <w:r w:rsidRPr="004C4BCF">
        <w:rPr>
          <w:rFonts w:ascii="Times New Roman" w:hAnsi="Times New Roman"/>
          <w:sz w:val="24"/>
        </w:rPr>
        <w:t>(2007) 233 CLR 307 at 337 [43].</w:t>
      </w:r>
    </w:p>
  </w:footnote>
  <w:footnote w:id="190">
    <w:p w14:paraId="690270A9"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104.4(1)(d) of the </w:t>
      </w:r>
      <w:r w:rsidRPr="004C4BCF">
        <w:rPr>
          <w:rFonts w:ascii="Times New Roman" w:hAnsi="Times New Roman"/>
          <w:i/>
          <w:sz w:val="24"/>
        </w:rPr>
        <w:t>Criminal Code</w:t>
      </w:r>
      <w:r w:rsidRPr="004C4BCF">
        <w:rPr>
          <w:rFonts w:ascii="Times New Roman" w:hAnsi="Times New Roman"/>
          <w:sz w:val="24"/>
        </w:rPr>
        <w:t xml:space="preserve">, as discussed in </w:t>
      </w:r>
      <w:r w:rsidRPr="004C4BCF">
        <w:rPr>
          <w:rFonts w:ascii="Times New Roman" w:hAnsi="Times New Roman"/>
          <w:i/>
          <w:sz w:val="24"/>
        </w:rPr>
        <w:t xml:space="preserve">Thomas v Mowbray </w:t>
      </w:r>
      <w:r w:rsidRPr="004C4BCF">
        <w:rPr>
          <w:rFonts w:ascii="Times New Roman" w:hAnsi="Times New Roman"/>
          <w:sz w:val="24"/>
        </w:rPr>
        <w:t>(2007) 233 CLR 307 at 342 [64].</w:t>
      </w:r>
    </w:p>
  </w:footnote>
  <w:footnote w:id="191">
    <w:p w14:paraId="1DA901F3"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104.1(a) and (b) of the </w:t>
      </w:r>
      <w:r w:rsidRPr="004C4BCF">
        <w:rPr>
          <w:rFonts w:ascii="Times New Roman" w:hAnsi="Times New Roman"/>
          <w:i/>
          <w:sz w:val="24"/>
        </w:rPr>
        <w:t>Criminal Code</w:t>
      </w:r>
      <w:r w:rsidRPr="004C4BCF">
        <w:rPr>
          <w:rFonts w:ascii="Times New Roman" w:hAnsi="Times New Roman"/>
          <w:sz w:val="24"/>
        </w:rPr>
        <w:t>.</w:t>
      </w:r>
    </w:p>
  </w:footnote>
  <w:footnote w:id="192">
    <w:p w14:paraId="77BC9919"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Section 104.4(1)(d)(</w:t>
      </w:r>
      <w:proofErr w:type="spellStart"/>
      <w:r w:rsidRPr="004C4BCF">
        <w:rPr>
          <w:rFonts w:ascii="Times New Roman" w:hAnsi="Times New Roman"/>
          <w:sz w:val="24"/>
        </w:rPr>
        <w:t>i</w:t>
      </w:r>
      <w:proofErr w:type="spellEnd"/>
      <w:r w:rsidRPr="004C4BCF">
        <w:rPr>
          <w:rFonts w:ascii="Times New Roman" w:hAnsi="Times New Roman"/>
          <w:sz w:val="24"/>
        </w:rPr>
        <w:t xml:space="preserve">) and (ii) of the </w:t>
      </w:r>
      <w:r w:rsidRPr="004C4BCF">
        <w:rPr>
          <w:rFonts w:ascii="Times New Roman" w:hAnsi="Times New Roman"/>
          <w:i/>
          <w:sz w:val="24"/>
        </w:rPr>
        <w:t>Criminal Code.</w:t>
      </w:r>
    </w:p>
  </w:footnote>
  <w:footnote w:id="193">
    <w:p w14:paraId="194A3B69"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Counter-Terrorism Legislation Amendment Act (No 1) 2014 </w:t>
      </w:r>
      <w:r w:rsidRPr="004C4BCF">
        <w:rPr>
          <w:rFonts w:ascii="Times New Roman" w:hAnsi="Times New Roman"/>
          <w:sz w:val="24"/>
        </w:rPr>
        <w:t>(Cth), which relevantly commenced in 2015.</w:t>
      </w:r>
    </w:p>
  </w:footnote>
  <w:footnote w:id="194">
    <w:p w14:paraId="4FD5F134"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105A.1 of the </w:t>
      </w:r>
      <w:r w:rsidRPr="004C4BCF">
        <w:rPr>
          <w:rFonts w:ascii="Times New Roman" w:hAnsi="Times New Roman"/>
          <w:i/>
          <w:sz w:val="24"/>
        </w:rPr>
        <w:t>Criminal Code</w:t>
      </w:r>
      <w:r w:rsidRPr="004C4BCF">
        <w:rPr>
          <w:rFonts w:ascii="Times New Roman" w:hAnsi="Times New Roman"/>
          <w:sz w:val="24"/>
        </w:rPr>
        <w:t>.</w:t>
      </w:r>
    </w:p>
  </w:footnote>
  <w:footnote w:id="195">
    <w:p w14:paraId="5D932B5C"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Section 105A.7(1)(b) and (c) of the </w:t>
      </w:r>
      <w:r w:rsidRPr="004C4BCF">
        <w:rPr>
          <w:rFonts w:ascii="Times New Roman" w:hAnsi="Times New Roman"/>
          <w:i/>
          <w:sz w:val="24"/>
        </w:rPr>
        <w:t>Criminal Code.</w:t>
      </w:r>
    </w:p>
  </w:footnote>
  <w:footnote w:id="196">
    <w:p w14:paraId="71F34F98"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Australia, House of Representatives, </w:t>
      </w:r>
      <w:r w:rsidRPr="004C4BCF">
        <w:rPr>
          <w:rFonts w:ascii="Times New Roman" w:hAnsi="Times New Roman"/>
          <w:i/>
          <w:sz w:val="24"/>
        </w:rPr>
        <w:t>Criminal Code Amendment (High Risk Terrorist Offenders) Bill 2016</w:t>
      </w:r>
      <w:r w:rsidRPr="004C4BCF">
        <w:rPr>
          <w:rFonts w:ascii="Times New Roman" w:hAnsi="Times New Roman"/>
          <w:sz w:val="24"/>
        </w:rPr>
        <w:t>, Revised Explanatory Memorandum at 3.</w:t>
      </w:r>
    </w:p>
  </w:footnote>
  <w:footnote w:id="197">
    <w:p w14:paraId="1E417EFE"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Australia, Senate, </w:t>
      </w:r>
      <w:r w:rsidRPr="004C4BCF">
        <w:rPr>
          <w:rFonts w:ascii="Times New Roman" w:hAnsi="Times New Roman"/>
          <w:i/>
          <w:sz w:val="24"/>
        </w:rPr>
        <w:t>Criminal Code Amendment (High Risk Terrorist Offenders) Bill 2016</w:t>
      </w:r>
      <w:r w:rsidRPr="004C4BCF">
        <w:rPr>
          <w:rFonts w:ascii="Times New Roman" w:hAnsi="Times New Roman"/>
          <w:sz w:val="24"/>
        </w:rPr>
        <w:t>, Supplementary Explanatory Memorandum at 3, 13.</w:t>
      </w:r>
    </w:p>
  </w:footnote>
  <w:footnote w:id="198">
    <w:p w14:paraId="51B1AB04"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t xml:space="preserve">See </w:t>
      </w:r>
      <w:proofErr w:type="spellStart"/>
      <w:r w:rsidRPr="004C4BCF">
        <w:rPr>
          <w:rFonts w:ascii="Times New Roman" w:hAnsi="Times New Roman"/>
          <w:sz w:val="24"/>
        </w:rPr>
        <w:t>eg</w:t>
      </w:r>
      <w:proofErr w:type="spellEnd"/>
      <w:r w:rsidRPr="004C4BCF">
        <w:rPr>
          <w:rFonts w:ascii="Times New Roman" w:hAnsi="Times New Roman"/>
          <w:sz w:val="24"/>
        </w:rPr>
        <w:t xml:space="preserve"> s 5(1)(a)(</w:t>
      </w:r>
      <w:proofErr w:type="spellStart"/>
      <w:r w:rsidRPr="004C4BCF">
        <w:rPr>
          <w:rFonts w:ascii="Times New Roman" w:hAnsi="Times New Roman"/>
          <w:sz w:val="24"/>
        </w:rPr>
        <w:t>i</w:t>
      </w:r>
      <w:proofErr w:type="spellEnd"/>
      <w:r w:rsidRPr="004C4BCF">
        <w:rPr>
          <w:rFonts w:ascii="Times New Roman" w:hAnsi="Times New Roman"/>
          <w:sz w:val="24"/>
        </w:rPr>
        <w:t xml:space="preserve">) of the </w:t>
      </w:r>
      <w:r w:rsidRPr="004C4BCF">
        <w:rPr>
          <w:rFonts w:ascii="Times New Roman" w:hAnsi="Times New Roman"/>
          <w:i/>
          <w:sz w:val="24"/>
        </w:rPr>
        <w:t>Crimes</w:t>
      </w:r>
      <w:r w:rsidRPr="004C4BCF">
        <w:rPr>
          <w:rFonts w:ascii="Times New Roman" w:hAnsi="Times New Roman"/>
          <w:sz w:val="24"/>
        </w:rPr>
        <w:t xml:space="preserve"> </w:t>
      </w:r>
      <w:r w:rsidRPr="004C4BCF">
        <w:rPr>
          <w:rFonts w:ascii="Times New Roman" w:hAnsi="Times New Roman"/>
          <w:i/>
          <w:sz w:val="24"/>
        </w:rPr>
        <w:t>(High Risk Offenders) Act 2006</w:t>
      </w:r>
      <w:r w:rsidRPr="004C4BCF">
        <w:rPr>
          <w:rFonts w:ascii="Times New Roman" w:hAnsi="Times New Roman"/>
          <w:sz w:val="24"/>
        </w:rPr>
        <w:t xml:space="preserve"> (NSW) (as to the provenance of which see </w:t>
      </w:r>
      <w:proofErr w:type="spellStart"/>
      <w:r w:rsidRPr="004C4BCF">
        <w:rPr>
          <w:rFonts w:ascii="Times New Roman" w:hAnsi="Times New Roman"/>
          <w:sz w:val="24"/>
        </w:rPr>
        <w:t>Tulich</w:t>
      </w:r>
      <w:proofErr w:type="spellEnd"/>
      <w:r w:rsidRPr="004C4BCF">
        <w:rPr>
          <w:rFonts w:ascii="Times New Roman" w:hAnsi="Times New Roman"/>
          <w:sz w:val="24"/>
        </w:rPr>
        <w:t xml:space="preserve">, "Post-Sentence Preventive Detention and Extended Supervision of High Risk Offenders in New South Wales" (2015) 38 </w:t>
      </w:r>
      <w:r w:rsidRPr="004C4BCF">
        <w:rPr>
          <w:rFonts w:ascii="Times New Roman" w:hAnsi="Times New Roman"/>
          <w:i/>
          <w:sz w:val="24"/>
        </w:rPr>
        <w:t>University of New South Wales Law Journal</w:t>
      </w:r>
      <w:r w:rsidRPr="004C4BCF">
        <w:rPr>
          <w:rFonts w:ascii="Times New Roman" w:hAnsi="Times New Roman"/>
          <w:sz w:val="24"/>
        </w:rPr>
        <w:t xml:space="preserve"> 823 at 829-832) and the definition of "serious sexual offence" in s 106A of the </w:t>
      </w:r>
      <w:r w:rsidRPr="004C4BCF">
        <w:rPr>
          <w:rFonts w:ascii="Times New Roman" w:hAnsi="Times New Roman"/>
          <w:i/>
          <w:sz w:val="24"/>
        </w:rPr>
        <w:t>Evidence Act 1906</w:t>
      </w:r>
      <w:r w:rsidRPr="004C4BCF">
        <w:rPr>
          <w:rFonts w:ascii="Times New Roman" w:hAnsi="Times New Roman"/>
          <w:sz w:val="24"/>
        </w:rPr>
        <w:t xml:space="preserve"> (WA) adopted in s 3(1) of the </w:t>
      </w:r>
      <w:r w:rsidRPr="004C4BCF">
        <w:rPr>
          <w:rFonts w:ascii="Times New Roman" w:hAnsi="Times New Roman"/>
          <w:i/>
          <w:sz w:val="24"/>
        </w:rPr>
        <w:t>Dangerous Sexual Offenders Act 2006</w:t>
      </w:r>
      <w:r w:rsidRPr="004C4BCF">
        <w:rPr>
          <w:rFonts w:ascii="Times New Roman" w:hAnsi="Times New Roman"/>
          <w:sz w:val="24"/>
        </w:rPr>
        <w:t xml:space="preserve"> (WA).</w:t>
      </w:r>
    </w:p>
  </w:footnote>
  <w:footnote w:id="199">
    <w:p w14:paraId="27FAA301"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color w:val="000000"/>
          <w:sz w:val="24"/>
          <w:shd w:val="clear" w:color="auto" w:fill="FFFFFF"/>
        </w:rPr>
        <w:t>Independent National Security Legislation Monitor Act 2010</w:t>
      </w:r>
      <w:r w:rsidRPr="004C4BCF">
        <w:rPr>
          <w:rFonts w:ascii="Times New Roman" w:hAnsi="Times New Roman"/>
          <w:color w:val="000000"/>
          <w:sz w:val="24"/>
          <w:shd w:val="clear" w:color="auto" w:fill="FFFFFF"/>
        </w:rPr>
        <w:t xml:space="preserve"> (</w:t>
      </w:r>
      <w:proofErr w:type="spellStart"/>
      <w:r w:rsidRPr="004C4BCF">
        <w:rPr>
          <w:rFonts w:ascii="Times New Roman" w:hAnsi="Times New Roman"/>
          <w:color w:val="000000"/>
          <w:sz w:val="24"/>
          <w:shd w:val="clear" w:color="auto" w:fill="FFFFFF"/>
        </w:rPr>
        <w:t>Cth</w:t>
      </w:r>
      <w:proofErr w:type="spellEnd"/>
      <w:r w:rsidRPr="004C4BCF">
        <w:rPr>
          <w:rFonts w:ascii="Times New Roman" w:hAnsi="Times New Roman"/>
          <w:color w:val="000000"/>
          <w:sz w:val="24"/>
          <w:shd w:val="clear" w:color="auto" w:fill="FFFFFF"/>
        </w:rPr>
        <w:t>), s 6(1)(a)(</w:t>
      </w:r>
      <w:proofErr w:type="spellStart"/>
      <w:r w:rsidRPr="004C4BCF">
        <w:rPr>
          <w:rFonts w:ascii="Times New Roman" w:hAnsi="Times New Roman"/>
          <w:color w:val="000000"/>
          <w:sz w:val="24"/>
          <w:shd w:val="clear" w:color="auto" w:fill="FFFFFF"/>
        </w:rPr>
        <w:t>ia</w:t>
      </w:r>
      <w:proofErr w:type="spellEnd"/>
      <w:r w:rsidRPr="004C4BCF">
        <w:rPr>
          <w:rFonts w:ascii="Times New Roman" w:hAnsi="Times New Roman"/>
          <w:color w:val="000000"/>
          <w:sz w:val="24"/>
          <w:shd w:val="clear" w:color="auto" w:fill="FFFFFF"/>
        </w:rPr>
        <w:t>) and (b)(</w:t>
      </w:r>
      <w:proofErr w:type="spellStart"/>
      <w:r w:rsidRPr="004C4BCF">
        <w:rPr>
          <w:rFonts w:ascii="Times New Roman" w:hAnsi="Times New Roman"/>
          <w:color w:val="000000"/>
          <w:sz w:val="24"/>
          <w:shd w:val="clear" w:color="auto" w:fill="FFFFFF"/>
        </w:rPr>
        <w:t>i</w:t>
      </w:r>
      <w:proofErr w:type="spellEnd"/>
      <w:r w:rsidRPr="004C4BCF">
        <w:rPr>
          <w:rFonts w:ascii="Times New Roman" w:hAnsi="Times New Roman"/>
          <w:color w:val="000000"/>
          <w:sz w:val="24"/>
          <w:shd w:val="clear" w:color="auto" w:fill="FFFFFF"/>
        </w:rPr>
        <w:t>).</w:t>
      </w:r>
    </w:p>
  </w:footnote>
  <w:footnote w:id="200">
    <w:p w14:paraId="554C1C14"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 xml:space="preserve">Intelligence Services Act 2001 </w:t>
      </w:r>
      <w:r w:rsidRPr="004C4BCF">
        <w:rPr>
          <w:rFonts w:ascii="Times New Roman" w:hAnsi="Times New Roman"/>
          <w:sz w:val="24"/>
        </w:rPr>
        <w:t>(</w:t>
      </w:r>
      <w:proofErr w:type="spellStart"/>
      <w:r w:rsidRPr="004C4BCF">
        <w:rPr>
          <w:rFonts w:ascii="Times New Roman" w:hAnsi="Times New Roman"/>
          <w:sz w:val="24"/>
        </w:rPr>
        <w:t>Cth</w:t>
      </w:r>
      <w:proofErr w:type="spellEnd"/>
      <w:r w:rsidRPr="004C4BCF">
        <w:rPr>
          <w:rFonts w:ascii="Times New Roman" w:hAnsi="Times New Roman"/>
          <w:sz w:val="24"/>
        </w:rPr>
        <w:t>), s 29(1)(</w:t>
      </w:r>
      <w:proofErr w:type="spellStart"/>
      <w:r w:rsidRPr="004C4BCF">
        <w:rPr>
          <w:rFonts w:ascii="Times New Roman" w:hAnsi="Times New Roman"/>
          <w:sz w:val="24"/>
        </w:rPr>
        <w:t>cb</w:t>
      </w:r>
      <w:proofErr w:type="spellEnd"/>
      <w:r w:rsidRPr="004C4BCF">
        <w:rPr>
          <w:rFonts w:ascii="Times New Roman" w:hAnsi="Times New Roman"/>
          <w:sz w:val="24"/>
        </w:rPr>
        <w:t>).</w:t>
      </w:r>
    </w:p>
  </w:footnote>
  <w:footnote w:id="201">
    <w:p w14:paraId="63DE0660"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Australian Communist Party v The Commonwealth</w:t>
      </w:r>
      <w:r w:rsidRPr="004C4BCF">
        <w:rPr>
          <w:rFonts w:ascii="Times New Roman" w:hAnsi="Times New Roman"/>
          <w:sz w:val="24"/>
        </w:rPr>
        <w:t xml:space="preserve"> (1951) 83 CLR 1 at 263.</w:t>
      </w:r>
    </w:p>
  </w:footnote>
  <w:footnote w:id="202">
    <w:p w14:paraId="57A78C48" w14:textId="77777777" w:rsidR="00CE4181" w:rsidRPr="004C4BCF" w:rsidRDefault="00CE4181" w:rsidP="004C4BCF">
      <w:pPr>
        <w:pStyle w:val="FootnoteText"/>
        <w:spacing w:line="280" w:lineRule="exact"/>
        <w:ind w:right="0"/>
        <w:jc w:val="both"/>
        <w:rPr>
          <w:rFonts w:ascii="Times New Roman" w:hAnsi="Times New Roman"/>
          <w:sz w:val="24"/>
        </w:rPr>
      </w:pPr>
      <w:r w:rsidRPr="004C4BCF">
        <w:rPr>
          <w:rStyle w:val="FootnoteReference"/>
          <w:rFonts w:ascii="Times New Roman" w:hAnsi="Times New Roman"/>
          <w:sz w:val="22"/>
          <w:vertAlign w:val="baseline"/>
        </w:rPr>
        <w:footnoteRef/>
      </w:r>
      <w:r w:rsidRPr="004C4BCF">
        <w:rPr>
          <w:rFonts w:ascii="Times New Roman" w:hAnsi="Times New Roman"/>
          <w:sz w:val="24"/>
        </w:rPr>
        <w:t xml:space="preserve"> </w:t>
      </w:r>
      <w:r w:rsidRPr="004C4BCF">
        <w:rPr>
          <w:rFonts w:ascii="Times New Roman" w:hAnsi="Times New Roman"/>
          <w:sz w:val="24"/>
        </w:rPr>
        <w:tab/>
      </w:r>
      <w:r w:rsidRPr="004C4BCF">
        <w:rPr>
          <w:rFonts w:ascii="Times New Roman" w:hAnsi="Times New Roman"/>
          <w:i/>
          <w:sz w:val="24"/>
        </w:rPr>
        <w:t>Australian National Airways Pty Ltd v The Commonwealth</w:t>
      </w:r>
      <w:r w:rsidRPr="004C4BCF">
        <w:rPr>
          <w:rFonts w:ascii="Times New Roman" w:hAnsi="Times New Roman"/>
          <w:sz w:val="24"/>
        </w:rPr>
        <w:t xml:space="preserve"> (1945) 71 CLR 29 at 93;</w:t>
      </w:r>
      <w:r w:rsidRPr="004C4BCF">
        <w:rPr>
          <w:rFonts w:ascii="Times New Roman" w:hAnsi="Times New Roman"/>
          <w:i/>
          <w:sz w:val="24"/>
        </w:rPr>
        <w:t xml:space="preserve"> Victoria v The Commonwealth (Industrial Relations Act Case)</w:t>
      </w:r>
      <w:r w:rsidRPr="004C4BCF">
        <w:rPr>
          <w:rFonts w:ascii="Times New Roman" w:hAnsi="Times New Roman"/>
          <w:sz w:val="24"/>
        </w:rPr>
        <w:t xml:space="preserve"> (1996) 187 CLR 416 at 502-503.</w:t>
      </w:r>
    </w:p>
  </w:footnote>
  <w:footnote w:id="203">
    <w:p w14:paraId="0DDE6C28"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The Commonwealth v </w:t>
      </w:r>
      <w:proofErr w:type="spellStart"/>
      <w:r w:rsidRPr="00D546BA">
        <w:rPr>
          <w:rFonts w:ascii="Times New Roman" w:hAnsi="Times New Roman"/>
          <w:i/>
          <w:sz w:val="24"/>
        </w:rPr>
        <w:t>Cigamatic</w:t>
      </w:r>
      <w:proofErr w:type="spellEnd"/>
      <w:r w:rsidRPr="00D546BA">
        <w:rPr>
          <w:rFonts w:ascii="Times New Roman" w:hAnsi="Times New Roman"/>
          <w:i/>
          <w:sz w:val="24"/>
        </w:rPr>
        <w:t xml:space="preserve"> Pty Ltd (In </w:t>
      </w:r>
      <w:proofErr w:type="spellStart"/>
      <w:r w:rsidRPr="00D546BA">
        <w:rPr>
          <w:rFonts w:ascii="Times New Roman" w:hAnsi="Times New Roman"/>
          <w:i/>
          <w:sz w:val="24"/>
        </w:rPr>
        <w:t>liq</w:t>
      </w:r>
      <w:proofErr w:type="spellEnd"/>
      <w:r w:rsidRPr="00D546BA">
        <w:rPr>
          <w:rFonts w:ascii="Times New Roman" w:hAnsi="Times New Roman"/>
          <w:i/>
          <w:sz w:val="24"/>
        </w:rPr>
        <w:t xml:space="preserve">) </w:t>
      </w:r>
      <w:r w:rsidRPr="00D546BA">
        <w:rPr>
          <w:rFonts w:ascii="Times New Roman" w:hAnsi="Times New Roman"/>
          <w:sz w:val="24"/>
        </w:rPr>
        <w:t xml:space="preserve">(1962) 108 CLR 372 at 389; </w:t>
      </w:r>
      <w:r w:rsidRPr="00D546BA">
        <w:rPr>
          <w:rFonts w:ascii="Times New Roman" w:hAnsi="Times New Roman"/>
          <w:i/>
          <w:sz w:val="24"/>
        </w:rPr>
        <w:t>Queensland v The Commonwealth</w:t>
      </w:r>
      <w:r w:rsidRPr="00D546BA">
        <w:rPr>
          <w:rFonts w:ascii="Times New Roman" w:hAnsi="Times New Roman"/>
          <w:sz w:val="24"/>
        </w:rPr>
        <w:t xml:space="preserve"> (1977) 139 CLR 585 at 630.</w:t>
      </w:r>
    </w:p>
  </w:footnote>
  <w:footnote w:id="204">
    <w:p w14:paraId="28E7F068"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R v Quinn; Ex </w:t>
      </w:r>
      <w:proofErr w:type="spellStart"/>
      <w:r w:rsidRPr="00D546BA">
        <w:rPr>
          <w:rFonts w:ascii="Times New Roman" w:hAnsi="Times New Roman"/>
          <w:i/>
          <w:sz w:val="24"/>
        </w:rPr>
        <w:t>parte</w:t>
      </w:r>
      <w:proofErr w:type="spellEnd"/>
      <w:r w:rsidRPr="00D546BA">
        <w:rPr>
          <w:rFonts w:ascii="Times New Roman" w:hAnsi="Times New Roman"/>
          <w:i/>
          <w:sz w:val="24"/>
        </w:rPr>
        <w:t xml:space="preserve"> Consolidated Foods Corporation</w:t>
      </w:r>
      <w:r w:rsidRPr="00D546BA">
        <w:rPr>
          <w:rFonts w:ascii="Times New Roman" w:hAnsi="Times New Roman"/>
          <w:sz w:val="24"/>
        </w:rPr>
        <w:t xml:space="preserve"> (1977) 138 CLR 1 at 11. See also </w:t>
      </w:r>
      <w:r w:rsidRPr="00D546BA">
        <w:rPr>
          <w:rFonts w:ascii="Times New Roman" w:hAnsi="Times New Roman"/>
          <w:i/>
          <w:sz w:val="24"/>
        </w:rPr>
        <w:t>R v Davison</w:t>
      </w:r>
      <w:r w:rsidRPr="00D546BA">
        <w:rPr>
          <w:rFonts w:ascii="Times New Roman" w:hAnsi="Times New Roman"/>
          <w:sz w:val="24"/>
        </w:rPr>
        <w:t xml:space="preserve"> (1954) 90 CLR 353 at 381</w:t>
      </w:r>
      <w:r w:rsidRPr="00D546BA">
        <w:rPr>
          <w:rFonts w:ascii="Times New Roman" w:hAnsi="Times New Roman"/>
          <w:sz w:val="24"/>
        </w:rPr>
        <w:noBreakHyphen/>
        <w:t>382.</w:t>
      </w:r>
    </w:p>
  </w:footnote>
  <w:footnote w:id="205">
    <w:p w14:paraId="64FE9042"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Defined to mean "an offence against [Pt 5.3], the maximum penalty for which is 7 or more years of imprisonment": </w:t>
      </w:r>
      <w:r w:rsidRPr="00D546BA">
        <w:rPr>
          <w:rFonts w:ascii="Times New Roman" w:hAnsi="Times New Roman"/>
          <w:i/>
          <w:sz w:val="24"/>
        </w:rPr>
        <w:t>Criminal Code</w:t>
      </w:r>
      <w:r w:rsidRPr="00D546BA">
        <w:rPr>
          <w:rFonts w:ascii="Times New Roman" w:hAnsi="Times New Roman"/>
          <w:sz w:val="24"/>
        </w:rPr>
        <w:t xml:space="preserve">, s 105A.2 definition of "serious Part 5.3 offence". </w:t>
      </w:r>
    </w:p>
  </w:footnote>
  <w:footnote w:id="206">
    <w:p w14:paraId="14F122F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Minister for Home Affairs v Benbrika </w:t>
      </w:r>
      <w:r w:rsidRPr="00D546BA">
        <w:rPr>
          <w:rFonts w:ascii="Times New Roman" w:hAnsi="Times New Roman"/>
          <w:sz w:val="24"/>
        </w:rPr>
        <w:t>[2020] VSC 888 at [478].</w:t>
      </w:r>
    </w:p>
  </w:footnote>
  <w:footnote w:id="207">
    <w:p w14:paraId="01D67822"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Minister for Home Affairs v Benbrika </w:t>
      </w:r>
      <w:r w:rsidRPr="00D546BA">
        <w:rPr>
          <w:rFonts w:ascii="Times New Roman" w:hAnsi="Times New Roman"/>
          <w:sz w:val="24"/>
        </w:rPr>
        <w:t>[2020] VSC 888 at [479]</w:t>
      </w:r>
      <w:r w:rsidRPr="00D546BA">
        <w:rPr>
          <w:rFonts w:ascii="Times New Roman" w:hAnsi="Times New Roman"/>
          <w:sz w:val="24"/>
        </w:rPr>
        <w:noBreakHyphen/>
        <w:t>[480].</w:t>
      </w:r>
    </w:p>
  </w:footnote>
  <w:footnote w:id="208">
    <w:p w14:paraId="1BCB582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Lee v Benbrika</w:t>
      </w:r>
      <w:r w:rsidRPr="00D546BA">
        <w:rPr>
          <w:rFonts w:ascii="Times New Roman" w:hAnsi="Times New Roman"/>
          <w:sz w:val="24"/>
        </w:rPr>
        <w:t xml:space="preserve"> [2020] FCA 1723. </w:t>
      </w:r>
    </w:p>
  </w:footnote>
  <w:footnote w:id="209">
    <w:p w14:paraId="630121D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Ch 5, Pt 5.1.</w:t>
      </w:r>
    </w:p>
  </w:footnote>
  <w:footnote w:id="210">
    <w:p w14:paraId="3D7D026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Ch 5, Pt 5.2.</w:t>
      </w:r>
    </w:p>
  </w:footnote>
  <w:footnote w:id="211">
    <w:p w14:paraId="7FD1676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Ch 5, Pt 5.3.</w:t>
      </w:r>
    </w:p>
  </w:footnote>
  <w:footnote w:id="212">
    <w:p w14:paraId="1F78D9A6"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Ch 5, Pt 5.4.</w:t>
      </w:r>
    </w:p>
  </w:footnote>
  <w:footnote w:id="213">
    <w:p w14:paraId="7A42794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Ch 5, Pt 5.5.</w:t>
      </w:r>
    </w:p>
  </w:footnote>
  <w:footnote w:id="214">
    <w:p w14:paraId="6332F5E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Ch 5, Pt 5.6.</w:t>
      </w:r>
    </w:p>
  </w:footnote>
  <w:footnote w:id="215">
    <w:p w14:paraId="350F7A0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In 2002, as part of a national scheme of anti-terrorism legislation, each State enacted legislation referring certain matters relating to terrorist acts to the Parliament of the Commonwealth for the purposes of s 51(xxxvii)</w:t>
      </w:r>
      <w:r w:rsidRPr="00D546BA">
        <w:rPr>
          <w:rFonts w:ascii="Times New Roman" w:hAnsi="Times New Roman"/>
          <w:i/>
          <w:sz w:val="24"/>
        </w:rPr>
        <w:t xml:space="preserve"> </w:t>
      </w:r>
      <w:r w:rsidRPr="00D546BA">
        <w:rPr>
          <w:rFonts w:ascii="Times New Roman" w:hAnsi="Times New Roman"/>
          <w:sz w:val="24"/>
        </w:rPr>
        <w:t xml:space="preserve">of the </w:t>
      </w:r>
      <w:r w:rsidRPr="00D546BA">
        <w:rPr>
          <w:rFonts w:ascii="Times New Roman" w:hAnsi="Times New Roman"/>
          <w:i/>
          <w:sz w:val="24"/>
        </w:rPr>
        <w:t>Constitution</w:t>
      </w:r>
      <w:r w:rsidRPr="00D546BA">
        <w:rPr>
          <w:rFonts w:ascii="Times New Roman" w:hAnsi="Times New Roman"/>
          <w:sz w:val="24"/>
        </w:rPr>
        <w:t>:</w:t>
      </w:r>
      <w:r w:rsidRPr="00D546BA">
        <w:rPr>
          <w:rFonts w:ascii="Times New Roman" w:hAnsi="Times New Roman"/>
          <w:i/>
          <w:sz w:val="24"/>
        </w:rPr>
        <w:t xml:space="preserve"> </w:t>
      </w:r>
      <w:r w:rsidRPr="00D546BA" w:rsidDel="00DF52AE">
        <w:rPr>
          <w:rFonts w:ascii="Times New Roman" w:hAnsi="Times New Roman"/>
          <w:i/>
          <w:sz w:val="24"/>
        </w:rPr>
        <w:t>Terrorism</w:t>
      </w:r>
      <w:r>
        <w:rPr>
          <w:rFonts w:ascii="Times New Roman" w:hAnsi="Times New Roman"/>
          <w:i/>
          <w:sz w:val="24"/>
        </w:rPr>
        <w:t xml:space="preserve"> </w:t>
      </w:r>
      <w:r w:rsidRPr="00D546BA" w:rsidDel="00DF52AE">
        <w:rPr>
          <w:rFonts w:ascii="Times New Roman" w:hAnsi="Times New Roman"/>
          <w:i/>
          <w:sz w:val="24"/>
        </w:rPr>
        <w:t xml:space="preserve">(Commonwealth Powers) Act 2002 </w:t>
      </w:r>
      <w:r w:rsidRPr="00D546BA" w:rsidDel="00DF52AE">
        <w:rPr>
          <w:rFonts w:ascii="Times New Roman" w:hAnsi="Times New Roman"/>
          <w:sz w:val="24"/>
        </w:rPr>
        <w:t>(</w:t>
      </w:r>
      <w:r w:rsidRPr="00D546BA">
        <w:rPr>
          <w:rFonts w:ascii="Times New Roman" w:hAnsi="Times New Roman"/>
          <w:sz w:val="24"/>
        </w:rPr>
        <w:t xml:space="preserve">NSW), s 1(2); </w:t>
      </w:r>
      <w:r w:rsidRPr="00D546BA">
        <w:rPr>
          <w:rFonts w:ascii="Times New Roman" w:hAnsi="Times New Roman"/>
          <w:i/>
          <w:sz w:val="24"/>
        </w:rPr>
        <w:t>Terrorism</w:t>
      </w:r>
      <w:r>
        <w:rPr>
          <w:rFonts w:ascii="Times New Roman" w:hAnsi="Times New Roman"/>
          <w:i/>
          <w:sz w:val="24"/>
        </w:rPr>
        <w:t xml:space="preserve"> </w:t>
      </w:r>
      <w:r w:rsidRPr="00D546BA">
        <w:rPr>
          <w:rFonts w:ascii="Times New Roman" w:hAnsi="Times New Roman"/>
          <w:i/>
          <w:sz w:val="24"/>
        </w:rPr>
        <w:t xml:space="preserve">(Commonwealth Powers) Act 2003 </w:t>
      </w:r>
      <w:r w:rsidRPr="00D546BA">
        <w:rPr>
          <w:rFonts w:ascii="Times New Roman" w:hAnsi="Times New Roman"/>
          <w:sz w:val="24"/>
        </w:rPr>
        <w:t xml:space="preserve">(Vic), s 1; </w:t>
      </w:r>
      <w:r w:rsidRPr="00D546BA">
        <w:rPr>
          <w:rFonts w:ascii="Times New Roman" w:hAnsi="Times New Roman"/>
          <w:i/>
          <w:sz w:val="24"/>
        </w:rPr>
        <w:t>Terrorism</w:t>
      </w:r>
      <w:r>
        <w:rPr>
          <w:rFonts w:ascii="Times New Roman" w:hAnsi="Times New Roman"/>
          <w:i/>
          <w:sz w:val="24"/>
        </w:rPr>
        <w:t xml:space="preserve"> </w:t>
      </w:r>
      <w:r w:rsidRPr="00D546BA">
        <w:rPr>
          <w:rFonts w:ascii="Times New Roman" w:hAnsi="Times New Roman"/>
          <w:i/>
          <w:sz w:val="24"/>
        </w:rPr>
        <w:t xml:space="preserve">(Commonwealth Powers) Act 2002 </w:t>
      </w:r>
      <w:r w:rsidRPr="00D546BA">
        <w:rPr>
          <w:rFonts w:ascii="Times New Roman" w:hAnsi="Times New Roman"/>
          <w:sz w:val="24"/>
        </w:rPr>
        <w:t xml:space="preserve">(SA), s 1(2); </w:t>
      </w:r>
      <w:r w:rsidRPr="00D546BA">
        <w:rPr>
          <w:rFonts w:ascii="Times New Roman" w:hAnsi="Times New Roman"/>
          <w:i/>
          <w:sz w:val="24"/>
        </w:rPr>
        <w:t>Terrorism</w:t>
      </w:r>
      <w:r>
        <w:rPr>
          <w:rFonts w:ascii="Times New Roman" w:hAnsi="Times New Roman"/>
          <w:i/>
          <w:sz w:val="24"/>
        </w:rPr>
        <w:t xml:space="preserve"> </w:t>
      </w:r>
      <w:r w:rsidRPr="00D546BA">
        <w:rPr>
          <w:rFonts w:ascii="Times New Roman" w:hAnsi="Times New Roman"/>
          <w:i/>
          <w:sz w:val="24"/>
        </w:rPr>
        <w:t xml:space="preserve">(Commonwealth Powers) Act 2002 </w:t>
      </w:r>
      <w:r w:rsidRPr="00D546BA">
        <w:rPr>
          <w:rFonts w:ascii="Times New Roman" w:hAnsi="Times New Roman"/>
          <w:sz w:val="24"/>
        </w:rPr>
        <w:t xml:space="preserve">(Qld), s 1(2); </w:t>
      </w:r>
      <w:r w:rsidRPr="00D546BA">
        <w:rPr>
          <w:rFonts w:ascii="Times New Roman" w:hAnsi="Times New Roman"/>
          <w:i/>
          <w:sz w:val="24"/>
        </w:rPr>
        <w:t>Terrorism</w:t>
      </w:r>
      <w:r>
        <w:rPr>
          <w:rFonts w:ascii="Times New Roman" w:hAnsi="Times New Roman"/>
          <w:i/>
          <w:sz w:val="24"/>
        </w:rPr>
        <w:t xml:space="preserve"> </w:t>
      </w:r>
      <w:r w:rsidRPr="00D546BA">
        <w:rPr>
          <w:rFonts w:ascii="Times New Roman" w:hAnsi="Times New Roman"/>
          <w:i/>
          <w:sz w:val="24"/>
        </w:rPr>
        <w:t xml:space="preserve">(Commonwealth Powers) Act 2002 </w:t>
      </w:r>
      <w:r w:rsidRPr="00D546BA">
        <w:rPr>
          <w:rFonts w:ascii="Times New Roman" w:hAnsi="Times New Roman"/>
          <w:sz w:val="24"/>
        </w:rPr>
        <w:t xml:space="preserve">(WA), s 1(2); </w:t>
      </w:r>
      <w:r w:rsidRPr="00D546BA" w:rsidDel="00482F98">
        <w:rPr>
          <w:rFonts w:ascii="Times New Roman" w:hAnsi="Times New Roman"/>
          <w:i/>
          <w:sz w:val="24"/>
        </w:rPr>
        <w:t>Terrorism</w:t>
      </w:r>
      <w:r>
        <w:rPr>
          <w:rFonts w:ascii="Times New Roman" w:hAnsi="Times New Roman"/>
          <w:i/>
          <w:sz w:val="24"/>
        </w:rPr>
        <w:t xml:space="preserve"> </w:t>
      </w:r>
      <w:r w:rsidRPr="00D546BA" w:rsidDel="00482F98">
        <w:rPr>
          <w:rFonts w:ascii="Times New Roman" w:hAnsi="Times New Roman"/>
          <w:i/>
          <w:sz w:val="24"/>
        </w:rPr>
        <w:t>(Commonwealth Powers) Act 2002</w:t>
      </w:r>
      <w:r w:rsidRPr="00D546BA" w:rsidDel="00482F98">
        <w:rPr>
          <w:rFonts w:ascii="Times New Roman" w:hAnsi="Times New Roman"/>
          <w:sz w:val="24"/>
        </w:rPr>
        <w:t xml:space="preserve"> (</w:t>
      </w:r>
      <w:r w:rsidRPr="00D546BA">
        <w:rPr>
          <w:rFonts w:ascii="Times New Roman" w:hAnsi="Times New Roman"/>
          <w:sz w:val="24"/>
        </w:rPr>
        <w:t>Tas), s 3. See also The Commonwealth of Australia, The State of New South Wales, The State of Victoria, The State of Queensland, The State of Western Australia, The State of South Australia, The State of Tasmania, The</w:t>
      </w:r>
      <w:r>
        <w:rPr>
          <w:rFonts w:ascii="Times New Roman" w:hAnsi="Times New Roman"/>
          <w:sz w:val="24"/>
        </w:rPr>
        <w:t> </w:t>
      </w:r>
      <w:r w:rsidRPr="00D546BA">
        <w:rPr>
          <w:rFonts w:ascii="Times New Roman" w:hAnsi="Times New Roman"/>
          <w:sz w:val="24"/>
        </w:rPr>
        <w:t xml:space="preserve">Australian Capital Territory and The Northern Territory of Australia, </w:t>
      </w:r>
      <w:r w:rsidRPr="00D546BA">
        <w:rPr>
          <w:rFonts w:ascii="Times New Roman" w:hAnsi="Times New Roman"/>
          <w:i/>
          <w:sz w:val="24"/>
        </w:rPr>
        <w:t>Agreement on Counter</w:t>
      </w:r>
      <w:r w:rsidRPr="00D546BA">
        <w:rPr>
          <w:rFonts w:ascii="Times New Roman" w:hAnsi="Times New Roman"/>
          <w:i/>
          <w:sz w:val="24"/>
        </w:rPr>
        <w:noBreakHyphen/>
        <w:t>terrorism Laws</w:t>
      </w:r>
      <w:r w:rsidRPr="00D546BA">
        <w:rPr>
          <w:rFonts w:ascii="Times New Roman" w:hAnsi="Times New Roman"/>
          <w:sz w:val="24"/>
        </w:rPr>
        <w:t>, 25 June 2004. The nature and effect of these referrals were not addressed in argument.</w:t>
      </w:r>
    </w:p>
  </w:footnote>
  <w:footnote w:id="216">
    <w:p w14:paraId="2DC833DC"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 xml:space="preserve">Terrorism (Commonwealth Powers) Act 2003 </w:t>
      </w:r>
      <w:r w:rsidRPr="00D546BA">
        <w:rPr>
          <w:rFonts w:ascii="Times New Roman" w:hAnsi="Times New Roman"/>
          <w:sz w:val="24"/>
        </w:rPr>
        <w:t>(Vic), s 3 definitions of "express amendment" and "terrorism legislation".</w:t>
      </w:r>
    </w:p>
  </w:footnote>
  <w:footnote w:id="217">
    <w:p w14:paraId="747A3AF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 Amendment (Terrorism) Act 2003</w:t>
      </w:r>
      <w:r w:rsidRPr="00D546BA">
        <w:rPr>
          <w:rFonts w:ascii="Times New Roman" w:hAnsi="Times New Roman"/>
          <w:sz w:val="24"/>
        </w:rPr>
        <w:t xml:space="preserve"> (Cth), Sch 1. </w:t>
      </w:r>
    </w:p>
  </w:footnote>
  <w:footnote w:id="218">
    <w:p w14:paraId="1033F5F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Divisions 104 and 105 were inserted into Pt 5.3 by the </w:t>
      </w:r>
      <w:r w:rsidRPr="00D546BA">
        <w:rPr>
          <w:rFonts w:ascii="Times New Roman" w:hAnsi="Times New Roman"/>
          <w:i/>
          <w:sz w:val="24"/>
        </w:rPr>
        <w:t>Anti</w:t>
      </w:r>
      <w:r w:rsidRPr="00D546BA">
        <w:rPr>
          <w:rFonts w:ascii="Times New Roman" w:hAnsi="Times New Roman"/>
          <w:i/>
          <w:sz w:val="24"/>
        </w:rPr>
        <w:noBreakHyphen/>
        <w:t>Terrorism Act (No 2) 2005</w:t>
      </w:r>
      <w:r w:rsidRPr="00D546BA">
        <w:rPr>
          <w:rFonts w:ascii="Times New Roman" w:hAnsi="Times New Roman"/>
          <w:sz w:val="24"/>
        </w:rPr>
        <w:t xml:space="preserve"> (Cth), Sch 4, item 24. See also Council of Australian Governments, </w:t>
      </w:r>
      <w:r w:rsidRPr="00D546BA">
        <w:rPr>
          <w:rFonts w:ascii="Times New Roman" w:hAnsi="Times New Roman"/>
          <w:i/>
          <w:sz w:val="24"/>
        </w:rPr>
        <w:t>Council of Australian Governments'</w:t>
      </w:r>
      <w:r w:rsidRPr="00D546BA">
        <w:rPr>
          <w:rFonts w:ascii="Times New Roman" w:hAnsi="Times New Roman"/>
          <w:sz w:val="24"/>
        </w:rPr>
        <w:t xml:space="preserve"> </w:t>
      </w:r>
      <w:r w:rsidRPr="00D546BA">
        <w:rPr>
          <w:rFonts w:ascii="Times New Roman" w:hAnsi="Times New Roman"/>
          <w:i/>
          <w:sz w:val="24"/>
        </w:rPr>
        <w:t>Communiqué:</w:t>
      </w:r>
      <w:r w:rsidRPr="00D546BA">
        <w:rPr>
          <w:rFonts w:ascii="Times New Roman" w:hAnsi="Times New Roman"/>
          <w:sz w:val="24"/>
        </w:rPr>
        <w:t xml:space="preserve"> </w:t>
      </w:r>
      <w:r w:rsidRPr="00D546BA">
        <w:rPr>
          <w:rFonts w:ascii="Times New Roman" w:hAnsi="Times New Roman"/>
          <w:i/>
          <w:sz w:val="24"/>
        </w:rPr>
        <w:t>Special Meeting on Counter-Terrorism</w:t>
      </w:r>
      <w:r w:rsidRPr="00D546BA">
        <w:rPr>
          <w:rFonts w:ascii="Times New Roman" w:hAnsi="Times New Roman"/>
          <w:sz w:val="24"/>
        </w:rPr>
        <w:t>,</w:t>
      </w:r>
      <w:r w:rsidRPr="00D546BA">
        <w:rPr>
          <w:rFonts w:ascii="Times New Roman" w:hAnsi="Times New Roman"/>
          <w:i/>
          <w:sz w:val="24"/>
        </w:rPr>
        <w:t xml:space="preserve"> </w:t>
      </w:r>
      <w:r w:rsidRPr="00D546BA">
        <w:rPr>
          <w:rFonts w:ascii="Times New Roman" w:hAnsi="Times New Roman"/>
          <w:sz w:val="24"/>
        </w:rPr>
        <w:t>Canberra, 27 September 2005.</w:t>
      </w:r>
    </w:p>
  </w:footnote>
  <w:footnote w:id="219">
    <w:p w14:paraId="3470947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Division 105A was inserted into Pt 5.3 by the </w:t>
      </w:r>
      <w:r w:rsidRPr="00D546BA">
        <w:rPr>
          <w:rFonts w:ascii="Times New Roman" w:hAnsi="Times New Roman"/>
          <w:i/>
          <w:sz w:val="24"/>
        </w:rPr>
        <w:t>Criminal Code Amendment (High Risk Terrorist Offenders) Act 2016</w:t>
      </w:r>
      <w:r w:rsidRPr="00D546BA">
        <w:rPr>
          <w:rFonts w:ascii="Times New Roman" w:hAnsi="Times New Roman"/>
          <w:sz w:val="24"/>
        </w:rPr>
        <w:t xml:space="preserve"> (Cth), Sch 1, item 1. See also Australia, Senate, </w:t>
      </w:r>
      <w:r w:rsidRPr="00D546BA">
        <w:rPr>
          <w:rFonts w:ascii="Times New Roman" w:hAnsi="Times New Roman"/>
          <w:i/>
          <w:sz w:val="24"/>
        </w:rPr>
        <w:t xml:space="preserve">Parliamentary Debates </w:t>
      </w:r>
      <w:r w:rsidRPr="00D546BA">
        <w:rPr>
          <w:rFonts w:ascii="Times New Roman" w:hAnsi="Times New Roman"/>
          <w:sz w:val="24"/>
        </w:rPr>
        <w:t>(Hansard), 15 September 2016 at 1035</w:t>
      </w:r>
      <w:r w:rsidRPr="00D546BA">
        <w:rPr>
          <w:rFonts w:ascii="Times New Roman" w:hAnsi="Times New Roman"/>
          <w:sz w:val="24"/>
        </w:rPr>
        <w:noBreakHyphen/>
        <w:t>1036.</w:t>
      </w:r>
    </w:p>
  </w:footnote>
  <w:footnote w:id="220">
    <w:p w14:paraId="5DFD9EB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xml:space="preserve">, s 104.1. See also </w:t>
      </w:r>
      <w:r w:rsidRPr="00D546BA">
        <w:rPr>
          <w:rFonts w:ascii="Times New Roman" w:hAnsi="Times New Roman"/>
          <w:i/>
          <w:sz w:val="24"/>
        </w:rPr>
        <w:t>Thomas v Mowbray</w:t>
      </w:r>
      <w:r w:rsidRPr="00D546BA">
        <w:rPr>
          <w:rFonts w:ascii="Times New Roman" w:hAnsi="Times New Roman"/>
          <w:sz w:val="24"/>
        </w:rPr>
        <w:t xml:space="preserve"> (2007) 233 CLR 307 at 325 [8], 337 [43], 370 [170], 468-469 [475]</w:t>
      </w:r>
      <w:r w:rsidRPr="00D546BA">
        <w:rPr>
          <w:rFonts w:ascii="Times New Roman" w:hAnsi="Times New Roman"/>
          <w:sz w:val="24"/>
        </w:rPr>
        <w:noBreakHyphen/>
        <w:t>[476], 502-503 [580], 511 [610].</w:t>
      </w:r>
    </w:p>
  </w:footnote>
  <w:footnote w:id="221">
    <w:p w14:paraId="65BE6609"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105.1.</w:t>
      </w:r>
    </w:p>
  </w:footnote>
  <w:footnote w:id="222">
    <w:p w14:paraId="545D50C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100.4(1)(a); see also s 101.1(2).</w:t>
      </w:r>
    </w:p>
  </w:footnote>
  <w:footnote w:id="223">
    <w:p w14:paraId="1AF065D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100.4(1)(b).</w:t>
      </w:r>
    </w:p>
  </w:footnote>
  <w:footnote w:id="224">
    <w:p w14:paraId="137ECB0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 Amendment (High Risk Terrorist Offenders) Act 2016</w:t>
      </w:r>
      <w:r w:rsidRPr="00D546BA">
        <w:rPr>
          <w:rFonts w:ascii="Times New Roman" w:hAnsi="Times New Roman"/>
          <w:sz w:val="24"/>
        </w:rPr>
        <w:t xml:space="preserve"> (Cth), Sch 1, item </w:t>
      </w:r>
      <w:r w:rsidRPr="00D546BA" w:rsidDel="004B003A">
        <w:rPr>
          <w:rFonts w:ascii="Times New Roman" w:hAnsi="Times New Roman"/>
          <w:sz w:val="24"/>
        </w:rPr>
        <w:t>1</w:t>
      </w:r>
      <w:r w:rsidRPr="00D546BA">
        <w:rPr>
          <w:rFonts w:ascii="Times New Roman" w:hAnsi="Times New Roman"/>
          <w:sz w:val="24"/>
        </w:rPr>
        <w:t>.</w:t>
      </w:r>
    </w:p>
  </w:footnote>
  <w:footnote w:id="225">
    <w:p w14:paraId="023EDB8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105A.1.</w:t>
      </w:r>
    </w:p>
  </w:footnote>
  <w:footnote w:id="226">
    <w:p w14:paraId="40788EA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Defined to include "any gaol, lock-up or other place of detention": </w:t>
      </w:r>
      <w:r w:rsidRPr="00D546BA">
        <w:rPr>
          <w:rFonts w:ascii="Times New Roman" w:hAnsi="Times New Roman"/>
          <w:i/>
          <w:sz w:val="24"/>
        </w:rPr>
        <w:t>Criminal Code</w:t>
      </w:r>
      <w:r w:rsidRPr="00D546BA">
        <w:rPr>
          <w:rFonts w:ascii="Times New Roman" w:hAnsi="Times New Roman"/>
          <w:sz w:val="24"/>
        </w:rPr>
        <w:t>, s 105A.2 definition of "prison".</w:t>
      </w:r>
    </w:p>
  </w:footnote>
  <w:footnote w:id="227">
    <w:p w14:paraId="6C066B5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105A.3(2).</w:t>
      </w:r>
    </w:p>
  </w:footnote>
  <w:footnote w:id="228">
    <w:p w14:paraId="4D521B4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w:t>
      </w:r>
      <w:r w:rsidRPr="00D546BA">
        <w:rPr>
          <w:rFonts w:ascii="Times New Roman" w:hAnsi="Times New Roman"/>
          <w:i/>
          <w:sz w:val="24"/>
        </w:rPr>
        <w:t xml:space="preserve"> </w:t>
      </w:r>
      <w:r w:rsidRPr="00D546BA">
        <w:rPr>
          <w:rFonts w:ascii="Times New Roman" w:hAnsi="Times New Roman"/>
          <w:sz w:val="24"/>
        </w:rPr>
        <w:t>ss 105A.3(1)(a)(iii), 105A.3(1)(b), 105A.3(1)(c).</w:t>
      </w:r>
    </w:p>
  </w:footnote>
  <w:footnote w:id="229">
    <w:p w14:paraId="61ECCE0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105A.2 definition of "serious Part 5.3 offence".</w:t>
      </w:r>
    </w:p>
  </w:footnote>
  <w:footnote w:id="230">
    <w:p w14:paraId="54A7CF1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w:t>
      </w:r>
      <w:r w:rsidRPr="00D546BA">
        <w:rPr>
          <w:rFonts w:ascii="Times New Roman" w:hAnsi="Times New Roman"/>
          <w:i/>
          <w:sz w:val="24"/>
        </w:rPr>
        <w:t xml:space="preserve"> </w:t>
      </w:r>
      <w:r w:rsidRPr="00D546BA">
        <w:rPr>
          <w:rFonts w:ascii="Times New Roman" w:hAnsi="Times New Roman"/>
          <w:sz w:val="24"/>
        </w:rPr>
        <w:t>s 105A.3(1)(a).</w:t>
      </w:r>
    </w:p>
  </w:footnote>
  <w:footnote w:id="231">
    <w:p w14:paraId="44C046D9"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w:t>
      </w:r>
      <w:r w:rsidRPr="00D546BA">
        <w:rPr>
          <w:rFonts w:ascii="Times New Roman" w:hAnsi="Times New Roman"/>
          <w:i/>
          <w:sz w:val="24"/>
        </w:rPr>
        <w:t xml:space="preserve"> </w:t>
      </w:r>
      <w:r w:rsidRPr="00D546BA">
        <w:rPr>
          <w:rFonts w:ascii="Times New Roman" w:hAnsi="Times New Roman"/>
          <w:sz w:val="24"/>
        </w:rPr>
        <w:t>s 105A.3(1)(b).</w:t>
      </w:r>
    </w:p>
  </w:footnote>
  <w:footnote w:id="232">
    <w:p w14:paraId="1F6AD41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w:t>
      </w:r>
      <w:r w:rsidRPr="00D546BA">
        <w:rPr>
          <w:rFonts w:ascii="Times New Roman" w:hAnsi="Times New Roman"/>
          <w:i/>
          <w:sz w:val="24"/>
        </w:rPr>
        <w:t xml:space="preserve"> </w:t>
      </w:r>
      <w:r w:rsidRPr="00D546BA">
        <w:rPr>
          <w:rFonts w:ascii="Times New Roman" w:hAnsi="Times New Roman"/>
          <w:sz w:val="24"/>
        </w:rPr>
        <w:t>s 105A.3(1)(c)-(d).</w:t>
      </w:r>
    </w:p>
  </w:footnote>
  <w:footnote w:id="233">
    <w:p w14:paraId="6057475A"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xml:space="preserve">, s 105A.5(1). </w:t>
      </w:r>
    </w:p>
  </w:footnote>
  <w:footnote w:id="234">
    <w:p w14:paraId="0F592F1A"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105A.5(2). Section 105A.5 contains other requirements that must be met. They are presently not in issue.</w:t>
      </w:r>
    </w:p>
  </w:footnote>
  <w:footnote w:id="235">
    <w:p w14:paraId="6B709F08"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105A.7(3).</w:t>
      </w:r>
    </w:p>
  </w:footnote>
  <w:footnote w:id="236">
    <w:p w14:paraId="5A91E4A6"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105A.8(2).</w:t>
      </w:r>
    </w:p>
  </w:footnote>
  <w:footnote w:id="237">
    <w:p w14:paraId="29FDA02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105A.3(1).</w:t>
      </w:r>
    </w:p>
  </w:footnote>
  <w:footnote w:id="238">
    <w:p w14:paraId="01F4D41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w:t>
      </w:r>
      <w:r w:rsidRPr="00D546BA">
        <w:rPr>
          <w:rFonts w:ascii="Times New Roman" w:hAnsi="Times New Roman"/>
          <w:sz w:val="24"/>
        </w:rPr>
        <w:t xml:space="preserve"> </w:t>
      </w:r>
      <w:r w:rsidRPr="00D546BA">
        <w:rPr>
          <w:rFonts w:ascii="Times New Roman" w:hAnsi="Times New Roman"/>
          <w:i/>
          <w:sz w:val="24"/>
        </w:rPr>
        <w:t>Code</w:t>
      </w:r>
      <w:r w:rsidRPr="00D546BA">
        <w:rPr>
          <w:rFonts w:ascii="Times New Roman" w:hAnsi="Times New Roman"/>
          <w:sz w:val="24"/>
        </w:rPr>
        <w:t>, s 105A.7(1).</w:t>
      </w:r>
    </w:p>
  </w:footnote>
  <w:footnote w:id="239">
    <w:p w14:paraId="2878BEA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ss 105A.15 and 105A.15A; see also s 105A.5(4).</w:t>
      </w:r>
    </w:p>
  </w:footnote>
  <w:footnote w:id="240">
    <w:p w14:paraId="3B381AF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105A.13(1).</w:t>
      </w:r>
    </w:p>
  </w:footnote>
  <w:footnote w:id="241">
    <w:p w14:paraId="72703D7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105A.14.</w:t>
      </w:r>
    </w:p>
  </w:footnote>
  <w:footnote w:id="242">
    <w:p w14:paraId="56F2EB1A"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105A.3(2).</w:t>
      </w:r>
    </w:p>
  </w:footnote>
  <w:footnote w:id="243">
    <w:p w14:paraId="40321B7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105A.16.</w:t>
      </w:r>
    </w:p>
  </w:footnote>
  <w:footnote w:id="244">
    <w:p w14:paraId="5D536D1B"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105A.17.</w:t>
      </w:r>
    </w:p>
  </w:footnote>
  <w:footnote w:id="245">
    <w:p w14:paraId="648D8158"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105A.23(1).</w:t>
      </w:r>
    </w:p>
  </w:footnote>
  <w:footnote w:id="246">
    <w:p w14:paraId="23A7F35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105A.23(2).</w:t>
      </w:r>
    </w:p>
  </w:footnote>
  <w:footnote w:id="247">
    <w:p w14:paraId="7D2E6F4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106.8(7) and (8).</w:t>
      </w:r>
    </w:p>
  </w:footnote>
  <w:footnote w:id="248">
    <w:p w14:paraId="796FAC2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Chu Kheng Lim v Minister for Immigration, Local Government and Ethnic Affairs </w:t>
      </w:r>
      <w:r w:rsidRPr="00D546BA">
        <w:rPr>
          <w:rFonts w:ascii="Times New Roman" w:hAnsi="Times New Roman"/>
          <w:sz w:val="24"/>
        </w:rPr>
        <w:t xml:space="preserve">(1992) 176 CLR 1 at 27; </w:t>
      </w:r>
      <w:r w:rsidRPr="00D546BA">
        <w:rPr>
          <w:rFonts w:ascii="Times New Roman" w:hAnsi="Times New Roman"/>
          <w:i/>
          <w:sz w:val="24"/>
        </w:rPr>
        <w:t xml:space="preserve">Ha v New South Wales </w:t>
      </w:r>
      <w:r w:rsidRPr="00D546BA">
        <w:rPr>
          <w:rFonts w:ascii="Times New Roman" w:hAnsi="Times New Roman"/>
          <w:sz w:val="24"/>
        </w:rPr>
        <w:t xml:space="preserve">(1997) 189 CLR 465 at 498; </w:t>
      </w:r>
      <w:proofErr w:type="spellStart"/>
      <w:r w:rsidRPr="00D546BA">
        <w:rPr>
          <w:rFonts w:ascii="Times New Roman" w:hAnsi="Times New Roman"/>
          <w:i/>
          <w:sz w:val="24"/>
        </w:rPr>
        <w:t>Fardon</w:t>
      </w:r>
      <w:proofErr w:type="spellEnd"/>
      <w:r w:rsidRPr="00D546BA">
        <w:rPr>
          <w:rFonts w:ascii="Times New Roman" w:hAnsi="Times New Roman"/>
          <w:i/>
          <w:sz w:val="24"/>
        </w:rPr>
        <w:t xml:space="preserve"> v Attorney-General (Qld) </w:t>
      </w:r>
      <w:r w:rsidRPr="00D546BA">
        <w:rPr>
          <w:rFonts w:ascii="Times New Roman" w:hAnsi="Times New Roman"/>
          <w:sz w:val="24"/>
        </w:rPr>
        <w:t>(2004) 223 CLR 575 at 610 [74].</w:t>
      </w:r>
    </w:p>
  </w:footnote>
  <w:footnote w:id="249">
    <w:p w14:paraId="4C2BC78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(1992) 176 CLR 1 at 27.</w:t>
      </w:r>
    </w:p>
  </w:footnote>
  <w:footnote w:id="250">
    <w:p w14:paraId="4691856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w:t>
      </w:r>
    </w:p>
  </w:footnote>
  <w:footnote w:id="251">
    <w:p w14:paraId="57B72BE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 xml:space="preserve">Thomas </w:t>
      </w:r>
      <w:r w:rsidRPr="00D546BA">
        <w:rPr>
          <w:rFonts w:ascii="Times New Roman" w:hAnsi="Times New Roman"/>
          <w:sz w:val="24"/>
        </w:rPr>
        <w:t>(2007) 233 CLR 307.</w:t>
      </w:r>
    </w:p>
  </w:footnote>
  <w:footnote w:id="252">
    <w:p w14:paraId="291B8626"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Constitution</w:t>
      </w:r>
      <w:r w:rsidRPr="00D546BA">
        <w:rPr>
          <w:rFonts w:ascii="Times New Roman" w:hAnsi="Times New Roman"/>
          <w:sz w:val="24"/>
        </w:rPr>
        <w:t>, s 71.</w:t>
      </w:r>
    </w:p>
  </w:footnote>
  <w:footnote w:id="253">
    <w:p w14:paraId="1FF61BC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i/>
          <w:sz w:val="24"/>
        </w:rPr>
        <w:t>Behrooz</w:t>
      </w:r>
      <w:proofErr w:type="spellEnd"/>
      <w:r w:rsidRPr="00D546BA">
        <w:rPr>
          <w:rFonts w:ascii="Times New Roman" w:hAnsi="Times New Roman"/>
          <w:i/>
          <w:sz w:val="24"/>
        </w:rPr>
        <w:t xml:space="preserve"> v Secretary, Department of Immigration and Multicultural and Indigenous Affairs</w:t>
      </w:r>
      <w:r w:rsidRPr="00D546BA">
        <w:rPr>
          <w:rFonts w:ascii="Times New Roman" w:hAnsi="Times New Roman"/>
          <w:sz w:val="24"/>
        </w:rPr>
        <w:t xml:space="preserve"> (2004) 219 CLR 486 at 498-499 [20], 527-528 [121]; </w:t>
      </w:r>
      <w:r w:rsidRPr="00D546BA">
        <w:rPr>
          <w:rFonts w:ascii="Times New Roman" w:hAnsi="Times New Roman"/>
          <w:i/>
          <w:sz w:val="24"/>
        </w:rPr>
        <w:t xml:space="preserve">Re Woolley; Ex </w:t>
      </w:r>
      <w:proofErr w:type="spellStart"/>
      <w:r w:rsidRPr="00D546BA">
        <w:rPr>
          <w:rFonts w:ascii="Times New Roman" w:hAnsi="Times New Roman"/>
          <w:i/>
          <w:sz w:val="24"/>
        </w:rPr>
        <w:t>parte</w:t>
      </w:r>
      <w:proofErr w:type="spellEnd"/>
      <w:r w:rsidRPr="00D546BA">
        <w:rPr>
          <w:rFonts w:ascii="Times New Roman" w:hAnsi="Times New Roman"/>
          <w:i/>
          <w:sz w:val="24"/>
        </w:rPr>
        <w:t xml:space="preserve"> Applicants M276/2003</w:t>
      </w:r>
      <w:r w:rsidRPr="00D546BA">
        <w:rPr>
          <w:rFonts w:ascii="Times New Roman" w:hAnsi="Times New Roman"/>
          <w:sz w:val="24"/>
        </w:rPr>
        <w:t xml:space="preserve"> (2004) 225 CLR 1 at 11 [14], 12 [16]-[17], 65-66 [182]; </w:t>
      </w:r>
      <w:proofErr w:type="spellStart"/>
      <w:r w:rsidRPr="00D546BA">
        <w:rPr>
          <w:rFonts w:ascii="Times New Roman" w:hAnsi="Times New Roman"/>
          <w:i/>
          <w:sz w:val="24"/>
        </w:rPr>
        <w:t>Vasiljkovic</w:t>
      </w:r>
      <w:proofErr w:type="spellEnd"/>
      <w:r w:rsidRPr="00D546BA">
        <w:rPr>
          <w:rFonts w:ascii="Times New Roman" w:hAnsi="Times New Roman"/>
          <w:i/>
          <w:sz w:val="24"/>
        </w:rPr>
        <w:t xml:space="preserve"> v The Commonwealth</w:t>
      </w:r>
      <w:r w:rsidRPr="00D546BA">
        <w:rPr>
          <w:rFonts w:ascii="Times New Roman" w:hAnsi="Times New Roman"/>
          <w:sz w:val="24"/>
        </w:rPr>
        <w:t xml:space="preserve"> (2006) 227 CLR 614 at 630-631 [37], 642-643 [84], 669 [189]; </w:t>
      </w:r>
      <w:r w:rsidRPr="00D546BA">
        <w:rPr>
          <w:rFonts w:ascii="Times New Roman" w:hAnsi="Times New Roman"/>
          <w:i/>
          <w:sz w:val="24"/>
        </w:rPr>
        <w:t>North Australian Aboriginal Justice Agency Ltd v Northern Territory</w:t>
      </w:r>
      <w:r w:rsidRPr="00D546BA">
        <w:rPr>
          <w:rFonts w:ascii="Times New Roman" w:hAnsi="Times New Roman"/>
          <w:sz w:val="24"/>
        </w:rPr>
        <w:t xml:space="preserve"> (2015) 256 CLR 569 at 592-593 [37], 610 [94], 651-652 [236] ("</w:t>
      </w:r>
      <w:r w:rsidRPr="00D546BA">
        <w:rPr>
          <w:rFonts w:ascii="Times New Roman" w:hAnsi="Times New Roman"/>
          <w:i/>
          <w:sz w:val="24"/>
        </w:rPr>
        <w:t>NAAJA</w:t>
      </w:r>
      <w:r w:rsidRPr="00D546BA">
        <w:rPr>
          <w:rFonts w:ascii="Times New Roman" w:hAnsi="Times New Roman"/>
          <w:sz w:val="24"/>
        </w:rPr>
        <w:t xml:space="preserve">"); </w:t>
      </w:r>
      <w:r w:rsidRPr="00D546BA">
        <w:rPr>
          <w:rFonts w:ascii="Times New Roman" w:hAnsi="Times New Roman"/>
          <w:i/>
          <w:sz w:val="24"/>
        </w:rPr>
        <w:t>Plaintiff M68/2015 v Minister for Immigration and Border Protection</w:t>
      </w:r>
      <w:r w:rsidRPr="00D546BA">
        <w:rPr>
          <w:rFonts w:ascii="Times New Roman" w:hAnsi="Times New Roman"/>
          <w:sz w:val="24"/>
        </w:rPr>
        <w:t xml:space="preserve"> (2016) 257 CLR 42 at 69-70 [40]; </w:t>
      </w:r>
      <w:proofErr w:type="spellStart"/>
      <w:r w:rsidRPr="00D546BA">
        <w:rPr>
          <w:rFonts w:ascii="Times New Roman" w:hAnsi="Times New Roman"/>
          <w:i/>
          <w:sz w:val="24"/>
        </w:rPr>
        <w:t>Falzon</w:t>
      </w:r>
      <w:proofErr w:type="spellEnd"/>
      <w:r w:rsidRPr="00D546BA">
        <w:rPr>
          <w:rFonts w:ascii="Times New Roman" w:hAnsi="Times New Roman"/>
          <w:i/>
          <w:sz w:val="24"/>
        </w:rPr>
        <w:t xml:space="preserve"> v Minister for Immigration and Border Protection</w:t>
      </w:r>
      <w:r w:rsidRPr="00D546BA">
        <w:rPr>
          <w:rFonts w:ascii="Times New Roman" w:hAnsi="Times New Roman"/>
          <w:sz w:val="24"/>
        </w:rPr>
        <w:t xml:space="preserve"> (2018) 262 CLR 333 at 340</w:t>
      </w:r>
      <w:r w:rsidRPr="00D546BA">
        <w:rPr>
          <w:rFonts w:ascii="Times New Roman" w:hAnsi="Times New Roman"/>
          <w:sz w:val="24"/>
        </w:rPr>
        <w:noBreakHyphen/>
        <w:t>341 [16].</w:t>
      </w:r>
    </w:p>
  </w:footnote>
  <w:footnote w:id="254">
    <w:p w14:paraId="3F93543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proofErr w:type="spellStart"/>
      <w:r w:rsidRPr="00D546BA">
        <w:rPr>
          <w:rFonts w:ascii="Times New Roman" w:hAnsi="Times New Roman"/>
          <w:i/>
          <w:sz w:val="24"/>
        </w:rPr>
        <w:t>Behrooz</w:t>
      </w:r>
      <w:proofErr w:type="spellEnd"/>
      <w:r w:rsidRPr="00D546BA">
        <w:rPr>
          <w:rFonts w:ascii="Times New Roman" w:hAnsi="Times New Roman"/>
          <w:i/>
          <w:sz w:val="24"/>
        </w:rPr>
        <w:t xml:space="preserve"> </w:t>
      </w:r>
      <w:r w:rsidRPr="00D546BA">
        <w:rPr>
          <w:rFonts w:ascii="Times New Roman" w:hAnsi="Times New Roman"/>
          <w:sz w:val="24"/>
        </w:rPr>
        <w:t xml:space="preserve">(2004) 219 CLR 486 at 528 [121]; </w:t>
      </w:r>
      <w:r w:rsidRPr="00D546BA">
        <w:rPr>
          <w:rFonts w:ascii="Times New Roman" w:hAnsi="Times New Roman"/>
          <w:i/>
          <w:sz w:val="24"/>
        </w:rPr>
        <w:t xml:space="preserve">Re Woolley </w:t>
      </w:r>
      <w:r w:rsidRPr="00D546BA">
        <w:rPr>
          <w:rFonts w:ascii="Times New Roman" w:hAnsi="Times New Roman"/>
          <w:sz w:val="24"/>
        </w:rPr>
        <w:t xml:space="preserve">(2004) 225 CLR 1 at 12 [16]; </w:t>
      </w:r>
      <w:proofErr w:type="spellStart"/>
      <w:r w:rsidRPr="00D546BA">
        <w:rPr>
          <w:rFonts w:ascii="Times New Roman" w:hAnsi="Times New Roman"/>
          <w:i/>
          <w:sz w:val="24"/>
        </w:rPr>
        <w:t>Vasiljkovic</w:t>
      </w:r>
      <w:proofErr w:type="spellEnd"/>
      <w:r w:rsidRPr="00D546BA">
        <w:rPr>
          <w:rFonts w:ascii="Times New Roman" w:hAnsi="Times New Roman"/>
          <w:i/>
          <w:sz w:val="24"/>
        </w:rPr>
        <w:t xml:space="preserve"> </w:t>
      </w:r>
      <w:r w:rsidRPr="00D546BA">
        <w:rPr>
          <w:rFonts w:ascii="Times New Roman" w:hAnsi="Times New Roman"/>
          <w:sz w:val="24"/>
        </w:rPr>
        <w:t xml:space="preserve">(2006) 227 CLR 614 at 642 [84], 667 [180]; </w:t>
      </w:r>
      <w:r w:rsidRPr="00D546BA">
        <w:rPr>
          <w:rFonts w:ascii="Times New Roman" w:hAnsi="Times New Roman"/>
          <w:i/>
          <w:sz w:val="24"/>
        </w:rPr>
        <w:t xml:space="preserve">NAAJA </w:t>
      </w:r>
      <w:r w:rsidRPr="00D546BA">
        <w:rPr>
          <w:rFonts w:ascii="Times New Roman" w:hAnsi="Times New Roman"/>
          <w:sz w:val="24"/>
        </w:rPr>
        <w:t xml:space="preserve">(2015) 256 CLR 569 at 592-593 [37]; </w:t>
      </w:r>
      <w:r w:rsidRPr="00D546BA">
        <w:rPr>
          <w:rFonts w:ascii="Times New Roman" w:hAnsi="Times New Roman"/>
          <w:i/>
          <w:sz w:val="24"/>
        </w:rPr>
        <w:t>Plaintiff M68</w:t>
      </w:r>
      <w:r w:rsidRPr="00D546BA">
        <w:rPr>
          <w:rFonts w:ascii="Times New Roman" w:hAnsi="Times New Roman"/>
          <w:sz w:val="24"/>
        </w:rPr>
        <w:t xml:space="preserve"> (2016) 257 CLR 42 at 69-70 [40]; </w:t>
      </w:r>
      <w:proofErr w:type="spellStart"/>
      <w:r w:rsidRPr="00D546BA">
        <w:rPr>
          <w:rFonts w:ascii="Times New Roman" w:hAnsi="Times New Roman"/>
          <w:i/>
          <w:sz w:val="24"/>
        </w:rPr>
        <w:t>Falzon</w:t>
      </w:r>
      <w:proofErr w:type="spellEnd"/>
      <w:r w:rsidRPr="00D546BA">
        <w:rPr>
          <w:rFonts w:ascii="Times New Roman" w:hAnsi="Times New Roman"/>
          <w:i/>
          <w:sz w:val="24"/>
        </w:rPr>
        <w:t xml:space="preserve"> </w:t>
      </w:r>
      <w:r w:rsidRPr="00D546BA">
        <w:rPr>
          <w:rFonts w:ascii="Times New Roman" w:hAnsi="Times New Roman"/>
          <w:sz w:val="24"/>
        </w:rPr>
        <w:t xml:space="preserve">(2018) 262 CLR 333 at 341 [16]; </w:t>
      </w:r>
      <w:r w:rsidRPr="00D546BA">
        <w:rPr>
          <w:rFonts w:ascii="Times New Roman" w:hAnsi="Times New Roman"/>
          <w:i/>
          <w:sz w:val="24"/>
        </w:rPr>
        <w:t xml:space="preserve">Vella v Commissioner of Police (NSW) </w:t>
      </w:r>
      <w:r w:rsidRPr="00D546BA">
        <w:rPr>
          <w:rFonts w:ascii="Times New Roman" w:hAnsi="Times New Roman"/>
          <w:sz w:val="24"/>
        </w:rPr>
        <w:t>(2019) 93 ALJR 1236 at 1270-1271 [152]; 374 ALR 1 at 43.</w:t>
      </w:r>
    </w:p>
  </w:footnote>
  <w:footnote w:id="255">
    <w:p w14:paraId="1212960E" w14:textId="77777777" w:rsidR="00CE4181" w:rsidRPr="00D546BA" w:rsidRDefault="00CE4181" w:rsidP="00D546BA">
      <w:pPr>
        <w:pStyle w:val="FootnoteText"/>
        <w:spacing w:line="280" w:lineRule="exact"/>
        <w:ind w:right="0"/>
        <w:jc w:val="both"/>
        <w:rPr>
          <w:rFonts w:ascii="Times New Roman" w:hAnsi="Times New Roman"/>
          <w:sz w:val="24"/>
          <w:szCs w:val="20"/>
          <w:lang w:eastAsia="en-US"/>
        </w:rPr>
      </w:pPr>
      <w:r w:rsidRPr="00D546BA">
        <w:rPr>
          <w:rStyle w:val="FootnoteReference"/>
          <w:rFonts w:ascii="Times New Roman" w:hAnsi="Times New Roman"/>
          <w:sz w:val="22"/>
          <w:vertAlign w:val="baseline"/>
        </w:rPr>
        <w:footnoteRef/>
      </w:r>
      <w:r w:rsidRPr="00D546BA">
        <w:rPr>
          <w:rFonts w:ascii="Times New Roman" w:hAnsi="Times New Roman"/>
          <w:sz w:val="24"/>
        </w:rPr>
        <w:tab/>
      </w:r>
      <w:r w:rsidRPr="00D546BA">
        <w:rPr>
          <w:rFonts w:ascii="Times New Roman" w:hAnsi="Times New Roman"/>
          <w:i/>
          <w:sz w:val="24"/>
        </w:rPr>
        <w:t xml:space="preserve">Lim </w:t>
      </w:r>
      <w:r w:rsidRPr="00D546BA">
        <w:rPr>
          <w:rFonts w:ascii="Times New Roman" w:hAnsi="Times New Roman"/>
          <w:sz w:val="24"/>
        </w:rPr>
        <w:t>(1992) 176 CLR 1 at 28-29.</w:t>
      </w:r>
    </w:p>
  </w:footnote>
  <w:footnote w:id="256">
    <w:p w14:paraId="6E1342EB"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(2004) 223 CLR 575 at 612 [80].</w:t>
      </w:r>
    </w:p>
  </w:footnote>
  <w:footnote w:id="257">
    <w:p w14:paraId="73FB152C"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Stellios, </w:t>
      </w:r>
      <w:r w:rsidRPr="00D546BA">
        <w:rPr>
          <w:rFonts w:ascii="Times New Roman" w:hAnsi="Times New Roman"/>
          <w:i/>
          <w:sz w:val="24"/>
        </w:rPr>
        <w:t>The Federal Judicature: Chapter III of the Constitution</w:t>
      </w:r>
      <w:r w:rsidRPr="00D546BA">
        <w:rPr>
          <w:rFonts w:ascii="Times New Roman" w:hAnsi="Times New Roman"/>
          <w:sz w:val="24"/>
        </w:rPr>
        <w:t xml:space="preserve">, 2nd ed (2020) at 259-264. See also </w:t>
      </w:r>
      <w:r w:rsidRPr="00D546BA">
        <w:rPr>
          <w:rFonts w:ascii="Times New Roman" w:hAnsi="Times New Roman"/>
          <w:i/>
          <w:sz w:val="24"/>
        </w:rPr>
        <w:t xml:space="preserve">NAAJA </w:t>
      </w:r>
      <w:r w:rsidRPr="00D546BA">
        <w:rPr>
          <w:rFonts w:ascii="Times New Roman" w:hAnsi="Times New Roman"/>
          <w:sz w:val="24"/>
        </w:rPr>
        <w:t>(2015) 256 CLR 569 at 610-611 [94]-[97].</w:t>
      </w:r>
    </w:p>
  </w:footnote>
  <w:footnote w:id="258">
    <w:p w14:paraId="02683718"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Vella </w:t>
      </w:r>
      <w:r w:rsidRPr="00D546BA">
        <w:rPr>
          <w:rFonts w:ascii="Times New Roman" w:hAnsi="Times New Roman"/>
          <w:sz w:val="24"/>
        </w:rPr>
        <w:t>(2019) 93 ALJR 1236 at 1268-1269 [141]-[142]; 374 ALR 1 at 40.</w:t>
      </w:r>
    </w:p>
  </w:footnote>
  <w:footnote w:id="259">
    <w:p w14:paraId="73163BC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i/>
          <w:sz w:val="24"/>
        </w:rPr>
        <w:t>Polyukhovich</w:t>
      </w:r>
      <w:proofErr w:type="spellEnd"/>
      <w:r w:rsidRPr="00D546BA">
        <w:rPr>
          <w:rFonts w:ascii="Times New Roman" w:hAnsi="Times New Roman"/>
          <w:i/>
          <w:sz w:val="24"/>
        </w:rPr>
        <w:t xml:space="preserve"> v The Commonwealth </w:t>
      </w:r>
      <w:r w:rsidRPr="00D546BA">
        <w:rPr>
          <w:rFonts w:ascii="Times New Roman" w:hAnsi="Times New Roman"/>
          <w:sz w:val="24"/>
        </w:rPr>
        <w:t xml:space="preserve">(1991) 172 CLR 501 at 684-685; </w:t>
      </w:r>
      <w:r w:rsidRPr="00D546BA">
        <w:rPr>
          <w:rFonts w:ascii="Times New Roman" w:hAnsi="Times New Roman"/>
          <w:i/>
          <w:sz w:val="24"/>
        </w:rPr>
        <w:t xml:space="preserve">Wilson v Minister for Aboriginal and Torres Strait Islander Affairs </w:t>
      </w:r>
      <w:r w:rsidRPr="00D546BA">
        <w:rPr>
          <w:rFonts w:ascii="Times New Roman" w:hAnsi="Times New Roman"/>
          <w:sz w:val="24"/>
        </w:rPr>
        <w:t>(1996) 189 CLR 1 at 11.</w:t>
      </w:r>
    </w:p>
  </w:footnote>
  <w:footnote w:id="260">
    <w:p w14:paraId="37012E7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Stellios, "Liberty as a Constitutional Value", in Dixon (ed), </w:t>
      </w:r>
      <w:r w:rsidRPr="00D546BA">
        <w:rPr>
          <w:rFonts w:ascii="Times New Roman" w:hAnsi="Times New Roman"/>
          <w:i/>
          <w:sz w:val="24"/>
        </w:rPr>
        <w:t xml:space="preserve">Australian Constitutional Values </w:t>
      </w:r>
      <w:r w:rsidRPr="00D546BA">
        <w:rPr>
          <w:rFonts w:ascii="Times New Roman" w:hAnsi="Times New Roman"/>
          <w:sz w:val="24"/>
        </w:rPr>
        <w:t>(2018) at 177.</w:t>
      </w:r>
    </w:p>
  </w:footnote>
  <w:footnote w:id="261">
    <w:p w14:paraId="436194D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(1996) 189 CLR 51 at 93-94, 103-104, 109, 137. See also, for example, </w:t>
      </w:r>
      <w:r w:rsidRPr="00D546BA">
        <w:rPr>
          <w:rFonts w:ascii="Times New Roman" w:hAnsi="Times New Roman"/>
          <w:i/>
          <w:sz w:val="24"/>
        </w:rPr>
        <w:t>Fardon</w:t>
      </w:r>
      <w:r w:rsidRPr="00D546BA">
        <w:rPr>
          <w:rFonts w:ascii="Times New Roman" w:hAnsi="Times New Roman"/>
          <w:sz w:val="24"/>
        </w:rPr>
        <w:t xml:space="preserve"> (2004) 223 CLR 575 at 591 [15], [18], 598-599 [37], 614 [86], 617-618 [101]-[102], 626-627 [136]</w:t>
      </w:r>
      <w:r w:rsidRPr="00D546BA">
        <w:rPr>
          <w:rFonts w:ascii="Times New Roman" w:hAnsi="Times New Roman"/>
          <w:sz w:val="24"/>
        </w:rPr>
        <w:noBreakHyphen/>
        <w:t xml:space="preserve">[137], 648 [198], 652-653 [212]-[213]; </w:t>
      </w:r>
      <w:r w:rsidRPr="00D546BA">
        <w:rPr>
          <w:rFonts w:ascii="Times New Roman" w:hAnsi="Times New Roman"/>
          <w:i/>
          <w:sz w:val="24"/>
        </w:rPr>
        <w:t>Baker v The Queen</w:t>
      </w:r>
      <w:r w:rsidRPr="00D546BA">
        <w:rPr>
          <w:rFonts w:ascii="Times New Roman" w:hAnsi="Times New Roman"/>
          <w:sz w:val="24"/>
        </w:rPr>
        <w:t xml:space="preserve"> (2004) 223 CLR 513 at 534-535 [51]; </w:t>
      </w:r>
      <w:r w:rsidRPr="00D546BA">
        <w:rPr>
          <w:rFonts w:ascii="Times New Roman" w:hAnsi="Times New Roman"/>
          <w:i/>
          <w:sz w:val="24"/>
        </w:rPr>
        <w:t xml:space="preserve">Wainohu v New South Wales </w:t>
      </w:r>
      <w:r w:rsidRPr="00D546BA">
        <w:rPr>
          <w:rFonts w:ascii="Times New Roman" w:hAnsi="Times New Roman"/>
          <w:sz w:val="24"/>
        </w:rPr>
        <w:t>(2011) 243 CLR 181 at 208-209 [43]-[44], 228</w:t>
      </w:r>
      <w:r w:rsidRPr="00D546BA">
        <w:rPr>
          <w:rFonts w:ascii="Times New Roman" w:hAnsi="Times New Roman"/>
          <w:sz w:val="24"/>
        </w:rPr>
        <w:noBreakHyphen/>
        <w:t>229 [105].</w:t>
      </w:r>
    </w:p>
  </w:footnote>
  <w:footnote w:id="262">
    <w:p w14:paraId="119768E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Kable [No 1]</w:t>
      </w:r>
      <w:r w:rsidRPr="00D546BA">
        <w:rPr>
          <w:rFonts w:ascii="Times New Roman" w:hAnsi="Times New Roman"/>
          <w:sz w:val="24"/>
        </w:rPr>
        <w:t xml:space="preserve"> (1996) 189 CLR 51 at 104. See also </w:t>
      </w:r>
      <w:r w:rsidRPr="00D546BA">
        <w:rPr>
          <w:rFonts w:ascii="Times New Roman" w:hAnsi="Times New Roman"/>
          <w:i/>
          <w:sz w:val="24"/>
        </w:rPr>
        <w:t xml:space="preserve">Baker </w:t>
      </w:r>
      <w:r w:rsidRPr="00D546BA">
        <w:rPr>
          <w:rFonts w:ascii="Times New Roman" w:hAnsi="Times New Roman"/>
          <w:sz w:val="24"/>
        </w:rPr>
        <w:t xml:space="preserve">(2004) 223 CLR 513 at 534-535 [51]; </w:t>
      </w:r>
      <w:r w:rsidRPr="00D546BA">
        <w:rPr>
          <w:rFonts w:ascii="Times New Roman" w:hAnsi="Times New Roman"/>
          <w:i/>
          <w:sz w:val="24"/>
        </w:rPr>
        <w:t>Fardon</w:t>
      </w:r>
      <w:r w:rsidRPr="00D546BA">
        <w:rPr>
          <w:rFonts w:ascii="Times New Roman" w:hAnsi="Times New Roman"/>
          <w:sz w:val="24"/>
        </w:rPr>
        <w:t xml:space="preserve"> (2004) 223 CLR 575 at 630 [144(5)], 655-656 [219].</w:t>
      </w:r>
    </w:p>
  </w:footnote>
  <w:footnote w:id="263">
    <w:p w14:paraId="78A112C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i/>
          <w:sz w:val="24"/>
        </w:rPr>
        <w:t>Albarran</w:t>
      </w:r>
      <w:proofErr w:type="spellEnd"/>
      <w:r w:rsidRPr="00D546BA">
        <w:rPr>
          <w:rFonts w:ascii="Times New Roman" w:hAnsi="Times New Roman"/>
          <w:i/>
          <w:sz w:val="24"/>
        </w:rPr>
        <w:t xml:space="preserve"> v Companies Auditors and Liquidators Disciplinary Board </w:t>
      </w:r>
      <w:r w:rsidRPr="00D546BA">
        <w:rPr>
          <w:rFonts w:ascii="Times New Roman" w:hAnsi="Times New Roman"/>
          <w:sz w:val="24"/>
        </w:rPr>
        <w:t>(2007) 231 CLR 350 at 372 [73].</w:t>
      </w:r>
    </w:p>
  </w:footnote>
  <w:footnote w:id="264">
    <w:p w14:paraId="56595AF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proofErr w:type="spellStart"/>
      <w:r w:rsidRPr="00D546BA">
        <w:rPr>
          <w:rFonts w:ascii="Times New Roman" w:hAnsi="Times New Roman"/>
          <w:i/>
          <w:sz w:val="24"/>
        </w:rPr>
        <w:t>Trobridge</w:t>
      </w:r>
      <w:proofErr w:type="spellEnd"/>
      <w:r w:rsidRPr="00D546BA">
        <w:rPr>
          <w:rFonts w:ascii="Times New Roman" w:hAnsi="Times New Roman"/>
          <w:i/>
          <w:sz w:val="24"/>
        </w:rPr>
        <w:t xml:space="preserve"> v Hardy </w:t>
      </w:r>
      <w:r w:rsidRPr="00D546BA">
        <w:rPr>
          <w:rFonts w:ascii="Times New Roman" w:hAnsi="Times New Roman"/>
          <w:sz w:val="24"/>
        </w:rPr>
        <w:t xml:space="preserve">(1955) 94 CLR 147 at 152; </w:t>
      </w:r>
      <w:r w:rsidRPr="00D546BA">
        <w:rPr>
          <w:rFonts w:ascii="Times New Roman" w:hAnsi="Times New Roman"/>
          <w:i/>
          <w:sz w:val="24"/>
        </w:rPr>
        <w:t>Williams v The Queen</w:t>
      </w:r>
      <w:r w:rsidRPr="00D546BA">
        <w:rPr>
          <w:rFonts w:ascii="Times New Roman" w:hAnsi="Times New Roman"/>
          <w:sz w:val="24"/>
        </w:rPr>
        <w:t xml:space="preserve"> (1986) 161 CLR 278 at 292; </w:t>
      </w:r>
      <w:proofErr w:type="spellStart"/>
      <w:r w:rsidRPr="00D546BA">
        <w:rPr>
          <w:rFonts w:ascii="Times New Roman" w:hAnsi="Times New Roman"/>
          <w:i/>
          <w:sz w:val="24"/>
        </w:rPr>
        <w:t>Magaming</w:t>
      </w:r>
      <w:proofErr w:type="spellEnd"/>
      <w:r w:rsidRPr="00D546BA">
        <w:rPr>
          <w:rFonts w:ascii="Times New Roman" w:hAnsi="Times New Roman"/>
          <w:i/>
          <w:sz w:val="24"/>
        </w:rPr>
        <w:t xml:space="preserve"> v The Queen </w:t>
      </w:r>
      <w:r w:rsidRPr="00D546BA">
        <w:rPr>
          <w:rFonts w:ascii="Times New Roman" w:hAnsi="Times New Roman"/>
          <w:sz w:val="24"/>
        </w:rPr>
        <w:t>(2013) 252 CLR 381 at 400-401 [63]</w:t>
      </w:r>
      <w:r>
        <w:rPr>
          <w:rFonts w:ascii="Times New Roman" w:hAnsi="Times New Roman"/>
          <w:sz w:val="24"/>
        </w:rPr>
        <w:noBreakHyphen/>
      </w:r>
      <w:r w:rsidRPr="00D546BA">
        <w:rPr>
          <w:rFonts w:ascii="Times New Roman" w:hAnsi="Times New Roman"/>
          <w:sz w:val="24"/>
        </w:rPr>
        <w:t xml:space="preserve">[67]; </w:t>
      </w:r>
      <w:r w:rsidRPr="00D546BA">
        <w:rPr>
          <w:rFonts w:ascii="Times New Roman" w:hAnsi="Times New Roman"/>
          <w:i/>
          <w:sz w:val="24"/>
        </w:rPr>
        <w:t xml:space="preserve">NAAJA </w:t>
      </w:r>
      <w:r w:rsidRPr="00D546BA">
        <w:rPr>
          <w:rFonts w:ascii="Times New Roman" w:hAnsi="Times New Roman"/>
          <w:sz w:val="24"/>
        </w:rPr>
        <w:t xml:space="preserve">(2015) 256 CLR 569 at 610-611 [94]-[97]; </w:t>
      </w:r>
      <w:r w:rsidRPr="00D546BA">
        <w:rPr>
          <w:rFonts w:ascii="Times New Roman" w:hAnsi="Times New Roman"/>
          <w:i/>
          <w:sz w:val="24"/>
        </w:rPr>
        <w:t xml:space="preserve">Vella </w:t>
      </w:r>
      <w:r w:rsidRPr="00D546BA">
        <w:rPr>
          <w:rFonts w:ascii="Times New Roman" w:hAnsi="Times New Roman"/>
          <w:sz w:val="24"/>
        </w:rPr>
        <w:t>(2019) 93 ALJR 1236 at 1268-1269 [141]-[142]; 374 ALR 1 at 40.</w:t>
      </w:r>
    </w:p>
  </w:footnote>
  <w:footnote w:id="265">
    <w:p w14:paraId="3D03A27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Blackstone, </w:t>
      </w:r>
      <w:r w:rsidRPr="00D546BA">
        <w:rPr>
          <w:rFonts w:ascii="Times New Roman" w:hAnsi="Times New Roman"/>
          <w:i/>
          <w:sz w:val="24"/>
        </w:rPr>
        <w:t>Commentaries on the Laws of England</w:t>
      </w:r>
      <w:r w:rsidRPr="00D546BA">
        <w:rPr>
          <w:rFonts w:ascii="Times New Roman" w:hAnsi="Times New Roman"/>
          <w:sz w:val="24"/>
        </w:rPr>
        <w:t xml:space="preserve"> (1765), bk I, </w:t>
      </w:r>
      <w:proofErr w:type="spellStart"/>
      <w:r w:rsidRPr="00D546BA">
        <w:rPr>
          <w:rFonts w:ascii="Times New Roman" w:hAnsi="Times New Roman"/>
          <w:sz w:val="24"/>
        </w:rPr>
        <w:t>ch</w:t>
      </w:r>
      <w:proofErr w:type="spellEnd"/>
      <w:r w:rsidRPr="00D546BA">
        <w:rPr>
          <w:rFonts w:ascii="Times New Roman" w:hAnsi="Times New Roman"/>
          <w:sz w:val="24"/>
        </w:rPr>
        <w:t> 1 at 130-133.</w:t>
      </w:r>
    </w:p>
  </w:footnote>
  <w:footnote w:id="266">
    <w:p w14:paraId="4F7C051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Quinn</w:t>
      </w:r>
      <w:r w:rsidRPr="00D546BA">
        <w:rPr>
          <w:rFonts w:ascii="Times New Roman" w:hAnsi="Times New Roman"/>
          <w:sz w:val="24"/>
        </w:rPr>
        <w:t xml:space="preserve"> (1977) 138 CLR 1 at 11. See also </w:t>
      </w:r>
      <w:r w:rsidRPr="00D546BA">
        <w:rPr>
          <w:rFonts w:ascii="Times New Roman" w:hAnsi="Times New Roman"/>
          <w:i/>
          <w:sz w:val="24"/>
        </w:rPr>
        <w:t>Davison</w:t>
      </w:r>
      <w:r w:rsidRPr="00D546BA">
        <w:rPr>
          <w:rFonts w:ascii="Times New Roman" w:hAnsi="Times New Roman"/>
          <w:sz w:val="24"/>
        </w:rPr>
        <w:t xml:space="preserve"> (1954) 90 CLR 353 at 381</w:t>
      </w:r>
      <w:r w:rsidRPr="00D546BA">
        <w:rPr>
          <w:rFonts w:ascii="Times New Roman" w:hAnsi="Times New Roman"/>
          <w:sz w:val="24"/>
        </w:rPr>
        <w:noBreakHyphen/>
        <w:t>382.</w:t>
      </w:r>
    </w:p>
  </w:footnote>
  <w:footnote w:id="267">
    <w:p w14:paraId="63DD4CF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Davison</w:t>
      </w:r>
      <w:r w:rsidRPr="00D546BA">
        <w:rPr>
          <w:rFonts w:ascii="Times New Roman" w:hAnsi="Times New Roman"/>
          <w:sz w:val="24"/>
        </w:rPr>
        <w:t xml:space="preserve"> (1954) 90 CLR 353 at 381.</w:t>
      </w:r>
    </w:p>
  </w:footnote>
  <w:footnote w:id="268">
    <w:p w14:paraId="3BDE0C8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(2019) 93 ALJR 1236 at 1268-1269 [141]-[142]; 374 ALR 1 at 40, quoting </w:t>
      </w:r>
      <w:r w:rsidRPr="00D546BA">
        <w:rPr>
          <w:rFonts w:ascii="Times New Roman" w:hAnsi="Times New Roman"/>
          <w:i/>
          <w:sz w:val="24"/>
        </w:rPr>
        <w:t>Davison</w:t>
      </w:r>
      <w:r w:rsidRPr="00D546BA">
        <w:rPr>
          <w:rFonts w:ascii="Times New Roman" w:hAnsi="Times New Roman"/>
          <w:sz w:val="24"/>
        </w:rPr>
        <w:t xml:space="preserve"> (1954) 90 CLR 353 at 381-382 (footnotes omitted).</w:t>
      </w:r>
    </w:p>
  </w:footnote>
  <w:footnote w:id="269">
    <w:p w14:paraId="509443E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Stellios, </w:t>
      </w:r>
      <w:r w:rsidRPr="00D546BA">
        <w:rPr>
          <w:rFonts w:ascii="Times New Roman" w:hAnsi="Times New Roman"/>
          <w:i/>
          <w:sz w:val="24"/>
        </w:rPr>
        <w:t>The Federal Judicature: Chapter III of the Constitution</w:t>
      </w:r>
      <w:r w:rsidRPr="00D546BA">
        <w:rPr>
          <w:rFonts w:ascii="Times New Roman" w:hAnsi="Times New Roman"/>
          <w:sz w:val="24"/>
        </w:rPr>
        <w:t xml:space="preserve">, 2nd ed (2020) at 249-250. See also </w:t>
      </w:r>
      <w:r w:rsidRPr="00D546BA">
        <w:rPr>
          <w:rFonts w:ascii="Times New Roman" w:hAnsi="Times New Roman"/>
          <w:i/>
          <w:sz w:val="24"/>
        </w:rPr>
        <w:t xml:space="preserve">Witham v Holloway </w:t>
      </w:r>
      <w:r w:rsidRPr="00D546BA">
        <w:rPr>
          <w:rFonts w:ascii="Times New Roman" w:hAnsi="Times New Roman"/>
          <w:sz w:val="24"/>
        </w:rPr>
        <w:t xml:space="preserve">(1995) 183 CLR 525 at 534 ("Punishment is punishment, whether it is imposed in vindication or for remedial or coercive purposes. And there can be no doubt that imprisonment and the imposition of fines ... constitute punishment"); </w:t>
      </w:r>
      <w:r w:rsidRPr="00D546BA">
        <w:rPr>
          <w:rFonts w:ascii="Times New Roman" w:hAnsi="Times New Roman"/>
          <w:i/>
          <w:sz w:val="24"/>
        </w:rPr>
        <w:t>Gray v Motor Accident Commission</w:t>
      </w:r>
      <w:r w:rsidRPr="00D546BA">
        <w:rPr>
          <w:rFonts w:ascii="Times New Roman" w:hAnsi="Times New Roman"/>
          <w:sz w:val="24"/>
        </w:rPr>
        <w:t xml:space="preserve"> (1998) 196 CLR 1 at 16 [54]; Hart, </w:t>
      </w:r>
      <w:r w:rsidRPr="00D546BA">
        <w:rPr>
          <w:rFonts w:ascii="Times New Roman" w:hAnsi="Times New Roman"/>
          <w:i/>
          <w:sz w:val="24"/>
        </w:rPr>
        <w:t>Punishment and Responsibility: Essays in the Philosophy of Law</w:t>
      </w:r>
      <w:r w:rsidRPr="00D546BA">
        <w:rPr>
          <w:rFonts w:ascii="Times New Roman" w:hAnsi="Times New Roman"/>
          <w:sz w:val="24"/>
        </w:rPr>
        <w:t xml:space="preserve">, 2nd ed (2008) at 4-5; Ashworth and Zedner, </w:t>
      </w:r>
      <w:r w:rsidRPr="00D546BA">
        <w:rPr>
          <w:rFonts w:ascii="Times New Roman" w:hAnsi="Times New Roman"/>
          <w:i/>
          <w:sz w:val="24"/>
        </w:rPr>
        <w:t xml:space="preserve">Preventive Justice </w:t>
      </w:r>
      <w:r w:rsidRPr="00D546BA">
        <w:rPr>
          <w:rFonts w:ascii="Times New Roman" w:hAnsi="Times New Roman"/>
          <w:sz w:val="24"/>
        </w:rPr>
        <w:t>(2014) at 14, 20, 166-167, 180.</w:t>
      </w:r>
    </w:p>
  </w:footnote>
  <w:footnote w:id="270">
    <w:p w14:paraId="62FCF39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bookmarkStart w:id="1" w:name="_Hlk59105429"/>
      <w:r w:rsidRPr="00D546BA">
        <w:rPr>
          <w:rFonts w:ascii="Times New Roman" w:hAnsi="Times New Roman"/>
          <w:i/>
          <w:sz w:val="24"/>
        </w:rPr>
        <w:t>Kruger v The Commonwealth</w:t>
      </w:r>
      <w:r w:rsidRPr="00D546BA">
        <w:rPr>
          <w:rFonts w:ascii="Times New Roman" w:hAnsi="Times New Roman"/>
          <w:sz w:val="24"/>
        </w:rPr>
        <w:t xml:space="preserve"> (1997) 190 CLR 1 at 110</w:t>
      </w:r>
      <w:bookmarkEnd w:id="1"/>
      <w:r w:rsidRPr="00D546BA">
        <w:rPr>
          <w:rFonts w:ascii="Times New Roman" w:hAnsi="Times New Roman"/>
          <w:sz w:val="24"/>
        </w:rPr>
        <w:t xml:space="preserve">. See also </w:t>
      </w:r>
      <w:proofErr w:type="spellStart"/>
      <w:r w:rsidRPr="00D546BA">
        <w:rPr>
          <w:rFonts w:ascii="Times New Roman" w:hAnsi="Times New Roman"/>
          <w:i/>
          <w:sz w:val="24"/>
        </w:rPr>
        <w:t>Behrooz</w:t>
      </w:r>
      <w:proofErr w:type="spellEnd"/>
      <w:r w:rsidRPr="00D546BA">
        <w:rPr>
          <w:rFonts w:ascii="Times New Roman" w:hAnsi="Times New Roman"/>
          <w:sz w:val="24"/>
        </w:rPr>
        <w:t xml:space="preserve"> (2004) 219 CLR 486 at 499 [20]; </w:t>
      </w:r>
      <w:r w:rsidRPr="00D546BA">
        <w:rPr>
          <w:rFonts w:ascii="Times New Roman" w:hAnsi="Times New Roman"/>
          <w:i/>
          <w:sz w:val="24"/>
        </w:rPr>
        <w:t>Al-Kateb v Godwin</w:t>
      </w:r>
      <w:r w:rsidRPr="00D546BA">
        <w:rPr>
          <w:rFonts w:ascii="Times New Roman" w:hAnsi="Times New Roman"/>
          <w:sz w:val="24"/>
        </w:rPr>
        <w:t xml:space="preserve"> (2004) 219 CLR 562 at 604-605 [110], 646</w:t>
      </w:r>
      <w:r w:rsidRPr="00D546BA">
        <w:rPr>
          <w:rFonts w:ascii="Times New Roman" w:hAnsi="Times New Roman"/>
          <w:sz w:val="24"/>
        </w:rPr>
        <w:noBreakHyphen/>
        <w:t xml:space="preserve">647 [251]; </w:t>
      </w:r>
      <w:r w:rsidRPr="00D546BA">
        <w:rPr>
          <w:rFonts w:ascii="Times New Roman" w:hAnsi="Times New Roman"/>
          <w:i/>
          <w:sz w:val="24"/>
        </w:rPr>
        <w:t>Vasiljkovic</w:t>
      </w:r>
      <w:r w:rsidRPr="00D546BA">
        <w:rPr>
          <w:rFonts w:ascii="Times New Roman" w:hAnsi="Times New Roman"/>
          <w:sz w:val="24"/>
        </w:rPr>
        <w:t xml:space="preserve"> (2006) 227 CLR 614 at 631 [37]; </w:t>
      </w:r>
      <w:r w:rsidRPr="00D546BA">
        <w:rPr>
          <w:rFonts w:ascii="Times New Roman" w:hAnsi="Times New Roman"/>
          <w:i/>
          <w:sz w:val="24"/>
        </w:rPr>
        <w:t>South Australia v Totani</w:t>
      </w:r>
      <w:r w:rsidRPr="00D546BA">
        <w:rPr>
          <w:rFonts w:ascii="Times New Roman" w:hAnsi="Times New Roman"/>
          <w:sz w:val="24"/>
        </w:rPr>
        <w:t xml:space="preserve"> (2010) 242 CLR 1 at 147 [383].</w:t>
      </w:r>
    </w:p>
  </w:footnote>
  <w:footnote w:id="271">
    <w:p w14:paraId="1D19D46E"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(1996) 189 CLR 1 at 11-12 (footnotes omitted).</w:t>
      </w:r>
    </w:p>
  </w:footnote>
  <w:footnote w:id="272">
    <w:p w14:paraId="02F73B02"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New South Wales v The Commonwealth </w:t>
      </w:r>
      <w:r w:rsidRPr="00D546BA" w:rsidDel="00756D76">
        <w:rPr>
          <w:rFonts w:ascii="Times New Roman" w:hAnsi="Times New Roman"/>
          <w:sz w:val="24"/>
        </w:rPr>
        <w:t>(</w:t>
      </w:r>
      <w:r w:rsidRPr="00D546BA">
        <w:rPr>
          <w:rFonts w:ascii="Times New Roman" w:hAnsi="Times New Roman"/>
          <w:sz w:val="24"/>
        </w:rPr>
        <w:t xml:space="preserve">1915) 20 CLR 54 at 62, 93, 109; </w:t>
      </w:r>
      <w:r w:rsidRPr="00D546BA">
        <w:rPr>
          <w:rFonts w:ascii="Times New Roman" w:hAnsi="Times New Roman"/>
          <w:i/>
          <w:sz w:val="24"/>
        </w:rPr>
        <w:t xml:space="preserve">Waterside Workers' Federation of Australia v J W Alexander Ltd </w:t>
      </w:r>
      <w:r w:rsidRPr="00D546BA">
        <w:rPr>
          <w:rFonts w:ascii="Times New Roman" w:hAnsi="Times New Roman"/>
          <w:sz w:val="24"/>
        </w:rPr>
        <w:t xml:space="preserve">(1918) 25 CLR 434 at 441, 450, 465; </w:t>
      </w:r>
      <w:r w:rsidRPr="00D546BA">
        <w:rPr>
          <w:rFonts w:ascii="Times New Roman" w:hAnsi="Times New Roman"/>
          <w:i/>
          <w:sz w:val="24"/>
        </w:rPr>
        <w:t xml:space="preserve">Brandy v Human Rights and Equal Opportunity Commission </w:t>
      </w:r>
      <w:r w:rsidRPr="00D546BA">
        <w:rPr>
          <w:rFonts w:ascii="Times New Roman" w:hAnsi="Times New Roman"/>
          <w:sz w:val="24"/>
        </w:rPr>
        <w:t>(1995) 183 CLR 245 at 258, 267.</w:t>
      </w:r>
    </w:p>
  </w:footnote>
  <w:footnote w:id="273">
    <w:p w14:paraId="619F744C"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R v Kirby; Ex </w:t>
      </w:r>
      <w:proofErr w:type="spellStart"/>
      <w:r w:rsidRPr="00D546BA">
        <w:rPr>
          <w:rFonts w:ascii="Times New Roman" w:hAnsi="Times New Roman"/>
          <w:i/>
          <w:sz w:val="24"/>
        </w:rPr>
        <w:t>parte</w:t>
      </w:r>
      <w:proofErr w:type="spellEnd"/>
      <w:r w:rsidRPr="00D546BA">
        <w:rPr>
          <w:rFonts w:ascii="Times New Roman" w:hAnsi="Times New Roman"/>
          <w:i/>
          <w:sz w:val="24"/>
        </w:rPr>
        <w:t xml:space="preserve"> Boilermakers' Society of Australia </w:t>
      </w:r>
      <w:r w:rsidRPr="00D546BA" w:rsidDel="00AA2E7B">
        <w:rPr>
          <w:rFonts w:ascii="Times New Roman" w:hAnsi="Times New Roman"/>
          <w:sz w:val="24"/>
        </w:rPr>
        <w:t>(</w:t>
      </w:r>
      <w:r w:rsidRPr="00D546BA">
        <w:rPr>
          <w:rFonts w:ascii="Times New Roman" w:hAnsi="Times New Roman"/>
          <w:sz w:val="24"/>
        </w:rPr>
        <w:t>1956) 94 CLR 254 at 269</w:t>
      </w:r>
      <w:r>
        <w:rPr>
          <w:rFonts w:ascii="Times New Roman" w:hAnsi="Times New Roman"/>
          <w:sz w:val="24"/>
        </w:rPr>
        <w:noBreakHyphen/>
      </w:r>
      <w:r w:rsidRPr="00D546BA">
        <w:rPr>
          <w:rFonts w:ascii="Times New Roman" w:hAnsi="Times New Roman"/>
          <w:sz w:val="24"/>
        </w:rPr>
        <w:t>270.</w:t>
      </w:r>
    </w:p>
  </w:footnote>
  <w:footnote w:id="274">
    <w:p w14:paraId="3D3D66C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ab/>
      </w:r>
      <w:r w:rsidRPr="00D546BA">
        <w:rPr>
          <w:rFonts w:ascii="Times New Roman" w:hAnsi="Times New Roman"/>
          <w:i/>
          <w:sz w:val="24"/>
        </w:rPr>
        <w:t>In re Judiciary and Navigation Acts</w:t>
      </w:r>
      <w:r w:rsidRPr="00D546BA">
        <w:rPr>
          <w:rFonts w:ascii="Times New Roman" w:hAnsi="Times New Roman"/>
          <w:sz w:val="24"/>
        </w:rPr>
        <w:t xml:space="preserve"> (1921) 29 CLR 257 at 264</w:t>
      </w:r>
      <w:r w:rsidRPr="00D546BA">
        <w:rPr>
          <w:rFonts w:ascii="Times New Roman" w:hAnsi="Times New Roman"/>
          <w:sz w:val="24"/>
        </w:rPr>
        <w:noBreakHyphen/>
        <w:t xml:space="preserve">267. See also </w:t>
      </w:r>
      <w:r w:rsidRPr="00D546BA">
        <w:rPr>
          <w:rFonts w:ascii="Times New Roman" w:hAnsi="Times New Roman"/>
          <w:i/>
          <w:sz w:val="24"/>
        </w:rPr>
        <w:t>Gould v Brown</w:t>
      </w:r>
      <w:r w:rsidRPr="00D546BA">
        <w:rPr>
          <w:rFonts w:ascii="Times New Roman" w:hAnsi="Times New Roman"/>
          <w:sz w:val="24"/>
        </w:rPr>
        <w:t xml:space="preserve"> (1998) 193 CLR 346 at 420</w:t>
      </w:r>
      <w:r w:rsidRPr="00D546BA">
        <w:rPr>
          <w:rFonts w:ascii="Times New Roman" w:hAnsi="Times New Roman"/>
          <w:sz w:val="24"/>
        </w:rPr>
        <w:noBreakHyphen/>
        <w:t xml:space="preserve">421 [118]; </w:t>
      </w:r>
      <w:r w:rsidRPr="00D546BA">
        <w:rPr>
          <w:rFonts w:ascii="Times New Roman" w:hAnsi="Times New Roman"/>
          <w:i/>
          <w:sz w:val="24"/>
        </w:rPr>
        <w:t>Re Wakim; Ex parte McNally</w:t>
      </w:r>
      <w:r w:rsidRPr="00D546BA">
        <w:rPr>
          <w:rFonts w:ascii="Times New Roman" w:hAnsi="Times New Roman"/>
          <w:sz w:val="24"/>
        </w:rPr>
        <w:t xml:space="preserve"> (1999) 198 CLR 511 at 574-575 [111]; </w:t>
      </w:r>
      <w:r w:rsidRPr="00D546BA">
        <w:rPr>
          <w:rFonts w:ascii="Times New Roman" w:hAnsi="Times New Roman"/>
          <w:i/>
          <w:sz w:val="24"/>
        </w:rPr>
        <w:t>Momcilovic v The Queen</w:t>
      </w:r>
      <w:r w:rsidRPr="00D546BA">
        <w:rPr>
          <w:rFonts w:ascii="Times New Roman" w:hAnsi="Times New Roman"/>
          <w:sz w:val="24"/>
        </w:rPr>
        <w:t xml:space="preserve"> (2011) 245 CLR 1 at 61</w:t>
      </w:r>
      <w:r>
        <w:rPr>
          <w:rFonts w:ascii="Times New Roman" w:hAnsi="Times New Roman"/>
          <w:sz w:val="24"/>
        </w:rPr>
        <w:noBreakHyphen/>
      </w:r>
      <w:r w:rsidRPr="00D546BA">
        <w:rPr>
          <w:rFonts w:ascii="Times New Roman" w:hAnsi="Times New Roman"/>
          <w:sz w:val="24"/>
        </w:rPr>
        <w:t xml:space="preserve">62 [82]-[83]; </w:t>
      </w:r>
      <w:r w:rsidRPr="00D546BA">
        <w:rPr>
          <w:rFonts w:ascii="Times New Roman" w:hAnsi="Times New Roman"/>
          <w:i/>
          <w:sz w:val="24"/>
        </w:rPr>
        <w:t>CGU Insurance Ltd v Blakeley</w:t>
      </w:r>
      <w:r w:rsidRPr="00D546BA">
        <w:rPr>
          <w:rFonts w:ascii="Times New Roman" w:hAnsi="Times New Roman"/>
          <w:sz w:val="24"/>
        </w:rPr>
        <w:t xml:space="preserve"> (2016) 259 CLR 339 at 349-351 [24]</w:t>
      </w:r>
      <w:r>
        <w:rPr>
          <w:rFonts w:ascii="Times New Roman" w:hAnsi="Times New Roman"/>
          <w:sz w:val="24"/>
        </w:rPr>
        <w:noBreakHyphen/>
      </w:r>
      <w:r w:rsidRPr="00D546BA">
        <w:rPr>
          <w:rFonts w:ascii="Times New Roman" w:hAnsi="Times New Roman"/>
          <w:sz w:val="24"/>
        </w:rPr>
        <w:t>[26].</w:t>
      </w:r>
    </w:p>
  </w:footnote>
  <w:footnote w:id="275">
    <w:p w14:paraId="779C784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South Australia v Victoria </w:t>
      </w:r>
      <w:r w:rsidRPr="00D546BA">
        <w:rPr>
          <w:rFonts w:ascii="Times New Roman" w:hAnsi="Times New Roman"/>
          <w:sz w:val="24"/>
        </w:rPr>
        <w:t xml:space="preserve">(1911) 12 CLR 667 at 674-675; </w:t>
      </w:r>
      <w:r w:rsidRPr="00D546BA">
        <w:rPr>
          <w:rFonts w:ascii="Times New Roman" w:hAnsi="Times New Roman"/>
          <w:i/>
          <w:sz w:val="24"/>
        </w:rPr>
        <w:t xml:space="preserve">In re Judiciary and Navigation Acts </w:t>
      </w:r>
      <w:r w:rsidRPr="00D546BA">
        <w:rPr>
          <w:rFonts w:ascii="Times New Roman" w:hAnsi="Times New Roman"/>
          <w:sz w:val="24"/>
        </w:rPr>
        <w:t xml:space="preserve">(1921) 29 CLR 257 at 267; </w:t>
      </w:r>
      <w:r w:rsidRPr="00D546BA">
        <w:rPr>
          <w:rFonts w:ascii="Times New Roman" w:hAnsi="Times New Roman"/>
          <w:i/>
          <w:sz w:val="24"/>
        </w:rPr>
        <w:t xml:space="preserve">Hilton v Wells </w:t>
      </w:r>
      <w:r w:rsidRPr="00D546BA">
        <w:rPr>
          <w:rFonts w:ascii="Times New Roman" w:hAnsi="Times New Roman"/>
          <w:sz w:val="24"/>
        </w:rPr>
        <w:t xml:space="preserve">(1985) 157 CLR 57 at 72-73; </w:t>
      </w:r>
      <w:r w:rsidRPr="00D546BA">
        <w:rPr>
          <w:rFonts w:ascii="Times New Roman" w:hAnsi="Times New Roman"/>
          <w:i/>
          <w:sz w:val="24"/>
        </w:rPr>
        <w:t xml:space="preserve">Wilson </w:t>
      </w:r>
      <w:r w:rsidRPr="00D546BA">
        <w:rPr>
          <w:rFonts w:ascii="Times New Roman" w:hAnsi="Times New Roman"/>
          <w:sz w:val="24"/>
        </w:rPr>
        <w:t xml:space="preserve">(1996) 189 CLR 1 at 16, 25; </w:t>
      </w:r>
      <w:proofErr w:type="spellStart"/>
      <w:r w:rsidRPr="00D546BA">
        <w:rPr>
          <w:rFonts w:ascii="Times New Roman" w:hAnsi="Times New Roman"/>
          <w:i/>
          <w:sz w:val="24"/>
        </w:rPr>
        <w:t>Albarran</w:t>
      </w:r>
      <w:proofErr w:type="spellEnd"/>
      <w:r w:rsidRPr="00D546BA">
        <w:rPr>
          <w:rFonts w:ascii="Times New Roman" w:hAnsi="Times New Roman"/>
          <w:i/>
          <w:sz w:val="24"/>
        </w:rPr>
        <w:t xml:space="preserve"> </w:t>
      </w:r>
      <w:r w:rsidRPr="00D546BA">
        <w:rPr>
          <w:rFonts w:ascii="Times New Roman" w:hAnsi="Times New Roman"/>
          <w:sz w:val="24"/>
        </w:rPr>
        <w:t>(2007) 231 CLR 350 at 372 [73].</w:t>
      </w:r>
    </w:p>
  </w:footnote>
  <w:footnote w:id="276">
    <w:p w14:paraId="48BECDB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ab/>
      </w:r>
      <w:r w:rsidRPr="00D546BA">
        <w:rPr>
          <w:rFonts w:ascii="Times New Roman" w:hAnsi="Times New Roman"/>
          <w:i/>
          <w:sz w:val="24"/>
        </w:rPr>
        <w:t xml:space="preserve">Precision Data Holdings Ltd v Wills </w:t>
      </w:r>
      <w:r w:rsidRPr="00D546BA">
        <w:rPr>
          <w:rFonts w:ascii="Times New Roman" w:hAnsi="Times New Roman"/>
          <w:sz w:val="24"/>
        </w:rPr>
        <w:t>(1991) 173 CLR 167 at 188</w:t>
      </w:r>
      <w:r w:rsidRPr="00D546BA">
        <w:rPr>
          <w:rFonts w:ascii="Times New Roman" w:hAnsi="Times New Roman"/>
          <w:sz w:val="24"/>
        </w:rPr>
        <w:noBreakHyphen/>
        <w:t xml:space="preserve">189. See also </w:t>
      </w:r>
      <w:r w:rsidRPr="00D546BA">
        <w:rPr>
          <w:rFonts w:ascii="Times New Roman" w:hAnsi="Times New Roman"/>
          <w:i/>
          <w:sz w:val="24"/>
        </w:rPr>
        <w:t>Davison</w:t>
      </w:r>
      <w:r w:rsidRPr="00D546BA">
        <w:rPr>
          <w:rFonts w:ascii="Times New Roman" w:hAnsi="Times New Roman"/>
          <w:sz w:val="24"/>
        </w:rPr>
        <w:t xml:space="preserve"> (1954) 90 CLR 353 at 366; </w:t>
      </w:r>
      <w:r w:rsidRPr="00D546BA">
        <w:rPr>
          <w:rFonts w:ascii="Times New Roman" w:hAnsi="Times New Roman"/>
          <w:i/>
          <w:sz w:val="24"/>
        </w:rPr>
        <w:t>R v Trade Practices Tribunal; Ex parte Tasmanian Breweries Pty Ltd</w:t>
      </w:r>
      <w:r w:rsidRPr="00D546BA">
        <w:rPr>
          <w:rFonts w:ascii="Times New Roman" w:hAnsi="Times New Roman"/>
          <w:sz w:val="24"/>
        </w:rPr>
        <w:t xml:space="preserve"> (1970) 123 CLR 361 at 373; </w:t>
      </w:r>
      <w:r w:rsidRPr="00D546BA">
        <w:rPr>
          <w:rFonts w:ascii="Times New Roman" w:hAnsi="Times New Roman"/>
          <w:i/>
          <w:sz w:val="24"/>
        </w:rPr>
        <w:t xml:space="preserve">Brandy </w:t>
      </w:r>
      <w:r w:rsidRPr="00D546BA">
        <w:rPr>
          <w:rFonts w:ascii="Times New Roman" w:hAnsi="Times New Roman"/>
          <w:sz w:val="24"/>
        </w:rPr>
        <w:t>(1995) 183 CLR 245 at 267</w:t>
      </w:r>
      <w:r w:rsidRPr="00D546BA">
        <w:rPr>
          <w:rFonts w:ascii="Times New Roman" w:hAnsi="Times New Roman"/>
          <w:sz w:val="24"/>
        </w:rPr>
        <w:noBreakHyphen/>
        <w:t xml:space="preserve">268; </w:t>
      </w:r>
      <w:r w:rsidRPr="00D546BA">
        <w:rPr>
          <w:rFonts w:ascii="Times New Roman" w:hAnsi="Times New Roman"/>
          <w:i/>
          <w:sz w:val="24"/>
        </w:rPr>
        <w:t>Re Woolley</w:t>
      </w:r>
      <w:r w:rsidRPr="00D546BA">
        <w:rPr>
          <w:rFonts w:ascii="Times New Roman" w:hAnsi="Times New Roman"/>
          <w:sz w:val="24"/>
        </w:rPr>
        <w:t xml:space="preserve"> (2004) 225 CLR 1 at 22 [51]; </w:t>
      </w:r>
      <w:r w:rsidRPr="00D546BA">
        <w:rPr>
          <w:rFonts w:ascii="Times New Roman" w:hAnsi="Times New Roman"/>
          <w:i/>
          <w:sz w:val="24"/>
        </w:rPr>
        <w:t xml:space="preserve">Thomas </w:t>
      </w:r>
      <w:r w:rsidRPr="00D546BA">
        <w:rPr>
          <w:rFonts w:ascii="Times New Roman" w:hAnsi="Times New Roman"/>
          <w:sz w:val="24"/>
        </w:rPr>
        <w:t>(2007) 233 CLR 307 at 414 [306]</w:t>
      </w:r>
      <w:r w:rsidRPr="00D546BA" w:rsidDel="00153052">
        <w:rPr>
          <w:rFonts w:ascii="Times New Roman" w:hAnsi="Times New Roman"/>
          <w:sz w:val="24"/>
        </w:rPr>
        <w:t xml:space="preserve">; </w:t>
      </w:r>
      <w:r w:rsidRPr="00D546BA">
        <w:rPr>
          <w:rFonts w:ascii="Times New Roman" w:hAnsi="Times New Roman"/>
          <w:i/>
          <w:sz w:val="24"/>
        </w:rPr>
        <w:t xml:space="preserve">Attorney-General (Cth) v Alinta Ltd </w:t>
      </w:r>
      <w:r w:rsidRPr="00D546BA">
        <w:rPr>
          <w:rFonts w:ascii="Times New Roman" w:hAnsi="Times New Roman"/>
          <w:sz w:val="24"/>
        </w:rPr>
        <w:t>(2008) 233 CLR 542 at 592 [151].</w:t>
      </w:r>
    </w:p>
  </w:footnote>
  <w:footnote w:id="277">
    <w:p w14:paraId="5AE635C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ab/>
      </w:r>
      <w:r w:rsidRPr="00D546BA">
        <w:rPr>
          <w:rFonts w:ascii="Times New Roman" w:hAnsi="Times New Roman"/>
          <w:i/>
          <w:sz w:val="24"/>
        </w:rPr>
        <w:t>Huddart</w:t>
      </w:r>
      <w:r w:rsidRPr="00D546BA" w:rsidDel="001D2527">
        <w:rPr>
          <w:rFonts w:ascii="Times New Roman" w:hAnsi="Times New Roman"/>
          <w:i/>
          <w:sz w:val="24"/>
        </w:rPr>
        <w:t>,</w:t>
      </w:r>
      <w:r w:rsidRPr="00D546BA">
        <w:rPr>
          <w:rFonts w:ascii="Times New Roman" w:hAnsi="Times New Roman"/>
          <w:i/>
          <w:sz w:val="24"/>
        </w:rPr>
        <w:t xml:space="preserve"> Parker</w:t>
      </w:r>
      <w:r w:rsidRPr="00D546BA" w:rsidDel="001D2527">
        <w:rPr>
          <w:rFonts w:ascii="Times New Roman" w:hAnsi="Times New Roman"/>
          <w:i/>
          <w:sz w:val="24"/>
        </w:rPr>
        <w:t xml:space="preserve"> &amp; Co Pty Ltd v </w:t>
      </w:r>
      <w:proofErr w:type="spellStart"/>
      <w:r w:rsidRPr="00D546BA" w:rsidDel="001D2527">
        <w:rPr>
          <w:rFonts w:ascii="Times New Roman" w:hAnsi="Times New Roman"/>
          <w:i/>
          <w:sz w:val="24"/>
        </w:rPr>
        <w:t>Moorehead</w:t>
      </w:r>
      <w:proofErr w:type="spellEnd"/>
      <w:r w:rsidRPr="00D546BA">
        <w:rPr>
          <w:rFonts w:ascii="Times New Roman" w:hAnsi="Times New Roman"/>
          <w:i/>
          <w:sz w:val="24"/>
        </w:rPr>
        <w:t xml:space="preserve"> </w:t>
      </w:r>
      <w:r w:rsidRPr="00D546BA">
        <w:rPr>
          <w:rFonts w:ascii="Times New Roman" w:hAnsi="Times New Roman"/>
          <w:sz w:val="24"/>
        </w:rPr>
        <w:t>(1909) 8 CLR 330 at 357 ("</w:t>
      </w:r>
      <w:r w:rsidRPr="00D546BA">
        <w:rPr>
          <w:rFonts w:ascii="Times New Roman" w:hAnsi="Times New Roman"/>
          <w:i/>
          <w:sz w:val="24"/>
        </w:rPr>
        <w:t>Huddart Parker</w:t>
      </w:r>
      <w:r w:rsidRPr="00D546BA">
        <w:rPr>
          <w:rFonts w:ascii="Times New Roman" w:hAnsi="Times New Roman"/>
          <w:sz w:val="24"/>
        </w:rPr>
        <w:t>").</w:t>
      </w:r>
    </w:p>
  </w:footnote>
  <w:footnote w:id="278">
    <w:p w14:paraId="4CA8EBE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ab/>
        <w:t xml:space="preserve">This has been consistently recognised since </w:t>
      </w:r>
      <w:r w:rsidRPr="00D546BA">
        <w:rPr>
          <w:rFonts w:ascii="Times New Roman" w:hAnsi="Times New Roman"/>
          <w:i/>
          <w:sz w:val="24"/>
        </w:rPr>
        <w:t>Huddart Parker</w:t>
      </w:r>
      <w:r w:rsidRPr="00D546BA">
        <w:rPr>
          <w:rFonts w:ascii="Times New Roman" w:hAnsi="Times New Roman"/>
          <w:sz w:val="24"/>
        </w:rPr>
        <w:t xml:space="preserve"> (1909) 8 CLR 330: </w:t>
      </w:r>
      <w:r w:rsidRPr="00D546BA">
        <w:rPr>
          <w:rFonts w:ascii="Times New Roman" w:hAnsi="Times New Roman"/>
          <w:i/>
          <w:sz w:val="24"/>
        </w:rPr>
        <w:t xml:space="preserve">Waterside Workers' </w:t>
      </w:r>
      <w:r w:rsidRPr="00D546BA">
        <w:rPr>
          <w:rFonts w:ascii="Times New Roman" w:hAnsi="Times New Roman"/>
          <w:sz w:val="24"/>
        </w:rPr>
        <w:t xml:space="preserve">(1918) 25 CLR 434 at 442-443; </w:t>
      </w:r>
      <w:r w:rsidRPr="00D546BA">
        <w:rPr>
          <w:rFonts w:ascii="Times New Roman" w:hAnsi="Times New Roman"/>
          <w:i/>
          <w:sz w:val="24"/>
        </w:rPr>
        <w:t xml:space="preserve">Brandy </w:t>
      </w:r>
      <w:r w:rsidRPr="00D546BA">
        <w:rPr>
          <w:rFonts w:ascii="Times New Roman" w:hAnsi="Times New Roman"/>
          <w:sz w:val="24"/>
        </w:rPr>
        <w:t>(1995) 183 CLR 245 at 267</w:t>
      </w:r>
      <w:r w:rsidRPr="00D546BA">
        <w:rPr>
          <w:rFonts w:ascii="Times New Roman" w:hAnsi="Times New Roman"/>
          <w:sz w:val="24"/>
        </w:rPr>
        <w:noBreakHyphen/>
        <w:t xml:space="preserve">268; </w:t>
      </w:r>
      <w:r w:rsidRPr="00D546BA">
        <w:rPr>
          <w:rFonts w:ascii="Times New Roman" w:hAnsi="Times New Roman"/>
          <w:i/>
          <w:sz w:val="24"/>
        </w:rPr>
        <w:t xml:space="preserve">Bass v Permanent Trustee Co Ltd </w:t>
      </w:r>
      <w:r w:rsidRPr="00D546BA">
        <w:rPr>
          <w:rFonts w:ascii="Times New Roman" w:hAnsi="Times New Roman"/>
          <w:sz w:val="24"/>
        </w:rPr>
        <w:t>(1999) 198 CLR 334 at 355-359 [45]</w:t>
      </w:r>
      <w:r w:rsidRPr="00D546BA">
        <w:rPr>
          <w:rFonts w:ascii="Times New Roman" w:hAnsi="Times New Roman"/>
          <w:sz w:val="24"/>
        </w:rPr>
        <w:noBreakHyphen/>
        <w:t xml:space="preserve">[56]; </w:t>
      </w:r>
      <w:r w:rsidRPr="00D546BA">
        <w:rPr>
          <w:rFonts w:ascii="Times New Roman" w:hAnsi="Times New Roman"/>
          <w:i/>
          <w:sz w:val="24"/>
        </w:rPr>
        <w:t>Alinta</w:t>
      </w:r>
      <w:r w:rsidRPr="00D546BA" w:rsidDel="00115F9A">
        <w:rPr>
          <w:rFonts w:ascii="Times New Roman" w:hAnsi="Times New Roman"/>
          <w:i/>
          <w:sz w:val="24"/>
        </w:rPr>
        <w:t xml:space="preserve"> </w:t>
      </w:r>
      <w:r w:rsidRPr="00D546BA">
        <w:rPr>
          <w:rFonts w:ascii="Times New Roman" w:hAnsi="Times New Roman"/>
          <w:sz w:val="24"/>
        </w:rPr>
        <w:t>(2008) 233 CLR 542 at 577 [94], 592-593 [153]-[155].</w:t>
      </w:r>
    </w:p>
  </w:footnote>
  <w:footnote w:id="279">
    <w:p w14:paraId="076EDF0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i/>
          <w:sz w:val="24"/>
        </w:rPr>
        <w:tab/>
      </w:r>
      <w:r w:rsidRPr="00D546BA">
        <w:rPr>
          <w:rFonts w:ascii="Times New Roman" w:hAnsi="Times New Roman"/>
          <w:sz w:val="24"/>
        </w:rPr>
        <w:t>(2010) 242 CLR 1 at 86 [220].</w:t>
      </w:r>
    </w:p>
  </w:footnote>
  <w:footnote w:id="280">
    <w:p w14:paraId="436DD3EC"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 xml:space="preserve">Davison </w:t>
      </w:r>
      <w:r w:rsidRPr="00D546BA">
        <w:rPr>
          <w:rFonts w:ascii="Times New Roman" w:hAnsi="Times New Roman"/>
          <w:sz w:val="24"/>
        </w:rPr>
        <w:t xml:space="preserve">(1954) 90 CLR 353 at 382; </w:t>
      </w:r>
      <w:r w:rsidRPr="00D546BA">
        <w:rPr>
          <w:rFonts w:ascii="Times New Roman" w:hAnsi="Times New Roman"/>
          <w:i/>
          <w:sz w:val="24"/>
        </w:rPr>
        <w:t xml:space="preserve">TCL Air Conditioner (Zhongshan) Co Ltd v Judges of the Federal Court of Australia </w:t>
      </w:r>
      <w:r w:rsidRPr="00D546BA">
        <w:rPr>
          <w:rFonts w:ascii="Times New Roman" w:hAnsi="Times New Roman"/>
          <w:sz w:val="24"/>
        </w:rPr>
        <w:t xml:space="preserve">(2013) 251 CLR 533 at 574 [105]. See also </w:t>
      </w:r>
      <w:proofErr w:type="spellStart"/>
      <w:r w:rsidRPr="00D546BA">
        <w:rPr>
          <w:rFonts w:ascii="Times New Roman" w:hAnsi="Times New Roman"/>
          <w:sz w:val="24"/>
        </w:rPr>
        <w:t>Stellios</w:t>
      </w:r>
      <w:proofErr w:type="spellEnd"/>
      <w:r w:rsidRPr="00D546BA">
        <w:rPr>
          <w:rFonts w:ascii="Times New Roman" w:hAnsi="Times New Roman"/>
          <w:sz w:val="24"/>
        </w:rPr>
        <w:t xml:space="preserve">, "Reconceiving the Separation of Judicial Power" (2011) 22 </w:t>
      </w:r>
      <w:r w:rsidRPr="00D546BA">
        <w:rPr>
          <w:rFonts w:ascii="Times New Roman" w:hAnsi="Times New Roman"/>
          <w:i/>
          <w:sz w:val="24"/>
        </w:rPr>
        <w:t>Public Law Review</w:t>
      </w:r>
      <w:r w:rsidRPr="00D546BA">
        <w:rPr>
          <w:rFonts w:ascii="Times New Roman" w:hAnsi="Times New Roman"/>
          <w:sz w:val="24"/>
        </w:rPr>
        <w:t xml:space="preserve"> 113 at 121; Stellios, "The Masking of Judicial Power Values: Historical Analogies and Double Function Provisions" (2017) 28 </w:t>
      </w:r>
      <w:r w:rsidRPr="00D546BA">
        <w:rPr>
          <w:rFonts w:ascii="Times New Roman" w:hAnsi="Times New Roman"/>
          <w:i/>
          <w:sz w:val="24"/>
        </w:rPr>
        <w:t>Public Law Review</w:t>
      </w:r>
      <w:r w:rsidRPr="00D546BA">
        <w:rPr>
          <w:rFonts w:ascii="Times New Roman" w:hAnsi="Times New Roman"/>
          <w:sz w:val="24"/>
        </w:rPr>
        <w:t xml:space="preserve"> 138.</w:t>
      </w:r>
    </w:p>
  </w:footnote>
  <w:footnote w:id="281">
    <w:p w14:paraId="6767E52A"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(2007) 233 CLR 307 at 356 [116] (footnote omitted).</w:t>
      </w:r>
    </w:p>
  </w:footnote>
  <w:footnote w:id="282">
    <w:p w14:paraId="17CF73B2"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Palmer v Ayres </w:t>
      </w:r>
      <w:r w:rsidRPr="00D546BA">
        <w:rPr>
          <w:rFonts w:ascii="Times New Roman" w:hAnsi="Times New Roman"/>
          <w:sz w:val="24"/>
        </w:rPr>
        <w:t xml:space="preserve">(2017) 259 CLR 478 at 494 [37], citing </w:t>
      </w:r>
      <w:r w:rsidRPr="00D546BA">
        <w:rPr>
          <w:rFonts w:ascii="Times New Roman" w:hAnsi="Times New Roman"/>
          <w:i/>
          <w:sz w:val="24"/>
        </w:rPr>
        <w:t xml:space="preserve">Davison </w:t>
      </w:r>
      <w:r w:rsidRPr="00D546BA">
        <w:rPr>
          <w:rFonts w:ascii="Times New Roman" w:hAnsi="Times New Roman"/>
          <w:sz w:val="24"/>
        </w:rPr>
        <w:t xml:space="preserve">(1954) 90 CLR 353 at 366-369, 382 and </w:t>
      </w:r>
      <w:r w:rsidRPr="00D546BA">
        <w:rPr>
          <w:rFonts w:ascii="Times New Roman" w:hAnsi="Times New Roman"/>
          <w:i/>
          <w:sz w:val="24"/>
        </w:rPr>
        <w:t xml:space="preserve">White v Director of Military Prosecutions </w:t>
      </w:r>
      <w:r w:rsidRPr="00D546BA">
        <w:rPr>
          <w:rFonts w:ascii="Times New Roman" w:hAnsi="Times New Roman"/>
          <w:sz w:val="24"/>
        </w:rPr>
        <w:t>(2007) 231 CLR 570 at 595 [48].</w:t>
      </w:r>
    </w:p>
  </w:footnote>
  <w:footnote w:id="283">
    <w:p w14:paraId="0C963BAC"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Quinn</w:t>
      </w:r>
      <w:r w:rsidRPr="00D546BA">
        <w:rPr>
          <w:rFonts w:ascii="Times New Roman" w:hAnsi="Times New Roman"/>
          <w:sz w:val="24"/>
        </w:rPr>
        <w:t xml:space="preserve"> (1977) 138 CLR 1 at 6, 9-10, 18; </w:t>
      </w:r>
      <w:r w:rsidRPr="00D546BA">
        <w:rPr>
          <w:rFonts w:ascii="Times New Roman" w:hAnsi="Times New Roman"/>
          <w:i/>
          <w:sz w:val="24"/>
        </w:rPr>
        <w:t xml:space="preserve">R v Hegarty; Ex </w:t>
      </w:r>
      <w:proofErr w:type="spellStart"/>
      <w:r w:rsidRPr="00D546BA">
        <w:rPr>
          <w:rFonts w:ascii="Times New Roman" w:hAnsi="Times New Roman"/>
          <w:i/>
          <w:sz w:val="24"/>
        </w:rPr>
        <w:t>parte</w:t>
      </w:r>
      <w:proofErr w:type="spellEnd"/>
      <w:r w:rsidRPr="00D546BA">
        <w:rPr>
          <w:rFonts w:ascii="Times New Roman" w:hAnsi="Times New Roman"/>
          <w:i/>
          <w:sz w:val="24"/>
        </w:rPr>
        <w:t xml:space="preserve"> City of Salisbury </w:t>
      </w:r>
      <w:r w:rsidRPr="00D546BA">
        <w:rPr>
          <w:rFonts w:ascii="Times New Roman" w:hAnsi="Times New Roman"/>
          <w:sz w:val="24"/>
        </w:rPr>
        <w:t xml:space="preserve">(1981) 147 CLR 617 at 628, 631-632; </w:t>
      </w:r>
      <w:proofErr w:type="spellStart"/>
      <w:r w:rsidRPr="00D546BA">
        <w:rPr>
          <w:rFonts w:ascii="Times New Roman" w:hAnsi="Times New Roman"/>
          <w:i/>
          <w:sz w:val="24"/>
        </w:rPr>
        <w:t>Pasini</w:t>
      </w:r>
      <w:proofErr w:type="spellEnd"/>
      <w:r w:rsidRPr="00D546BA">
        <w:rPr>
          <w:rFonts w:ascii="Times New Roman" w:hAnsi="Times New Roman"/>
          <w:i/>
          <w:sz w:val="24"/>
        </w:rPr>
        <w:t xml:space="preserve"> v United Mexican States</w:t>
      </w:r>
      <w:r w:rsidRPr="00D546BA">
        <w:rPr>
          <w:rFonts w:ascii="Times New Roman" w:hAnsi="Times New Roman"/>
          <w:sz w:val="24"/>
        </w:rPr>
        <w:t xml:space="preserve"> (2002) 209 CLR 246 at 253-254 [12]</w:t>
      </w:r>
      <w:r w:rsidRPr="00D546BA">
        <w:rPr>
          <w:rFonts w:ascii="Times New Roman" w:hAnsi="Times New Roman"/>
          <w:sz w:val="24"/>
        </w:rPr>
        <w:noBreakHyphen/>
        <w:t>[13], 265 [51]-[52].</w:t>
      </w:r>
    </w:p>
  </w:footnote>
  <w:footnote w:id="284">
    <w:p w14:paraId="7A7BFE5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Style w:val="FootnoteReference"/>
          <w:rFonts w:ascii="Times New Roman" w:hAnsi="Times New Roman"/>
          <w:sz w:val="22"/>
          <w:vertAlign w:val="baseline"/>
        </w:rPr>
        <w:tab/>
      </w:r>
      <w:r w:rsidRPr="00D546BA">
        <w:rPr>
          <w:rFonts w:ascii="Times New Roman" w:hAnsi="Times New Roman"/>
          <w:sz w:val="24"/>
        </w:rPr>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 xml:space="preserve">R v Spicer; Ex </w:t>
      </w:r>
      <w:proofErr w:type="spellStart"/>
      <w:r w:rsidRPr="00D546BA">
        <w:rPr>
          <w:rFonts w:ascii="Times New Roman" w:hAnsi="Times New Roman"/>
          <w:i/>
          <w:sz w:val="24"/>
        </w:rPr>
        <w:t>parte</w:t>
      </w:r>
      <w:proofErr w:type="spellEnd"/>
      <w:r w:rsidRPr="00D546BA">
        <w:rPr>
          <w:rFonts w:ascii="Times New Roman" w:hAnsi="Times New Roman"/>
          <w:i/>
          <w:sz w:val="24"/>
        </w:rPr>
        <w:t xml:space="preserve"> Australian Builders' Labourers' Federation </w:t>
      </w:r>
      <w:r w:rsidRPr="00D546BA">
        <w:rPr>
          <w:rFonts w:ascii="Times New Roman" w:hAnsi="Times New Roman"/>
          <w:sz w:val="24"/>
        </w:rPr>
        <w:t xml:space="preserve">(1957) 100 CLR 277 at 305; </w:t>
      </w:r>
      <w:r w:rsidRPr="00D546BA">
        <w:rPr>
          <w:rFonts w:ascii="Times New Roman" w:hAnsi="Times New Roman"/>
          <w:i/>
          <w:sz w:val="24"/>
        </w:rPr>
        <w:t>Hegarty</w:t>
      </w:r>
      <w:r w:rsidRPr="00D546BA">
        <w:rPr>
          <w:rFonts w:ascii="Times New Roman" w:hAnsi="Times New Roman"/>
          <w:sz w:val="24"/>
        </w:rPr>
        <w:t xml:space="preserve"> (1981) 147 CLR 617 at 628; </w:t>
      </w:r>
      <w:r w:rsidRPr="00D546BA">
        <w:rPr>
          <w:rFonts w:ascii="Times New Roman" w:hAnsi="Times New Roman"/>
          <w:i/>
          <w:sz w:val="24"/>
        </w:rPr>
        <w:t xml:space="preserve">Precision Data </w:t>
      </w:r>
      <w:r w:rsidRPr="00D546BA">
        <w:rPr>
          <w:rFonts w:ascii="Times New Roman" w:hAnsi="Times New Roman"/>
          <w:sz w:val="24"/>
        </w:rPr>
        <w:t>(1991) 173 CLR 167 at 190-191.</w:t>
      </w:r>
    </w:p>
  </w:footnote>
  <w:footnote w:id="285">
    <w:p w14:paraId="01D8322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 xml:space="preserve">R v Spicer; Ex </w:t>
      </w:r>
      <w:proofErr w:type="spellStart"/>
      <w:r w:rsidRPr="00D546BA">
        <w:rPr>
          <w:rFonts w:ascii="Times New Roman" w:hAnsi="Times New Roman"/>
          <w:i/>
          <w:sz w:val="24"/>
        </w:rPr>
        <w:t>parte</w:t>
      </w:r>
      <w:proofErr w:type="spellEnd"/>
      <w:r w:rsidRPr="00D546BA">
        <w:rPr>
          <w:rFonts w:ascii="Times New Roman" w:hAnsi="Times New Roman"/>
          <w:i/>
          <w:sz w:val="24"/>
        </w:rPr>
        <w:t xml:space="preserve"> Australian Builders' Labourers' Federation </w:t>
      </w:r>
      <w:r w:rsidRPr="00D546BA">
        <w:rPr>
          <w:rFonts w:ascii="Times New Roman" w:hAnsi="Times New Roman"/>
          <w:sz w:val="24"/>
        </w:rPr>
        <w:t xml:space="preserve">(1957) 100 CLR 277 at 291; </w:t>
      </w:r>
      <w:r w:rsidRPr="00D546BA">
        <w:rPr>
          <w:rFonts w:ascii="Times New Roman" w:hAnsi="Times New Roman"/>
          <w:i/>
          <w:sz w:val="24"/>
        </w:rPr>
        <w:t xml:space="preserve">R v Spicer; Ex </w:t>
      </w:r>
      <w:proofErr w:type="spellStart"/>
      <w:r w:rsidRPr="00D546BA">
        <w:rPr>
          <w:rFonts w:ascii="Times New Roman" w:hAnsi="Times New Roman"/>
          <w:i/>
          <w:sz w:val="24"/>
        </w:rPr>
        <w:t>parte</w:t>
      </w:r>
      <w:proofErr w:type="spellEnd"/>
      <w:r w:rsidRPr="00D546BA">
        <w:rPr>
          <w:rFonts w:ascii="Times New Roman" w:hAnsi="Times New Roman"/>
          <w:i/>
          <w:sz w:val="24"/>
        </w:rPr>
        <w:t xml:space="preserve"> Waterside Workers' Federation of Australia </w:t>
      </w:r>
      <w:r w:rsidRPr="00D546BA">
        <w:rPr>
          <w:rFonts w:ascii="Times New Roman" w:hAnsi="Times New Roman"/>
          <w:sz w:val="24"/>
        </w:rPr>
        <w:t xml:space="preserve">(1957) 100 CLR 312 at 317; </w:t>
      </w:r>
      <w:r w:rsidRPr="00D546BA">
        <w:rPr>
          <w:rFonts w:ascii="Times New Roman" w:hAnsi="Times New Roman"/>
          <w:i/>
          <w:sz w:val="24"/>
        </w:rPr>
        <w:t xml:space="preserve">Tasmanian Breweries </w:t>
      </w:r>
      <w:r w:rsidRPr="00D546BA">
        <w:rPr>
          <w:rFonts w:ascii="Times New Roman" w:hAnsi="Times New Roman"/>
          <w:sz w:val="24"/>
        </w:rPr>
        <w:t xml:space="preserve">(1970) 123 CLR 361 at 376-377; </w:t>
      </w:r>
      <w:r w:rsidRPr="00D546BA">
        <w:rPr>
          <w:rFonts w:ascii="Times New Roman" w:hAnsi="Times New Roman"/>
          <w:i/>
          <w:sz w:val="24"/>
        </w:rPr>
        <w:t xml:space="preserve">Thomas </w:t>
      </w:r>
      <w:r w:rsidRPr="00D546BA">
        <w:rPr>
          <w:rFonts w:ascii="Times New Roman" w:hAnsi="Times New Roman"/>
          <w:sz w:val="24"/>
        </w:rPr>
        <w:t xml:space="preserve">(2007) 233 CLR 307 at 416-419 [312]-[322], 465-466 [468]; </w:t>
      </w:r>
      <w:proofErr w:type="spellStart"/>
      <w:r w:rsidRPr="00D546BA">
        <w:rPr>
          <w:rFonts w:ascii="Times New Roman" w:hAnsi="Times New Roman"/>
          <w:sz w:val="24"/>
        </w:rPr>
        <w:t>cf</w:t>
      </w:r>
      <w:proofErr w:type="spellEnd"/>
      <w:r w:rsidRPr="00D546BA">
        <w:rPr>
          <w:rFonts w:ascii="Times New Roman" w:hAnsi="Times New Roman"/>
          <w:sz w:val="24"/>
        </w:rPr>
        <w:t xml:space="preserve"> </w:t>
      </w:r>
      <w:proofErr w:type="spellStart"/>
      <w:r w:rsidRPr="00D546BA">
        <w:rPr>
          <w:rFonts w:ascii="Times New Roman" w:hAnsi="Times New Roman"/>
          <w:i/>
          <w:sz w:val="24"/>
        </w:rPr>
        <w:t>Cominos</w:t>
      </w:r>
      <w:proofErr w:type="spellEnd"/>
      <w:r w:rsidRPr="00D546BA">
        <w:rPr>
          <w:rFonts w:ascii="Times New Roman" w:hAnsi="Times New Roman"/>
          <w:i/>
          <w:sz w:val="24"/>
        </w:rPr>
        <w:t xml:space="preserve"> v </w:t>
      </w:r>
      <w:proofErr w:type="spellStart"/>
      <w:r w:rsidRPr="00D546BA">
        <w:rPr>
          <w:rFonts w:ascii="Times New Roman" w:hAnsi="Times New Roman"/>
          <w:i/>
          <w:sz w:val="24"/>
        </w:rPr>
        <w:t>Cominos</w:t>
      </w:r>
      <w:proofErr w:type="spellEnd"/>
      <w:r w:rsidRPr="00D546BA">
        <w:rPr>
          <w:rFonts w:ascii="Times New Roman" w:hAnsi="Times New Roman"/>
          <w:i/>
          <w:sz w:val="24"/>
        </w:rPr>
        <w:t xml:space="preserve"> </w:t>
      </w:r>
      <w:r w:rsidRPr="00D546BA">
        <w:rPr>
          <w:rFonts w:ascii="Times New Roman" w:hAnsi="Times New Roman"/>
          <w:sz w:val="24"/>
        </w:rPr>
        <w:t xml:space="preserve">(1972) 127 CLR 588; </w:t>
      </w:r>
      <w:r w:rsidRPr="00D546BA">
        <w:rPr>
          <w:rFonts w:ascii="Times New Roman" w:hAnsi="Times New Roman"/>
          <w:i/>
          <w:sz w:val="24"/>
        </w:rPr>
        <w:t xml:space="preserve">R v </w:t>
      </w:r>
      <w:proofErr w:type="spellStart"/>
      <w:r w:rsidRPr="00D546BA">
        <w:rPr>
          <w:rFonts w:ascii="Times New Roman" w:hAnsi="Times New Roman"/>
          <w:i/>
          <w:sz w:val="24"/>
        </w:rPr>
        <w:t>Joske</w:t>
      </w:r>
      <w:proofErr w:type="spellEnd"/>
      <w:r w:rsidRPr="00D546BA">
        <w:rPr>
          <w:rFonts w:ascii="Times New Roman" w:hAnsi="Times New Roman"/>
          <w:i/>
          <w:sz w:val="24"/>
        </w:rPr>
        <w:t xml:space="preserve">; Ex </w:t>
      </w:r>
      <w:proofErr w:type="spellStart"/>
      <w:r w:rsidRPr="00D546BA">
        <w:rPr>
          <w:rFonts w:ascii="Times New Roman" w:hAnsi="Times New Roman"/>
          <w:i/>
          <w:sz w:val="24"/>
        </w:rPr>
        <w:t>parte</w:t>
      </w:r>
      <w:proofErr w:type="spellEnd"/>
      <w:r w:rsidRPr="00D546BA">
        <w:rPr>
          <w:rFonts w:ascii="Times New Roman" w:hAnsi="Times New Roman"/>
          <w:i/>
          <w:sz w:val="24"/>
        </w:rPr>
        <w:t xml:space="preserve"> Shop Distributive and Allied Employees' Association </w:t>
      </w:r>
      <w:r w:rsidRPr="00D546BA">
        <w:rPr>
          <w:rFonts w:ascii="Times New Roman" w:hAnsi="Times New Roman"/>
          <w:sz w:val="24"/>
        </w:rPr>
        <w:t>(1976) 135 CLR 194.</w:t>
      </w:r>
    </w:p>
  </w:footnote>
  <w:footnote w:id="286">
    <w:p w14:paraId="5E09F6E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 xml:space="preserve">Thomas </w:t>
      </w:r>
      <w:r w:rsidRPr="00D546BA">
        <w:rPr>
          <w:rFonts w:ascii="Times New Roman" w:hAnsi="Times New Roman"/>
          <w:sz w:val="24"/>
        </w:rPr>
        <w:t>(2007) 233 CLR 307 at 350-351 [88]-[93].</w:t>
      </w:r>
    </w:p>
  </w:footnote>
  <w:footnote w:id="287">
    <w:p w14:paraId="3F53221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Vella </w:t>
      </w:r>
      <w:r w:rsidRPr="00D546BA">
        <w:rPr>
          <w:rFonts w:ascii="Times New Roman" w:hAnsi="Times New Roman"/>
          <w:sz w:val="24"/>
        </w:rPr>
        <w:t>(2019) 93 ALJR 1236 at 1270 [151]; 374 ALR 1 at 42</w:t>
      </w:r>
      <w:r w:rsidRPr="00D546BA">
        <w:rPr>
          <w:rFonts w:ascii="Times New Roman" w:hAnsi="Times New Roman"/>
          <w:sz w:val="24"/>
        </w:rPr>
        <w:noBreakHyphen/>
        <w:t>43.</w:t>
      </w:r>
    </w:p>
  </w:footnote>
  <w:footnote w:id="288">
    <w:p w14:paraId="734EBE9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 xml:space="preserve">Waterside Workers' </w:t>
      </w:r>
      <w:r w:rsidRPr="00D546BA">
        <w:rPr>
          <w:rFonts w:ascii="Times New Roman" w:hAnsi="Times New Roman"/>
          <w:sz w:val="24"/>
        </w:rPr>
        <w:t xml:space="preserve">(1918) 25 CLR 434 at 442-443; </w:t>
      </w:r>
      <w:r w:rsidRPr="00D546BA">
        <w:rPr>
          <w:rFonts w:ascii="Times New Roman" w:hAnsi="Times New Roman"/>
          <w:i/>
          <w:sz w:val="24"/>
        </w:rPr>
        <w:t xml:space="preserve">Brandy </w:t>
      </w:r>
      <w:r w:rsidRPr="00D546BA">
        <w:rPr>
          <w:rFonts w:ascii="Times New Roman" w:hAnsi="Times New Roman"/>
          <w:sz w:val="24"/>
        </w:rPr>
        <w:t>(1995) 183 CLR 245 at 267</w:t>
      </w:r>
      <w:r w:rsidRPr="00D546BA">
        <w:rPr>
          <w:rFonts w:ascii="Times New Roman" w:hAnsi="Times New Roman"/>
          <w:sz w:val="24"/>
        </w:rPr>
        <w:noBreakHyphen/>
        <w:t xml:space="preserve">268; </w:t>
      </w:r>
      <w:r w:rsidRPr="00D546BA">
        <w:rPr>
          <w:rFonts w:ascii="Times New Roman" w:hAnsi="Times New Roman"/>
          <w:i/>
          <w:sz w:val="24"/>
        </w:rPr>
        <w:t xml:space="preserve">Bass </w:t>
      </w:r>
      <w:r w:rsidRPr="00D546BA">
        <w:rPr>
          <w:rFonts w:ascii="Times New Roman" w:hAnsi="Times New Roman"/>
          <w:sz w:val="24"/>
        </w:rPr>
        <w:t xml:space="preserve">(1999) 198 CLR 334 at 355-359 [45]-[56]; </w:t>
      </w:r>
      <w:r w:rsidRPr="00D546BA">
        <w:rPr>
          <w:rFonts w:ascii="Times New Roman" w:hAnsi="Times New Roman"/>
          <w:i/>
          <w:sz w:val="24"/>
        </w:rPr>
        <w:t xml:space="preserve">Alinta </w:t>
      </w:r>
      <w:r w:rsidRPr="00D546BA">
        <w:rPr>
          <w:rFonts w:ascii="Times New Roman" w:hAnsi="Times New Roman"/>
          <w:sz w:val="24"/>
        </w:rPr>
        <w:t>(2008) 233 CLR 542 at 577 [94], 592-593 [153]-[155].</w:t>
      </w:r>
    </w:p>
  </w:footnote>
  <w:footnote w:id="289">
    <w:p w14:paraId="2EF28D9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Vella</w:t>
      </w:r>
      <w:r w:rsidRPr="00D546BA">
        <w:rPr>
          <w:rFonts w:ascii="Times New Roman" w:hAnsi="Times New Roman"/>
          <w:sz w:val="24"/>
        </w:rPr>
        <w:t xml:space="preserve"> (2019) 93 ALJR 1236 at 1270 [150]; 374 ALR 1 at 42.</w:t>
      </w:r>
    </w:p>
  </w:footnote>
  <w:footnote w:id="290">
    <w:p w14:paraId="2A2E682B"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(2019) 93 ALJR 1236 at 1275 [171]; 374 ALR 1 at 48.</w:t>
      </w:r>
    </w:p>
  </w:footnote>
  <w:footnote w:id="291">
    <w:p w14:paraId="515F07B2" w14:textId="77777777" w:rsidR="00CE4181" w:rsidRPr="00D546BA" w:rsidRDefault="00CE4181" w:rsidP="00D546BA">
      <w:pPr>
        <w:pStyle w:val="FootnoteText"/>
        <w:spacing w:line="280" w:lineRule="exact"/>
        <w:ind w:right="0"/>
        <w:jc w:val="both"/>
        <w:rPr>
          <w:rFonts w:ascii="Times New Roman" w:hAnsi="Times New Roman"/>
          <w:i/>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 at 648 [197]. See also </w:t>
      </w:r>
      <w:r w:rsidRPr="00D546BA">
        <w:rPr>
          <w:rFonts w:ascii="Times New Roman" w:hAnsi="Times New Roman"/>
          <w:i/>
          <w:sz w:val="24"/>
        </w:rPr>
        <w:t>Condon v Pompano Pty Ltd</w:t>
      </w:r>
      <w:r w:rsidRPr="00D546BA">
        <w:rPr>
          <w:rFonts w:ascii="Times New Roman" w:hAnsi="Times New Roman"/>
          <w:sz w:val="24"/>
        </w:rPr>
        <w:t xml:space="preserve"> (2013) 252 CLR 38 at 94 [137]-[138].</w:t>
      </w:r>
    </w:p>
  </w:footnote>
  <w:footnote w:id="292">
    <w:p w14:paraId="45B71BD8"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Friendly, "The Bill of Rights as a Code of Criminal Procedure" (1965) 53 </w:t>
      </w:r>
      <w:r w:rsidRPr="00D546BA">
        <w:rPr>
          <w:rFonts w:ascii="Times New Roman" w:hAnsi="Times New Roman"/>
          <w:i/>
          <w:sz w:val="24"/>
        </w:rPr>
        <w:t>California Law Review</w:t>
      </w:r>
      <w:r w:rsidRPr="00D546BA">
        <w:rPr>
          <w:rFonts w:ascii="Times New Roman" w:hAnsi="Times New Roman"/>
          <w:sz w:val="24"/>
        </w:rPr>
        <w:t xml:space="preserve"> 929 at 950. See also </w:t>
      </w:r>
      <w:r w:rsidRPr="00D546BA">
        <w:rPr>
          <w:rFonts w:ascii="Times New Roman" w:hAnsi="Times New Roman"/>
          <w:i/>
          <w:sz w:val="24"/>
        </w:rPr>
        <w:t xml:space="preserve">Pompano </w:t>
      </w:r>
      <w:r w:rsidRPr="00D546BA">
        <w:rPr>
          <w:rFonts w:ascii="Times New Roman" w:hAnsi="Times New Roman"/>
          <w:sz w:val="24"/>
        </w:rPr>
        <w:t>(2013) 252 CLR 38 at 94 [137].</w:t>
      </w:r>
    </w:p>
  </w:footnote>
  <w:footnote w:id="293">
    <w:p w14:paraId="1CB401B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r w:rsidRPr="00D546BA">
        <w:rPr>
          <w:rFonts w:ascii="Times New Roman" w:hAnsi="Times New Roman"/>
          <w:i/>
          <w:sz w:val="24"/>
        </w:rPr>
        <w:t xml:space="preserve">Veen v The Queen [No 2] </w:t>
      </w:r>
      <w:r w:rsidRPr="00D546BA">
        <w:rPr>
          <w:rFonts w:ascii="Times New Roman" w:hAnsi="Times New Roman"/>
          <w:sz w:val="24"/>
        </w:rPr>
        <w:t xml:space="preserve">(1988) 164 CLR 465; </w:t>
      </w:r>
      <w:r w:rsidRPr="00D546BA">
        <w:rPr>
          <w:rFonts w:ascii="Times New Roman" w:hAnsi="Times New Roman"/>
          <w:i/>
          <w:sz w:val="24"/>
        </w:rPr>
        <w:t xml:space="preserve">Chester v The Queen </w:t>
      </w:r>
      <w:r w:rsidRPr="00D546BA">
        <w:rPr>
          <w:rFonts w:ascii="Times New Roman" w:hAnsi="Times New Roman"/>
          <w:sz w:val="24"/>
        </w:rPr>
        <w:t xml:space="preserve">(1988) 165 CLR 611; </w:t>
      </w:r>
      <w:r w:rsidRPr="00D546BA">
        <w:rPr>
          <w:rFonts w:ascii="Times New Roman" w:hAnsi="Times New Roman"/>
          <w:i/>
          <w:sz w:val="24"/>
        </w:rPr>
        <w:t>Kable [No 1]</w:t>
      </w:r>
      <w:r w:rsidRPr="00D546BA">
        <w:rPr>
          <w:rFonts w:ascii="Times New Roman" w:hAnsi="Times New Roman"/>
          <w:sz w:val="24"/>
        </w:rPr>
        <w:t xml:space="preserve"> (1996) 189 CLR 51; </w:t>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 </w:t>
      </w:r>
      <w:r w:rsidRPr="00D546BA">
        <w:rPr>
          <w:rFonts w:ascii="Times New Roman" w:hAnsi="Times New Roman"/>
          <w:i/>
          <w:sz w:val="24"/>
        </w:rPr>
        <w:t xml:space="preserve">Thomas </w:t>
      </w:r>
      <w:r w:rsidRPr="00D546BA">
        <w:rPr>
          <w:rFonts w:ascii="Times New Roman" w:hAnsi="Times New Roman"/>
          <w:sz w:val="24"/>
        </w:rPr>
        <w:t xml:space="preserve">(2007) 233 CLR 307; </w:t>
      </w:r>
      <w:r w:rsidRPr="00D546BA">
        <w:rPr>
          <w:rFonts w:ascii="Times New Roman" w:hAnsi="Times New Roman"/>
          <w:i/>
          <w:sz w:val="24"/>
        </w:rPr>
        <w:t>New South Wales v Kable</w:t>
      </w:r>
      <w:r w:rsidRPr="00D546BA">
        <w:rPr>
          <w:rFonts w:ascii="Times New Roman" w:hAnsi="Times New Roman"/>
          <w:sz w:val="24"/>
        </w:rPr>
        <w:t xml:space="preserve"> ("</w:t>
      </w:r>
      <w:r w:rsidRPr="00D546BA">
        <w:rPr>
          <w:rFonts w:ascii="Times New Roman" w:hAnsi="Times New Roman"/>
          <w:i/>
          <w:sz w:val="24"/>
        </w:rPr>
        <w:t>Kable [No 2]</w:t>
      </w:r>
      <w:r w:rsidRPr="00D546BA">
        <w:rPr>
          <w:rFonts w:ascii="Times New Roman" w:hAnsi="Times New Roman"/>
          <w:sz w:val="24"/>
        </w:rPr>
        <w:t xml:space="preserve">") (2013) 252 CLR 118; </w:t>
      </w:r>
      <w:r w:rsidRPr="00D546BA">
        <w:rPr>
          <w:rFonts w:ascii="Times New Roman" w:hAnsi="Times New Roman"/>
          <w:i/>
          <w:sz w:val="24"/>
        </w:rPr>
        <w:t>Vella</w:t>
      </w:r>
      <w:r w:rsidRPr="00D546BA">
        <w:rPr>
          <w:rFonts w:ascii="Times New Roman" w:hAnsi="Times New Roman"/>
          <w:sz w:val="24"/>
        </w:rPr>
        <w:t xml:space="preserve"> (2019) 93 ALJR 1236; 374 ALR 1.</w:t>
      </w:r>
    </w:p>
  </w:footnote>
  <w:footnote w:id="294">
    <w:p w14:paraId="40B19D12"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Style w:val="FootnoteReference"/>
          <w:rFonts w:ascii="Times New Roman" w:hAnsi="Times New Roman"/>
          <w:sz w:val="22"/>
          <w:vertAlign w:val="baseline"/>
        </w:rPr>
        <w:t xml:space="preserve"> </w:t>
      </w:r>
      <w:r w:rsidRPr="00D546BA">
        <w:rPr>
          <w:rFonts w:ascii="Times New Roman" w:hAnsi="Times New Roman"/>
          <w:sz w:val="24"/>
        </w:rPr>
        <w:tab/>
        <w:t xml:space="preserve">See </w:t>
      </w:r>
      <w:r w:rsidRPr="00D546BA">
        <w:rPr>
          <w:rFonts w:ascii="Times New Roman" w:hAnsi="Times New Roman"/>
          <w:i/>
          <w:sz w:val="24"/>
        </w:rPr>
        <w:t>Pompano</w:t>
      </w:r>
      <w:r w:rsidRPr="00D546BA">
        <w:rPr>
          <w:rFonts w:ascii="Times New Roman" w:hAnsi="Times New Roman"/>
          <w:sz w:val="24"/>
        </w:rPr>
        <w:t xml:space="preserve"> (2013) 252 CLR 38 at 88-90 [122]-[126], 111 [196]. See also </w:t>
      </w:r>
      <w:r w:rsidRPr="00D546BA">
        <w:rPr>
          <w:rFonts w:ascii="Times New Roman" w:hAnsi="Times New Roman"/>
          <w:i/>
          <w:sz w:val="24"/>
        </w:rPr>
        <w:t>Vella</w:t>
      </w:r>
      <w:r w:rsidRPr="00D546BA">
        <w:rPr>
          <w:rFonts w:ascii="Times New Roman" w:hAnsi="Times New Roman"/>
          <w:sz w:val="24"/>
        </w:rPr>
        <w:t xml:space="preserve"> (2019) 93 ALJR 1236 at 1275 [174]; 374 ALR 1 at 49.</w:t>
      </w:r>
    </w:p>
  </w:footnote>
  <w:footnote w:id="295">
    <w:p w14:paraId="78E39719"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(1988) 165 CLR 611.</w:t>
      </w:r>
    </w:p>
  </w:footnote>
  <w:footnote w:id="296">
    <w:p w14:paraId="4E2898E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Chester </w:t>
      </w:r>
      <w:r w:rsidRPr="00D546BA">
        <w:rPr>
          <w:rFonts w:ascii="Times New Roman" w:hAnsi="Times New Roman"/>
          <w:sz w:val="24"/>
        </w:rPr>
        <w:t xml:space="preserve">(1988) 165 CLR 611 at 619. See also </w:t>
      </w:r>
      <w:r w:rsidRPr="00D546BA">
        <w:rPr>
          <w:rFonts w:ascii="Times New Roman" w:hAnsi="Times New Roman"/>
          <w:i/>
          <w:sz w:val="24"/>
        </w:rPr>
        <w:t>M v Germany</w:t>
      </w:r>
      <w:r w:rsidRPr="00D546BA">
        <w:rPr>
          <w:rFonts w:ascii="Times New Roman" w:hAnsi="Times New Roman"/>
          <w:sz w:val="24"/>
        </w:rPr>
        <w:t xml:space="preserve"> (2010) 51 EHRR 41 at 989-990 [49]-[51], where the German Criminal Code provided for the imposition of preventative detention measures in circumstances where the option to make such an order had been preserved by the sentencing court at the initial sentencing stage. </w:t>
      </w:r>
    </w:p>
  </w:footnote>
  <w:footnote w:id="297">
    <w:p w14:paraId="067FF699"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(2013) 247 CLR 328 at 343 [43].</w:t>
      </w:r>
    </w:p>
  </w:footnote>
  <w:footnote w:id="298">
    <w:p w14:paraId="7624030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 at 616 [95]-[96].</w:t>
      </w:r>
    </w:p>
  </w:footnote>
  <w:footnote w:id="299">
    <w:p w14:paraId="5E950D4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 at 616 [96]-[97].</w:t>
      </w:r>
    </w:p>
  </w:footnote>
  <w:footnote w:id="300">
    <w:p w14:paraId="172ACEE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 at 604 [51], 616 [97].</w:t>
      </w:r>
    </w:p>
  </w:footnote>
  <w:footnote w:id="301">
    <w:p w14:paraId="60516982"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sz w:val="24"/>
        </w:rPr>
        <w:t>cf</w:t>
      </w:r>
      <w:proofErr w:type="spellEnd"/>
      <w:r w:rsidRPr="00D546BA">
        <w:rPr>
          <w:rFonts w:ascii="Times New Roman" w:hAnsi="Times New Roman"/>
          <w:sz w:val="24"/>
        </w:rPr>
        <w:t xml:space="preserve"> (2004) 223 CLR 575 at 619 [106].</w:t>
      </w:r>
    </w:p>
  </w:footnote>
  <w:footnote w:id="302">
    <w:p w14:paraId="2E49936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 at 591 [18], 596-597 [34], 613</w:t>
      </w:r>
      <w:r w:rsidRPr="00D546BA">
        <w:rPr>
          <w:rFonts w:ascii="Times New Roman" w:hAnsi="Times New Roman"/>
          <w:sz w:val="24"/>
        </w:rPr>
        <w:noBreakHyphen/>
        <w:t>614 [83]</w:t>
      </w:r>
      <w:r w:rsidRPr="00D546BA">
        <w:rPr>
          <w:rFonts w:ascii="Times New Roman" w:hAnsi="Times New Roman"/>
          <w:sz w:val="24"/>
        </w:rPr>
        <w:noBreakHyphen/>
        <w:t>[87], 647-648 [196]-[197], 655-656 [219].</w:t>
      </w:r>
    </w:p>
  </w:footnote>
  <w:footnote w:id="303">
    <w:p w14:paraId="57A84422" w14:textId="77777777" w:rsidR="00CE4181" w:rsidRPr="00D546BA" w:rsidRDefault="00CE4181" w:rsidP="00D546BA">
      <w:pPr>
        <w:pStyle w:val="FootnoteText"/>
        <w:spacing w:line="280" w:lineRule="exact"/>
        <w:ind w:right="0"/>
        <w:jc w:val="both"/>
        <w:rPr>
          <w:rStyle w:val="FootnoteReference"/>
          <w:rFonts w:ascii="Times New Roman" w:hAnsi="Times New Roman"/>
          <w:sz w:val="22"/>
          <w:vertAlign w:val="baseline"/>
        </w:rPr>
      </w:pPr>
      <w:r w:rsidRPr="00D546BA">
        <w:rPr>
          <w:rStyle w:val="FootnoteReference"/>
          <w:rFonts w:ascii="Times New Roman" w:hAnsi="Times New Roman"/>
          <w:sz w:val="22"/>
          <w:vertAlign w:val="baseline"/>
        </w:rPr>
        <w:footnoteRef/>
      </w:r>
      <w:r w:rsidRPr="00D546BA">
        <w:rPr>
          <w:rStyle w:val="FootnoteReference"/>
          <w:rFonts w:ascii="Times New Roman" w:hAnsi="Times New Roman"/>
          <w:sz w:val="22"/>
          <w:vertAlign w:val="baseline"/>
        </w:rPr>
        <w:t xml:space="preserve"> </w:t>
      </w:r>
      <w:r w:rsidRPr="00D546BA">
        <w:rPr>
          <w:rStyle w:val="FootnoteReference"/>
          <w:rFonts w:ascii="Times New Roman" w:hAnsi="Times New Roman"/>
          <w:sz w:val="22"/>
          <w:vertAlign w:val="baseline"/>
        </w:rPr>
        <w:tab/>
      </w:r>
      <w:r w:rsidRPr="00D546BA">
        <w:rPr>
          <w:rFonts w:ascii="Times New Roman" w:hAnsi="Times New Roman"/>
          <w:sz w:val="24"/>
        </w:rPr>
        <w:t xml:space="preserve">See </w:t>
      </w:r>
      <w:r w:rsidRPr="00A04A59">
        <w:rPr>
          <w:rFonts w:ascii="Times New Roman" w:hAnsi="Times New Roman"/>
          <w:sz w:val="24"/>
        </w:rPr>
        <w:t>[137]</w:t>
      </w:r>
      <w:r w:rsidRPr="00D546BA">
        <w:rPr>
          <w:rFonts w:ascii="Times New Roman" w:hAnsi="Times New Roman"/>
          <w:sz w:val="24"/>
        </w:rPr>
        <w:t xml:space="preserve"> above. See also </w:t>
      </w:r>
      <w:proofErr w:type="spellStart"/>
      <w:r w:rsidRPr="00D546BA">
        <w:rPr>
          <w:rFonts w:ascii="Times New Roman" w:hAnsi="Times New Roman"/>
          <w:i/>
          <w:sz w:val="24"/>
        </w:rPr>
        <w:t>Fardon</w:t>
      </w:r>
      <w:proofErr w:type="spellEnd"/>
      <w:r w:rsidRPr="00D546BA">
        <w:rPr>
          <w:rFonts w:ascii="Times New Roman" w:hAnsi="Times New Roman"/>
          <w:i/>
          <w:sz w:val="24"/>
        </w:rPr>
        <w:t xml:space="preserve"> </w:t>
      </w:r>
      <w:r w:rsidRPr="00D546BA">
        <w:rPr>
          <w:rFonts w:ascii="Times New Roman" w:hAnsi="Times New Roman"/>
          <w:sz w:val="24"/>
        </w:rPr>
        <w:t>(2004) 223 CLR 575 at 614 [86].</w:t>
      </w:r>
    </w:p>
  </w:footnote>
  <w:footnote w:id="304">
    <w:p w14:paraId="6D4AC04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(2004) 223 CLR 575 at 614 [90]; see also 602 [44], 631-632 [147]-[148], 648 [198], 654 [216]-[217].</w:t>
      </w:r>
    </w:p>
  </w:footnote>
  <w:footnote w:id="305">
    <w:p w14:paraId="67BECA7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Kable [No 1]</w:t>
      </w:r>
      <w:r w:rsidRPr="00D546BA">
        <w:rPr>
          <w:rFonts w:ascii="Times New Roman" w:hAnsi="Times New Roman"/>
          <w:sz w:val="24"/>
        </w:rPr>
        <w:t xml:space="preserve"> (1996) 189 CLR 51</w:t>
      </w:r>
      <w:r w:rsidRPr="00D546BA">
        <w:rPr>
          <w:rFonts w:ascii="Times New Roman" w:hAnsi="Times New Roman"/>
          <w:i/>
          <w:sz w:val="24"/>
        </w:rPr>
        <w:t xml:space="preserve"> </w:t>
      </w:r>
      <w:r w:rsidRPr="00D546BA">
        <w:rPr>
          <w:rFonts w:ascii="Times New Roman" w:hAnsi="Times New Roman"/>
          <w:sz w:val="24"/>
        </w:rPr>
        <w:t xml:space="preserve">at 62. See also </w:t>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 at 615 [91]; </w:t>
      </w:r>
      <w:r w:rsidRPr="00D546BA">
        <w:rPr>
          <w:rFonts w:ascii="Times New Roman" w:hAnsi="Times New Roman"/>
          <w:i/>
          <w:sz w:val="24"/>
        </w:rPr>
        <w:t>Vella</w:t>
      </w:r>
      <w:r w:rsidRPr="00D546BA">
        <w:rPr>
          <w:rFonts w:ascii="Times New Roman" w:hAnsi="Times New Roman"/>
          <w:sz w:val="24"/>
        </w:rPr>
        <w:t xml:space="preserve"> (2019) 93 ALJR 1236 at 1275 [171]; 374 ALR 1 at 48.</w:t>
      </w:r>
    </w:p>
  </w:footnote>
  <w:footnote w:id="306">
    <w:p w14:paraId="1D6A287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i/>
          <w:sz w:val="24"/>
        </w:rPr>
        <w:t>Fardon</w:t>
      </w:r>
      <w:proofErr w:type="spellEnd"/>
      <w:r w:rsidRPr="00D546BA">
        <w:rPr>
          <w:rFonts w:ascii="Times New Roman" w:hAnsi="Times New Roman"/>
          <w:sz w:val="24"/>
        </w:rPr>
        <w:t xml:space="preserve"> (2004) 223 CLR 575 at 593 [24], 601-602 [43]-[44], 619 [106]-[107], 648 [197], 658 [234].</w:t>
      </w:r>
    </w:p>
  </w:footnote>
  <w:footnote w:id="307">
    <w:p w14:paraId="0C9E88D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r w:rsidRPr="00D546BA">
        <w:rPr>
          <w:rFonts w:ascii="Times New Roman" w:hAnsi="Times New Roman"/>
          <w:i/>
          <w:sz w:val="24"/>
        </w:rPr>
        <w:t>Dangerous Prisoners (Sexual Offenders) Act 2003</w:t>
      </w:r>
      <w:r w:rsidRPr="00D546BA">
        <w:rPr>
          <w:rFonts w:ascii="Times New Roman" w:hAnsi="Times New Roman"/>
          <w:sz w:val="24"/>
        </w:rPr>
        <w:t xml:space="preserve"> (Qld), ss 5, 8, 13.</w:t>
      </w:r>
    </w:p>
  </w:footnote>
  <w:footnote w:id="308">
    <w:p w14:paraId="38F54BE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(1996) 189 CLR 51. </w:t>
      </w:r>
    </w:p>
  </w:footnote>
  <w:footnote w:id="309">
    <w:p w14:paraId="356D603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r>
        <w:rPr>
          <w:rFonts w:ascii="Times New Roman" w:hAnsi="Times New Roman"/>
          <w:sz w:val="24"/>
        </w:rPr>
        <w:t>[137]</w:t>
      </w:r>
      <w:r w:rsidRPr="00D546BA">
        <w:rPr>
          <w:rFonts w:ascii="Times New Roman" w:hAnsi="Times New Roman"/>
          <w:sz w:val="24"/>
        </w:rPr>
        <w:t xml:space="preserve"> above.</w:t>
      </w:r>
    </w:p>
  </w:footnote>
  <w:footnote w:id="310">
    <w:p w14:paraId="4010F785"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Bachrach (HA) Pty Ltd v Queensland </w:t>
      </w:r>
      <w:r w:rsidRPr="00D546BA">
        <w:rPr>
          <w:rFonts w:ascii="Times New Roman" w:hAnsi="Times New Roman"/>
          <w:sz w:val="24"/>
        </w:rPr>
        <w:t xml:space="preserve">(1998) 195 CLR 547 at 561-562 [14]; </w:t>
      </w:r>
      <w:proofErr w:type="spellStart"/>
      <w:r w:rsidRPr="00D546BA">
        <w:rPr>
          <w:rFonts w:ascii="Times New Roman" w:hAnsi="Times New Roman"/>
          <w:i/>
          <w:sz w:val="24"/>
        </w:rPr>
        <w:t>Silbert</w:t>
      </w:r>
      <w:proofErr w:type="spellEnd"/>
      <w:r w:rsidRPr="00D546BA">
        <w:rPr>
          <w:rFonts w:ascii="Times New Roman" w:hAnsi="Times New Roman"/>
          <w:i/>
          <w:sz w:val="24"/>
        </w:rPr>
        <w:t xml:space="preserve"> v Director of Public Prosecutions (WA) </w:t>
      </w:r>
      <w:r w:rsidRPr="00D546BA">
        <w:rPr>
          <w:rFonts w:ascii="Times New Roman" w:hAnsi="Times New Roman"/>
          <w:sz w:val="24"/>
        </w:rPr>
        <w:t xml:space="preserve">(2004) 217 CLR 181 at 186 [10]; </w:t>
      </w:r>
      <w:proofErr w:type="spellStart"/>
      <w:r w:rsidRPr="00D546BA">
        <w:rPr>
          <w:rFonts w:ascii="Times New Roman" w:hAnsi="Times New Roman"/>
          <w:i/>
          <w:sz w:val="24"/>
        </w:rPr>
        <w:t>Fardon</w:t>
      </w:r>
      <w:proofErr w:type="spellEnd"/>
      <w:r w:rsidRPr="00D546BA">
        <w:rPr>
          <w:rFonts w:ascii="Times New Roman" w:hAnsi="Times New Roman"/>
          <w:i/>
          <w:sz w:val="24"/>
        </w:rPr>
        <w:t xml:space="preserve"> </w:t>
      </w:r>
      <w:r w:rsidRPr="00D546BA">
        <w:rPr>
          <w:rFonts w:ascii="Times New Roman" w:hAnsi="Times New Roman"/>
          <w:sz w:val="24"/>
        </w:rPr>
        <w:t xml:space="preserve">(2004) 223 CLR 575 at 630 [144(5)], 655-656 [219]; </w:t>
      </w:r>
      <w:r w:rsidRPr="00D546BA">
        <w:rPr>
          <w:rFonts w:ascii="Times New Roman" w:hAnsi="Times New Roman"/>
          <w:i/>
          <w:sz w:val="24"/>
        </w:rPr>
        <w:t xml:space="preserve">Baker </w:t>
      </w:r>
      <w:r w:rsidRPr="00D546BA">
        <w:rPr>
          <w:rFonts w:ascii="Times New Roman" w:hAnsi="Times New Roman"/>
          <w:sz w:val="24"/>
        </w:rPr>
        <w:t xml:space="preserve">(2004) 223 CLR 513 at 526 [22]; </w:t>
      </w:r>
      <w:r w:rsidRPr="00D546BA">
        <w:rPr>
          <w:rFonts w:ascii="Times New Roman" w:hAnsi="Times New Roman"/>
          <w:i/>
          <w:sz w:val="24"/>
        </w:rPr>
        <w:t xml:space="preserve">Forge v Australian Securities and Investments Commission </w:t>
      </w:r>
      <w:r w:rsidRPr="00D546BA">
        <w:rPr>
          <w:rFonts w:ascii="Times New Roman" w:hAnsi="Times New Roman"/>
          <w:sz w:val="24"/>
        </w:rPr>
        <w:t xml:space="preserve">(2006) 228 CLR 45 at 122 [194]; </w:t>
      </w:r>
      <w:proofErr w:type="spellStart"/>
      <w:r w:rsidRPr="00D546BA">
        <w:rPr>
          <w:rFonts w:ascii="Times New Roman" w:hAnsi="Times New Roman"/>
          <w:i/>
          <w:sz w:val="24"/>
        </w:rPr>
        <w:t>Totani</w:t>
      </w:r>
      <w:proofErr w:type="spellEnd"/>
      <w:r w:rsidRPr="00D546BA">
        <w:rPr>
          <w:rFonts w:ascii="Times New Roman" w:hAnsi="Times New Roman"/>
          <w:sz w:val="24"/>
        </w:rPr>
        <w:t xml:space="preserve"> (2010) 242 CLR 1 at 129 [339]; </w:t>
      </w:r>
      <w:proofErr w:type="spellStart"/>
      <w:r w:rsidRPr="00D546BA">
        <w:rPr>
          <w:rFonts w:ascii="Times New Roman" w:hAnsi="Times New Roman"/>
          <w:i/>
          <w:sz w:val="24"/>
        </w:rPr>
        <w:t>Wainohu</w:t>
      </w:r>
      <w:proofErr w:type="spellEnd"/>
      <w:r w:rsidRPr="00D546BA">
        <w:rPr>
          <w:rFonts w:ascii="Times New Roman" w:hAnsi="Times New Roman"/>
          <w:i/>
          <w:sz w:val="24"/>
        </w:rPr>
        <w:t xml:space="preserve"> </w:t>
      </w:r>
      <w:r w:rsidRPr="00D546BA">
        <w:rPr>
          <w:rFonts w:ascii="Times New Roman" w:hAnsi="Times New Roman"/>
          <w:sz w:val="24"/>
        </w:rPr>
        <w:t xml:space="preserve">(2011) 243 CLR 181 at 208 [43]; </w:t>
      </w:r>
      <w:r w:rsidRPr="00D546BA">
        <w:rPr>
          <w:rFonts w:ascii="Times New Roman" w:hAnsi="Times New Roman"/>
          <w:i/>
          <w:sz w:val="24"/>
        </w:rPr>
        <w:t xml:space="preserve">Pompano </w:t>
      </w:r>
      <w:r w:rsidRPr="00D546BA">
        <w:rPr>
          <w:rFonts w:ascii="Times New Roman" w:hAnsi="Times New Roman"/>
          <w:sz w:val="24"/>
        </w:rPr>
        <w:t xml:space="preserve">(2013) 252 CLR 38 at 90 [126]; </w:t>
      </w:r>
      <w:r w:rsidRPr="00D546BA">
        <w:rPr>
          <w:rFonts w:ascii="Times New Roman" w:hAnsi="Times New Roman"/>
          <w:i/>
          <w:sz w:val="24"/>
        </w:rPr>
        <w:t xml:space="preserve">Duncan v Independent Commission Against Corruption </w:t>
      </w:r>
      <w:r w:rsidRPr="00D546BA">
        <w:rPr>
          <w:rFonts w:ascii="Times New Roman" w:hAnsi="Times New Roman"/>
          <w:sz w:val="24"/>
        </w:rPr>
        <w:t xml:space="preserve">(2015) 256 CLR 83 at 95-96 [17]; </w:t>
      </w:r>
      <w:r w:rsidRPr="00D546BA">
        <w:rPr>
          <w:rFonts w:ascii="Times New Roman" w:hAnsi="Times New Roman"/>
          <w:i/>
          <w:sz w:val="24"/>
        </w:rPr>
        <w:t xml:space="preserve">Vella </w:t>
      </w:r>
      <w:r w:rsidRPr="00D546BA">
        <w:rPr>
          <w:rFonts w:ascii="Times New Roman" w:hAnsi="Times New Roman"/>
          <w:sz w:val="24"/>
        </w:rPr>
        <w:t>(2019) 93 ALJR 1236 at 1269-1270 [147]; 374 ALR 1 at 41-42.</w:t>
      </w:r>
    </w:p>
  </w:footnote>
  <w:footnote w:id="311">
    <w:p w14:paraId="65F4857A"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sidDel="00AA2E7B">
        <w:rPr>
          <w:rFonts w:ascii="Times New Roman" w:hAnsi="Times New Roman"/>
          <w:sz w:val="24"/>
        </w:rPr>
        <w:t>(</w:t>
      </w:r>
      <w:r w:rsidRPr="00D546BA">
        <w:rPr>
          <w:rFonts w:ascii="Times New Roman" w:hAnsi="Times New Roman"/>
          <w:sz w:val="24"/>
        </w:rPr>
        <w:t>1956) 94 CLR 254.</w:t>
      </w:r>
    </w:p>
  </w:footnote>
  <w:footnote w:id="312">
    <w:p w14:paraId="70B1833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Boilermakers'</w:t>
      </w:r>
      <w:r w:rsidRPr="00D546BA">
        <w:rPr>
          <w:rFonts w:ascii="Times New Roman" w:hAnsi="Times New Roman"/>
          <w:sz w:val="24"/>
        </w:rPr>
        <w:t xml:space="preserve"> </w:t>
      </w:r>
      <w:r w:rsidRPr="00D546BA" w:rsidDel="00AA2E7B">
        <w:rPr>
          <w:rFonts w:ascii="Times New Roman" w:hAnsi="Times New Roman"/>
          <w:sz w:val="24"/>
        </w:rPr>
        <w:t>(</w:t>
      </w:r>
      <w:r w:rsidRPr="00D546BA">
        <w:rPr>
          <w:rFonts w:ascii="Times New Roman" w:hAnsi="Times New Roman"/>
          <w:sz w:val="24"/>
        </w:rPr>
        <w:t>1956) 94 CLR 254 at 276.</w:t>
      </w:r>
    </w:p>
  </w:footnote>
  <w:footnote w:id="313">
    <w:p w14:paraId="6502E1E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Vella </w:t>
      </w:r>
      <w:r w:rsidRPr="00D546BA">
        <w:rPr>
          <w:rFonts w:ascii="Times New Roman" w:hAnsi="Times New Roman"/>
          <w:sz w:val="24"/>
        </w:rPr>
        <w:t>(2019) 93 ALJR 1236 at 1275 [171]; 374 ALR 1 at 48.</w:t>
      </w:r>
    </w:p>
  </w:footnote>
  <w:footnote w:id="314">
    <w:p w14:paraId="3AA0C1AB"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r w:rsidRPr="00D546BA">
        <w:rPr>
          <w:rFonts w:ascii="Times New Roman" w:hAnsi="Times New Roman"/>
          <w:i/>
          <w:sz w:val="24"/>
        </w:rPr>
        <w:t xml:space="preserve">Thomas </w:t>
      </w:r>
      <w:r w:rsidRPr="00D546BA">
        <w:rPr>
          <w:rFonts w:ascii="Times New Roman" w:hAnsi="Times New Roman"/>
          <w:sz w:val="24"/>
        </w:rPr>
        <w:t xml:space="preserve">(2007) 233 CLR 307 at 477-478 [512]; </w:t>
      </w:r>
      <w:r w:rsidRPr="00D546BA">
        <w:rPr>
          <w:rFonts w:ascii="Times New Roman" w:hAnsi="Times New Roman"/>
          <w:i/>
          <w:sz w:val="24"/>
        </w:rPr>
        <w:t xml:space="preserve">Vella </w:t>
      </w:r>
      <w:r w:rsidRPr="00D546BA">
        <w:rPr>
          <w:rFonts w:ascii="Times New Roman" w:hAnsi="Times New Roman"/>
          <w:sz w:val="24"/>
        </w:rPr>
        <w:t xml:space="preserve">(2019) 93 ALJR 1236 at 1269 [144]-[145]; 374 ALR 1 at 40-41; </w:t>
      </w:r>
      <w:proofErr w:type="spellStart"/>
      <w:r w:rsidRPr="00D546BA">
        <w:rPr>
          <w:rFonts w:ascii="Times New Roman" w:hAnsi="Times New Roman"/>
          <w:sz w:val="24"/>
        </w:rPr>
        <w:t>cf</w:t>
      </w:r>
      <w:proofErr w:type="spellEnd"/>
      <w:r w:rsidRPr="00D546BA">
        <w:rPr>
          <w:rFonts w:ascii="Times New Roman" w:hAnsi="Times New Roman"/>
          <w:sz w:val="24"/>
        </w:rPr>
        <w:t xml:space="preserve"> </w:t>
      </w:r>
      <w:r w:rsidRPr="00D546BA">
        <w:rPr>
          <w:rFonts w:ascii="Times New Roman" w:hAnsi="Times New Roman"/>
          <w:i/>
          <w:sz w:val="24"/>
        </w:rPr>
        <w:t xml:space="preserve">Australian Communist Party v The Commonwealth </w:t>
      </w:r>
      <w:r w:rsidRPr="00D546BA">
        <w:rPr>
          <w:rFonts w:ascii="Times New Roman" w:hAnsi="Times New Roman"/>
          <w:sz w:val="24"/>
        </w:rPr>
        <w:t>(1951) 83 CLR 1 at 205-206, 263.</w:t>
      </w:r>
    </w:p>
  </w:footnote>
  <w:footnote w:id="315">
    <w:p w14:paraId="44328ECB"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ss 105A.8(3) and 105A.13.</w:t>
      </w:r>
    </w:p>
  </w:footnote>
  <w:footnote w:id="316">
    <w:p w14:paraId="629CDB22"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105A.3(2).</w:t>
      </w:r>
    </w:p>
  </w:footnote>
  <w:footnote w:id="317">
    <w:p w14:paraId="368F9BF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105A.3(1).</w:t>
      </w:r>
    </w:p>
  </w:footnote>
  <w:footnote w:id="318">
    <w:p w14:paraId="3E5E384E"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106.8(7).</w:t>
      </w:r>
    </w:p>
  </w:footnote>
  <w:footnote w:id="319">
    <w:p w14:paraId="3FA2D45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105A.1.</w:t>
      </w:r>
    </w:p>
  </w:footnote>
  <w:footnote w:id="320">
    <w:p w14:paraId="64B7E1F1"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r w:rsidRPr="00D546BA">
        <w:rPr>
          <w:rFonts w:ascii="Times New Roman" w:hAnsi="Times New Roman"/>
          <w:i/>
          <w:sz w:val="24"/>
        </w:rPr>
        <w:t>Criminal Code</w:t>
      </w:r>
      <w:r w:rsidRPr="00D546BA">
        <w:rPr>
          <w:rFonts w:ascii="Times New Roman" w:hAnsi="Times New Roman"/>
          <w:sz w:val="24"/>
        </w:rPr>
        <w:t>, ss 104.4(1)(d) and 105.4(4)-(6).</w:t>
      </w:r>
    </w:p>
  </w:footnote>
  <w:footnote w:id="321">
    <w:p w14:paraId="7D63D56E"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105A.2 definition of "serious Part 5.3 offence".</w:t>
      </w:r>
    </w:p>
  </w:footnote>
  <w:footnote w:id="322">
    <w:p w14:paraId="79FFD8F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Specified by the regulations as a terrorist organisation: s 102.1(1) definition of "terrorist organisation".</w:t>
      </w:r>
    </w:p>
  </w:footnote>
  <w:footnote w:id="323">
    <w:p w14:paraId="67336D3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Criminal Code</w:t>
      </w:r>
      <w:r w:rsidRPr="00D546BA">
        <w:rPr>
          <w:rFonts w:ascii="Times New Roman" w:hAnsi="Times New Roman"/>
          <w:sz w:val="24"/>
        </w:rPr>
        <w:t>, ss 101.4(2), 101.5(2), 102.3(1).</w:t>
      </w:r>
    </w:p>
  </w:footnote>
  <w:footnote w:id="324">
    <w:p w14:paraId="3AF2EAEB"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ss 101.1, 101.6, 103.1, 103.2.</w:t>
      </w:r>
    </w:p>
  </w:footnote>
  <w:footnote w:id="325">
    <w:p w14:paraId="142B1BD4"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131.1.</w:t>
      </w:r>
    </w:p>
  </w:footnote>
  <w:footnote w:id="326">
    <w:p w14:paraId="54D7616A"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101.5(1).</w:t>
      </w:r>
    </w:p>
  </w:footnote>
  <w:footnote w:id="327">
    <w:p w14:paraId="65C111B2"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101.5(2)-(3).</w:t>
      </w:r>
    </w:p>
  </w:footnote>
  <w:footnote w:id="328">
    <w:p w14:paraId="3AD0D2F9"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A Minister can specify a "terrorist organisation" under a regulation which alters the legal and practical operation of a range of Pt 5.3 offences: </w:t>
      </w:r>
      <w:r w:rsidRPr="00D546BA">
        <w:rPr>
          <w:rFonts w:ascii="Times New Roman" w:hAnsi="Times New Roman"/>
          <w:i/>
          <w:sz w:val="24"/>
        </w:rPr>
        <w:t xml:space="preserve">Criminal Code Act 1995 </w:t>
      </w:r>
      <w:r w:rsidRPr="00D546BA">
        <w:rPr>
          <w:rFonts w:ascii="Times New Roman" w:hAnsi="Times New Roman"/>
          <w:sz w:val="24"/>
        </w:rPr>
        <w:t xml:space="preserve">(Cth), s 5(2); </w:t>
      </w:r>
      <w:r w:rsidRPr="00D546BA">
        <w:rPr>
          <w:rFonts w:ascii="Times New Roman" w:hAnsi="Times New Roman"/>
          <w:i/>
          <w:sz w:val="24"/>
        </w:rPr>
        <w:t>Criminal Code</w:t>
      </w:r>
      <w:r w:rsidRPr="00D546BA">
        <w:rPr>
          <w:rFonts w:ascii="Times New Roman" w:hAnsi="Times New Roman"/>
          <w:sz w:val="24"/>
        </w:rPr>
        <w:t xml:space="preserve">, ss 102.2-102.7 read with s 102.1(1) definition of "terrorist organisation". 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R v Abdirahman-Khalif</w:t>
      </w:r>
      <w:r w:rsidRPr="00D546BA">
        <w:rPr>
          <w:rFonts w:ascii="Times New Roman" w:hAnsi="Times New Roman"/>
          <w:sz w:val="24"/>
        </w:rPr>
        <w:t xml:space="preserve"> (2020) 94 ALJR 981 at 987 [24]; 384 ALR 1 at 8, citing </w:t>
      </w:r>
      <w:r w:rsidRPr="00D546BA">
        <w:rPr>
          <w:rFonts w:ascii="Times New Roman" w:hAnsi="Times New Roman"/>
          <w:i/>
          <w:sz w:val="24"/>
        </w:rPr>
        <w:t>Criminal Code (Terrorist Organisation – Islamic State) Regulation 2014</w:t>
      </w:r>
      <w:r w:rsidRPr="00D546BA">
        <w:rPr>
          <w:rFonts w:ascii="Times New Roman" w:hAnsi="Times New Roman"/>
          <w:sz w:val="24"/>
        </w:rPr>
        <w:t xml:space="preserve"> (Cth), s 4, which relevantly designated Islamic State as a "terrorist organisation".</w:t>
      </w:r>
    </w:p>
  </w:footnote>
  <w:footnote w:id="329">
    <w:p w14:paraId="783A773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 xml:space="preserve">Abdirahman-Khalif </w:t>
      </w:r>
      <w:r w:rsidRPr="00D546BA">
        <w:rPr>
          <w:rFonts w:ascii="Times New Roman" w:hAnsi="Times New Roman"/>
          <w:sz w:val="24"/>
        </w:rPr>
        <w:t>(2020) 94 ALJR 981 at 993-994 [44]; 384 ALR 1 at 16.</w:t>
      </w:r>
    </w:p>
  </w:footnote>
  <w:footnote w:id="330">
    <w:p w14:paraId="75FC743C"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proofErr w:type="spellStart"/>
      <w:r w:rsidRPr="00D546BA">
        <w:rPr>
          <w:rFonts w:ascii="Times New Roman" w:hAnsi="Times New Roman"/>
          <w:sz w:val="24"/>
        </w:rPr>
        <w:t>eg</w:t>
      </w:r>
      <w:proofErr w:type="spellEnd"/>
      <w:r w:rsidRPr="00D546BA">
        <w:rPr>
          <w:rFonts w:ascii="Times New Roman" w:hAnsi="Times New Roman"/>
          <w:sz w:val="24"/>
        </w:rPr>
        <w:t xml:space="preserve">, </w:t>
      </w:r>
      <w:r w:rsidRPr="00D546BA">
        <w:rPr>
          <w:rFonts w:ascii="Times New Roman" w:hAnsi="Times New Roman"/>
          <w:i/>
          <w:sz w:val="24"/>
        </w:rPr>
        <w:t>Criminal Code</w:t>
      </w:r>
      <w:r w:rsidRPr="00D546BA">
        <w:rPr>
          <w:rFonts w:ascii="Times New Roman" w:hAnsi="Times New Roman"/>
          <w:sz w:val="24"/>
        </w:rPr>
        <w:t>,</w:t>
      </w:r>
      <w:r w:rsidRPr="00D546BA">
        <w:rPr>
          <w:rFonts w:ascii="Times New Roman" w:hAnsi="Times New Roman"/>
          <w:i/>
          <w:sz w:val="24"/>
        </w:rPr>
        <w:t xml:space="preserve"> </w:t>
      </w:r>
      <w:r w:rsidRPr="00D546BA">
        <w:rPr>
          <w:rFonts w:ascii="Times New Roman" w:hAnsi="Times New Roman"/>
          <w:sz w:val="24"/>
        </w:rPr>
        <w:t>ss 101.5(2) and 131.1.</w:t>
      </w:r>
    </w:p>
  </w:footnote>
  <w:footnote w:id="331">
    <w:p w14:paraId="71041A5B"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proofErr w:type="spellStart"/>
      <w:r w:rsidRPr="00D546BA">
        <w:rPr>
          <w:rFonts w:ascii="Times New Roman" w:hAnsi="Times New Roman"/>
          <w:sz w:val="24"/>
        </w:rPr>
        <w:t>cf</w:t>
      </w:r>
      <w:proofErr w:type="spellEnd"/>
      <w:r w:rsidRPr="00D546BA">
        <w:rPr>
          <w:rFonts w:ascii="Times New Roman" w:hAnsi="Times New Roman"/>
          <w:sz w:val="24"/>
        </w:rPr>
        <w:t xml:space="preserve"> </w:t>
      </w:r>
      <w:r w:rsidRPr="00D546BA">
        <w:rPr>
          <w:rFonts w:ascii="Times New Roman" w:hAnsi="Times New Roman"/>
          <w:i/>
          <w:sz w:val="24"/>
        </w:rPr>
        <w:t xml:space="preserve">Australian Communist Party </w:t>
      </w:r>
      <w:r w:rsidRPr="00D546BA">
        <w:rPr>
          <w:rFonts w:ascii="Times New Roman" w:hAnsi="Times New Roman"/>
          <w:sz w:val="24"/>
        </w:rPr>
        <w:t>(1951) 83 CLR 1 at 205-206, 263.</w:t>
      </w:r>
    </w:p>
  </w:footnote>
  <w:footnote w:id="332">
    <w:p w14:paraId="4573F8F0"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105A.7(1)(b).</w:t>
      </w:r>
    </w:p>
  </w:footnote>
  <w:footnote w:id="333">
    <w:p w14:paraId="0D21EDFA"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105A.8(1)(a).</w:t>
      </w:r>
    </w:p>
  </w:footnote>
  <w:footnote w:id="334">
    <w:p w14:paraId="69B33AAD"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xml:space="preserve">, s 105A.7(1)(c). </w:t>
      </w:r>
    </w:p>
  </w:footnote>
  <w:footnote w:id="335">
    <w:p w14:paraId="1BDEFB28"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xml:space="preserve">, s 104.1. See </w:t>
      </w:r>
      <w:r w:rsidRPr="00D546BA">
        <w:rPr>
          <w:rFonts w:ascii="Times New Roman" w:hAnsi="Times New Roman"/>
          <w:i/>
          <w:sz w:val="24"/>
        </w:rPr>
        <w:t xml:space="preserve">Thomas </w:t>
      </w:r>
      <w:r w:rsidRPr="00D546BA">
        <w:rPr>
          <w:rFonts w:ascii="Times New Roman" w:hAnsi="Times New Roman"/>
          <w:sz w:val="24"/>
        </w:rPr>
        <w:t>(2007) 233 CLR 307 at 337-338 [43]-[46].</w:t>
      </w:r>
    </w:p>
  </w:footnote>
  <w:footnote w:id="336">
    <w:p w14:paraId="5455EE1E"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105A.7(1)(a).</w:t>
      </w:r>
    </w:p>
  </w:footnote>
  <w:footnote w:id="337">
    <w:p w14:paraId="7F9CE4C3"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r>
      <w:r w:rsidRPr="00D546BA">
        <w:rPr>
          <w:rFonts w:ascii="Times New Roman" w:hAnsi="Times New Roman"/>
          <w:i/>
          <w:sz w:val="24"/>
        </w:rPr>
        <w:t>Criminal Code</w:t>
      </w:r>
      <w:r w:rsidRPr="00D546BA">
        <w:rPr>
          <w:rFonts w:ascii="Times New Roman" w:hAnsi="Times New Roman"/>
          <w:sz w:val="24"/>
        </w:rPr>
        <w:t>, s 105A.7(1)(b) and (c).</w:t>
      </w:r>
    </w:p>
  </w:footnote>
  <w:footnote w:id="338">
    <w:p w14:paraId="4101144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w:t>
      </w:r>
      <w:r w:rsidRPr="00D546BA">
        <w:rPr>
          <w:rFonts w:ascii="Times New Roman" w:hAnsi="Times New Roman"/>
          <w:i/>
          <w:sz w:val="24"/>
        </w:rPr>
        <w:t>Dangerous Prisoners (Sexual Offenders) Act 2003</w:t>
      </w:r>
      <w:r w:rsidRPr="00D546BA">
        <w:rPr>
          <w:rFonts w:ascii="Times New Roman" w:hAnsi="Times New Roman"/>
          <w:sz w:val="24"/>
        </w:rPr>
        <w:t xml:space="preserve"> (Qld), ss 5, 8, 13.</w:t>
      </w:r>
    </w:p>
  </w:footnote>
  <w:footnote w:id="339">
    <w:p w14:paraId="6175041F"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in the context of executive detention, </w:t>
      </w:r>
      <w:r w:rsidRPr="00D546BA">
        <w:rPr>
          <w:rFonts w:ascii="Times New Roman" w:hAnsi="Times New Roman"/>
          <w:i/>
          <w:sz w:val="24"/>
        </w:rPr>
        <w:t xml:space="preserve">Lim </w:t>
      </w:r>
      <w:r w:rsidRPr="00D546BA">
        <w:rPr>
          <w:rFonts w:ascii="Times New Roman" w:hAnsi="Times New Roman"/>
          <w:sz w:val="24"/>
        </w:rPr>
        <w:t xml:space="preserve">(1992) 176 CLR 1 at 33, 65-66; </w:t>
      </w:r>
      <w:r w:rsidRPr="00D546BA">
        <w:rPr>
          <w:rFonts w:ascii="Times New Roman" w:hAnsi="Times New Roman"/>
          <w:i/>
          <w:sz w:val="24"/>
        </w:rPr>
        <w:t>Al</w:t>
      </w:r>
      <w:r>
        <w:rPr>
          <w:rFonts w:ascii="Times New Roman" w:hAnsi="Times New Roman"/>
          <w:i/>
          <w:sz w:val="24"/>
        </w:rPr>
        <w:noBreakHyphen/>
      </w:r>
      <w:proofErr w:type="spellStart"/>
      <w:r w:rsidRPr="00D546BA">
        <w:rPr>
          <w:rFonts w:ascii="Times New Roman" w:hAnsi="Times New Roman"/>
          <w:i/>
          <w:sz w:val="24"/>
        </w:rPr>
        <w:t>Kateb</w:t>
      </w:r>
      <w:proofErr w:type="spellEnd"/>
      <w:r w:rsidRPr="00D546BA">
        <w:rPr>
          <w:rFonts w:ascii="Times New Roman" w:hAnsi="Times New Roman"/>
          <w:i/>
          <w:sz w:val="24"/>
        </w:rPr>
        <w:t xml:space="preserve"> </w:t>
      </w:r>
      <w:r w:rsidRPr="00D546BA">
        <w:rPr>
          <w:rFonts w:ascii="Times New Roman" w:hAnsi="Times New Roman"/>
          <w:sz w:val="24"/>
        </w:rPr>
        <w:t>(2004) 219 CLR 562 at 609</w:t>
      </w:r>
      <w:r w:rsidRPr="00D546BA">
        <w:rPr>
          <w:rFonts w:ascii="Times New Roman" w:hAnsi="Times New Roman"/>
          <w:sz w:val="24"/>
        </w:rPr>
        <w:noBreakHyphen/>
        <w:t>611 [128]-[132].</w:t>
      </w:r>
    </w:p>
  </w:footnote>
  <w:footnote w:id="340">
    <w:p w14:paraId="612C08E7" w14:textId="77777777" w:rsidR="00CE4181" w:rsidRPr="00D546BA" w:rsidRDefault="00CE4181" w:rsidP="00D546BA">
      <w:pPr>
        <w:pStyle w:val="FootnoteText"/>
        <w:spacing w:line="280" w:lineRule="exact"/>
        <w:ind w:right="0"/>
        <w:jc w:val="both"/>
        <w:rPr>
          <w:rFonts w:ascii="Times New Roman" w:hAnsi="Times New Roman"/>
          <w:sz w:val="24"/>
        </w:rPr>
      </w:pPr>
      <w:r w:rsidRPr="00D546BA">
        <w:rPr>
          <w:rStyle w:val="FootnoteReference"/>
          <w:rFonts w:ascii="Times New Roman" w:hAnsi="Times New Roman"/>
          <w:sz w:val="22"/>
          <w:vertAlign w:val="baseline"/>
        </w:rPr>
        <w:footnoteRef/>
      </w:r>
      <w:r w:rsidRPr="00D546BA">
        <w:rPr>
          <w:rFonts w:ascii="Times New Roman" w:hAnsi="Times New Roman"/>
          <w:sz w:val="24"/>
        </w:rPr>
        <w:t xml:space="preserve"> </w:t>
      </w:r>
      <w:r w:rsidRPr="00D546BA">
        <w:rPr>
          <w:rFonts w:ascii="Times New Roman" w:hAnsi="Times New Roman"/>
          <w:sz w:val="24"/>
        </w:rPr>
        <w:tab/>
        <w:t xml:space="preserve">See, by way of contrast, </w:t>
      </w:r>
      <w:r w:rsidRPr="00D546BA">
        <w:rPr>
          <w:rFonts w:ascii="Times New Roman" w:hAnsi="Times New Roman"/>
          <w:i/>
          <w:sz w:val="24"/>
        </w:rPr>
        <w:t>Acts Interpretation Act 1901</w:t>
      </w:r>
      <w:r w:rsidRPr="00D546BA">
        <w:rPr>
          <w:rFonts w:ascii="Times New Roman" w:hAnsi="Times New Roman"/>
          <w:sz w:val="24"/>
        </w:rPr>
        <w:t xml:space="preserve"> (</w:t>
      </w:r>
      <w:proofErr w:type="spellStart"/>
      <w:r w:rsidRPr="00D546BA">
        <w:rPr>
          <w:rFonts w:ascii="Times New Roman" w:hAnsi="Times New Roman"/>
          <w:sz w:val="24"/>
        </w:rPr>
        <w:t>Cth</w:t>
      </w:r>
      <w:proofErr w:type="spellEnd"/>
      <w:r w:rsidRPr="00D546BA">
        <w:rPr>
          <w:rFonts w:ascii="Times New Roman" w:hAnsi="Times New Roman"/>
          <w:sz w:val="24"/>
        </w:rPr>
        <w:t xml:space="preserve">), s 15A; </w:t>
      </w:r>
      <w:proofErr w:type="spellStart"/>
      <w:r w:rsidRPr="00D546BA">
        <w:rPr>
          <w:rFonts w:ascii="Times New Roman" w:hAnsi="Times New Roman"/>
          <w:i/>
          <w:sz w:val="24"/>
        </w:rPr>
        <w:t>Pidoto</w:t>
      </w:r>
      <w:proofErr w:type="spellEnd"/>
      <w:r w:rsidRPr="00D546BA">
        <w:rPr>
          <w:rFonts w:ascii="Times New Roman" w:hAnsi="Times New Roman"/>
          <w:i/>
          <w:sz w:val="24"/>
        </w:rPr>
        <w:t xml:space="preserve"> v Victoria </w:t>
      </w:r>
      <w:r w:rsidRPr="00D546BA">
        <w:rPr>
          <w:rFonts w:ascii="Times New Roman" w:hAnsi="Times New Roman"/>
          <w:sz w:val="24"/>
        </w:rPr>
        <w:t xml:space="preserve">(1943) 68 CLR 87 at 109-111; </w:t>
      </w:r>
      <w:r w:rsidRPr="00D546BA">
        <w:rPr>
          <w:rFonts w:ascii="Times New Roman" w:hAnsi="Times New Roman"/>
          <w:i/>
          <w:sz w:val="24"/>
        </w:rPr>
        <w:t xml:space="preserve">Strickland v Rocla Concrete Pipes Ltd </w:t>
      </w:r>
      <w:r w:rsidRPr="00D546BA">
        <w:rPr>
          <w:rFonts w:ascii="Times New Roman" w:hAnsi="Times New Roman"/>
          <w:sz w:val="24"/>
        </w:rPr>
        <w:t xml:space="preserve">(1971) 124 CLR 468 at 518-519; </w:t>
      </w:r>
      <w:r w:rsidRPr="00D546BA">
        <w:rPr>
          <w:rFonts w:ascii="Times New Roman" w:hAnsi="Times New Roman"/>
          <w:i/>
          <w:sz w:val="24"/>
        </w:rPr>
        <w:t>Victoria v The Commonwealth</w:t>
      </w:r>
      <w:r w:rsidRPr="00D546BA">
        <w:rPr>
          <w:rFonts w:ascii="Times New Roman" w:hAnsi="Times New Roman"/>
          <w:sz w:val="24"/>
        </w:rPr>
        <w:t xml:space="preserve"> (1996) 187 CLR 416 at 502</w:t>
      </w:r>
      <w:r>
        <w:rPr>
          <w:rFonts w:ascii="Times New Roman" w:hAnsi="Times New Roman"/>
          <w:sz w:val="24"/>
        </w:rPr>
        <w:noBreakHyphen/>
      </w:r>
      <w:r w:rsidRPr="00D546BA">
        <w:rPr>
          <w:rFonts w:ascii="Times New Roman" w:hAnsi="Times New Roman"/>
          <w:sz w:val="24"/>
        </w:rPr>
        <w:t xml:space="preserve">503; </w:t>
      </w:r>
      <w:proofErr w:type="spellStart"/>
      <w:r w:rsidRPr="00D546BA">
        <w:rPr>
          <w:rFonts w:ascii="Times New Roman" w:hAnsi="Times New Roman"/>
          <w:sz w:val="24"/>
        </w:rPr>
        <w:t>cf</w:t>
      </w:r>
      <w:proofErr w:type="spellEnd"/>
      <w:r w:rsidRPr="00D546BA">
        <w:rPr>
          <w:rFonts w:ascii="Times New Roman" w:hAnsi="Times New Roman"/>
          <w:sz w:val="24"/>
        </w:rPr>
        <w:t xml:space="preserve"> </w:t>
      </w:r>
      <w:r w:rsidRPr="00D546BA">
        <w:rPr>
          <w:rFonts w:ascii="Times New Roman" w:hAnsi="Times New Roman"/>
          <w:i/>
          <w:sz w:val="24"/>
        </w:rPr>
        <w:t xml:space="preserve">Vella </w:t>
      </w:r>
      <w:r w:rsidRPr="00D546BA">
        <w:rPr>
          <w:rFonts w:ascii="Times New Roman" w:hAnsi="Times New Roman"/>
          <w:sz w:val="24"/>
        </w:rPr>
        <w:t>(2019) 93 ALJR 1236 at 1250 [53]; 374 ALR 1 at 16.</w:t>
      </w:r>
    </w:p>
  </w:footnote>
  <w:footnote w:id="341">
    <w:p w14:paraId="79BB722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Ch 5, Pt 5.3. </w:t>
      </w:r>
    </w:p>
  </w:footnote>
  <w:footnote w:id="342">
    <w:p w14:paraId="271671D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105A.7.</w:t>
      </w:r>
    </w:p>
  </w:footnote>
  <w:footnote w:id="343">
    <w:p w14:paraId="231A501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101.1.</w:t>
      </w:r>
    </w:p>
  </w:footnote>
  <w:footnote w:id="344">
    <w:p w14:paraId="437FA6C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101.2.</w:t>
      </w:r>
    </w:p>
  </w:footnote>
  <w:footnote w:id="345">
    <w:p w14:paraId="132CDB2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102.2.</w:t>
      </w:r>
    </w:p>
  </w:footnote>
  <w:footnote w:id="346">
    <w:p w14:paraId="3AE06B58"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(1992) 176 CLR 1. </w:t>
      </w:r>
    </w:p>
  </w:footnote>
  <w:footnote w:id="347">
    <w:p w14:paraId="4E82D25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Holmes, </w:t>
      </w:r>
      <w:r w:rsidRPr="003C5786">
        <w:rPr>
          <w:rFonts w:ascii="Times New Roman" w:hAnsi="Times New Roman"/>
          <w:i/>
          <w:sz w:val="24"/>
        </w:rPr>
        <w:t xml:space="preserve">The Common Law </w:t>
      </w:r>
      <w:r w:rsidRPr="003C5786">
        <w:rPr>
          <w:rFonts w:ascii="Times New Roman" w:hAnsi="Times New Roman"/>
          <w:sz w:val="24"/>
        </w:rPr>
        <w:t>(1881) at 46, quoted in Dershowitz, "The Origins of Preventive Confinement in Anglo</w:t>
      </w:r>
      <w:r w:rsidRPr="003C5786">
        <w:rPr>
          <w:rFonts w:ascii="Times New Roman" w:hAnsi="Times New Roman"/>
          <w:sz w:val="24"/>
        </w:rPr>
        <w:noBreakHyphen/>
        <w:t xml:space="preserve">American Law – Part I: The English Experience" (1974) 43 </w:t>
      </w:r>
      <w:r w:rsidRPr="003C5786">
        <w:rPr>
          <w:rFonts w:ascii="Times New Roman" w:hAnsi="Times New Roman"/>
          <w:i/>
          <w:sz w:val="24"/>
        </w:rPr>
        <w:t>University of Cincinnati Law Review</w:t>
      </w:r>
      <w:r w:rsidRPr="003C5786">
        <w:rPr>
          <w:rFonts w:ascii="Times New Roman" w:hAnsi="Times New Roman"/>
          <w:sz w:val="24"/>
        </w:rPr>
        <w:t xml:space="preserve"> 1 at 1. </w:t>
      </w:r>
    </w:p>
  </w:footnote>
  <w:footnote w:id="348">
    <w:p w14:paraId="0BCBC5A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eastAsia="Times-Italic" w:hAnsi="Times New Roman"/>
          <w:sz w:val="24"/>
        </w:rPr>
        <w:t xml:space="preserve">(2004) 220 CLR 129 at 145 [32]. See also </w:t>
      </w:r>
      <w:proofErr w:type="spellStart"/>
      <w:r w:rsidRPr="003C5786">
        <w:rPr>
          <w:rFonts w:ascii="Times New Roman" w:eastAsia="Times-Italic" w:hAnsi="Times New Roman"/>
          <w:i/>
          <w:sz w:val="24"/>
        </w:rPr>
        <w:t>Fardon</w:t>
      </w:r>
      <w:proofErr w:type="spellEnd"/>
      <w:r w:rsidRPr="003C5786">
        <w:rPr>
          <w:rFonts w:ascii="Times New Roman" w:eastAsia="Times-Italic" w:hAnsi="Times New Roman"/>
          <w:i/>
          <w:sz w:val="24"/>
        </w:rPr>
        <w:t xml:space="preserve"> v</w:t>
      </w:r>
      <w:r w:rsidRPr="003C5786">
        <w:rPr>
          <w:rFonts w:ascii="Times New Roman" w:hAnsi="Times New Roman"/>
          <w:sz w:val="24"/>
        </w:rPr>
        <w:t xml:space="preserve"> </w:t>
      </w:r>
      <w:r w:rsidRPr="003C5786">
        <w:rPr>
          <w:rFonts w:ascii="Times New Roman" w:eastAsia="Times-Italic" w:hAnsi="Times New Roman"/>
          <w:i/>
          <w:sz w:val="24"/>
        </w:rPr>
        <w:t xml:space="preserve">Attorney-General (Qld) </w:t>
      </w:r>
      <w:r w:rsidRPr="003C5786">
        <w:rPr>
          <w:rFonts w:ascii="Times New Roman" w:eastAsia="Times-Italic" w:hAnsi="Times New Roman"/>
          <w:sz w:val="24"/>
        </w:rPr>
        <w:t xml:space="preserve">(2004) 223 CLR 575 at 613 [82]; </w:t>
      </w:r>
      <w:r w:rsidRPr="003C5786">
        <w:rPr>
          <w:rFonts w:ascii="Times New Roman" w:hAnsi="Times New Roman"/>
          <w:i/>
          <w:sz w:val="24"/>
        </w:rPr>
        <w:t xml:space="preserve">Minogue v Victoria </w:t>
      </w:r>
      <w:r w:rsidRPr="003C5786">
        <w:rPr>
          <w:rFonts w:ascii="Times New Roman" w:hAnsi="Times New Roman"/>
          <w:sz w:val="24"/>
        </w:rPr>
        <w:t xml:space="preserve">(2019) 93 ALJR 1031 at 1042 [47]; </w:t>
      </w:r>
      <w:r w:rsidRPr="003C5786">
        <w:rPr>
          <w:rFonts w:ascii="Times New Roman" w:eastAsia="Times-Italic" w:hAnsi="Times New Roman"/>
          <w:sz w:val="24"/>
        </w:rPr>
        <w:t>372 ALR 623 at 636-637</w:t>
      </w:r>
      <w:r w:rsidRPr="003C5786">
        <w:rPr>
          <w:rFonts w:ascii="Times New Roman" w:hAnsi="Times New Roman"/>
          <w:sz w:val="24"/>
        </w:rPr>
        <w:t>.</w:t>
      </w:r>
    </w:p>
  </w:footnote>
  <w:footnote w:id="349">
    <w:p w14:paraId="236B133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Coke, </w:t>
      </w:r>
      <w:r w:rsidRPr="003C5786">
        <w:rPr>
          <w:rFonts w:ascii="Times New Roman" w:hAnsi="Times New Roman"/>
          <w:i/>
          <w:iCs/>
          <w:sz w:val="24"/>
        </w:rPr>
        <w:t xml:space="preserve">Institutes of the Laws of England </w:t>
      </w:r>
      <w:r w:rsidRPr="003C5786">
        <w:rPr>
          <w:rFonts w:ascii="Times New Roman" w:hAnsi="Times New Roman"/>
          <w:sz w:val="24"/>
        </w:rPr>
        <w:t>(1644), Pt 3 at 6: "</w:t>
      </w:r>
      <w:proofErr w:type="spellStart"/>
      <w:r w:rsidRPr="003C5786">
        <w:rPr>
          <w:rFonts w:ascii="Times New Roman" w:hAnsi="Times New Roman"/>
          <w:i/>
          <w:sz w:val="24"/>
        </w:rPr>
        <w:t>ut</w:t>
      </w:r>
      <w:proofErr w:type="spellEnd"/>
      <w:r w:rsidRPr="003C5786">
        <w:rPr>
          <w:rFonts w:ascii="Times New Roman" w:hAnsi="Times New Roman"/>
          <w:i/>
          <w:sz w:val="24"/>
        </w:rPr>
        <w:t xml:space="preserve"> </w:t>
      </w:r>
      <w:proofErr w:type="spellStart"/>
      <w:r w:rsidRPr="003C5786">
        <w:rPr>
          <w:rFonts w:ascii="Times New Roman" w:hAnsi="Times New Roman"/>
          <w:i/>
          <w:sz w:val="24"/>
        </w:rPr>
        <w:t>poena</w:t>
      </w:r>
      <w:proofErr w:type="spellEnd"/>
      <w:r w:rsidRPr="003C5786">
        <w:rPr>
          <w:rFonts w:ascii="Times New Roman" w:hAnsi="Times New Roman"/>
          <w:i/>
          <w:sz w:val="24"/>
        </w:rPr>
        <w:t xml:space="preserve"> </w:t>
      </w:r>
      <w:proofErr w:type="spellStart"/>
      <w:r w:rsidRPr="003C5786">
        <w:rPr>
          <w:rFonts w:ascii="Times New Roman" w:hAnsi="Times New Roman"/>
          <w:i/>
          <w:sz w:val="24"/>
        </w:rPr>
        <w:t>ad</w:t>
      </w:r>
      <w:proofErr w:type="spellEnd"/>
      <w:r w:rsidRPr="003C5786">
        <w:rPr>
          <w:rFonts w:ascii="Times New Roman" w:hAnsi="Times New Roman"/>
          <w:i/>
          <w:sz w:val="24"/>
        </w:rPr>
        <w:t xml:space="preserve"> </w:t>
      </w:r>
      <w:proofErr w:type="spellStart"/>
      <w:r w:rsidRPr="003C5786">
        <w:rPr>
          <w:rFonts w:ascii="Times New Roman" w:hAnsi="Times New Roman"/>
          <w:i/>
          <w:sz w:val="24"/>
        </w:rPr>
        <w:t>paucos</w:t>
      </w:r>
      <w:proofErr w:type="spellEnd"/>
      <w:r w:rsidRPr="003C5786">
        <w:rPr>
          <w:rFonts w:ascii="Times New Roman" w:hAnsi="Times New Roman"/>
          <w:i/>
          <w:sz w:val="24"/>
        </w:rPr>
        <w:t xml:space="preserve">, </w:t>
      </w:r>
      <w:proofErr w:type="spellStart"/>
      <w:r w:rsidRPr="003C5786">
        <w:rPr>
          <w:rFonts w:ascii="Times New Roman" w:hAnsi="Times New Roman"/>
          <w:i/>
          <w:sz w:val="24"/>
        </w:rPr>
        <w:t>metus</w:t>
      </w:r>
      <w:proofErr w:type="spellEnd"/>
      <w:r w:rsidRPr="003C5786">
        <w:rPr>
          <w:rFonts w:ascii="Times New Roman" w:hAnsi="Times New Roman"/>
          <w:i/>
          <w:sz w:val="24"/>
        </w:rPr>
        <w:t xml:space="preserve"> </w:t>
      </w:r>
      <w:proofErr w:type="spellStart"/>
      <w:r w:rsidRPr="003C5786">
        <w:rPr>
          <w:rFonts w:ascii="Times New Roman" w:hAnsi="Times New Roman"/>
          <w:i/>
          <w:sz w:val="24"/>
        </w:rPr>
        <w:t>ad</w:t>
      </w:r>
      <w:proofErr w:type="spellEnd"/>
      <w:r w:rsidRPr="003C5786">
        <w:rPr>
          <w:rFonts w:ascii="Times New Roman" w:hAnsi="Times New Roman"/>
          <w:i/>
          <w:sz w:val="24"/>
        </w:rPr>
        <w:t xml:space="preserve"> </w:t>
      </w:r>
      <w:proofErr w:type="spellStart"/>
      <w:r w:rsidRPr="003C5786">
        <w:rPr>
          <w:rFonts w:ascii="Times New Roman" w:hAnsi="Times New Roman"/>
          <w:i/>
          <w:sz w:val="24"/>
        </w:rPr>
        <w:t>omnes</w:t>
      </w:r>
      <w:proofErr w:type="spellEnd"/>
      <w:r w:rsidRPr="003C5786">
        <w:rPr>
          <w:rFonts w:ascii="Times New Roman" w:hAnsi="Times New Roman"/>
          <w:i/>
          <w:sz w:val="24"/>
        </w:rPr>
        <w:t xml:space="preserve"> </w:t>
      </w:r>
      <w:proofErr w:type="spellStart"/>
      <w:r w:rsidRPr="003C5786">
        <w:rPr>
          <w:rFonts w:ascii="Times New Roman" w:hAnsi="Times New Roman"/>
          <w:i/>
          <w:sz w:val="24"/>
        </w:rPr>
        <w:t>perveniat</w:t>
      </w:r>
      <w:proofErr w:type="spellEnd"/>
      <w:r w:rsidRPr="003C5786">
        <w:rPr>
          <w:rFonts w:ascii="Times New Roman" w:hAnsi="Times New Roman"/>
          <w:sz w:val="24"/>
        </w:rPr>
        <w:t xml:space="preserve">"; </w:t>
      </w:r>
      <w:proofErr w:type="spellStart"/>
      <w:r w:rsidRPr="003C5786">
        <w:rPr>
          <w:rFonts w:ascii="Times New Roman" w:hAnsi="Times New Roman"/>
          <w:sz w:val="24"/>
        </w:rPr>
        <w:t>cf</w:t>
      </w:r>
      <w:proofErr w:type="spellEnd"/>
      <w:r w:rsidRPr="003C5786">
        <w:rPr>
          <w:rFonts w:ascii="Times New Roman" w:hAnsi="Times New Roman"/>
          <w:sz w:val="24"/>
        </w:rPr>
        <w:t xml:space="preserve"> Voltaire, </w:t>
      </w:r>
      <w:r w:rsidRPr="003C5786">
        <w:rPr>
          <w:rFonts w:ascii="Times New Roman" w:hAnsi="Times New Roman"/>
          <w:i/>
          <w:iCs/>
          <w:sz w:val="24"/>
        </w:rPr>
        <w:t xml:space="preserve">Candide </w:t>
      </w:r>
      <w:r w:rsidRPr="003C5786">
        <w:rPr>
          <w:rFonts w:ascii="Times New Roman" w:hAnsi="Times New Roman"/>
          <w:sz w:val="24"/>
        </w:rPr>
        <w:t>(1759) at 211-212: "</w:t>
      </w:r>
      <w:proofErr w:type="spellStart"/>
      <w:r w:rsidRPr="003C5786">
        <w:rPr>
          <w:rFonts w:ascii="Times New Roman" w:hAnsi="Times New Roman"/>
          <w:color w:val="000000"/>
          <w:sz w:val="24"/>
        </w:rPr>
        <w:t>Mais</w:t>
      </w:r>
      <w:proofErr w:type="spellEnd"/>
      <w:r w:rsidRPr="003C5786">
        <w:rPr>
          <w:rFonts w:ascii="Times New Roman" w:hAnsi="Times New Roman"/>
          <w:color w:val="000000"/>
          <w:sz w:val="24"/>
        </w:rPr>
        <w:t xml:space="preserve"> dans </w:t>
      </w:r>
      <w:proofErr w:type="spellStart"/>
      <w:r w:rsidRPr="003C5786">
        <w:rPr>
          <w:rFonts w:ascii="Times New Roman" w:hAnsi="Times New Roman"/>
          <w:color w:val="000000"/>
          <w:sz w:val="24"/>
        </w:rPr>
        <w:t>ce</w:t>
      </w:r>
      <w:proofErr w:type="spellEnd"/>
      <w:r w:rsidRPr="003C5786">
        <w:rPr>
          <w:rFonts w:ascii="Times New Roman" w:hAnsi="Times New Roman"/>
          <w:color w:val="000000"/>
          <w:sz w:val="24"/>
        </w:rPr>
        <w:t xml:space="preserve"> pays-ci </w:t>
      </w:r>
      <w:proofErr w:type="spellStart"/>
      <w:r w:rsidRPr="003C5786">
        <w:rPr>
          <w:rFonts w:ascii="Times New Roman" w:hAnsi="Times New Roman"/>
          <w:color w:val="000000"/>
          <w:sz w:val="24"/>
        </w:rPr>
        <w:t>il</w:t>
      </w:r>
      <w:proofErr w:type="spellEnd"/>
      <w:r w:rsidRPr="003C5786">
        <w:rPr>
          <w:rFonts w:ascii="Times New Roman" w:hAnsi="Times New Roman"/>
          <w:color w:val="000000"/>
          <w:sz w:val="24"/>
        </w:rPr>
        <w:t xml:space="preserve"> </w:t>
      </w:r>
      <w:proofErr w:type="spellStart"/>
      <w:r w:rsidRPr="003C5786">
        <w:rPr>
          <w:rFonts w:ascii="Times New Roman" w:hAnsi="Times New Roman"/>
          <w:color w:val="000000"/>
          <w:sz w:val="24"/>
        </w:rPr>
        <w:t>est</w:t>
      </w:r>
      <w:proofErr w:type="spellEnd"/>
      <w:r w:rsidRPr="003C5786">
        <w:rPr>
          <w:rFonts w:ascii="Times New Roman" w:hAnsi="Times New Roman"/>
          <w:color w:val="000000"/>
          <w:sz w:val="24"/>
        </w:rPr>
        <w:t xml:space="preserve"> bon de </w:t>
      </w:r>
      <w:proofErr w:type="spellStart"/>
      <w:r w:rsidRPr="003C5786">
        <w:rPr>
          <w:rFonts w:ascii="Times New Roman" w:hAnsi="Times New Roman"/>
          <w:color w:val="000000"/>
          <w:sz w:val="24"/>
        </w:rPr>
        <w:t>tuer</w:t>
      </w:r>
      <w:proofErr w:type="spellEnd"/>
      <w:r w:rsidRPr="003C5786">
        <w:rPr>
          <w:rFonts w:ascii="Times New Roman" w:hAnsi="Times New Roman"/>
          <w:color w:val="000000"/>
          <w:sz w:val="24"/>
        </w:rPr>
        <w:t xml:space="preserve"> de </w:t>
      </w:r>
      <w:proofErr w:type="spellStart"/>
      <w:r w:rsidRPr="003C5786">
        <w:rPr>
          <w:rFonts w:ascii="Times New Roman" w:hAnsi="Times New Roman"/>
          <w:color w:val="000000"/>
          <w:sz w:val="24"/>
        </w:rPr>
        <w:t>tems</w:t>
      </w:r>
      <w:proofErr w:type="spellEnd"/>
      <w:r w:rsidRPr="003C5786">
        <w:rPr>
          <w:rFonts w:ascii="Times New Roman" w:hAnsi="Times New Roman"/>
          <w:color w:val="000000"/>
          <w:sz w:val="24"/>
        </w:rPr>
        <w:t xml:space="preserve"> </w:t>
      </w:r>
      <w:proofErr w:type="spellStart"/>
      <w:r w:rsidRPr="003C5786">
        <w:rPr>
          <w:rFonts w:ascii="Times New Roman" w:hAnsi="Times New Roman"/>
          <w:color w:val="000000"/>
          <w:sz w:val="24"/>
        </w:rPr>
        <w:t>en</w:t>
      </w:r>
      <w:proofErr w:type="spellEnd"/>
      <w:r w:rsidRPr="003C5786">
        <w:rPr>
          <w:rFonts w:ascii="Times New Roman" w:hAnsi="Times New Roman"/>
          <w:color w:val="000000"/>
          <w:sz w:val="24"/>
        </w:rPr>
        <w:t xml:space="preserve"> </w:t>
      </w:r>
      <w:proofErr w:type="spellStart"/>
      <w:r w:rsidRPr="003C5786">
        <w:rPr>
          <w:rFonts w:ascii="Times New Roman" w:hAnsi="Times New Roman"/>
          <w:color w:val="000000"/>
          <w:sz w:val="24"/>
        </w:rPr>
        <w:t>tems</w:t>
      </w:r>
      <w:proofErr w:type="spellEnd"/>
      <w:r w:rsidRPr="003C5786">
        <w:rPr>
          <w:rFonts w:ascii="Times New Roman" w:hAnsi="Times New Roman"/>
          <w:color w:val="000000"/>
          <w:sz w:val="24"/>
        </w:rPr>
        <w:t xml:space="preserve"> un </w:t>
      </w:r>
      <w:proofErr w:type="spellStart"/>
      <w:r w:rsidRPr="003C5786">
        <w:rPr>
          <w:rFonts w:ascii="Times New Roman" w:hAnsi="Times New Roman"/>
          <w:color w:val="000000"/>
          <w:sz w:val="24"/>
        </w:rPr>
        <w:t>Amiral</w:t>
      </w:r>
      <w:proofErr w:type="spellEnd"/>
      <w:r w:rsidRPr="003C5786">
        <w:rPr>
          <w:rFonts w:ascii="Times New Roman" w:hAnsi="Times New Roman"/>
          <w:color w:val="000000"/>
          <w:sz w:val="24"/>
        </w:rPr>
        <w:t xml:space="preserve"> </w:t>
      </w:r>
      <w:bookmarkStart w:id="2" w:name="_GoBack"/>
      <w:r w:rsidRPr="00A46643">
        <w:rPr>
          <w:rStyle w:val="Strong"/>
          <w:rFonts w:ascii="Times New Roman" w:hAnsi="Times New Roman"/>
          <w:b w:val="0"/>
          <w:color w:val="000000"/>
          <w:sz w:val="24"/>
        </w:rPr>
        <w:t xml:space="preserve">pour encourager les </w:t>
      </w:r>
      <w:proofErr w:type="spellStart"/>
      <w:r w:rsidRPr="00A46643">
        <w:rPr>
          <w:rStyle w:val="Strong"/>
          <w:rFonts w:ascii="Times New Roman" w:hAnsi="Times New Roman"/>
          <w:b w:val="0"/>
          <w:color w:val="000000"/>
          <w:sz w:val="24"/>
        </w:rPr>
        <w:t>autres</w:t>
      </w:r>
      <w:proofErr w:type="spellEnd"/>
      <w:r w:rsidRPr="00A46643">
        <w:rPr>
          <w:rStyle w:val="Strong"/>
          <w:rFonts w:ascii="Times New Roman" w:hAnsi="Times New Roman"/>
          <w:b w:val="0"/>
          <w:color w:val="000000"/>
          <w:sz w:val="24"/>
        </w:rPr>
        <w:t>.</w:t>
      </w:r>
      <w:bookmarkEnd w:id="2"/>
      <w:r w:rsidRPr="003C5786">
        <w:rPr>
          <w:rFonts w:ascii="Times New Roman" w:hAnsi="Times New Roman"/>
          <w:color w:val="000000"/>
          <w:sz w:val="24"/>
        </w:rPr>
        <w:t>"</w:t>
      </w:r>
    </w:p>
  </w:footnote>
  <w:footnote w:id="350">
    <w:p w14:paraId="5DCC82D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R v Kirby; Ex </w:t>
      </w:r>
      <w:proofErr w:type="spellStart"/>
      <w:r w:rsidRPr="003C5786">
        <w:rPr>
          <w:rFonts w:ascii="Times New Roman" w:hAnsi="Times New Roman"/>
          <w:i/>
          <w:iCs/>
          <w:sz w:val="24"/>
        </w:rPr>
        <w:t>parte</w:t>
      </w:r>
      <w:proofErr w:type="spellEnd"/>
      <w:r w:rsidRPr="003C5786">
        <w:rPr>
          <w:rFonts w:ascii="Times New Roman" w:hAnsi="Times New Roman"/>
          <w:i/>
          <w:iCs/>
          <w:sz w:val="24"/>
        </w:rPr>
        <w:t xml:space="preserve"> Boilermakers' Society of Australia </w:t>
      </w:r>
      <w:r w:rsidRPr="003C5786">
        <w:rPr>
          <w:rFonts w:ascii="Times New Roman" w:hAnsi="Times New Roman"/>
          <w:sz w:val="24"/>
        </w:rPr>
        <w:t xml:space="preserve">(1956) 94 CLR 254 at 271. </w:t>
      </w:r>
    </w:p>
  </w:footnote>
  <w:footnote w:id="351">
    <w:p w14:paraId="09C34600" w14:textId="77777777" w:rsidR="00CE4181" w:rsidRPr="003C5786" w:rsidRDefault="00CE4181" w:rsidP="003C5786">
      <w:pPr>
        <w:pStyle w:val="FootnoteText"/>
        <w:spacing w:line="280" w:lineRule="exact"/>
        <w:ind w:right="0"/>
        <w:jc w:val="both"/>
        <w:rPr>
          <w:rFonts w:ascii="Times New Roman" w:hAnsi="Times New Roman"/>
          <w:sz w:val="24"/>
          <w:highlight w:val="yellow"/>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bookmarkStart w:id="3" w:name="_Hlk61342700"/>
      <w:r w:rsidRPr="003C5786">
        <w:rPr>
          <w:rFonts w:ascii="Times New Roman" w:hAnsi="Times New Roman"/>
          <w:sz w:val="24"/>
        </w:rPr>
        <w:t xml:space="preserve">Lewis, "The Humanitarian Theory of Punishment" (1953) 6 </w:t>
      </w:r>
      <w:r w:rsidRPr="003C5786">
        <w:rPr>
          <w:rFonts w:ascii="Times New Roman" w:hAnsi="Times New Roman"/>
          <w:i/>
          <w:sz w:val="24"/>
        </w:rPr>
        <w:t xml:space="preserve">Res </w:t>
      </w:r>
      <w:proofErr w:type="spellStart"/>
      <w:r w:rsidRPr="003C5786">
        <w:rPr>
          <w:rFonts w:ascii="Times New Roman" w:hAnsi="Times New Roman"/>
          <w:i/>
          <w:sz w:val="24"/>
        </w:rPr>
        <w:t>Judicatae</w:t>
      </w:r>
      <w:proofErr w:type="spellEnd"/>
      <w:r w:rsidRPr="003C5786">
        <w:rPr>
          <w:rFonts w:ascii="Times New Roman" w:hAnsi="Times New Roman"/>
          <w:sz w:val="24"/>
        </w:rPr>
        <w:t xml:space="preserve"> 224 </w:t>
      </w:r>
      <w:bookmarkEnd w:id="3"/>
      <w:r w:rsidRPr="003C5786">
        <w:rPr>
          <w:rFonts w:ascii="Times New Roman" w:hAnsi="Times New Roman"/>
          <w:sz w:val="24"/>
        </w:rPr>
        <w:t>at 225.</w:t>
      </w:r>
    </w:p>
  </w:footnote>
  <w:footnote w:id="352">
    <w:p w14:paraId="236118B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ab/>
      </w:r>
      <w:bookmarkStart w:id="4" w:name="_Hlk61517401"/>
      <w:proofErr w:type="spellStart"/>
      <w:r w:rsidRPr="003C5786">
        <w:rPr>
          <w:rFonts w:ascii="Times New Roman" w:hAnsi="Times New Roman"/>
          <w:sz w:val="24"/>
          <w:szCs w:val="24"/>
        </w:rPr>
        <w:t>Corrado</w:t>
      </w:r>
      <w:proofErr w:type="spellEnd"/>
      <w:r w:rsidRPr="003C5786">
        <w:rPr>
          <w:rFonts w:ascii="Times New Roman" w:hAnsi="Times New Roman"/>
          <w:sz w:val="24"/>
          <w:szCs w:val="24"/>
        </w:rPr>
        <w:t xml:space="preserve">, "Punishment and the Wild Beast of Prey: The Problem of Preventive Detention" (1996) 86 </w:t>
      </w:r>
      <w:r w:rsidRPr="003C5786">
        <w:rPr>
          <w:rFonts w:ascii="Times New Roman" w:hAnsi="Times New Roman"/>
          <w:i/>
          <w:sz w:val="24"/>
          <w:szCs w:val="24"/>
        </w:rPr>
        <w:t>Journal of Criminal Law and Criminology</w:t>
      </w:r>
      <w:r w:rsidRPr="003C5786">
        <w:rPr>
          <w:rFonts w:ascii="Times New Roman" w:hAnsi="Times New Roman"/>
          <w:sz w:val="24"/>
          <w:szCs w:val="24"/>
        </w:rPr>
        <w:t xml:space="preserve"> 778 at 778</w:t>
      </w:r>
      <w:bookmarkEnd w:id="4"/>
      <w:r w:rsidRPr="003C5786">
        <w:rPr>
          <w:rFonts w:ascii="Times New Roman" w:hAnsi="Times New Roman"/>
          <w:sz w:val="24"/>
          <w:szCs w:val="24"/>
        </w:rPr>
        <w:t>,</w:t>
      </w:r>
      <w:r w:rsidRPr="003C5786">
        <w:rPr>
          <w:rFonts w:ascii="Times New Roman" w:hAnsi="Times New Roman"/>
          <w:sz w:val="24"/>
        </w:rPr>
        <w:t xml:space="preserve"> adapting Hampton, "The Moral Education Theory of Punishment" (1984) 13 </w:t>
      </w:r>
      <w:r w:rsidRPr="003C5786">
        <w:rPr>
          <w:rFonts w:ascii="Times New Roman" w:hAnsi="Times New Roman"/>
          <w:i/>
          <w:sz w:val="24"/>
        </w:rPr>
        <w:t>Philosophy and Public Affairs</w:t>
      </w:r>
      <w:r w:rsidRPr="003C5786">
        <w:rPr>
          <w:rFonts w:ascii="Times New Roman" w:hAnsi="Times New Roman"/>
          <w:sz w:val="24"/>
        </w:rPr>
        <w:t xml:space="preserve"> 208 at 223.</w:t>
      </w:r>
    </w:p>
  </w:footnote>
  <w:footnote w:id="353">
    <w:p w14:paraId="5EFDC61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Against </w:t>
      </w:r>
      <w:r w:rsidRPr="003C5786">
        <w:rPr>
          <w:rFonts w:ascii="Times New Roman" w:hAnsi="Times New Roman"/>
          <w:i/>
          <w:iCs/>
          <w:sz w:val="24"/>
        </w:rPr>
        <w:t>Criminal Code</w:t>
      </w:r>
      <w:r w:rsidRPr="003C5786">
        <w:rPr>
          <w:rFonts w:ascii="Times New Roman" w:hAnsi="Times New Roman"/>
          <w:sz w:val="24"/>
        </w:rPr>
        <w:t>,</w:t>
      </w:r>
      <w:r w:rsidRPr="003C5786">
        <w:rPr>
          <w:rFonts w:ascii="Times New Roman" w:hAnsi="Times New Roman"/>
          <w:i/>
          <w:iCs/>
          <w:sz w:val="24"/>
        </w:rPr>
        <w:t xml:space="preserve"> </w:t>
      </w:r>
      <w:r w:rsidRPr="003C5786">
        <w:rPr>
          <w:rFonts w:ascii="Times New Roman" w:hAnsi="Times New Roman"/>
          <w:sz w:val="24"/>
        </w:rPr>
        <w:t>ss 101.1, 101.2, 101.4, 101.5, 101.6, 102.2, 102.3, 102.4, 102.5, 102.6, 102.7, 103.1, 103.2.</w:t>
      </w:r>
    </w:p>
  </w:footnote>
  <w:footnote w:id="354">
    <w:p w14:paraId="48A68275"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Minister for Home Affairs v Benbrika </w:t>
      </w:r>
      <w:r w:rsidRPr="003C5786">
        <w:rPr>
          <w:rFonts w:ascii="Times New Roman" w:hAnsi="Times New Roman"/>
          <w:sz w:val="24"/>
        </w:rPr>
        <w:t>[2020] VSC 888 at [477], [479].</w:t>
      </w:r>
    </w:p>
  </w:footnote>
  <w:footnote w:id="355">
    <w:p w14:paraId="36E78B43"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 xml:space="preserve">Acts </w:t>
      </w:r>
      <w:r w:rsidRPr="003C5786">
        <w:rPr>
          <w:rFonts w:ascii="Times New Roman" w:hAnsi="Times New Roman"/>
          <w:i/>
          <w:iCs/>
          <w:sz w:val="24"/>
        </w:rPr>
        <w:t xml:space="preserve">Interpretation Act 1901 </w:t>
      </w:r>
      <w:r w:rsidRPr="003C5786">
        <w:rPr>
          <w:rFonts w:ascii="Times New Roman" w:hAnsi="Times New Roman"/>
          <w:sz w:val="24"/>
        </w:rPr>
        <w:t>(Cth), s 15A.</w:t>
      </w:r>
    </w:p>
  </w:footnote>
  <w:footnote w:id="356">
    <w:p w14:paraId="6BD64B2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(2007) 233 CLR 307.</w:t>
      </w:r>
    </w:p>
  </w:footnote>
  <w:footnote w:id="357">
    <w:p w14:paraId="170CF6E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105.1.</w:t>
      </w:r>
    </w:p>
  </w:footnote>
  <w:footnote w:id="358">
    <w:p w14:paraId="67689B2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 xml:space="preserve">s 100.3. See </w:t>
      </w:r>
      <w:r w:rsidRPr="003C5786">
        <w:rPr>
          <w:rFonts w:ascii="Times New Roman" w:hAnsi="Times New Roman"/>
          <w:i/>
          <w:iCs/>
          <w:sz w:val="24"/>
        </w:rPr>
        <w:t>Criminal Code Amendment (High Risk Terrorist Offenders) Act 2016</w:t>
      </w:r>
      <w:r w:rsidRPr="003C5786">
        <w:rPr>
          <w:rFonts w:ascii="Times New Roman" w:hAnsi="Times New Roman"/>
          <w:sz w:val="24"/>
        </w:rPr>
        <w:t xml:space="preserve"> (Cth), Sch 1, item 1. No issue was raised by the parties arising from a partial source of power being referred State legislative power.</w:t>
      </w:r>
    </w:p>
  </w:footnote>
  <w:footnote w:id="359">
    <w:p w14:paraId="33156A48"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105A.1.</w:t>
      </w:r>
    </w:p>
  </w:footnote>
  <w:footnote w:id="360">
    <w:p w14:paraId="579B25B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ss 100.1(1) (definition of "terrorist act"), 101.1.</w:t>
      </w:r>
    </w:p>
  </w:footnote>
  <w:footnote w:id="361">
    <w:p w14:paraId="7601F9D3"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100.4(1)(b).</w:t>
      </w:r>
    </w:p>
  </w:footnote>
  <w:footnote w:id="362">
    <w:p w14:paraId="44D9FD8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ab/>
      </w:r>
      <w:r w:rsidRPr="003C5786">
        <w:rPr>
          <w:rFonts w:ascii="Times New Roman" w:hAnsi="Times New Roman"/>
          <w:i/>
          <w:sz w:val="24"/>
        </w:rPr>
        <w:t>Criminal Code</w:t>
      </w:r>
      <w:r w:rsidRPr="003C5786">
        <w:rPr>
          <w:rFonts w:ascii="Times New Roman" w:hAnsi="Times New Roman"/>
          <w:sz w:val="24"/>
        </w:rPr>
        <w:t>,</w:t>
      </w:r>
      <w:r w:rsidRPr="003C5786">
        <w:rPr>
          <w:rFonts w:ascii="Times New Roman" w:hAnsi="Times New Roman"/>
          <w:i/>
          <w:sz w:val="24"/>
        </w:rPr>
        <w:t xml:space="preserve"> </w:t>
      </w:r>
      <w:r w:rsidRPr="003C5786">
        <w:rPr>
          <w:rFonts w:ascii="Times New Roman" w:hAnsi="Times New Roman"/>
          <w:sz w:val="24"/>
        </w:rPr>
        <w:t>s 100.1(2)(b).</w:t>
      </w:r>
    </w:p>
  </w:footnote>
  <w:footnote w:id="363">
    <w:p w14:paraId="79DFF0D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100.1(1) (definition of "terrorist act").</w:t>
      </w:r>
    </w:p>
  </w:footnote>
  <w:footnote w:id="364">
    <w:p w14:paraId="1F276F4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100.1(3).</w:t>
      </w:r>
    </w:p>
  </w:footnote>
  <w:footnote w:id="365">
    <w:p w14:paraId="46E4C458"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5.6.</w:t>
      </w:r>
    </w:p>
  </w:footnote>
  <w:footnote w:id="366">
    <w:p w14:paraId="514D3DB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101.6.</w:t>
      </w:r>
    </w:p>
  </w:footnote>
  <w:footnote w:id="367">
    <w:p w14:paraId="1B46200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ss 101.2, 101.4, 101.5.</w:t>
      </w:r>
    </w:p>
  </w:footnote>
  <w:footnote w:id="368">
    <w:p w14:paraId="6C467D8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Criminal Code</w:t>
      </w:r>
      <w:r w:rsidRPr="003C5786">
        <w:rPr>
          <w:rFonts w:ascii="Times New Roman" w:hAnsi="Times New Roman"/>
          <w:sz w:val="24"/>
        </w:rPr>
        <w:t>, s 105A.2 (definition of "serious Part 5.3 offence").</w:t>
      </w:r>
    </w:p>
  </w:footnote>
  <w:footnote w:id="369">
    <w:p w14:paraId="6749D87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 s 105A.7(3).</w:t>
      </w:r>
    </w:p>
  </w:footnote>
  <w:footnote w:id="370">
    <w:p w14:paraId="1701366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Bail Act 2013 </w:t>
      </w:r>
      <w:r w:rsidRPr="003C5786">
        <w:rPr>
          <w:rFonts w:ascii="Times New Roman" w:hAnsi="Times New Roman"/>
          <w:sz w:val="24"/>
        </w:rPr>
        <w:t xml:space="preserve">(NSW), s 19; </w:t>
      </w:r>
      <w:r w:rsidRPr="003C5786">
        <w:rPr>
          <w:rFonts w:ascii="Times New Roman" w:hAnsi="Times New Roman"/>
          <w:i/>
          <w:iCs/>
          <w:sz w:val="24"/>
        </w:rPr>
        <w:t xml:space="preserve">Bail Act 1977 </w:t>
      </w:r>
      <w:r w:rsidRPr="003C5786">
        <w:rPr>
          <w:rFonts w:ascii="Times New Roman" w:hAnsi="Times New Roman"/>
          <w:sz w:val="24"/>
        </w:rPr>
        <w:t xml:space="preserve">(Vic), s 4E; </w:t>
      </w:r>
      <w:r w:rsidRPr="003C5786">
        <w:rPr>
          <w:rFonts w:ascii="Times New Roman" w:hAnsi="Times New Roman"/>
          <w:i/>
          <w:iCs/>
          <w:sz w:val="24"/>
        </w:rPr>
        <w:t xml:space="preserve">Bail Act 1980 </w:t>
      </w:r>
      <w:r w:rsidRPr="003C5786">
        <w:rPr>
          <w:rFonts w:ascii="Times New Roman" w:hAnsi="Times New Roman"/>
          <w:sz w:val="24"/>
        </w:rPr>
        <w:t>(Qld), s 16.</w:t>
      </w:r>
    </w:p>
  </w:footnote>
  <w:footnote w:id="371">
    <w:p w14:paraId="2490CE9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szCs w:val="24"/>
        </w:rPr>
        <w:t xml:space="preserve">M v M </w:t>
      </w:r>
      <w:r w:rsidRPr="003C5786">
        <w:rPr>
          <w:rFonts w:ascii="Times New Roman" w:hAnsi="Times New Roman"/>
          <w:sz w:val="24"/>
          <w:szCs w:val="24"/>
        </w:rPr>
        <w:t>(1988) 166 CLR 69 at 78.</w:t>
      </w:r>
    </w:p>
  </w:footnote>
  <w:footnote w:id="372">
    <w:p w14:paraId="6252EB3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also </w:t>
      </w:r>
      <w:r w:rsidRPr="003C5786">
        <w:rPr>
          <w:rFonts w:ascii="Times New Roman" w:hAnsi="Times New Roman"/>
          <w:i/>
          <w:iCs/>
          <w:sz w:val="24"/>
        </w:rPr>
        <w:t>Vella v Commissioner of Police (NSW)</w:t>
      </w:r>
      <w:r w:rsidRPr="003C5786">
        <w:rPr>
          <w:rFonts w:ascii="Times New Roman" w:hAnsi="Times New Roman"/>
          <w:sz w:val="24"/>
        </w:rPr>
        <w:t xml:space="preserve"> (2019) 93 ALJR 1236 at 1249 [51]; 374 ALR 1 at 15.</w:t>
      </w:r>
    </w:p>
  </w:footnote>
  <w:footnote w:id="373">
    <w:p w14:paraId="2215C3A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iCs/>
          <w:sz w:val="24"/>
        </w:rPr>
        <w:t xml:space="preserve">Lynn v New South Wales </w:t>
      </w:r>
      <w:r w:rsidRPr="003C5786">
        <w:rPr>
          <w:rFonts w:ascii="Times New Roman" w:hAnsi="Times New Roman"/>
          <w:sz w:val="24"/>
        </w:rPr>
        <w:t>(2016) 91 NSWLR 636 at</w:t>
      </w:r>
      <w:r w:rsidRPr="003C5786">
        <w:rPr>
          <w:rFonts w:ascii="Times New Roman" w:hAnsi="Times New Roman"/>
          <w:i/>
          <w:iCs/>
          <w:sz w:val="24"/>
        </w:rPr>
        <w:t xml:space="preserve"> </w:t>
      </w:r>
      <w:r w:rsidRPr="003C5786">
        <w:rPr>
          <w:rFonts w:ascii="Times New Roman" w:hAnsi="Times New Roman"/>
          <w:sz w:val="24"/>
        </w:rPr>
        <w:t>660</w:t>
      </w:r>
      <w:r w:rsidRPr="003C5786">
        <w:rPr>
          <w:rFonts w:ascii="Times New Roman" w:hAnsi="Times New Roman"/>
          <w:sz w:val="24"/>
        </w:rPr>
        <w:noBreakHyphen/>
        <w:t>661 [128]-[129].</w:t>
      </w:r>
    </w:p>
  </w:footnote>
  <w:footnote w:id="374">
    <w:p w14:paraId="38003D2E"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105A.1.</w:t>
      </w:r>
    </w:p>
  </w:footnote>
  <w:footnote w:id="375">
    <w:p w14:paraId="7C37E12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105A.8(2).</w:t>
      </w:r>
    </w:p>
  </w:footnote>
  <w:footnote w:id="376">
    <w:p w14:paraId="06C688E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Criminal Code</w:t>
      </w:r>
      <w:r w:rsidRPr="003C5786">
        <w:rPr>
          <w:rFonts w:ascii="Times New Roman" w:hAnsi="Times New Roman"/>
          <w:sz w:val="24"/>
        </w:rPr>
        <w:t xml:space="preserve">, s 105A.7(1)(c). </w:t>
      </w:r>
    </w:p>
  </w:footnote>
  <w:footnote w:id="377">
    <w:p w14:paraId="097E4AF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w:t>
      </w:r>
      <w:r w:rsidRPr="003C5786">
        <w:rPr>
          <w:rFonts w:ascii="Times New Roman" w:hAnsi="Times New Roman"/>
          <w:i/>
          <w:iCs/>
          <w:sz w:val="24"/>
        </w:rPr>
        <w:t xml:space="preserve"> </w:t>
      </w:r>
      <w:r w:rsidRPr="003C5786">
        <w:rPr>
          <w:rFonts w:ascii="Times New Roman" w:hAnsi="Times New Roman"/>
          <w:sz w:val="24"/>
        </w:rPr>
        <w:t>s 105A.7(1), note 1.</w:t>
      </w:r>
    </w:p>
  </w:footnote>
  <w:footnote w:id="378">
    <w:p w14:paraId="4D0E27F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sz w:val="24"/>
        </w:rPr>
        <w:t xml:space="preserve">Lee v Benbrika </w:t>
      </w:r>
      <w:r w:rsidRPr="003C5786">
        <w:rPr>
          <w:rFonts w:ascii="Times New Roman" w:hAnsi="Times New Roman"/>
          <w:sz w:val="24"/>
        </w:rPr>
        <w:t>[2020] FCA 1723, Annexure A.</w:t>
      </w:r>
    </w:p>
  </w:footnote>
  <w:footnote w:id="379">
    <w:p w14:paraId="3320FB5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iCs/>
          <w:sz w:val="24"/>
        </w:rPr>
        <w:t>Criminal Code</w:t>
      </w:r>
      <w:r w:rsidRPr="003C5786">
        <w:rPr>
          <w:rFonts w:ascii="Times New Roman" w:hAnsi="Times New Roman"/>
          <w:sz w:val="24"/>
        </w:rPr>
        <w:t>, s 105A.7(5).</w:t>
      </w:r>
    </w:p>
  </w:footnote>
  <w:footnote w:id="380">
    <w:p w14:paraId="1356F7B3" w14:textId="77777777" w:rsidR="00CE4181" w:rsidRPr="003C5786" w:rsidRDefault="00CE4181" w:rsidP="003C5786">
      <w:pPr>
        <w:pStyle w:val="FootnoteText"/>
        <w:spacing w:line="280" w:lineRule="exact"/>
        <w:ind w:right="0"/>
        <w:jc w:val="both"/>
        <w:rPr>
          <w:rFonts w:ascii="Times New Roman" w:hAnsi="Times New Roman"/>
          <w:iCs/>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proofErr w:type="spellStart"/>
      <w:r w:rsidRPr="003C5786">
        <w:rPr>
          <w:rFonts w:ascii="Times New Roman" w:hAnsi="Times New Roman"/>
          <w:sz w:val="24"/>
        </w:rPr>
        <w:t>eg</w:t>
      </w:r>
      <w:proofErr w:type="spellEnd"/>
      <w:r w:rsidRPr="003C5786">
        <w:rPr>
          <w:rFonts w:ascii="Times New Roman" w:hAnsi="Times New Roman"/>
          <w:sz w:val="24"/>
        </w:rPr>
        <w:t xml:space="preserve">, Hart, </w:t>
      </w:r>
      <w:r w:rsidRPr="003C5786">
        <w:rPr>
          <w:rFonts w:ascii="Times New Roman" w:hAnsi="Times New Roman"/>
          <w:i/>
          <w:sz w:val="24"/>
        </w:rPr>
        <w:t xml:space="preserve">Punishment and Responsibility </w:t>
      </w:r>
      <w:r w:rsidRPr="003C5786">
        <w:rPr>
          <w:rFonts w:ascii="Times New Roman" w:hAnsi="Times New Roman"/>
          <w:sz w:val="24"/>
        </w:rPr>
        <w:t>(1968) at 166</w:t>
      </w:r>
      <w:r w:rsidRPr="003C5786">
        <w:rPr>
          <w:rFonts w:ascii="Times New Roman" w:hAnsi="Times New Roman"/>
          <w:sz w:val="24"/>
        </w:rPr>
        <w:noBreakHyphen/>
        <w:t xml:space="preserve">167; </w:t>
      </w:r>
      <w:proofErr w:type="spellStart"/>
      <w:r w:rsidRPr="003C5786">
        <w:rPr>
          <w:rFonts w:ascii="Times New Roman" w:hAnsi="Times New Roman"/>
          <w:sz w:val="24"/>
        </w:rPr>
        <w:t>Husak</w:t>
      </w:r>
      <w:proofErr w:type="spellEnd"/>
      <w:r w:rsidRPr="003C5786">
        <w:rPr>
          <w:rFonts w:ascii="Times New Roman" w:hAnsi="Times New Roman"/>
          <w:sz w:val="24"/>
        </w:rPr>
        <w:t xml:space="preserve">, "Lifting the Cloak: Preventive Detention as Punishment" (2011) 48 </w:t>
      </w:r>
      <w:r w:rsidRPr="003C5786">
        <w:rPr>
          <w:rFonts w:ascii="Times New Roman" w:hAnsi="Times New Roman"/>
          <w:i/>
          <w:sz w:val="24"/>
        </w:rPr>
        <w:t xml:space="preserve">San Diego Law Review </w:t>
      </w:r>
      <w:r w:rsidRPr="003C5786">
        <w:rPr>
          <w:rFonts w:ascii="Times New Roman" w:hAnsi="Times New Roman"/>
          <w:sz w:val="24"/>
        </w:rPr>
        <w:t xml:space="preserve">1173; Ferzan, "Beyond Crime and Commitment: Justifying Liberty Deprivations of the Dangerous and Responsible" (2011) 96 </w:t>
      </w:r>
      <w:r w:rsidRPr="003C5786">
        <w:rPr>
          <w:rFonts w:ascii="Times New Roman" w:hAnsi="Times New Roman"/>
          <w:i/>
          <w:sz w:val="24"/>
        </w:rPr>
        <w:t>Minnesota Law Review</w:t>
      </w:r>
      <w:r w:rsidRPr="003C5786">
        <w:rPr>
          <w:rFonts w:ascii="Times New Roman" w:hAnsi="Times New Roman"/>
          <w:sz w:val="24"/>
        </w:rPr>
        <w:t xml:space="preserve"> 141; Ashworth and </w:t>
      </w:r>
      <w:proofErr w:type="spellStart"/>
      <w:r w:rsidRPr="003C5786">
        <w:rPr>
          <w:rFonts w:ascii="Times New Roman" w:hAnsi="Times New Roman"/>
          <w:sz w:val="24"/>
        </w:rPr>
        <w:t>Zedner</w:t>
      </w:r>
      <w:proofErr w:type="spellEnd"/>
      <w:r w:rsidRPr="003C5786">
        <w:rPr>
          <w:rFonts w:ascii="Times New Roman" w:hAnsi="Times New Roman"/>
          <w:sz w:val="24"/>
        </w:rPr>
        <w:t xml:space="preserve">, </w:t>
      </w:r>
      <w:r w:rsidRPr="003C5786">
        <w:rPr>
          <w:rFonts w:ascii="Times New Roman" w:hAnsi="Times New Roman"/>
          <w:i/>
          <w:sz w:val="24"/>
        </w:rPr>
        <w:t xml:space="preserve">Preventive Justice </w:t>
      </w:r>
      <w:r w:rsidRPr="003C5786">
        <w:rPr>
          <w:rFonts w:ascii="Times New Roman" w:hAnsi="Times New Roman"/>
          <w:sz w:val="24"/>
        </w:rPr>
        <w:t xml:space="preserve">(2014) at 14-17; </w:t>
      </w:r>
      <w:proofErr w:type="spellStart"/>
      <w:r w:rsidRPr="003C5786">
        <w:rPr>
          <w:rFonts w:ascii="Times New Roman" w:hAnsi="Times New Roman"/>
          <w:sz w:val="24"/>
        </w:rPr>
        <w:t>Zedner</w:t>
      </w:r>
      <w:proofErr w:type="spellEnd"/>
      <w:r w:rsidRPr="003C5786">
        <w:rPr>
          <w:rFonts w:ascii="Times New Roman" w:hAnsi="Times New Roman"/>
          <w:sz w:val="24"/>
        </w:rPr>
        <w:t xml:space="preserve">, "Penal subversions: When is a punishment not punishment, who decides and on what grounds?" (2016) 20 </w:t>
      </w:r>
      <w:r w:rsidRPr="003C5786">
        <w:rPr>
          <w:rFonts w:ascii="Times New Roman" w:hAnsi="Times New Roman"/>
          <w:i/>
          <w:sz w:val="24"/>
        </w:rPr>
        <w:t>Theoretical Criminology</w:t>
      </w:r>
      <w:r w:rsidRPr="003C5786">
        <w:rPr>
          <w:rFonts w:ascii="Times New Roman" w:hAnsi="Times New Roman"/>
          <w:sz w:val="24"/>
        </w:rPr>
        <w:t xml:space="preserve"> 3; Nathan, "Punishment the Easy Way" (2020) </w:t>
      </w:r>
      <w:r w:rsidRPr="003C5786">
        <w:rPr>
          <w:rFonts w:ascii="Times New Roman" w:hAnsi="Times New Roman"/>
          <w:i/>
          <w:sz w:val="24"/>
        </w:rPr>
        <w:t xml:space="preserve">Criminal Law and Philosophy </w:t>
      </w:r>
      <w:r w:rsidRPr="003C5786">
        <w:rPr>
          <w:rFonts w:ascii="Times New Roman" w:hAnsi="Times New Roman"/>
          <w:sz w:val="24"/>
        </w:rPr>
        <w:t>(online, 2 Oct</w:t>
      </w:r>
      <w:r w:rsidRPr="003C5786">
        <w:rPr>
          <w:rFonts w:ascii="Times New Roman" w:hAnsi="Times New Roman"/>
          <w:iCs/>
          <w:sz w:val="24"/>
        </w:rPr>
        <w:t>ober 2020).</w:t>
      </w:r>
    </w:p>
  </w:footnote>
  <w:footnote w:id="381">
    <w:p w14:paraId="0A693F4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proofErr w:type="spellStart"/>
      <w:r w:rsidRPr="003C5786">
        <w:rPr>
          <w:rFonts w:ascii="Times New Roman" w:hAnsi="Times New Roman"/>
          <w:sz w:val="24"/>
        </w:rPr>
        <w:t>eg</w:t>
      </w:r>
      <w:proofErr w:type="spellEnd"/>
      <w:r w:rsidRPr="003C5786">
        <w:rPr>
          <w:rFonts w:ascii="Times New Roman" w:hAnsi="Times New Roman"/>
          <w:sz w:val="24"/>
        </w:rPr>
        <w:t xml:space="preserve">, Robinson, "Punishing Dangerousness: Cloaking Preventive Detention as Criminal Justice" (2001) 114 </w:t>
      </w:r>
      <w:r w:rsidRPr="003C5786">
        <w:rPr>
          <w:rFonts w:ascii="Times New Roman" w:hAnsi="Times New Roman"/>
          <w:i/>
          <w:sz w:val="24"/>
        </w:rPr>
        <w:t xml:space="preserve">Harvard Law Review </w:t>
      </w:r>
      <w:r w:rsidRPr="003C5786">
        <w:rPr>
          <w:rFonts w:ascii="Times New Roman" w:hAnsi="Times New Roman"/>
          <w:sz w:val="24"/>
        </w:rPr>
        <w:t>1429 at 1432.</w:t>
      </w:r>
    </w:p>
  </w:footnote>
  <w:footnote w:id="382">
    <w:p w14:paraId="02AC876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United States v Salerno </w:t>
      </w:r>
      <w:r w:rsidRPr="003C5786">
        <w:rPr>
          <w:rFonts w:ascii="Times New Roman" w:hAnsi="Times New Roman"/>
          <w:sz w:val="24"/>
        </w:rPr>
        <w:t xml:space="preserve">(1987) 481 US 739 at 760. </w:t>
      </w:r>
    </w:p>
  </w:footnote>
  <w:footnote w:id="383">
    <w:p w14:paraId="2FD3CF7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(1988) 165 CLR 611.</w:t>
      </w:r>
    </w:p>
  </w:footnote>
  <w:footnote w:id="384">
    <w:p w14:paraId="6BC9E50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Blackstone, </w:t>
      </w:r>
      <w:r w:rsidRPr="003C5786">
        <w:rPr>
          <w:rFonts w:ascii="Times New Roman" w:hAnsi="Times New Roman"/>
          <w:i/>
          <w:iCs/>
          <w:sz w:val="24"/>
        </w:rPr>
        <w:t>Commentaries</w:t>
      </w:r>
      <w:r w:rsidRPr="003C5786">
        <w:rPr>
          <w:rFonts w:ascii="Times New Roman" w:hAnsi="Times New Roman"/>
          <w:sz w:val="24"/>
        </w:rPr>
        <w:t xml:space="preserve"> </w:t>
      </w:r>
      <w:r w:rsidRPr="003C5786">
        <w:rPr>
          <w:rFonts w:ascii="Times New Roman" w:hAnsi="Times New Roman"/>
          <w:i/>
          <w:iCs/>
          <w:sz w:val="24"/>
        </w:rPr>
        <w:t xml:space="preserve">on the Laws of England </w:t>
      </w:r>
      <w:r w:rsidRPr="003C5786">
        <w:rPr>
          <w:rFonts w:ascii="Times New Roman" w:hAnsi="Times New Roman"/>
          <w:sz w:val="24"/>
        </w:rPr>
        <w:t xml:space="preserve">(1769), bk 4, </w:t>
      </w:r>
      <w:proofErr w:type="spellStart"/>
      <w:r w:rsidRPr="003C5786">
        <w:rPr>
          <w:rFonts w:ascii="Times New Roman" w:hAnsi="Times New Roman"/>
          <w:sz w:val="24"/>
        </w:rPr>
        <w:t>ch</w:t>
      </w:r>
      <w:proofErr w:type="spellEnd"/>
      <w:r w:rsidRPr="003C5786">
        <w:rPr>
          <w:rFonts w:ascii="Times New Roman" w:hAnsi="Times New Roman"/>
          <w:sz w:val="24"/>
        </w:rPr>
        <w:t xml:space="preserve"> 2 at 25.</w:t>
      </w:r>
    </w:p>
  </w:footnote>
  <w:footnote w:id="385">
    <w:p w14:paraId="3B6489F3"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R v Wright </w:t>
      </w:r>
      <w:r w:rsidRPr="003C5786">
        <w:rPr>
          <w:rFonts w:ascii="Times New Roman" w:hAnsi="Times New Roman"/>
          <w:sz w:val="24"/>
        </w:rPr>
        <w:t xml:space="preserve">(1971) 1 SASR 103 at 106-107. </w:t>
      </w:r>
    </w:p>
  </w:footnote>
  <w:footnote w:id="386">
    <w:p w14:paraId="1B0CF68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Chu Shao </w:t>
      </w:r>
      <w:r w:rsidRPr="003C5786">
        <w:rPr>
          <w:rFonts w:ascii="Times New Roman" w:hAnsi="Times New Roman"/>
          <w:i/>
          <w:sz w:val="24"/>
        </w:rPr>
        <w:t>Hung v The Queen</w:t>
      </w:r>
      <w:r w:rsidRPr="003C5786">
        <w:rPr>
          <w:rFonts w:ascii="Times New Roman" w:hAnsi="Times New Roman"/>
          <w:sz w:val="24"/>
        </w:rPr>
        <w:t xml:space="preserve"> (1953) 87 CLR 575 at 590, quoting Blackstone</w:t>
      </w:r>
      <w:r w:rsidRPr="003C5786">
        <w:rPr>
          <w:rFonts w:ascii="Times New Roman" w:hAnsi="Times New Roman"/>
          <w:iCs/>
          <w:sz w:val="24"/>
        </w:rPr>
        <w:t>,</w:t>
      </w:r>
      <w:r w:rsidRPr="003C5786">
        <w:rPr>
          <w:rFonts w:ascii="Times New Roman" w:hAnsi="Times New Roman"/>
          <w:i/>
          <w:iCs/>
          <w:sz w:val="24"/>
        </w:rPr>
        <w:t xml:space="preserve"> Commentaries on the Laws of England</w:t>
      </w:r>
      <w:r w:rsidRPr="003C5786">
        <w:rPr>
          <w:rFonts w:ascii="Times New Roman" w:hAnsi="Times New Roman"/>
          <w:sz w:val="24"/>
        </w:rPr>
        <w:t xml:space="preserve">, 15th ed (1809), bk 4, </w:t>
      </w:r>
      <w:proofErr w:type="spellStart"/>
      <w:r w:rsidRPr="003C5786">
        <w:rPr>
          <w:rFonts w:ascii="Times New Roman" w:hAnsi="Times New Roman"/>
          <w:sz w:val="24"/>
        </w:rPr>
        <w:t>ch</w:t>
      </w:r>
      <w:proofErr w:type="spellEnd"/>
      <w:r w:rsidRPr="003C5786">
        <w:rPr>
          <w:rFonts w:ascii="Times New Roman" w:hAnsi="Times New Roman"/>
          <w:sz w:val="24"/>
        </w:rPr>
        <w:t xml:space="preserve"> 18 at 251.</w:t>
      </w:r>
    </w:p>
  </w:footnote>
  <w:footnote w:id="387">
    <w:p w14:paraId="5B5AB5A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R v County of London Quarter Sessions Appeals Committee; Ex </w:t>
      </w:r>
      <w:proofErr w:type="spellStart"/>
      <w:r w:rsidRPr="003C5786">
        <w:rPr>
          <w:rFonts w:ascii="Times New Roman" w:hAnsi="Times New Roman"/>
          <w:i/>
          <w:sz w:val="24"/>
        </w:rPr>
        <w:t>parte</w:t>
      </w:r>
      <w:proofErr w:type="spellEnd"/>
      <w:r w:rsidRPr="003C5786">
        <w:rPr>
          <w:rFonts w:ascii="Times New Roman" w:hAnsi="Times New Roman"/>
          <w:i/>
          <w:sz w:val="24"/>
        </w:rPr>
        <w:t xml:space="preserve"> Metropolitan Police Commissioner </w:t>
      </w:r>
      <w:r w:rsidRPr="003C5786">
        <w:rPr>
          <w:rFonts w:ascii="Times New Roman" w:hAnsi="Times New Roman"/>
          <w:sz w:val="24"/>
        </w:rPr>
        <w:t>[1948] 1 KB 670 at 675.</w:t>
      </w:r>
    </w:p>
  </w:footnote>
  <w:footnote w:id="388">
    <w:p w14:paraId="41F7468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R v Rogers</w:t>
      </w:r>
      <w:r w:rsidRPr="003C5786">
        <w:rPr>
          <w:rFonts w:ascii="Times New Roman" w:hAnsi="Times New Roman"/>
          <w:sz w:val="24"/>
        </w:rPr>
        <w:t xml:space="preserve"> (1702) 7 Mod 28 at 29 [87 ER 1074 at 1075];</w:t>
      </w:r>
      <w:bookmarkStart w:id="5" w:name="_Hlk61430508"/>
      <w:r w:rsidRPr="003C5786">
        <w:rPr>
          <w:rFonts w:ascii="Times New Roman" w:hAnsi="Times New Roman"/>
          <w:sz w:val="24"/>
        </w:rPr>
        <w:t xml:space="preserve"> </w:t>
      </w:r>
      <w:r w:rsidRPr="003C5786">
        <w:rPr>
          <w:rFonts w:ascii="Times New Roman" w:hAnsi="Times New Roman"/>
          <w:i/>
          <w:sz w:val="24"/>
        </w:rPr>
        <w:t>Ex </w:t>
      </w:r>
      <w:proofErr w:type="spellStart"/>
      <w:r w:rsidRPr="003C5786">
        <w:rPr>
          <w:rFonts w:ascii="Times New Roman" w:hAnsi="Times New Roman"/>
          <w:i/>
          <w:sz w:val="24"/>
        </w:rPr>
        <w:t>parte</w:t>
      </w:r>
      <w:proofErr w:type="spellEnd"/>
      <w:r w:rsidRPr="003C5786">
        <w:rPr>
          <w:rFonts w:ascii="Times New Roman" w:hAnsi="Times New Roman"/>
          <w:i/>
          <w:sz w:val="24"/>
        </w:rPr>
        <w:t xml:space="preserve"> Davis</w:t>
      </w:r>
      <w:r w:rsidRPr="003C5786">
        <w:rPr>
          <w:rFonts w:ascii="Times New Roman" w:hAnsi="Times New Roman"/>
          <w:sz w:val="24"/>
        </w:rPr>
        <w:t xml:space="preserve"> (1871) 35 JP 551 at </w:t>
      </w:r>
      <w:bookmarkEnd w:id="5"/>
      <w:r w:rsidRPr="003C5786">
        <w:rPr>
          <w:rFonts w:ascii="Times New Roman" w:hAnsi="Times New Roman"/>
          <w:sz w:val="24"/>
        </w:rPr>
        <w:t xml:space="preserve">551-552. See the concession by counsel in </w:t>
      </w:r>
      <w:r w:rsidRPr="003C5786">
        <w:rPr>
          <w:rFonts w:ascii="Times New Roman" w:hAnsi="Times New Roman"/>
          <w:i/>
          <w:sz w:val="24"/>
        </w:rPr>
        <w:t xml:space="preserve">R v County of London Quarter Sessions Appeals Committee; Ex </w:t>
      </w:r>
      <w:proofErr w:type="spellStart"/>
      <w:r w:rsidRPr="003C5786">
        <w:rPr>
          <w:rFonts w:ascii="Times New Roman" w:hAnsi="Times New Roman"/>
          <w:i/>
          <w:sz w:val="24"/>
        </w:rPr>
        <w:t>parte</w:t>
      </w:r>
      <w:proofErr w:type="spellEnd"/>
      <w:r w:rsidRPr="003C5786">
        <w:rPr>
          <w:rFonts w:ascii="Times New Roman" w:hAnsi="Times New Roman"/>
          <w:i/>
          <w:sz w:val="24"/>
        </w:rPr>
        <w:t xml:space="preserve"> Metropolitan Police Commissioner </w:t>
      </w:r>
      <w:r w:rsidRPr="003C5786">
        <w:rPr>
          <w:rFonts w:ascii="Times New Roman" w:hAnsi="Times New Roman"/>
          <w:sz w:val="24"/>
        </w:rPr>
        <w:t xml:space="preserve">[1948] 1 KB 670 at 672. See also Blackstone, </w:t>
      </w:r>
      <w:r w:rsidRPr="003C5786">
        <w:rPr>
          <w:rFonts w:ascii="Times New Roman" w:hAnsi="Times New Roman"/>
          <w:i/>
          <w:iCs/>
          <w:sz w:val="24"/>
        </w:rPr>
        <w:t>Commentaries</w:t>
      </w:r>
      <w:r w:rsidRPr="003C5786">
        <w:rPr>
          <w:rFonts w:ascii="Times New Roman" w:hAnsi="Times New Roman"/>
          <w:sz w:val="24"/>
        </w:rPr>
        <w:t xml:space="preserve"> </w:t>
      </w:r>
      <w:r w:rsidRPr="003C5786">
        <w:rPr>
          <w:rFonts w:ascii="Times New Roman" w:hAnsi="Times New Roman"/>
          <w:i/>
          <w:iCs/>
          <w:sz w:val="24"/>
        </w:rPr>
        <w:t xml:space="preserve">on the Laws of England </w:t>
      </w:r>
      <w:r w:rsidRPr="003C5786">
        <w:rPr>
          <w:rFonts w:ascii="Times New Roman" w:hAnsi="Times New Roman"/>
          <w:sz w:val="24"/>
        </w:rPr>
        <w:t xml:space="preserve">(1769), bk 4, </w:t>
      </w:r>
      <w:proofErr w:type="spellStart"/>
      <w:r w:rsidRPr="003C5786">
        <w:rPr>
          <w:rFonts w:ascii="Times New Roman" w:hAnsi="Times New Roman"/>
          <w:sz w:val="24"/>
        </w:rPr>
        <w:t>ch</w:t>
      </w:r>
      <w:proofErr w:type="spellEnd"/>
      <w:r w:rsidRPr="003C5786">
        <w:rPr>
          <w:rFonts w:ascii="Times New Roman" w:hAnsi="Times New Roman"/>
          <w:sz w:val="24"/>
        </w:rPr>
        <w:t xml:space="preserve"> 18 at 248-249.</w:t>
      </w:r>
    </w:p>
  </w:footnote>
  <w:footnote w:id="389">
    <w:p w14:paraId="465A26E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ab/>
        <w:t xml:space="preserve">Feldman, "The King's Peace, the Royal Prerogative and Public Order" (1988) 47 </w:t>
      </w:r>
      <w:r w:rsidRPr="003C5786">
        <w:rPr>
          <w:rFonts w:ascii="Times New Roman" w:hAnsi="Times New Roman"/>
          <w:i/>
          <w:iCs/>
          <w:sz w:val="24"/>
        </w:rPr>
        <w:t xml:space="preserve">Cambridge Law Journal </w:t>
      </w:r>
      <w:r w:rsidRPr="003C5786">
        <w:rPr>
          <w:rFonts w:ascii="Times New Roman" w:hAnsi="Times New Roman"/>
          <w:sz w:val="24"/>
        </w:rPr>
        <w:t xml:space="preserve">101 at 102. See also Power, "'An Honour and Almost a Singular One': A Review of the Justices' Preventive Jurisdiction" (1981) 8 </w:t>
      </w:r>
      <w:r w:rsidRPr="003C5786">
        <w:rPr>
          <w:rFonts w:ascii="Times New Roman" w:hAnsi="Times New Roman"/>
          <w:i/>
          <w:iCs/>
          <w:sz w:val="24"/>
        </w:rPr>
        <w:t>Monash University Law Review</w:t>
      </w:r>
      <w:r w:rsidRPr="003C5786">
        <w:rPr>
          <w:rFonts w:ascii="Times New Roman" w:hAnsi="Times New Roman"/>
          <w:sz w:val="24"/>
        </w:rPr>
        <w:t xml:space="preserve"> 69 at 111. </w:t>
      </w:r>
    </w:p>
  </w:footnote>
  <w:footnote w:id="390">
    <w:p w14:paraId="0B932EA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Everett v Ribbands </w:t>
      </w:r>
      <w:r w:rsidRPr="003C5786">
        <w:rPr>
          <w:rFonts w:ascii="Times New Roman" w:hAnsi="Times New Roman"/>
          <w:sz w:val="24"/>
        </w:rPr>
        <w:t xml:space="preserve">[1952] 2 QB 198 at 206. </w:t>
      </w:r>
    </w:p>
  </w:footnote>
  <w:footnote w:id="391">
    <w:p w14:paraId="28729CF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i/>
          <w:iCs/>
          <w:sz w:val="24"/>
        </w:rPr>
        <w:tab/>
        <w:t xml:space="preserve">M v Germany </w:t>
      </w:r>
      <w:r w:rsidRPr="003C5786">
        <w:rPr>
          <w:rFonts w:ascii="Times New Roman" w:hAnsi="Times New Roman"/>
          <w:sz w:val="24"/>
        </w:rPr>
        <w:t xml:space="preserve">(2010) 51 EHRR 41 at 995 [74]. </w:t>
      </w:r>
    </w:p>
  </w:footnote>
  <w:footnote w:id="392">
    <w:p w14:paraId="4FFD25D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(1988) 165 CLR 611.</w:t>
      </w:r>
    </w:p>
  </w:footnote>
  <w:footnote w:id="393">
    <w:p w14:paraId="3DA2A9F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(1988) 165 CLR 611 at 618.</w:t>
      </w:r>
    </w:p>
  </w:footnote>
  <w:footnote w:id="394">
    <w:p w14:paraId="245E326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(1988) 165 CLR 611 at 619.</w:t>
      </w:r>
    </w:p>
  </w:footnote>
  <w:footnote w:id="395">
    <w:p w14:paraId="4CC1826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proofErr w:type="spellStart"/>
      <w:r w:rsidRPr="003C5786">
        <w:rPr>
          <w:rFonts w:ascii="Times New Roman" w:hAnsi="Times New Roman"/>
          <w:i/>
          <w:iCs/>
          <w:sz w:val="24"/>
        </w:rPr>
        <w:t>Behrooz</w:t>
      </w:r>
      <w:proofErr w:type="spellEnd"/>
      <w:r w:rsidRPr="003C5786">
        <w:rPr>
          <w:rFonts w:ascii="Times New Roman" w:hAnsi="Times New Roman"/>
          <w:i/>
          <w:iCs/>
          <w:sz w:val="24"/>
        </w:rPr>
        <w:t xml:space="preserve"> v Secretary, Department of Immigration and Multicultural and Indigenous Affairs </w:t>
      </w:r>
      <w:r w:rsidRPr="003C5786">
        <w:rPr>
          <w:rFonts w:ascii="Times New Roman" w:hAnsi="Times New Roman"/>
          <w:sz w:val="24"/>
        </w:rPr>
        <w:t xml:space="preserve">(2004) 219 CLR 486 at 499 [20]. See also </w:t>
      </w:r>
      <w:proofErr w:type="spellStart"/>
      <w:r w:rsidRPr="003C5786">
        <w:rPr>
          <w:rFonts w:ascii="Times New Roman" w:hAnsi="Times New Roman"/>
          <w:i/>
          <w:iCs/>
          <w:sz w:val="24"/>
        </w:rPr>
        <w:t>Falzon</w:t>
      </w:r>
      <w:proofErr w:type="spellEnd"/>
      <w:r w:rsidRPr="003C5786">
        <w:rPr>
          <w:rFonts w:ascii="Times New Roman" w:hAnsi="Times New Roman"/>
          <w:i/>
          <w:iCs/>
          <w:sz w:val="24"/>
        </w:rPr>
        <w:t xml:space="preserve"> v Minister for Immigration and Border Protection </w:t>
      </w:r>
      <w:r w:rsidRPr="003C5786">
        <w:rPr>
          <w:rFonts w:ascii="Times New Roman" w:hAnsi="Times New Roman"/>
          <w:sz w:val="24"/>
        </w:rPr>
        <w:t xml:space="preserve">(2018) 262 CLR 333 at 342 [24]. </w:t>
      </w:r>
    </w:p>
  </w:footnote>
  <w:footnote w:id="396">
    <w:p w14:paraId="36B5489E"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proofErr w:type="spellStart"/>
      <w:r w:rsidRPr="003C5786">
        <w:rPr>
          <w:rFonts w:ascii="Times New Roman" w:hAnsi="Times New Roman"/>
          <w:i/>
          <w:iCs/>
          <w:sz w:val="24"/>
        </w:rPr>
        <w:t>Falzon</w:t>
      </w:r>
      <w:proofErr w:type="spellEnd"/>
      <w:r w:rsidRPr="003C5786">
        <w:rPr>
          <w:rFonts w:ascii="Times New Roman" w:hAnsi="Times New Roman"/>
          <w:i/>
          <w:iCs/>
          <w:sz w:val="24"/>
        </w:rPr>
        <w:t xml:space="preserve"> v Minister for Immigration and Border Protection </w:t>
      </w:r>
      <w:r w:rsidRPr="003C5786">
        <w:rPr>
          <w:rFonts w:ascii="Times New Roman" w:hAnsi="Times New Roman"/>
          <w:sz w:val="24"/>
        </w:rPr>
        <w:t>(2018) 262 CLR 333 at 342 [24].</w:t>
      </w:r>
    </w:p>
  </w:footnote>
  <w:footnote w:id="397">
    <w:p w14:paraId="63AFB80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ab/>
        <w:t xml:space="preserve">Blackstone, </w:t>
      </w:r>
      <w:r w:rsidRPr="003C5786">
        <w:rPr>
          <w:rFonts w:ascii="Times New Roman" w:hAnsi="Times New Roman"/>
          <w:i/>
          <w:iCs/>
          <w:sz w:val="24"/>
        </w:rPr>
        <w:t>Commentaries</w:t>
      </w:r>
      <w:r w:rsidRPr="003C5786">
        <w:rPr>
          <w:rFonts w:ascii="Times New Roman" w:hAnsi="Times New Roman"/>
          <w:sz w:val="24"/>
        </w:rPr>
        <w:t xml:space="preserve"> </w:t>
      </w:r>
      <w:r w:rsidRPr="003C5786">
        <w:rPr>
          <w:rFonts w:ascii="Times New Roman" w:hAnsi="Times New Roman"/>
          <w:i/>
          <w:iCs/>
          <w:sz w:val="24"/>
        </w:rPr>
        <w:t xml:space="preserve">on the Laws of England </w:t>
      </w:r>
      <w:r w:rsidRPr="003C5786">
        <w:rPr>
          <w:rFonts w:ascii="Times New Roman" w:hAnsi="Times New Roman"/>
          <w:sz w:val="24"/>
        </w:rPr>
        <w:t xml:space="preserve">(1769), bk 4, </w:t>
      </w:r>
      <w:proofErr w:type="spellStart"/>
      <w:r w:rsidRPr="003C5786">
        <w:rPr>
          <w:rFonts w:ascii="Times New Roman" w:hAnsi="Times New Roman"/>
          <w:sz w:val="24"/>
        </w:rPr>
        <w:t>ch</w:t>
      </w:r>
      <w:proofErr w:type="spellEnd"/>
      <w:r w:rsidRPr="003C5786">
        <w:rPr>
          <w:rFonts w:ascii="Times New Roman" w:hAnsi="Times New Roman"/>
          <w:sz w:val="24"/>
        </w:rPr>
        <w:t xml:space="preserve"> 1 at 12. See also bk 4, </w:t>
      </w:r>
      <w:proofErr w:type="spellStart"/>
      <w:r w:rsidRPr="003C5786">
        <w:rPr>
          <w:rFonts w:ascii="Times New Roman" w:hAnsi="Times New Roman"/>
          <w:sz w:val="24"/>
        </w:rPr>
        <w:t>ch</w:t>
      </w:r>
      <w:proofErr w:type="spellEnd"/>
      <w:r w:rsidRPr="003C5786">
        <w:rPr>
          <w:rFonts w:ascii="Times New Roman" w:hAnsi="Times New Roman"/>
          <w:sz w:val="24"/>
        </w:rPr>
        <w:t xml:space="preserve"> 18 at 249.</w:t>
      </w:r>
    </w:p>
  </w:footnote>
  <w:footnote w:id="398">
    <w:p w14:paraId="6732D9B3"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(1965) 381 US 437 at 458.</w:t>
      </w:r>
    </w:p>
  </w:footnote>
  <w:footnote w:id="399">
    <w:p w14:paraId="24D691FA"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 ss 105A.5(2)(a), 105A.7(1)(a).</w:t>
      </w:r>
    </w:p>
  </w:footnote>
  <w:footnote w:id="400">
    <w:p w14:paraId="56AAF78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 xml:space="preserve">Chu Kheng </w:t>
      </w:r>
      <w:r w:rsidRPr="003C5786">
        <w:rPr>
          <w:rFonts w:ascii="Times New Roman" w:hAnsi="Times New Roman"/>
          <w:i/>
          <w:iCs/>
          <w:sz w:val="24"/>
        </w:rPr>
        <w:t>Lim v Minister for Immigration, Local Government and Ethnic Affairs</w:t>
      </w:r>
      <w:r w:rsidRPr="003C5786">
        <w:rPr>
          <w:rFonts w:ascii="Times New Roman" w:hAnsi="Times New Roman"/>
          <w:sz w:val="24"/>
        </w:rPr>
        <w:t xml:space="preserve"> (1992) 176 CLR 1 at 27.</w:t>
      </w:r>
    </w:p>
  </w:footnote>
  <w:footnote w:id="401">
    <w:p w14:paraId="77E658A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105A.23(1).</w:t>
      </w:r>
    </w:p>
  </w:footnote>
  <w:footnote w:id="402">
    <w:p w14:paraId="5AE49088"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 s 105A.4(2).</w:t>
      </w:r>
    </w:p>
  </w:footnote>
  <w:footnote w:id="403">
    <w:p w14:paraId="0D89875A"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Hart, </w:t>
      </w:r>
      <w:r w:rsidRPr="003C5786">
        <w:rPr>
          <w:rFonts w:ascii="Times New Roman" w:hAnsi="Times New Roman"/>
          <w:i/>
          <w:iCs/>
          <w:sz w:val="24"/>
        </w:rPr>
        <w:t xml:space="preserve">Punishment and Responsibility </w:t>
      </w:r>
      <w:r w:rsidRPr="003C5786">
        <w:rPr>
          <w:rFonts w:ascii="Times New Roman" w:hAnsi="Times New Roman"/>
          <w:sz w:val="24"/>
        </w:rPr>
        <w:t>(1968) at 4-5: (</w:t>
      </w:r>
      <w:proofErr w:type="spellStart"/>
      <w:r w:rsidRPr="003C5786">
        <w:rPr>
          <w:rFonts w:ascii="Times New Roman" w:hAnsi="Times New Roman"/>
          <w:sz w:val="24"/>
        </w:rPr>
        <w:t>i</w:t>
      </w:r>
      <w:proofErr w:type="spellEnd"/>
      <w:r w:rsidRPr="003C5786">
        <w:rPr>
          <w:rFonts w:ascii="Times New Roman" w:hAnsi="Times New Roman"/>
          <w:sz w:val="24"/>
        </w:rPr>
        <w:t xml:space="preserve">) it must involve pain or other consequences normally considered unpleasant; (ii) it must be for an offence against legal rules; (iii) it must be of an actual or supposed offender for their offence; (iv) it must be intentionally administered by human beings other than the offender; and (v) it must be imposed and administered by an authority constituted by a legal system against which the offence is committed. See also </w:t>
      </w:r>
      <w:r w:rsidRPr="003C5786">
        <w:rPr>
          <w:rFonts w:ascii="Times New Roman" w:hAnsi="Times New Roman"/>
          <w:i/>
          <w:iCs/>
          <w:sz w:val="24"/>
        </w:rPr>
        <w:t>Al-</w:t>
      </w:r>
      <w:proofErr w:type="spellStart"/>
      <w:r w:rsidRPr="003C5786">
        <w:rPr>
          <w:rFonts w:ascii="Times New Roman" w:hAnsi="Times New Roman"/>
          <w:i/>
          <w:sz w:val="24"/>
        </w:rPr>
        <w:t>Kateb</w:t>
      </w:r>
      <w:proofErr w:type="spellEnd"/>
      <w:r w:rsidRPr="003C5786">
        <w:rPr>
          <w:rFonts w:ascii="Times New Roman" w:hAnsi="Times New Roman"/>
          <w:i/>
          <w:sz w:val="24"/>
        </w:rPr>
        <w:t xml:space="preserve"> v Godwin </w:t>
      </w:r>
      <w:r w:rsidRPr="003C5786">
        <w:rPr>
          <w:rFonts w:ascii="Times New Roman" w:eastAsia="Times-Italic" w:hAnsi="Times New Roman"/>
          <w:sz w:val="24"/>
        </w:rPr>
        <w:t xml:space="preserve">(2004) 219 CLR 562 at 650 [265]; </w:t>
      </w:r>
      <w:proofErr w:type="spellStart"/>
      <w:r w:rsidRPr="003C5786">
        <w:rPr>
          <w:rFonts w:ascii="Times New Roman" w:hAnsi="Times New Roman"/>
          <w:i/>
          <w:iCs/>
          <w:sz w:val="24"/>
        </w:rPr>
        <w:t>Fardon</w:t>
      </w:r>
      <w:proofErr w:type="spellEnd"/>
      <w:r w:rsidRPr="003C5786">
        <w:rPr>
          <w:rFonts w:ascii="Times New Roman" w:hAnsi="Times New Roman"/>
          <w:i/>
          <w:iCs/>
          <w:sz w:val="24"/>
        </w:rPr>
        <w:t xml:space="preserve"> v Attorney</w:t>
      </w:r>
      <w:r w:rsidRPr="003C5786">
        <w:rPr>
          <w:rFonts w:ascii="Times New Roman" w:hAnsi="Times New Roman"/>
          <w:i/>
          <w:iCs/>
          <w:sz w:val="24"/>
        </w:rPr>
        <w:noBreakHyphen/>
        <w:t>General (Qld)</w:t>
      </w:r>
      <w:r w:rsidRPr="003C5786">
        <w:rPr>
          <w:rStyle w:val="FootnoteReference"/>
          <w:rFonts w:ascii="Times New Roman" w:hAnsi="Times New Roman"/>
          <w:sz w:val="22"/>
          <w:vertAlign w:val="baseline"/>
        </w:rPr>
        <w:t xml:space="preserve"> </w:t>
      </w:r>
      <w:r w:rsidRPr="003C5786">
        <w:rPr>
          <w:rFonts w:ascii="Times New Roman" w:hAnsi="Times New Roman"/>
          <w:sz w:val="24"/>
        </w:rPr>
        <w:t>(2004) 223 CLR 575</w:t>
      </w:r>
      <w:r w:rsidRPr="003C5786">
        <w:rPr>
          <w:rFonts w:ascii="Times New Roman" w:eastAsia="Times-Italic" w:hAnsi="Times New Roman"/>
          <w:i/>
          <w:iCs/>
          <w:sz w:val="24"/>
        </w:rPr>
        <w:t xml:space="preserve"> </w:t>
      </w:r>
      <w:r w:rsidRPr="003C5786">
        <w:rPr>
          <w:rFonts w:ascii="Times New Roman" w:eastAsia="Times-Italic" w:hAnsi="Times New Roman"/>
          <w:sz w:val="24"/>
        </w:rPr>
        <w:t xml:space="preserve">at 641 [174]; </w:t>
      </w:r>
      <w:r w:rsidRPr="003C5786">
        <w:rPr>
          <w:rFonts w:ascii="Times New Roman" w:eastAsia="Times-Italic" w:hAnsi="Times New Roman"/>
          <w:i/>
          <w:iCs/>
          <w:sz w:val="24"/>
        </w:rPr>
        <w:t xml:space="preserve">Minogue v Victoria </w:t>
      </w:r>
      <w:r w:rsidRPr="003C5786">
        <w:rPr>
          <w:rFonts w:ascii="Times New Roman" w:eastAsia="Times-Italic" w:hAnsi="Times New Roman"/>
          <w:sz w:val="24"/>
        </w:rPr>
        <w:t>(2019) 93 ALJR 1031 at 1042 [47]; 372 ALR 623 at 636-637.</w:t>
      </w:r>
    </w:p>
  </w:footnote>
  <w:footnote w:id="404">
    <w:p w14:paraId="701A4848"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 s 105A.3(1)(a).</w:t>
      </w:r>
    </w:p>
  </w:footnote>
  <w:footnote w:id="405">
    <w:p w14:paraId="3B53E20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 s 105A.3(1)(b).</w:t>
      </w:r>
    </w:p>
  </w:footnote>
  <w:footnote w:id="406">
    <w:p w14:paraId="1C12E15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 s 105A.7(1)(b).</w:t>
      </w:r>
    </w:p>
  </w:footnote>
  <w:footnote w:id="407">
    <w:p w14:paraId="1B5C76D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(1992) 176 CLR 1 at 26-27.</w:t>
      </w:r>
    </w:p>
  </w:footnote>
  <w:footnote w:id="408">
    <w:p w14:paraId="4546F51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R v Kirby; </w:t>
      </w:r>
      <w:r w:rsidRPr="003C5786">
        <w:rPr>
          <w:rFonts w:ascii="Times New Roman" w:hAnsi="Times New Roman"/>
          <w:i/>
          <w:sz w:val="24"/>
        </w:rPr>
        <w:t>E</w:t>
      </w:r>
      <w:r w:rsidRPr="003C5786">
        <w:rPr>
          <w:rFonts w:ascii="Times New Roman" w:hAnsi="Times New Roman"/>
          <w:i/>
          <w:iCs/>
          <w:sz w:val="24"/>
        </w:rPr>
        <w:t xml:space="preserve">x </w:t>
      </w:r>
      <w:proofErr w:type="spellStart"/>
      <w:r w:rsidRPr="003C5786">
        <w:rPr>
          <w:rFonts w:ascii="Times New Roman" w:hAnsi="Times New Roman"/>
          <w:i/>
          <w:iCs/>
          <w:sz w:val="24"/>
        </w:rPr>
        <w:t>parte</w:t>
      </w:r>
      <w:proofErr w:type="spellEnd"/>
      <w:r w:rsidRPr="003C5786">
        <w:rPr>
          <w:rFonts w:ascii="Times New Roman" w:hAnsi="Times New Roman"/>
          <w:i/>
          <w:sz w:val="24"/>
        </w:rPr>
        <w:t xml:space="preserve"> Boilermakers' Society of Australia </w:t>
      </w:r>
      <w:r w:rsidRPr="003C5786">
        <w:rPr>
          <w:rFonts w:ascii="Times New Roman" w:hAnsi="Times New Roman"/>
          <w:sz w:val="24"/>
        </w:rPr>
        <w:t>(1956) 94 CLR 254 at 270.</w:t>
      </w:r>
    </w:p>
  </w:footnote>
  <w:footnote w:id="409">
    <w:p w14:paraId="4E35199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(1992) 176 CLR 1 at 27, citing </w:t>
      </w:r>
      <w:proofErr w:type="spellStart"/>
      <w:r w:rsidRPr="003C5786">
        <w:rPr>
          <w:rFonts w:ascii="Times New Roman" w:hAnsi="Times New Roman"/>
          <w:i/>
          <w:iCs/>
          <w:sz w:val="24"/>
        </w:rPr>
        <w:t>Polyukhovich</w:t>
      </w:r>
      <w:proofErr w:type="spellEnd"/>
      <w:r w:rsidRPr="003C5786">
        <w:rPr>
          <w:rFonts w:ascii="Times New Roman" w:hAnsi="Times New Roman"/>
          <w:i/>
          <w:iCs/>
          <w:sz w:val="24"/>
        </w:rPr>
        <w:t xml:space="preserve"> v The Commonwealth</w:t>
      </w:r>
      <w:r w:rsidRPr="003C5786">
        <w:rPr>
          <w:rFonts w:ascii="Times New Roman" w:hAnsi="Times New Roman"/>
          <w:i/>
          <w:sz w:val="24"/>
        </w:rPr>
        <w:t xml:space="preserve"> </w:t>
      </w:r>
      <w:r w:rsidRPr="003C5786">
        <w:rPr>
          <w:rFonts w:ascii="Times New Roman" w:hAnsi="Times New Roman"/>
          <w:sz w:val="24"/>
        </w:rPr>
        <w:t>(1991) 172 CLR 501 at 607, 689, 703-704.</w:t>
      </w:r>
    </w:p>
  </w:footnote>
  <w:footnote w:id="410">
    <w:p w14:paraId="6622C1F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(1992) 176 CLR 1 at 27.</w:t>
      </w:r>
    </w:p>
  </w:footnote>
  <w:footnote w:id="411">
    <w:p w14:paraId="5E77147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(1992) 176 CLR 1 at 28.</w:t>
      </w:r>
    </w:p>
  </w:footnote>
  <w:footnote w:id="412">
    <w:p w14:paraId="1958F1E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Blackstone, </w:t>
      </w:r>
      <w:r w:rsidRPr="003C5786">
        <w:rPr>
          <w:rFonts w:ascii="Times New Roman" w:hAnsi="Times New Roman"/>
          <w:i/>
          <w:iCs/>
          <w:sz w:val="24"/>
        </w:rPr>
        <w:t>Commentaries</w:t>
      </w:r>
      <w:r w:rsidRPr="003C5786">
        <w:rPr>
          <w:rFonts w:ascii="Times New Roman" w:hAnsi="Times New Roman"/>
          <w:sz w:val="24"/>
        </w:rPr>
        <w:t xml:space="preserve"> </w:t>
      </w:r>
      <w:r w:rsidRPr="003C5786">
        <w:rPr>
          <w:rFonts w:ascii="Times New Roman" w:hAnsi="Times New Roman"/>
          <w:i/>
          <w:iCs/>
          <w:sz w:val="24"/>
        </w:rPr>
        <w:t>on the Laws of England</w:t>
      </w:r>
      <w:r w:rsidRPr="003C5786">
        <w:rPr>
          <w:rFonts w:ascii="Times New Roman" w:hAnsi="Times New Roman"/>
          <w:sz w:val="24"/>
        </w:rPr>
        <w:t xml:space="preserve"> (1769), bk 4, </w:t>
      </w:r>
      <w:proofErr w:type="spellStart"/>
      <w:r w:rsidRPr="003C5786">
        <w:rPr>
          <w:rFonts w:ascii="Times New Roman" w:hAnsi="Times New Roman"/>
          <w:sz w:val="24"/>
        </w:rPr>
        <w:t>ch</w:t>
      </w:r>
      <w:proofErr w:type="spellEnd"/>
      <w:r w:rsidRPr="003C5786">
        <w:rPr>
          <w:rFonts w:ascii="Times New Roman" w:hAnsi="Times New Roman"/>
          <w:sz w:val="24"/>
        </w:rPr>
        <w:t xml:space="preserve"> 22 at 294.</w:t>
      </w:r>
    </w:p>
  </w:footnote>
  <w:footnote w:id="413">
    <w:p w14:paraId="0443CD4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Waterside Workers' Federation of Australia v J W Alexander Ltd</w:t>
      </w:r>
      <w:r w:rsidRPr="003C5786">
        <w:rPr>
          <w:rFonts w:ascii="Times New Roman" w:hAnsi="Times New Roman"/>
          <w:sz w:val="24"/>
        </w:rPr>
        <w:t xml:space="preserve"> (1918) 25 CLR 434 at 444.</w:t>
      </w:r>
    </w:p>
  </w:footnote>
  <w:footnote w:id="414">
    <w:p w14:paraId="382711C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 xml:space="preserve">Nicholas v The Queen </w:t>
      </w:r>
      <w:r w:rsidRPr="003C5786">
        <w:rPr>
          <w:rFonts w:ascii="Times New Roman" w:hAnsi="Times New Roman"/>
          <w:sz w:val="24"/>
        </w:rPr>
        <w:t xml:space="preserve">(1998) 193 CLR 173 at 186 [16]; </w:t>
      </w:r>
      <w:proofErr w:type="spellStart"/>
      <w:r w:rsidRPr="003C5786">
        <w:rPr>
          <w:rFonts w:ascii="Times New Roman" w:hAnsi="Times New Roman"/>
          <w:i/>
          <w:iCs/>
          <w:sz w:val="24"/>
        </w:rPr>
        <w:t>Magaming</w:t>
      </w:r>
      <w:proofErr w:type="spellEnd"/>
      <w:r w:rsidRPr="003C5786">
        <w:rPr>
          <w:rFonts w:ascii="Times New Roman" w:hAnsi="Times New Roman"/>
          <w:i/>
          <w:iCs/>
          <w:sz w:val="24"/>
        </w:rPr>
        <w:t xml:space="preserve"> v The Queen</w:t>
      </w:r>
      <w:r w:rsidRPr="003C5786">
        <w:rPr>
          <w:rFonts w:ascii="Times New Roman" w:hAnsi="Times New Roman"/>
          <w:sz w:val="24"/>
        </w:rPr>
        <w:t xml:space="preserve"> (2013) 252 CLR 381 at 399-400 [61]</w:t>
      </w:r>
      <w:r w:rsidRPr="003C5786">
        <w:rPr>
          <w:rFonts w:ascii="Times New Roman" w:hAnsi="Times New Roman"/>
          <w:sz w:val="24"/>
        </w:rPr>
        <w:noBreakHyphen/>
        <w:t xml:space="preserve">[62]; </w:t>
      </w:r>
      <w:r w:rsidRPr="003C5786">
        <w:rPr>
          <w:rFonts w:ascii="Times New Roman" w:hAnsi="Times New Roman"/>
          <w:i/>
          <w:sz w:val="24"/>
        </w:rPr>
        <w:t xml:space="preserve">Duncan v New South Wales </w:t>
      </w:r>
      <w:r w:rsidRPr="003C5786">
        <w:rPr>
          <w:rFonts w:ascii="Times New Roman" w:hAnsi="Times New Roman"/>
          <w:sz w:val="24"/>
        </w:rPr>
        <w:t xml:space="preserve">(2015) 255 CLR 388 at 407 [41]; </w:t>
      </w:r>
      <w:proofErr w:type="spellStart"/>
      <w:r w:rsidRPr="003C5786">
        <w:rPr>
          <w:rFonts w:ascii="Times New Roman" w:hAnsi="Times New Roman"/>
          <w:i/>
          <w:sz w:val="24"/>
        </w:rPr>
        <w:t>Falzon</w:t>
      </w:r>
      <w:proofErr w:type="spellEnd"/>
      <w:r w:rsidRPr="003C5786">
        <w:rPr>
          <w:rFonts w:ascii="Times New Roman" w:hAnsi="Times New Roman"/>
          <w:i/>
          <w:sz w:val="24"/>
        </w:rPr>
        <w:t xml:space="preserve"> v Minister for Immigration and Border Protection </w:t>
      </w:r>
      <w:r w:rsidRPr="003C5786">
        <w:rPr>
          <w:rFonts w:ascii="Times New Roman" w:hAnsi="Times New Roman"/>
          <w:sz w:val="24"/>
        </w:rPr>
        <w:t xml:space="preserve">(2018) 262 CLR 333 at 340 [14]-[15], 357 [88]; </w:t>
      </w:r>
      <w:r w:rsidRPr="003C5786">
        <w:rPr>
          <w:rFonts w:ascii="Times New Roman" w:hAnsi="Times New Roman"/>
          <w:i/>
          <w:sz w:val="24"/>
        </w:rPr>
        <w:t xml:space="preserve">Minogue v Victoria </w:t>
      </w:r>
      <w:r w:rsidRPr="003C5786">
        <w:rPr>
          <w:rFonts w:ascii="Times New Roman" w:hAnsi="Times New Roman"/>
          <w:sz w:val="24"/>
        </w:rPr>
        <w:t xml:space="preserve">(2019) 93 ALJR 1031 at 1042 [48]; </w:t>
      </w:r>
      <w:r w:rsidRPr="003C5786">
        <w:rPr>
          <w:rFonts w:ascii="Times New Roman" w:eastAsia="Times-Italic" w:hAnsi="Times New Roman"/>
          <w:sz w:val="24"/>
        </w:rPr>
        <w:t xml:space="preserve">372 ALR 623 at 637; </w:t>
      </w:r>
      <w:r w:rsidRPr="003C5786">
        <w:rPr>
          <w:rFonts w:ascii="Times New Roman" w:hAnsi="Times New Roman"/>
          <w:i/>
          <w:sz w:val="24"/>
        </w:rPr>
        <w:t xml:space="preserve">Vella v Commissioner of Police (NSW) </w:t>
      </w:r>
      <w:r w:rsidRPr="003C5786">
        <w:rPr>
          <w:rFonts w:ascii="Times New Roman" w:hAnsi="Times New Roman"/>
          <w:sz w:val="24"/>
        </w:rPr>
        <w:t xml:space="preserve">(2019) 93 ALJR 1236 at 1270-1271 [152]; 374 ALR 1 at 43; </w:t>
      </w:r>
      <w:r w:rsidRPr="003C5786">
        <w:rPr>
          <w:rFonts w:ascii="Times New Roman" w:hAnsi="Times New Roman"/>
          <w:i/>
          <w:sz w:val="24"/>
        </w:rPr>
        <w:t xml:space="preserve">Private R v Cowen </w:t>
      </w:r>
      <w:r w:rsidRPr="003C5786">
        <w:rPr>
          <w:rFonts w:ascii="Times New Roman" w:hAnsi="Times New Roman"/>
          <w:sz w:val="24"/>
        </w:rPr>
        <w:t>(2020) 94 ALJR 849 at 888 [168]; 383 ALR 1 at 47.</w:t>
      </w:r>
    </w:p>
  </w:footnote>
  <w:footnote w:id="415">
    <w:p w14:paraId="4DE107B5"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(1992) 176 CLR 1 at 28-29.</w:t>
      </w:r>
    </w:p>
  </w:footnote>
  <w:footnote w:id="416">
    <w:p w14:paraId="4CF1887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(1992) 176 CLR 1 at 28-29.</w:t>
      </w:r>
    </w:p>
  </w:footnote>
  <w:footnote w:id="417">
    <w:p w14:paraId="690E062A"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Constitution</w:t>
      </w:r>
      <w:r w:rsidRPr="003C5786">
        <w:rPr>
          <w:rFonts w:ascii="Times New Roman" w:hAnsi="Times New Roman"/>
          <w:sz w:val="24"/>
        </w:rPr>
        <w:t>, s 49, discussed in</w:t>
      </w:r>
      <w:r w:rsidRPr="003C5786">
        <w:rPr>
          <w:rFonts w:ascii="Times New Roman" w:hAnsi="Times New Roman"/>
          <w:i/>
          <w:iCs/>
          <w:sz w:val="24"/>
        </w:rPr>
        <w:t xml:space="preserve"> R v Richards; Ex parte Fitzpatrick and Browne </w:t>
      </w:r>
      <w:r w:rsidRPr="003C5786">
        <w:rPr>
          <w:rFonts w:ascii="Times New Roman" w:hAnsi="Times New Roman"/>
          <w:sz w:val="24"/>
        </w:rPr>
        <w:t xml:space="preserve">(1955) 92 CLR 157 at 167. See also </w:t>
      </w:r>
      <w:bookmarkStart w:id="6" w:name="_Hlk61348403"/>
      <w:r w:rsidRPr="003C5786">
        <w:rPr>
          <w:rFonts w:ascii="Times New Roman" w:hAnsi="Times New Roman"/>
          <w:i/>
          <w:iCs/>
          <w:sz w:val="24"/>
        </w:rPr>
        <w:t xml:space="preserve">Burdett v Abbot </w:t>
      </w:r>
      <w:r w:rsidRPr="003C5786">
        <w:rPr>
          <w:rFonts w:ascii="Times New Roman" w:hAnsi="Times New Roman"/>
          <w:sz w:val="24"/>
        </w:rPr>
        <w:t xml:space="preserve">(1811) 14 East 1 at 159-160 [104 ER 501 </w:t>
      </w:r>
      <w:bookmarkEnd w:id="6"/>
      <w:r w:rsidRPr="003C5786">
        <w:rPr>
          <w:rFonts w:ascii="Times New Roman" w:hAnsi="Times New Roman"/>
          <w:sz w:val="24"/>
        </w:rPr>
        <w:t xml:space="preserve">at 561-562]; </w:t>
      </w:r>
      <w:r w:rsidRPr="003C5786">
        <w:rPr>
          <w:rFonts w:ascii="Times New Roman" w:hAnsi="Times New Roman"/>
          <w:i/>
          <w:iCs/>
          <w:sz w:val="24"/>
        </w:rPr>
        <w:t xml:space="preserve">Kielley v Carson </w:t>
      </w:r>
      <w:r w:rsidRPr="003C5786">
        <w:rPr>
          <w:rFonts w:ascii="Times New Roman" w:hAnsi="Times New Roman"/>
          <w:sz w:val="24"/>
        </w:rPr>
        <w:t>(1842) 4 Moo PC 63 at 89 [13 ER 225 at 235];</w:t>
      </w:r>
      <w:r w:rsidRPr="003C5786">
        <w:rPr>
          <w:rFonts w:ascii="Times New Roman" w:hAnsi="Times New Roman"/>
          <w:i/>
          <w:sz w:val="24"/>
        </w:rPr>
        <w:t xml:space="preserve"> </w:t>
      </w:r>
      <w:r w:rsidRPr="003C5786">
        <w:rPr>
          <w:rFonts w:ascii="Times New Roman" w:hAnsi="Times New Roman"/>
          <w:sz w:val="24"/>
        </w:rPr>
        <w:t>Gordon, "Imprisonment and the Separation of Judicial Power: A Defence of a Categorical Immunity from Non</w:t>
      </w:r>
      <w:r w:rsidRPr="003C5786">
        <w:rPr>
          <w:rFonts w:ascii="Times New Roman" w:hAnsi="Times New Roman"/>
          <w:sz w:val="24"/>
        </w:rPr>
        <w:noBreakHyphen/>
        <w:t xml:space="preserve">Criminal Detention" (2012) 36 </w:t>
      </w:r>
      <w:r w:rsidRPr="003C5786">
        <w:rPr>
          <w:rFonts w:ascii="Times New Roman" w:hAnsi="Times New Roman"/>
          <w:i/>
          <w:sz w:val="24"/>
        </w:rPr>
        <w:t>Melbourne University Law Review</w:t>
      </w:r>
      <w:r w:rsidRPr="003C5786">
        <w:rPr>
          <w:rFonts w:ascii="Times New Roman" w:hAnsi="Times New Roman"/>
          <w:sz w:val="24"/>
        </w:rPr>
        <w:t xml:space="preserve"> 41 at 85-86.</w:t>
      </w:r>
    </w:p>
  </w:footnote>
  <w:footnote w:id="418">
    <w:p w14:paraId="5A0F6288" w14:textId="77777777" w:rsidR="00CE4181" w:rsidRPr="003C5786" w:rsidRDefault="00CE4181" w:rsidP="003C5786">
      <w:pPr>
        <w:pStyle w:val="FootnoteText"/>
        <w:spacing w:line="280" w:lineRule="exact"/>
        <w:ind w:right="0"/>
        <w:jc w:val="both"/>
        <w:rPr>
          <w:rFonts w:ascii="Times New Roman" w:hAnsi="Times New Roman"/>
          <w:i/>
          <w:iCs/>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Private R v Cowen </w:t>
      </w:r>
      <w:r w:rsidRPr="003C5786">
        <w:rPr>
          <w:rFonts w:ascii="Times New Roman" w:hAnsi="Times New Roman"/>
          <w:iCs/>
          <w:sz w:val="24"/>
        </w:rPr>
        <w:t>(2020) 94 ALJR 849 at 887-889 [163]</w:t>
      </w:r>
      <w:r w:rsidRPr="003C5786">
        <w:rPr>
          <w:rFonts w:ascii="Times New Roman" w:hAnsi="Times New Roman"/>
          <w:iCs/>
          <w:sz w:val="24"/>
        </w:rPr>
        <w:noBreakHyphen/>
        <w:t xml:space="preserve">[170]; 383 ALR 1 </w:t>
      </w:r>
      <w:r w:rsidRPr="003C5786">
        <w:rPr>
          <w:rFonts w:ascii="Times New Roman" w:hAnsi="Times New Roman"/>
          <w:sz w:val="24"/>
        </w:rPr>
        <w:t>at 45</w:t>
      </w:r>
      <w:r w:rsidRPr="003C5786">
        <w:rPr>
          <w:rFonts w:ascii="Times New Roman" w:hAnsi="Times New Roman"/>
          <w:sz w:val="24"/>
        </w:rPr>
        <w:noBreakHyphen/>
        <w:t xml:space="preserve">48. </w:t>
      </w:r>
    </w:p>
  </w:footnote>
  <w:footnote w:id="419">
    <w:p w14:paraId="1B43DD1E"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(2018) 262 CLR 333 at 340 [15]. See also </w:t>
      </w:r>
      <w:r w:rsidRPr="003C5786">
        <w:rPr>
          <w:rFonts w:ascii="Times New Roman" w:hAnsi="Times New Roman"/>
          <w:i/>
          <w:sz w:val="24"/>
        </w:rPr>
        <w:t>Waterside Workers' Federation of Australia v J W Alexander Ltd</w:t>
      </w:r>
      <w:r w:rsidRPr="003C5786">
        <w:rPr>
          <w:rFonts w:ascii="Times New Roman" w:hAnsi="Times New Roman"/>
          <w:sz w:val="24"/>
        </w:rPr>
        <w:t xml:space="preserve"> (1918) 25 CLR 434 at 444; </w:t>
      </w:r>
      <w:r w:rsidRPr="003C5786">
        <w:rPr>
          <w:rFonts w:ascii="Times New Roman" w:hAnsi="Times New Roman"/>
          <w:i/>
          <w:sz w:val="24"/>
        </w:rPr>
        <w:t>Re Tracey; Ex parte Ryan</w:t>
      </w:r>
      <w:r w:rsidRPr="003C5786">
        <w:rPr>
          <w:rFonts w:ascii="Times New Roman" w:hAnsi="Times New Roman"/>
          <w:sz w:val="24"/>
        </w:rPr>
        <w:t xml:space="preserve"> (1989) 166 CLR 518 at 580.</w:t>
      </w:r>
    </w:p>
  </w:footnote>
  <w:footnote w:id="420">
    <w:p w14:paraId="158675F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(1992) 176 CLR 1 at 33.</w:t>
      </w:r>
    </w:p>
  </w:footnote>
  <w:footnote w:id="421">
    <w:p w14:paraId="6268ECD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(2019) 93 ALJR 1236; 374 ALR 1.</w:t>
      </w:r>
    </w:p>
  </w:footnote>
  <w:footnote w:id="422">
    <w:p w14:paraId="6E53831E"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(2019) 93 ALJR 1236 at 1256 [78]; 374 ALR 1 at 24. See also </w:t>
      </w:r>
      <w:r w:rsidRPr="003C5786">
        <w:rPr>
          <w:rFonts w:ascii="Times New Roman" w:hAnsi="Times New Roman"/>
          <w:i/>
          <w:iCs/>
          <w:sz w:val="24"/>
        </w:rPr>
        <w:t>Fardon v Attorney</w:t>
      </w:r>
      <w:r w:rsidRPr="003C5786">
        <w:rPr>
          <w:rFonts w:ascii="Times New Roman" w:hAnsi="Times New Roman"/>
          <w:i/>
          <w:iCs/>
          <w:sz w:val="24"/>
        </w:rPr>
        <w:noBreakHyphen/>
        <w:t>General (Qld)</w:t>
      </w:r>
      <w:r w:rsidRPr="003C5786">
        <w:rPr>
          <w:rFonts w:ascii="Times New Roman" w:hAnsi="Times New Roman"/>
          <w:sz w:val="24"/>
        </w:rPr>
        <w:t xml:space="preserve"> (2004) 223 CLR 575 at 610 [74]. And compare, eg, </w:t>
      </w:r>
      <w:r w:rsidRPr="003C5786">
        <w:rPr>
          <w:rFonts w:ascii="Times New Roman" w:hAnsi="Times New Roman"/>
          <w:i/>
          <w:sz w:val="24"/>
        </w:rPr>
        <w:t xml:space="preserve">Gray v Motor Accident Commission </w:t>
      </w:r>
      <w:r w:rsidRPr="003C5786">
        <w:rPr>
          <w:rFonts w:ascii="Times New Roman" w:hAnsi="Times New Roman"/>
          <w:sz w:val="24"/>
        </w:rPr>
        <w:t>(1998) 196 CLR 1 at 14 [42]-[43].</w:t>
      </w:r>
    </w:p>
  </w:footnote>
  <w:footnote w:id="423">
    <w:p w14:paraId="14DA15E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Compare the majority and minority decisions in </w:t>
      </w:r>
      <w:r w:rsidRPr="003C5786">
        <w:rPr>
          <w:rFonts w:ascii="Times New Roman" w:hAnsi="Times New Roman"/>
          <w:i/>
          <w:iCs/>
          <w:sz w:val="24"/>
        </w:rPr>
        <w:t xml:space="preserve">United States v Salerno </w:t>
      </w:r>
      <w:r w:rsidRPr="003C5786">
        <w:rPr>
          <w:rFonts w:ascii="Times New Roman" w:hAnsi="Times New Roman"/>
          <w:sz w:val="24"/>
        </w:rPr>
        <w:t>(1987) 481 US 739.</w:t>
      </w:r>
    </w:p>
  </w:footnote>
  <w:footnote w:id="424">
    <w:p w14:paraId="0D86158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 xml:space="preserve">Chu Kheng </w:t>
      </w:r>
      <w:r w:rsidRPr="003C5786">
        <w:rPr>
          <w:rFonts w:ascii="Times New Roman" w:hAnsi="Times New Roman"/>
          <w:i/>
          <w:iCs/>
          <w:sz w:val="24"/>
        </w:rPr>
        <w:t>Lim v Minister for Immigration, Local Government and Ethnic Affairs</w:t>
      </w:r>
      <w:r w:rsidRPr="003C5786">
        <w:rPr>
          <w:rFonts w:ascii="Times New Roman" w:hAnsi="Times New Roman"/>
          <w:sz w:val="24"/>
        </w:rPr>
        <w:t xml:space="preserve"> (1992) 176 CLR 1 at 28.</w:t>
      </w:r>
    </w:p>
  </w:footnote>
  <w:footnote w:id="425">
    <w:p w14:paraId="6BF3DB9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cf at 654 [217].</w:t>
      </w:r>
    </w:p>
  </w:footnote>
  <w:footnote w:id="426">
    <w:p w14:paraId="053D098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United States v Chandler </w:t>
      </w:r>
      <w:r w:rsidRPr="003C5786">
        <w:rPr>
          <w:rFonts w:ascii="Times New Roman" w:hAnsi="Times New Roman"/>
          <w:sz w:val="24"/>
        </w:rPr>
        <w:t xml:space="preserve">(1968) 393 F 2d 920 at 929. </w:t>
      </w:r>
    </w:p>
  </w:footnote>
  <w:footnote w:id="427">
    <w:p w14:paraId="11A249E5"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589 [11].</w:t>
      </w:r>
    </w:p>
  </w:footnote>
  <w:footnote w:id="428">
    <w:p w14:paraId="19F99A3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647 [196].</w:t>
      </w:r>
    </w:p>
  </w:footnote>
  <w:footnote w:id="429">
    <w:p w14:paraId="179E7A3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578.</w:t>
      </w:r>
    </w:p>
  </w:footnote>
  <w:footnote w:id="430">
    <w:p w14:paraId="35C34CF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610 [74].</w:t>
      </w:r>
    </w:p>
  </w:footnote>
  <w:footnote w:id="431">
    <w:p w14:paraId="206CC0C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See [</w:t>
      </w:r>
      <w:r>
        <w:rPr>
          <w:rFonts w:ascii="Times New Roman" w:hAnsi="Times New Roman"/>
          <w:sz w:val="24"/>
        </w:rPr>
        <w:t>212</w:t>
      </w:r>
      <w:r w:rsidRPr="003C5786">
        <w:rPr>
          <w:rFonts w:ascii="Times New Roman" w:hAnsi="Times New Roman"/>
          <w:sz w:val="24"/>
        </w:rPr>
        <w:t xml:space="preserve">] above. </w:t>
      </w:r>
    </w:p>
  </w:footnote>
  <w:footnote w:id="432">
    <w:p w14:paraId="072B6CD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611 [77], 612-613 [81]-[82].</w:t>
      </w:r>
    </w:p>
  </w:footnote>
  <w:footnote w:id="433">
    <w:p w14:paraId="27FBBEA3"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Kansas v Hendricks </w:t>
      </w:r>
      <w:r w:rsidRPr="003C5786">
        <w:rPr>
          <w:rFonts w:ascii="Times New Roman" w:hAnsi="Times New Roman"/>
          <w:sz w:val="24"/>
        </w:rPr>
        <w:t xml:space="preserve">(1997) 521 US 346. </w:t>
      </w:r>
    </w:p>
  </w:footnote>
  <w:footnote w:id="434">
    <w:p w14:paraId="7FCD4C1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612</w:t>
      </w:r>
      <w:r w:rsidRPr="003C5786">
        <w:rPr>
          <w:rFonts w:ascii="Times New Roman" w:hAnsi="Times New Roman"/>
          <w:sz w:val="24"/>
        </w:rPr>
        <w:noBreakHyphen/>
        <w:t>613 [81]-[82].</w:t>
      </w:r>
    </w:p>
  </w:footnote>
  <w:footnote w:id="435">
    <w:p w14:paraId="01EC857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631 [147], 644 [185].</w:t>
      </w:r>
    </w:p>
  </w:footnote>
  <w:footnote w:id="436">
    <w:p w14:paraId="69C8025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(2004) 223 CLR 575 at 597 [34] (emphasis added). See Queensland, Legislative Assembly, </w:t>
      </w:r>
      <w:r w:rsidRPr="003C5786">
        <w:rPr>
          <w:rFonts w:ascii="Times New Roman" w:hAnsi="Times New Roman"/>
          <w:i/>
          <w:iCs/>
          <w:sz w:val="24"/>
        </w:rPr>
        <w:t xml:space="preserve">Parliamentary Debates </w:t>
      </w:r>
      <w:r w:rsidRPr="003C5786">
        <w:rPr>
          <w:rFonts w:ascii="Times New Roman" w:hAnsi="Times New Roman"/>
          <w:sz w:val="24"/>
        </w:rPr>
        <w:t xml:space="preserve">(Hansard), 3 June 2003 at 2484. </w:t>
      </w:r>
    </w:p>
  </w:footnote>
  <w:footnote w:id="437">
    <w:p w14:paraId="390F7A1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(1996) 189 CLR 51 at 122. </w:t>
      </w:r>
    </w:p>
  </w:footnote>
  <w:footnote w:id="438">
    <w:p w14:paraId="21CC6A3A"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612 [79]-[80].</w:t>
      </w:r>
    </w:p>
  </w:footnote>
  <w:footnote w:id="439">
    <w:p w14:paraId="3A13F5A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Gerner v Victoria </w:t>
      </w:r>
      <w:r w:rsidRPr="003C5786">
        <w:rPr>
          <w:rFonts w:ascii="Times New Roman" w:hAnsi="Times New Roman"/>
          <w:sz w:val="24"/>
        </w:rPr>
        <w:t>(2020) 95 ALJR 107 at 111 [14].</w:t>
      </w:r>
    </w:p>
  </w:footnote>
  <w:footnote w:id="440">
    <w:p w14:paraId="2AC5006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Kruger v The Commonwealth </w:t>
      </w:r>
      <w:r w:rsidRPr="003C5786">
        <w:rPr>
          <w:rFonts w:ascii="Times New Roman" w:hAnsi="Times New Roman"/>
          <w:sz w:val="24"/>
        </w:rPr>
        <w:t xml:space="preserve">(1997) 190 CLR 1 at 110. See also </w:t>
      </w:r>
      <w:r w:rsidRPr="003C5786">
        <w:rPr>
          <w:rFonts w:ascii="Times New Roman" w:hAnsi="Times New Roman"/>
          <w:i/>
          <w:iCs/>
          <w:sz w:val="24"/>
        </w:rPr>
        <w:t xml:space="preserve">Behrooz v Secretary, Department of Immigration and Multicultural and Indigenous Affairs </w:t>
      </w:r>
      <w:r w:rsidRPr="003C5786">
        <w:rPr>
          <w:rFonts w:ascii="Times New Roman" w:hAnsi="Times New Roman"/>
          <w:sz w:val="24"/>
        </w:rPr>
        <w:t>(2004) 219 CLR 486 at 499 [20].</w:t>
      </w:r>
    </w:p>
  </w:footnote>
  <w:footnote w:id="441">
    <w:p w14:paraId="62AD7AB5"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also the legislation referred to in </w:t>
      </w:r>
      <w:r w:rsidRPr="003C5786">
        <w:rPr>
          <w:rFonts w:ascii="Times New Roman" w:hAnsi="Times New Roman"/>
          <w:i/>
          <w:iCs/>
          <w:sz w:val="24"/>
        </w:rPr>
        <w:t xml:space="preserve">Fardon v Attorney-General (Qld) </w:t>
      </w:r>
      <w:r w:rsidRPr="003C5786">
        <w:rPr>
          <w:rFonts w:ascii="Times New Roman" w:hAnsi="Times New Roman"/>
          <w:sz w:val="24"/>
        </w:rPr>
        <w:t>(2004) 223 CLR 575 at 654 [217].</w:t>
      </w:r>
    </w:p>
  </w:footnote>
  <w:footnote w:id="442">
    <w:p w14:paraId="3449654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sz w:val="24"/>
        </w:rPr>
        <w:t xml:space="preserve">Williamson v Brown </w:t>
      </w:r>
      <w:r w:rsidRPr="003C5786">
        <w:rPr>
          <w:rFonts w:ascii="Times New Roman" w:hAnsi="Times New Roman"/>
          <w:sz w:val="24"/>
        </w:rPr>
        <w:t xml:space="preserve">(1914) 18 CLR 433, considering s 6 of the </w:t>
      </w:r>
      <w:r w:rsidRPr="003C5786">
        <w:rPr>
          <w:rFonts w:ascii="Times New Roman" w:hAnsi="Times New Roman"/>
          <w:i/>
          <w:sz w:val="24"/>
        </w:rPr>
        <w:t xml:space="preserve">Lunacy Act 1898 </w:t>
      </w:r>
      <w:r w:rsidRPr="003C5786">
        <w:rPr>
          <w:rFonts w:ascii="Times New Roman" w:hAnsi="Times New Roman"/>
          <w:sz w:val="24"/>
        </w:rPr>
        <w:t xml:space="preserve">(NSW). See also </w:t>
      </w:r>
      <w:r w:rsidRPr="003C5786">
        <w:rPr>
          <w:rFonts w:ascii="Times New Roman" w:hAnsi="Times New Roman"/>
          <w:i/>
          <w:iCs/>
          <w:sz w:val="24"/>
        </w:rPr>
        <w:t xml:space="preserve">Lunacy Act 1890 </w:t>
      </w:r>
      <w:r w:rsidRPr="003C5786">
        <w:rPr>
          <w:rFonts w:ascii="Times New Roman" w:hAnsi="Times New Roman"/>
          <w:sz w:val="24"/>
        </w:rPr>
        <w:t xml:space="preserve">(Vic) (54 Vict No 1113), ss 4, 9; </w:t>
      </w:r>
      <w:r w:rsidRPr="003C5786">
        <w:rPr>
          <w:rFonts w:ascii="Times New Roman" w:hAnsi="Times New Roman"/>
          <w:i/>
          <w:sz w:val="24"/>
        </w:rPr>
        <w:t xml:space="preserve">The Lunatics Act 1865-6 </w:t>
      </w:r>
      <w:r w:rsidRPr="003C5786">
        <w:rPr>
          <w:rFonts w:ascii="Times New Roman" w:hAnsi="Times New Roman"/>
          <w:sz w:val="24"/>
        </w:rPr>
        <w:t xml:space="preserve">(SA) (29 Vict No 19), ss 6, 7; </w:t>
      </w:r>
      <w:r w:rsidRPr="003C5786">
        <w:rPr>
          <w:rFonts w:ascii="Times New Roman" w:hAnsi="Times New Roman"/>
          <w:i/>
          <w:sz w:val="24"/>
        </w:rPr>
        <w:t xml:space="preserve">The Lunacy Act 1871 </w:t>
      </w:r>
      <w:r w:rsidRPr="003C5786">
        <w:rPr>
          <w:rFonts w:ascii="Times New Roman" w:hAnsi="Times New Roman"/>
          <w:sz w:val="24"/>
        </w:rPr>
        <w:t xml:space="preserve">(WA) (34 Vict No 9), ss 11, 12, 38; </w:t>
      </w:r>
      <w:r w:rsidRPr="003C5786">
        <w:rPr>
          <w:rFonts w:ascii="Times New Roman" w:hAnsi="Times New Roman"/>
          <w:i/>
          <w:sz w:val="24"/>
        </w:rPr>
        <w:t xml:space="preserve">The Insane Persons' Hospitals Act 1858 </w:t>
      </w:r>
      <w:r w:rsidRPr="003C5786">
        <w:rPr>
          <w:rFonts w:ascii="Times New Roman" w:hAnsi="Times New Roman"/>
          <w:sz w:val="24"/>
        </w:rPr>
        <w:t>(Tas) (22 Vict No 23), s 13.</w:t>
      </w:r>
    </w:p>
  </w:footnote>
  <w:footnote w:id="443">
    <w:p w14:paraId="7EBFCB8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iCs/>
          <w:sz w:val="24"/>
        </w:rPr>
        <w:t xml:space="preserve">Extradition Act 1988 </w:t>
      </w:r>
      <w:r w:rsidRPr="003C5786">
        <w:rPr>
          <w:rFonts w:ascii="Times New Roman" w:hAnsi="Times New Roman"/>
          <w:sz w:val="24"/>
        </w:rPr>
        <w:t xml:space="preserve">(Cth), ss 12, 15. See, earlier, </w:t>
      </w:r>
      <w:r w:rsidRPr="003C5786">
        <w:rPr>
          <w:rFonts w:ascii="Times New Roman" w:hAnsi="Times New Roman"/>
          <w:i/>
          <w:sz w:val="24"/>
        </w:rPr>
        <w:t xml:space="preserve">The </w:t>
      </w:r>
      <w:bookmarkStart w:id="7" w:name="_Hlk62218176"/>
      <w:r w:rsidRPr="003C5786">
        <w:rPr>
          <w:rFonts w:ascii="Times New Roman" w:hAnsi="Times New Roman"/>
          <w:i/>
          <w:sz w:val="24"/>
        </w:rPr>
        <w:t xml:space="preserve">Extradition Act 1870 </w:t>
      </w:r>
      <w:r w:rsidRPr="003C5786">
        <w:rPr>
          <w:rFonts w:ascii="Times New Roman" w:hAnsi="Times New Roman"/>
          <w:sz w:val="24"/>
        </w:rPr>
        <w:t xml:space="preserve">(Imp) (33 &amp; 34 Vict c 52), ss 8, 10; </w:t>
      </w:r>
      <w:r w:rsidRPr="003C5786">
        <w:rPr>
          <w:rFonts w:ascii="Times New Roman" w:hAnsi="Times New Roman"/>
          <w:i/>
          <w:sz w:val="24"/>
        </w:rPr>
        <w:t xml:space="preserve">Extradition (Foreign States) Act 1966 </w:t>
      </w:r>
      <w:r w:rsidRPr="003C5786">
        <w:rPr>
          <w:rFonts w:ascii="Times New Roman" w:hAnsi="Times New Roman"/>
          <w:sz w:val="24"/>
        </w:rPr>
        <w:t>(Cth), ss 16, 17.</w:t>
      </w:r>
      <w:bookmarkEnd w:id="7"/>
    </w:p>
  </w:footnote>
  <w:footnote w:id="444">
    <w:p w14:paraId="1EEFFFB8"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Blackstone, </w:t>
      </w:r>
      <w:r w:rsidRPr="003C5786">
        <w:rPr>
          <w:rFonts w:ascii="Times New Roman" w:hAnsi="Times New Roman"/>
          <w:i/>
          <w:iCs/>
          <w:sz w:val="24"/>
        </w:rPr>
        <w:t>Commentaries</w:t>
      </w:r>
      <w:r w:rsidRPr="003C5786">
        <w:rPr>
          <w:rFonts w:ascii="Times New Roman" w:hAnsi="Times New Roman"/>
          <w:sz w:val="24"/>
        </w:rPr>
        <w:t xml:space="preserve"> </w:t>
      </w:r>
      <w:r w:rsidRPr="003C5786">
        <w:rPr>
          <w:rFonts w:ascii="Times New Roman" w:hAnsi="Times New Roman"/>
          <w:i/>
          <w:iCs/>
          <w:sz w:val="24"/>
        </w:rPr>
        <w:t>on the Laws of England</w:t>
      </w:r>
      <w:r w:rsidRPr="003C5786">
        <w:rPr>
          <w:rFonts w:ascii="Times New Roman" w:hAnsi="Times New Roman"/>
          <w:sz w:val="24"/>
        </w:rPr>
        <w:t xml:space="preserve"> (1769), bk 4, ch 22 at 293-294. </w:t>
      </w:r>
    </w:p>
  </w:footnote>
  <w:footnote w:id="445">
    <w:p w14:paraId="7831EB1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Judgment Creditors' Remedies Act 1901 </w:t>
      </w:r>
      <w:r w:rsidRPr="003C5786">
        <w:rPr>
          <w:rFonts w:ascii="Times New Roman" w:hAnsi="Times New Roman"/>
          <w:sz w:val="24"/>
        </w:rPr>
        <w:t>(NSW), ss 19-22;</w:t>
      </w:r>
      <w:r w:rsidRPr="003C5786">
        <w:rPr>
          <w:rFonts w:ascii="Times New Roman" w:hAnsi="Times New Roman"/>
          <w:i/>
          <w:iCs/>
          <w:sz w:val="24"/>
        </w:rPr>
        <w:t xml:space="preserve"> The Debtors Act 1870 </w:t>
      </w:r>
      <w:r w:rsidRPr="003C5786">
        <w:rPr>
          <w:rFonts w:ascii="Times New Roman" w:hAnsi="Times New Roman"/>
          <w:sz w:val="24"/>
        </w:rPr>
        <w:t xml:space="preserve">(Tas) (34 Vict No 33), s 4. See also </w:t>
      </w:r>
      <w:r w:rsidRPr="003C5786">
        <w:rPr>
          <w:rFonts w:ascii="Times New Roman" w:hAnsi="Times New Roman"/>
          <w:i/>
          <w:sz w:val="24"/>
        </w:rPr>
        <w:t>R v Wallace; Ex parte O'Keefe</w:t>
      </w:r>
      <w:r w:rsidRPr="003C5786">
        <w:rPr>
          <w:rFonts w:ascii="Times New Roman" w:hAnsi="Times New Roman"/>
          <w:sz w:val="24"/>
        </w:rPr>
        <w:t xml:space="preserve"> [1918] VLR 285, considering the </w:t>
      </w:r>
      <w:r w:rsidRPr="003C5786">
        <w:rPr>
          <w:rFonts w:ascii="Times New Roman" w:hAnsi="Times New Roman"/>
          <w:i/>
          <w:sz w:val="24"/>
        </w:rPr>
        <w:t xml:space="preserve">Imprisonment of Fraudulent Debtors Act 1915 </w:t>
      </w:r>
      <w:r w:rsidRPr="003C5786">
        <w:rPr>
          <w:rFonts w:ascii="Times New Roman" w:hAnsi="Times New Roman"/>
          <w:sz w:val="24"/>
        </w:rPr>
        <w:t>(Vic).</w:t>
      </w:r>
    </w:p>
  </w:footnote>
  <w:footnote w:id="446">
    <w:p w14:paraId="2E15BD5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i/>
          <w:iCs/>
          <w:sz w:val="24"/>
        </w:rPr>
        <w:tab/>
        <w:t xml:space="preserve">Inebriates Act 1900 </w:t>
      </w:r>
      <w:r w:rsidRPr="003C5786">
        <w:rPr>
          <w:rFonts w:ascii="Times New Roman" w:hAnsi="Times New Roman"/>
          <w:sz w:val="24"/>
        </w:rPr>
        <w:t xml:space="preserve">(NSW), s 1; </w:t>
      </w:r>
      <w:r w:rsidRPr="003C5786">
        <w:rPr>
          <w:rFonts w:ascii="Times New Roman" w:hAnsi="Times New Roman"/>
          <w:i/>
          <w:iCs/>
          <w:sz w:val="24"/>
        </w:rPr>
        <w:t xml:space="preserve">Inebriates Act 1890 </w:t>
      </w:r>
      <w:r w:rsidRPr="003C5786">
        <w:rPr>
          <w:rFonts w:ascii="Times New Roman" w:hAnsi="Times New Roman"/>
          <w:sz w:val="24"/>
        </w:rPr>
        <w:t xml:space="preserve">(Vic) (54 Vict No 1101), ss 8, 9. See also </w:t>
      </w:r>
      <w:r w:rsidRPr="003C5786">
        <w:rPr>
          <w:rFonts w:ascii="Times New Roman" w:hAnsi="Times New Roman"/>
          <w:i/>
          <w:sz w:val="24"/>
        </w:rPr>
        <w:t xml:space="preserve">Fardon v Attorney-General (Qld) </w:t>
      </w:r>
      <w:r w:rsidRPr="003C5786">
        <w:rPr>
          <w:rFonts w:ascii="Times New Roman" w:hAnsi="Times New Roman"/>
          <w:sz w:val="24"/>
        </w:rPr>
        <w:t>(2004) 223 CLR 575 at 590 [13].</w:t>
      </w:r>
    </w:p>
  </w:footnote>
  <w:footnote w:id="447">
    <w:p w14:paraId="130E35C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Huddart, Parker &amp; Co Pty Ltd v Moorehead</w:t>
      </w:r>
      <w:r w:rsidRPr="003C5786">
        <w:rPr>
          <w:rFonts w:ascii="Times New Roman" w:hAnsi="Times New Roman"/>
          <w:sz w:val="24"/>
        </w:rPr>
        <w:t xml:space="preserve"> (1909) 8 CLR 330 at 357.</w:t>
      </w:r>
    </w:p>
  </w:footnote>
  <w:footnote w:id="448">
    <w:p w14:paraId="23321ED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 xml:space="preserve">R v Trade Practices Tribunal; Ex parte Tasmanian Breweries Pty Ltd </w:t>
      </w:r>
      <w:r w:rsidRPr="003C5786">
        <w:rPr>
          <w:rFonts w:ascii="Times New Roman" w:hAnsi="Times New Roman"/>
          <w:sz w:val="24"/>
        </w:rPr>
        <w:t xml:space="preserve">(1970) 123 CLR 361 at 374, quoted in </w:t>
      </w:r>
      <w:r w:rsidRPr="003C5786">
        <w:rPr>
          <w:rFonts w:ascii="Times New Roman" w:hAnsi="Times New Roman"/>
          <w:i/>
          <w:sz w:val="24"/>
        </w:rPr>
        <w:t>R v Ludeke; Ex parte Australian Building Construction Employees' and Builders</w:t>
      </w:r>
      <w:r w:rsidRPr="003C5786">
        <w:rPr>
          <w:rFonts w:ascii="Times New Roman" w:hAnsi="Times New Roman"/>
          <w:i/>
          <w:iCs/>
          <w:sz w:val="24"/>
        </w:rPr>
        <w:t xml:space="preserve"> </w:t>
      </w:r>
      <w:r w:rsidRPr="003C5786">
        <w:rPr>
          <w:rFonts w:ascii="Times New Roman" w:hAnsi="Times New Roman"/>
          <w:i/>
          <w:sz w:val="24"/>
        </w:rPr>
        <w:t xml:space="preserve">Labourers' Federation </w:t>
      </w:r>
      <w:r w:rsidRPr="003C5786">
        <w:rPr>
          <w:rFonts w:ascii="Times New Roman" w:hAnsi="Times New Roman"/>
          <w:sz w:val="24"/>
        </w:rPr>
        <w:t>(1985) 159 CLR 636 at 655.</w:t>
      </w:r>
    </w:p>
  </w:footnote>
  <w:footnote w:id="449">
    <w:p w14:paraId="54D4CD48"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R v Kirby; Ex parte Boilermakers' Society of Australia</w:t>
      </w:r>
      <w:r w:rsidRPr="003C5786">
        <w:rPr>
          <w:rFonts w:ascii="Times New Roman" w:hAnsi="Times New Roman"/>
          <w:sz w:val="24"/>
        </w:rPr>
        <w:t xml:space="preserve"> (1956) 94 CLR 254 at 307.</w:t>
      </w:r>
    </w:p>
  </w:footnote>
  <w:footnote w:id="450">
    <w:p w14:paraId="02D41415"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R v Davison </w:t>
      </w:r>
      <w:r w:rsidRPr="003C5786">
        <w:rPr>
          <w:rFonts w:ascii="Times New Roman" w:hAnsi="Times New Roman"/>
          <w:sz w:val="24"/>
        </w:rPr>
        <w:t xml:space="preserve">(1954) 90 CLR 353 at 366-367. See also </w:t>
      </w:r>
      <w:r w:rsidRPr="003C5786">
        <w:rPr>
          <w:rFonts w:ascii="Times New Roman" w:hAnsi="Times New Roman"/>
          <w:i/>
          <w:iCs/>
          <w:sz w:val="24"/>
        </w:rPr>
        <w:t xml:space="preserve">Precision Data Holdings Ltd v Wills </w:t>
      </w:r>
      <w:r w:rsidRPr="003C5786">
        <w:rPr>
          <w:rFonts w:ascii="Times New Roman" w:hAnsi="Times New Roman"/>
          <w:sz w:val="24"/>
        </w:rPr>
        <w:t>(1991) 173 CLR 167 at 188-189.</w:t>
      </w:r>
    </w:p>
  </w:footnote>
  <w:footnote w:id="451">
    <w:p w14:paraId="1D1323B3"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Mason, "Foreword", in Lindell, </w:t>
      </w:r>
      <w:r w:rsidRPr="003C5786">
        <w:rPr>
          <w:rFonts w:ascii="Times New Roman" w:hAnsi="Times New Roman"/>
          <w:i/>
          <w:iCs/>
          <w:sz w:val="24"/>
        </w:rPr>
        <w:t>Cowen and Zines's Federal Jurisdiction in Australia</w:t>
      </w:r>
      <w:r w:rsidRPr="003C5786">
        <w:rPr>
          <w:rFonts w:ascii="Times New Roman" w:hAnsi="Times New Roman"/>
          <w:iCs/>
          <w:sz w:val="24"/>
        </w:rPr>
        <w:t>, 4th ed</w:t>
      </w:r>
      <w:r w:rsidRPr="003C5786">
        <w:rPr>
          <w:rFonts w:ascii="Times New Roman" w:hAnsi="Times New Roman"/>
          <w:i/>
          <w:iCs/>
          <w:sz w:val="24"/>
        </w:rPr>
        <w:t xml:space="preserve"> </w:t>
      </w:r>
      <w:r w:rsidRPr="003C5786">
        <w:rPr>
          <w:rFonts w:ascii="Times New Roman" w:hAnsi="Times New Roman"/>
          <w:sz w:val="24"/>
        </w:rPr>
        <w:t xml:space="preserve">(2016) v at vi. See Shakespeare, </w:t>
      </w:r>
      <w:r w:rsidRPr="003C5786">
        <w:rPr>
          <w:rFonts w:ascii="Times New Roman" w:hAnsi="Times New Roman"/>
          <w:i/>
          <w:sz w:val="24"/>
        </w:rPr>
        <w:t>Macbeth</w:t>
      </w:r>
      <w:r w:rsidRPr="003C5786">
        <w:rPr>
          <w:rFonts w:ascii="Times New Roman" w:hAnsi="Times New Roman"/>
          <w:sz w:val="24"/>
        </w:rPr>
        <w:t>, act III, scene 4.</w:t>
      </w:r>
    </w:p>
  </w:footnote>
  <w:footnote w:id="452">
    <w:p w14:paraId="024D5B1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Fardon v Attorney-General (Qld)</w:t>
      </w:r>
      <w:r w:rsidRPr="003C5786">
        <w:rPr>
          <w:rFonts w:ascii="Times New Roman" w:hAnsi="Times New Roman"/>
          <w:sz w:val="24"/>
        </w:rPr>
        <w:t xml:space="preserve"> (2004) 223 CLR 575 at 597 [34]; </w:t>
      </w:r>
      <w:r w:rsidRPr="003C5786">
        <w:rPr>
          <w:rFonts w:ascii="Times New Roman" w:hAnsi="Times New Roman"/>
          <w:i/>
          <w:sz w:val="24"/>
        </w:rPr>
        <w:t xml:space="preserve">Thomas v Mowbray </w:t>
      </w:r>
      <w:r w:rsidRPr="003C5786">
        <w:rPr>
          <w:rFonts w:ascii="Times New Roman" w:hAnsi="Times New Roman"/>
          <w:sz w:val="24"/>
        </w:rPr>
        <w:t xml:space="preserve">(2007) 233 CLR 307 at 328 [15]-[16]; </w:t>
      </w:r>
      <w:r w:rsidRPr="003C5786">
        <w:rPr>
          <w:rFonts w:ascii="Times New Roman" w:hAnsi="Times New Roman"/>
          <w:i/>
          <w:iCs/>
          <w:sz w:val="24"/>
        </w:rPr>
        <w:t xml:space="preserve">Attorney-General (NT) v Emmerson </w:t>
      </w:r>
      <w:r w:rsidRPr="003C5786">
        <w:rPr>
          <w:rFonts w:ascii="Times New Roman" w:hAnsi="Times New Roman"/>
          <w:sz w:val="24"/>
        </w:rPr>
        <w:t>(2014) 253 CLR 393 at 430</w:t>
      </w:r>
      <w:r w:rsidRPr="003C5786">
        <w:rPr>
          <w:rFonts w:ascii="Times New Roman" w:hAnsi="Times New Roman"/>
          <w:sz w:val="24"/>
        </w:rPr>
        <w:noBreakHyphen/>
        <w:t>431 [57].</w:t>
      </w:r>
    </w:p>
  </w:footnote>
  <w:footnote w:id="453">
    <w:p w14:paraId="6CACD37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i/>
          <w:iCs/>
          <w:sz w:val="24"/>
        </w:rPr>
        <w:tab/>
        <w:t xml:space="preserve">Bell Lawyers Pty Ltd v Pentelow </w:t>
      </w:r>
      <w:r w:rsidRPr="003C5786">
        <w:rPr>
          <w:rFonts w:ascii="Times New Roman" w:hAnsi="Times New Roman"/>
          <w:sz w:val="24"/>
        </w:rPr>
        <w:t>(2019) 93 ALJR 1007 at 1029 [95]; 372 ALR 555 at 579.</w:t>
      </w:r>
    </w:p>
  </w:footnote>
  <w:footnote w:id="454">
    <w:p w14:paraId="3D38EF45"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Sawer, "The Judicial Power of the Commonwealth" (1948) 1 </w:t>
      </w:r>
      <w:r w:rsidRPr="003C5786">
        <w:rPr>
          <w:rFonts w:ascii="Times New Roman" w:hAnsi="Times New Roman"/>
          <w:i/>
          <w:sz w:val="24"/>
        </w:rPr>
        <w:t>University of Western Australia Annual Law Review</w:t>
      </w:r>
      <w:r w:rsidRPr="003C5786">
        <w:rPr>
          <w:rFonts w:ascii="Times New Roman" w:hAnsi="Times New Roman"/>
          <w:sz w:val="24"/>
        </w:rPr>
        <w:t xml:space="preserve"> 29 at 29.</w:t>
      </w:r>
    </w:p>
  </w:footnote>
  <w:footnote w:id="455">
    <w:p w14:paraId="4C400AA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Described by the authors as "punitive-preventive" measures: Ashworth and Zedner, </w:t>
      </w:r>
      <w:r w:rsidRPr="003C5786">
        <w:rPr>
          <w:rFonts w:ascii="Times New Roman" w:hAnsi="Times New Roman"/>
          <w:i/>
          <w:sz w:val="24"/>
        </w:rPr>
        <w:t xml:space="preserve">Preventive Justice </w:t>
      </w:r>
      <w:r w:rsidRPr="003C5786">
        <w:rPr>
          <w:rFonts w:ascii="Times New Roman" w:hAnsi="Times New Roman"/>
          <w:sz w:val="24"/>
        </w:rPr>
        <w:t>(2014) at 16.</w:t>
      </w:r>
    </w:p>
  </w:footnote>
  <w:footnote w:id="456">
    <w:p w14:paraId="4FE5615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Ashworth and Zedner, </w:t>
      </w:r>
      <w:r w:rsidRPr="003C5786">
        <w:rPr>
          <w:rFonts w:ascii="Times New Roman" w:hAnsi="Times New Roman"/>
          <w:i/>
          <w:sz w:val="24"/>
        </w:rPr>
        <w:t xml:space="preserve">Preventive Justice </w:t>
      </w:r>
      <w:r w:rsidRPr="003C5786">
        <w:rPr>
          <w:rFonts w:ascii="Times New Roman" w:hAnsi="Times New Roman"/>
          <w:sz w:val="24"/>
        </w:rPr>
        <w:t>(2014) at 19.</w:t>
      </w:r>
    </w:p>
  </w:footnote>
  <w:footnote w:id="457">
    <w:p w14:paraId="2DD32031" w14:textId="77777777" w:rsidR="00CE4181" w:rsidRPr="003C5786" w:rsidRDefault="00CE4181" w:rsidP="003C5786">
      <w:pPr>
        <w:pStyle w:val="FootnoteText"/>
        <w:spacing w:line="280" w:lineRule="exact"/>
        <w:ind w:right="0"/>
        <w:jc w:val="both"/>
        <w:rPr>
          <w:rFonts w:ascii="Times New Roman" w:hAnsi="Times New Roman"/>
          <w:i/>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In re Richardson </w:t>
      </w:r>
      <w:r w:rsidRPr="003C5786">
        <w:rPr>
          <w:rFonts w:ascii="Times New Roman" w:hAnsi="Times New Roman"/>
          <w:sz w:val="24"/>
        </w:rPr>
        <w:t xml:space="preserve">(1928) 160 NE 655 at 657. See </w:t>
      </w:r>
      <w:r w:rsidRPr="003C5786">
        <w:rPr>
          <w:rFonts w:ascii="Times New Roman" w:hAnsi="Times New Roman"/>
          <w:i/>
          <w:iCs/>
          <w:sz w:val="24"/>
        </w:rPr>
        <w:t xml:space="preserve">Hilton v Wells </w:t>
      </w:r>
      <w:r w:rsidRPr="003C5786">
        <w:rPr>
          <w:rFonts w:ascii="Times New Roman" w:hAnsi="Times New Roman"/>
          <w:sz w:val="24"/>
        </w:rPr>
        <w:t xml:space="preserve">(1985) 157 CLR 57 at 82; </w:t>
      </w:r>
      <w:r w:rsidRPr="003C5786">
        <w:rPr>
          <w:rFonts w:ascii="Times New Roman" w:hAnsi="Times New Roman"/>
          <w:i/>
          <w:iCs/>
          <w:sz w:val="24"/>
        </w:rPr>
        <w:t xml:space="preserve">Grollo v Palmer </w:t>
      </w:r>
      <w:r w:rsidRPr="003C5786">
        <w:rPr>
          <w:rFonts w:ascii="Times New Roman" w:hAnsi="Times New Roman"/>
          <w:sz w:val="24"/>
        </w:rPr>
        <w:t xml:space="preserve">(1995) 184 CLR 348 at 364; </w:t>
      </w:r>
      <w:r w:rsidRPr="003C5786">
        <w:rPr>
          <w:rFonts w:ascii="Times New Roman" w:hAnsi="Times New Roman"/>
          <w:i/>
          <w:sz w:val="24"/>
        </w:rPr>
        <w:t xml:space="preserve">Wainohu v New South Wales </w:t>
      </w:r>
      <w:r w:rsidRPr="003C5786">
        <w:rPr>
          <w:rFonts w:ascii="Times New Roman" w:hAnsi="Times New Roman"/>
          <w:sz w:val="24"/>
        </w:rPr>
        <w:t>(2011) 243 CLR 181 at 202 [30].</w:t>
      </w:r>
    </w:p>
  </w:footnote>
  <w:footnote w:id="458">
    <w:p w14:paraId="1786C16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iCs/>
          <w:sz w:val="24"/>
        </w:rPr>
        <w:t xml:space="preserve">Wainohu v New South Wales </w:t>
      </w:r>
      <w:r w:rsidRPr="003C5786">
        <w:rPr>
          <w:rFonts w:ascii="Times New Roman" w:hAnsi="Times New Roman"/>
          <w:sz w:val="24"/>
        </w:rPr>
        <w:t>(2011) 243 CLR 181 at 213</w:t>
      </w:r>
      <w:r w:rsidRPr="003C5786">
        <w:rPr>
          <w:rFonts w:ascii="Times New Roman" w:hAnsi="Times New Roman"/>
          <w:sz w:val="24"/>
        </w:rPr>
        <w:noBreakHyphen/>
        <w:t>215 [54]-[58], 228 [104].</w:t>
      </w:r>
    </w:p>
  </w:footnote>
  <w:footnote w:id="459">
    <w:p w14:paraId="27B58E5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sz w:val="24"/>
        </w:rPr>
        <w:t xml:space="preserve">Leeth v The Commonwealth </w:t>
      </w:r>
      <w:r w:rsidRPr="003C5786">
        <w:rPr>
          <w:rFonts w:ascii="Times New Roman" w:hAnsi="Times New Roman"/>
          <w:sz w:val="24"/>
        </w:rPr>
        <w:t>(1992) 174 CLR 455 at 469</w:t>
      </w:r>
      <w:r w:rsidRPr="003C5786">
        <w:rPr>
          <w:rFonts w:ascii="Times New Roman" w:hAnsi="Times New Roman"/>
          <w:sz w:val="24"/>
        </w:rPr>
        <w:noBreakHyphen/>
        <w:t xml:space="preserve">470; </w:t>
      </w:r>
      <w:r w:rsidRPr="003C5786">
        <w:rPr>
          <w:rFonts w:ascii="Times New Roman" w:hAnsi="Times New Roman"/>
          <w:i/>
          <w:sz w:val="24"/>
        </w:rPr>
        <w:t xml:space="preserve">International Finance Trust Co Ltd v New South Wales Crime Commission </w:t>
      </w:r>
      <w:r w:rsidRPr="003C5786">
        <w:rPr>
          <w:rFonts w:ascii="Times New Roman" w:hAnsi="Times New Roman"/>
          <w:sz w:val="24"/>
        </w:rPr>
        <w:t>(2009) 240 CLR 319 at 354-355 [54]-[56], 379-380 [141].</w:t>
      </w:r>
    </w:p>
  </w:footnote>
  <w:footnote w:id="460">
    <w:p w14:paraId="7B21785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(1992) 176 CLR 1 at 19. </w:t>
      </w:r>
    </w:p>
  </w:footnote>
  <w:footnote w:id="461">
    <w:p w14:paraId="4E1377C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(1992) 176 CLR 1 at 33. </w:t>
      </w:r>
    </w:p>
  </w:footnote>
  <w:footnote w:id="462">
    <w:p w14:paraId="5BE7E29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614-615 [91].</w:t>
      </w:r>
    </w:p>
  </w:footnote>
  <w:footnote w:id="463">
    <w:p w14:paraId="69ECA30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(1996) 189 CLR 51. </w:t>
      </w:r>
    </w:p>
  </w:footnote>
  <w:footnote w:id="464">
    <w:p w14:paraId="363649A3"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Falzon v Minister for Immigration and Border Protection</w:t>
      </w:r>
      <w:r w:rsidRPr="003C5786">
        <w:rPr>
          <w:rFonts w:ascii="Times New Roman" w:hAnsi="Times New Roman"/>
          <w:sz w:val="24"/>
        </w:rPr>
        <w:t xml:space="preserve"> (2018) 262 CLR 333 at 343-344 [27]-[32].</w:t>
      </w:r>
    </w:p>
  </w:footnote>
  <w:footnote w:id="465">
    <w:p w14:paraId="5BB3B7B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Compare </w:t>
      </w:r>
      <w:r w:rsidRPr="003C5786">
        <w:rPr>
          <w:rFonts w:ascii="Times New Roman" w:hAnsi="Times New Roman"/>
          <w:i/>
          <w:iCs/>
          <w:sz w:val="24"/>
        </w:rPr>
        <w:t xml:space="preserve">Clubb v Edwards </w:t>
      </w:r>
      <w:r w:rsidRPr="003C5786">
        <w:rPr>
          <w:rFonts w:ascii="Times New Roman" w:hAnsi="Times New Roman"/>
          <w:sz w:val="24"/>
        </w:rPr>
        <w:t>(2019) 267 CLR 171</w:t>
      </w:r>
      <w:r w:rsidRPr="003C5786">
        <w:rPr>
          <w:rFonts w:ascii="Times New Roman" w:hAnsi="Times New Roman"/>
          <w:i/>
          <w:iCs/>
          <w:sz w:val="24"/>
        </w:rPr>
        <w:t xml:space="preserve"> </w:t>
      </w:r>
      <w:r w:rsidRPr="003C5786">
        <w:rPr>
          <w:rFonts w:ascii="Times New Roman" w:hAnsi="Times New Roman"/>
          <w:sz w:val="24"/>
        </w:rPr>
        <w:t>at 343-344 [496].</w:t>
      </w:r>
    </w:p>
  </w:footnote>
  <w:footnote w:id="466">
    <w:p w14:paraId="189D09C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 xml:space="preserve">Acts </w:t>
      </w:r>
      <w:r w:rsidRPr="003C5786">
        <w:rPr>
          <w:rFonts w:ascii="Times New Roman" w:hAnsi="Times New Roman"/>
          <w:i/>
          <w:iCs/>
          <w:sz w:val="24"/>
        </w:rPr>
        <w:t>Interpretation Act</w:t>
      </w:r>
      <w:r w:rsidRPr="003C5786">
        <w:rPr>
          <w:rFonts w:ascii="Times New Roman" w:hAnsi="Times New Roman"/>
          <w:sz w:val="24"/>
        </w:rPr>
        <w:t xml:space="preserve">, s 15A. </w:t>
      </w:r>
    </w:p>
  </w:footnote>
  <w:footnote w:id="467">
    <w:p w14:paraId="5B8E017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Vella v Commissioner of Police (NSW) </w:t>
      </w:r>
      <w:r w:rsidRPr="003C5786">
        <w:rPr>
          <w:rFonts w:ascii="Times New Roman" w:hAnsi="Times New Roman"/>
          <w:sz w:val="24"/>
        </w:rPr>
        <w:t xml:space="preserve">(2019) 93 ALJR 1236 at 1244-1245 [24]; 374 ALR 1 at 8, quoting </w:t>
      </w:r>
      <w:r w:rsidRPr="003C5786">
        <w:rPr>
          <w:rFonts w:ascii="Times New Roman" w:hAnsi="Times New Roman"/>
          <w:i/>
          <w:sz w:val="24"/>
        </w:rPr>
        <w:t>Fardon v Attorney</w:t>
      </w:r>
      <w:r w:rsidRPr="003C5786">
        <w:rPr>
          <w:rFonts w:ascii="Times New Roman" w:hAnsi="Times New Roman"/>
          <w:i/>
          <w:sz w:val="24"/>
        </w:rPr>
        <w:noBreakHyphen/>
        <w:t>General (Qld)</w:t>
      </w:r>
      <w:r w:rsidRPr="003C5786">
        <w:rPr>
          <w:rFonts w:ascii="Times New Roman" w:hAnsi="Times New Roman"/>
          <w:sz w:val="24"/>
        </w:rPr>
        <w:t xml:space="preserve"> (2004) 223 CLR 575 at 593 [23]. </w:t>
      </w:r>
    </w:p>
  </w:footnote>
  <w:footnote w:id="468">
    <w:p w14:paraId="71DC40E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(1996) 517 US 559.</w:t>
      </w:r>
    </w:p>
  </w:footnote>
  <w:footnote w:id="469">
    <w:p w14:paraId="29B38B2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BMW of North America Inc v Gore</w:t>
      </w:r>
      <w:r w:rsidRPr="003C5786">
        <w:rPr>
          <w:rFonts w:ascii="Times New Roman" w:hAnsi="Times New Roman"/>
          <w:sz w:val="24"/>
        </w:rPr>
        <w:t xml:space="preserve"> (1996) 517 US 559 at 568.</w:t>
      </w:r>
    </w:p>
  </w:footnote>
  <w:footnote w:id="470">
    <w:p w14:paraId="67ED525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Robinson, "Punishing Dangerousness: Cloaking Preventive Detention as Criminal Justice" (2001) 114 </w:t>
      </w:r>
      <w:r w:rsidRPr="003C5786">
        <w:rPr>
          <w:rFonts w:ascii="Times New Roman" w:hAnsi="Times New Roman"/>
          <w:i/>
          <w:sz w:val="24"/>
        </w:rPr>
        <w:t xml:space="preserve">Harvard Law Review </w:t>
      </w:r>
      <w:r w:rsidRPr="003C5786">
        <w:rPr>
          <w:rFonts w:ascii="Times New Roman" w:hAnsi="Times New Roman"/>
          <w:sz w:val="24"/>
        </w:rPr>
        <w:t>1429 at 1456.</w:t>
      </w:r>
    </w:p>
  </w:footnote>
  <w:footnote w:id="471">
    <w:p w14:paraId="167BEBC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i/>
          <w:iCs/>
          <w:sz w:val="24"/>
        </w:rPr>
        <w:tab/>
        <w:t xml:space="preserve">McGarry v The Queen </w:t>
      </w:r>
      <w:r w:rsidRPr="003C5786">
        <w:rPr>
          <w:rFonts w:ascii="Times New Roman" w:hAnsi="Times New Roman"/>
          <w:sz w:val="24"/>
        </w:rPr>
        <w:t>(2001) 207 CLR 121 at 129 [20].</w:t>
      </w:r>
    </w:p>
  </w:footnote>
  <w:footnote w:id="472">
    <w:p w14:paraId="2B102E65"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Security Legislation Amendment (Terrorism) Bill 2002</w:t>
      </w:r>
      <w:r w:rsidRPr="003C5786">
        <w:rPr>
          <w:rFonts w:ascii="Times New Roman" w:hAnsi="Times New Roman"/>
          <w:sz w:val="24"/>
        </w:rPr>
        <w:t>, Sch 1, item 4.</w:t>
      </w:r>
    </w:p>
  </w:footnote>
  <w:footnote w:id="473">
    <w:p w14:paraId="26D0A605"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Parliament of Australia, Senate Legal and Constitutional Legislation Committee, </w:t>
      </w:r>
      <w:r w:rsidRPr="003C5786">
        <w:rPr>
          <w:rFonts w:ascii="Times New Roman" w:hAnsi="Times New Roman"/>
          <w:i/>
          <w:sz w:val="24"/>
        </w:rPr>
        <w:t>Consideration of Legislation Referred to the Committee: Security Legislation Amendment (Terrorism) Bill 2002 [No 2]</w:t>
      </w:r>
      <w:r w:rsidRPr="003C5786">
        <w:rPr>
          <w:rFonts w:ascii="Times New Roman" w:hAnsi="Times New Roman"/>
          <w:sz w:val="24"/>
        </w:rPr>
        <w:t>, Report (May 2002) at 40-45 [3.81]</w:t>
      </w:r>
      <w:r w:rsidRPr="003C5786">
        <w:rPr>
          <w:rFonts w:ascii="Times New Roman" w:hAnsi="Times New Roman"/>
          <w:sz w:val="24"/>
        </w:rPr>
        <w:noBreakHyphen/>
        <w:t>[3.100].</w:t>
      </w:r>
    </w:p>
  </w:footnote>
  <w:footnote w:id="474">
    <w:p w14:paraId="2D7DD2AD"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CTM v The Queen </w:t>
      </w:r>
      <w:r w:rsidRPr="003C5786">
        <w:rPr>
          <w:rFonts w:ascii="Times New Roman" w:hAnsi="Times New Roman"/>
          <w:sz w:val="24"/>
        </w:rPr>
        <w:t>(2008) 236 CLR 440 at 450 [16].</w:t>
      </w:r>
    </w:p>
  </w:footnote>
  <w:footnote w:id="475">
    <w:p w14:paraId="4F080DEA"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Blackstone, </w:t>
      </w:r>
      <w:r w:rsidRPr="003C5786">
        <w:rPr>
          <w:rFonts w:ascii="Times New Roman" w:hAnsi="Times New Roman"/>
          <w:i/>
          <w:iCs/>
          <w:sz w:val="24"/>
        </w:rPr>
        <w:t>Commentaries</w:t>
      </w:r>
      <w:r w:rsidRPr="003C5786">
        <w:rPr>
          <w:rFonts w:ascii="Times New Roman" w:hAnsi="Times New Roman"/>
          <w:sz w:val="24"/>
        </w:rPr>
        <w:t xml:space="preserve"> </w:t>
      </w:r>
      <w:r w:rsidRPr="003C5786">
        <w:rPr>
          <w:rFonts w:ascii="Times New Roman" w:hAnsi="Times New Roman"/>
          <w:i/>
          <w:iCs/>
          <w:sz w:val="24"/>
        </w:rPr>
        <w:t>on the Laws of England</w:t>
      </w:r>
      <w:r w:rsidRPr="003C5786">
        <w:rPr>
          <w:rFonts w:ascii="Times New Roman" w:hAnsi="Times New Roman"/>
          <w:sz w:val="24"/>
        </w:rPr>
        <w:t xml:space="preserve"> (1765), bk 1, Introduction at 54</w:t>
      </w:r>
      <w:r w:rsidRPr="003C5786">
        <w:rPr>
          <w:rFonts w:ascii="Times New Roman" w:hAnsi="Times New Roman"/>
          <w:sz w:val="24"/>
        </w:rPr>
        <w:noBreakHyphen/>
        <w:t xml:space="preserve">55. </w:t>
      </w:r>
    </w:p>
  </w:footnote>
  <w:footnote w:id="476">
    <w:p w14:paraId="030AA66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Crimes Act 1890 </w:t>
      </w:r>
      <w:r w:rsidRPr="003C5786">
        <w:rPr>
          <w:rFonts w:ascii="Times New Roman" w:hAnsi="Times New Roman"/>
          <w:sz w:val="24"/>
        </w:rPr>
        <w:t xml:space="preserve">(Vic) (54 Vict No 1079), ss 111, 122; </w:t>
      </w:r>
      <w:r w:rsidRPr="003C5786">
        <w:rPr>
          <w:rFonts w:ascii="Times New Roman" w:hAnsi="Times New Roman"/>
          <w:i/>
          <w:sz w:val="24"/>
        </w:rPr>
        <w:t>The Criminal Law Consolidation Ordinance 1865</w:t>
      </w:r>
      <w:r w:rsidRPr="003C5786">
        <w:rPr>
          <w:rFonts w:ascii="Times New Roman" w:hAnsi="Times New Roman"/>
          <w:sz w:val="24"/>
        </w:rPr>
        <w:t xml:space="preserve"> (WA) (29 Vict No 5), s 4.</w:t>
      </w:r>
    </w:p>
  </w:footnote>
  <w:footnote w:id="477">
    <w:p w14:paraId="4A9E491B"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Blackstone, </w:t>
      </w:r>
      <w:r w:rsidRPr="003C5786">
        <w:rPr>
          <w:rFonts w:ascii="Times New Roman" w:hAnsi="Times New Roman"/>
          <w:i/>
          <w:iCs/>
          <w:sz w:val="24"/>
        </w:rPr>
        <w:t>Commentaries</w:t>
      </w:r>
      <w:r w:rsidRPr="003C5786">
        <w:rPr>
          <w:rFonts w:ascii="Times New Roman" w:hAnsi="Times New Roman"/>
          <w:sz w:val="24"/>
        </w:rPr>
        <w:t xml:space="preserve"> </w:t>
      </w:r>
      <w:r w:rsidRPr="003C5786">
        <w:rPr>
          <w:rFonts w:ascii="Times New Roman" w:hAnsi="Times New Roman"/>
          <w:i/>
          <w:iCs/>
          <w:sz w:val="24"/>
        </w:rPr>
        <w:t>on the Laws of England</w:t>
      </w:r>
      <w:r w:rsidRPr="003C5786">
        <w:rPr>
          <w:rFonts w:ascii="Times New Roman" w:hAnsi="Times New Roman"/>
          <w:sz w:val="24"/>
        </w:rPr>
        <w:t xml:space="preserve"> (1769), bk 4, ch 1 at 9.</w:t>
      </w:r>
    </w:p>
  </w:footnote>
  <w:footnote w:id="478">
    <w:p w14:paraId="3567778A"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bCs/>
          <w:sz w:val="24"/>
        </w:rPr>
        <w:t xml:space="preserve">Bentham, </w:t>
      </w:r>
      <w:r w:rsidRPr="003C5786">
        <w:rPr>
          <w:rFonts w:ascii="Times New Roman" w:hAnsi="Times New Roman"/>
          <w:bCs/>
          <w:i/>
          <w:sz w:val="24"/>
        </w:rPr>
        <w:t xml:space="preserve">A Comment on the Commentaries: A Criticism of William </w:t>
      </w:r>
      <w:r w:rsidRPr="003C5786">
        <w:rPr>
          <w:rFonts w:ascii="Times New Roman" w:hAnsi="Times New Roman"/>
          <w:i/>
          <w:sz w:val="24"/>
        </w:rPr>
        <w:t>Blackstone's Commentaries on the Laws of England</w:t>
      </w:r>
      <w:r w:rsidRPr="003C5786">
        <w:rPr>
          <w:rFonts w:ascii="Times New Roman" w:hAnsi="Times New Roman"/>
          <w:sz w:val="24"/>
        </w:rPr>
        <w:t xml:space="preserve"> (1928), Section VIII at 80.</w:t>
      </w:r>
    </w:p>
  </w:footnote>
  <w:footnote w:id="479">
    <w:p w14:paraId="5D61B4B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 xml:space="preserve">Bensley v Bignold </w:t>
      </w:r>
      <w:r w:rsidRPr="003C5786">
        <w:rPr>
          <w:rFonts w:ascii="Times New Roman" w:hAnsi="Times New Roman"/>
          <w:sz w:val="24"/>
        </w:rPr>
        <w:t>(1822) 5 B &amp; Ald 335 at 340-341 [106 ER 1214 at 1215-1216].</w:t>
      </w:r>
    </w:p>
  </w:footnote>
  <w:footnote w:id="480">
    <w:p w14:paraId="085F74B4"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bCs/>
          <w:i/>
          <w:sz w:val="24"/>
        </w:rPr>
        <w:t>He Kaw Teh v The Queen</w:t>
      </w:r>
      <w:r w:rsidRPr="003C5786">
        <w:rPr>
          <w:rFonts w:ascii="Times New Roman" w:hAnsi="Times New Roman"/>
          <w:bCs/>
          <w:sz w:val="24"/>
        </w:rPr>
        <w:t xml:space="preserve"> (1985) 157 CLR 523 at 579.</w:t>
      </w:r>
    </w:p>
  </w:footnote>
  <w:footnote w:id="481">
    <w:p w14:paraId="510CE02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 s 105A.10(4).</w:t>
      </w:r>
    </w:p>
  </w:footnote>
  <w:footnote w:id="482">
    <w:p w14:paraId="76000BE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R v Spicer; Ex parte Australian Builders</w:t>
      </w:r>
      <w:r w:rsidRPr="003C5786">
        <w:rPr>
          <w:rFonts w:ascii="Times New Roman" w:hAnsi="Times New Roman"/>
          <w:i/>
          <w:sz w:val="24"/>
        </w:rPr>
        <w:t>'</w:t>
      </w:r>
      <w:r w:rsidRPr="003C5786">
        <w:rPr>
          <w:rFonts w:ascii="Times New Roman" w:hAnsi="Times New Roman"/>
          <w:i/>
          <w:iCs/>
          <w:sz w:val="24"/>
        </w:rPr>
        <w:t xml:space="preserve"> Labourers' Federation </w:t>
      </w:r>
      <w:r w:rsidRPr="003C5786">
        <w:rPr>
          <w:rFonts w:ascii="Times New Roman" w:hAnsi="Times New Roman"/>
          <w:sz w:val="24"/>
        </w:rPr>
        <w:t xml:space="preserve">(1957) 100 CLR 277 at 305; </w:t>
      </w:r>
      <w:r w:rsidRPr="003C5786">
        <w:rPr>
          <w:rFonts w:ascii="Times New Roman" w:hAnsi="Times New Roman"/>
          <w:i/>
          <w:sz w:val="24"/>
        </w:rPr>
        <w:t xml:space="preserve">Thomas v Mowbray </w:t>
      </w:r>
      <w:r w:rsidRPr="003C5786">
        <w:rPr>
          <w:rFonts w:ascii="Times New Roman" w:hAnsi="Times New Roman"/>
          <w:sz w:val="24"/>
        </w:rPr>
        <w:t>(2007) 233 CLR 307 at 341 [59].</w:t>
      </w:r>
    </w:p>
  </w:footnote>
  <w:footnote w:id="483">
    <w:p w14:paraId="7AD6D2DF"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(2019) 93 ALJR 1236 at 1257-1260 [82]-[90]; 374 ALR 1 at 25-28. </w:t>
      </w:r>
    </w:p>
  </w:footnote>
  <w:footnote w:id="484">
    <w:p w14:paraId="1E64A96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(2019) 93 ALJR 1236 at 1259 [88]; 374 ALR 1 at 27-28.</w:t>
      </w:r>
    </w:p>
  </w:footnote>
  <w:footnote w:id="485">
    <w:p w14:paraId="16C2A52A"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TCL Air Conditioner (Zhongshan) Co Ltd v Judges of the Federal Court of Australia</w:t>
      </w:r>
      <w:r w:rsidRPr="003C5786">
        <w:rPr>
          <w:rFonts w:ascii="Times New Roman" w:hAnsi="Times New Roman"/>
          <w:sz w:val="24"/>
        </w:rPr>
        <w:t xml:space="preserve"> (2013) 251 CLR 533 at 574 [105], quoting </w:t>
      </w:r>
      <w:r w:rsidRPr="003C5786">
        <w:rPr>
          <w:rFonts w:ascii="Times New Roman" w:hAnsi="Times New Roman"/>
          <w:i/>
          <w:sz w:val="24"/>
        </w:rPr>
        <w:t xml:space="preserve">R v Davison </w:t>
      </w:r>
      <w:r w:rsidRPr="003C5786">
        <w:rPr>
          <w:rFonts w:ascii="Times New Roman" w:hAnsi="Times New Roman"/>
          <w:sz w:val="24"/>
        </w:rPr>
        <w:t>(1954) 90 CLR 353 at 382.</w:t>
      </w:r>
    </w:p>
  </w:footnote>
  <w:footnote w:id="486">
    <w:p w14:paraId="4446F534" w14:textId="77777777" w:rsidR="00CE4181" w:rsidRPr="003C5786" w:rsidRDefault="00CE4181" w:rsidP="003C5786">
      <w:pPr>
        <w:pStyle w:val="FootnoteText"/>
        <w:spacing w:line="280" w:lineRule="exact"/>
        <w:ind w:right="0"/>
        <w:jc w:val="both"/>
        <w:rPr>
          <w:rFonts w:ascii="Times New Roman" w:hAnsi="Times New Roman"/>
          <w:iCs/>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Vella v Commissioner of Police (NSW) </w:t>
      </w:r>
      <w:r w:rsidRPr="003C5786">
        <w:rPr>
          <w:rFonts w:ascii="Times New Roman" w:hAnsi="Times New Roman"/>
          <w:sz w:val="24"/>
        </w:rPr>
        <w:t>(2019) 93 ALJR 1236 at 1257 [83]; 374 ALR 1 at 25.</w:t>
      </w:r>
    </w:p>
  </w:footnote>
  <w:footnote w:id="487">
    <w:p w14:paraId="7139A78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w:t>
      </w:r>
      <w:r w:rsidRPr="003C5786">
        <w:rPr>
          <w:rFonts w:ascii="Times New Roman" w:hAnsi="Times New Roman"/>
          <w:i/>
          <w:iCs/>
          <w:sz w:val="24"/>
        </w:rPr>
        <w:t xml:space="preserve">Thomas v Mowbray </w:t>
      </w:r>
      <w:r w:rsidRPr="003C5786">
        <w:rPr>
          <w:rFonts w:ascii="Times New Roman" w:hAnsi="Times New Roman"/>
          <w:sz w:val="24"/>
        </w:rPr>
        <w:t xml:space="preserve">(2007) 233 CLR 307 at 335 [30], 508 [598]-[599]; </w:t>
      </w:r>
      <w:r w:rsidRPr="003C5786">
        <w:rPr>
          <w:rFonts w:ascii="Times New Roman" w:hAnsi="Times New Roman"/>
          <w:i/>
          <w:iCs/>
          <w:sz w:val="24"/>
        </w:rPr>
        <w:t xml:space="preserve">New South Wales v Kable </w:t>
      </w:r>
      <w:r w:rsidRPr="003C5786">
        <w:rPr>
          <w:rFonts w:ascii="Times New Roman" w:hAnsi="Times New Roman"/>
          <w:sz w:val="24"/>
        </w:rPr>
        <w:t>(2013) 252 CLR 118 at 132 [27].</w:t>
      </w:r>
    </w:p>
  </w:footnote>
  <w:footnote w:id="488">
    <w:p w14:paraId="4BDCC580"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w:t>
      </w:r>
      <w:r w:rsidRPr="003C5786">
        <w:rPr>
          <w:rFonts w:ascii="Times New Roman" w:hAnsi="Times New Roman"/>
          <w:i/>
          <w:iCs/>
          <w:sz w:val="24"/>
        </w:rPr>
        <w:t xml:space="preserve"> </w:t>
      </w:r>
      <w:r w:rsidRPr="003C5786">
        <w:rPr>
          <w:rFonts w:ascii="Times New Roman" w:hAnsi="Times New Roman"/>
          <w:sz w:val="24"/>
        </w:rPr>
        <w:t>ss 105A.13, 105A.14.</w:t>
      </w:r>
    </w:p>
  </w:footnote>
  <w:footnote w:id="489">
    <w:p w14:paraId="6F91A93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See, eg, </w:t>
      </w:r>
      <w:r w:rsidRPr="003C5786">
        <w:rPr>
          <w:rFonts w:ascii="Times New Roman" w:hAnsi="Times New Roman"/>
          <w:i/>
          <w:iCs/>
          <w:sz w:val="24"/>
        </w:rPr>
        <w:t>Criminal Code</w:t>
      </w:r>
      <w:r w:rsidRPr="003C5786">
        <w:rPr>
          <w:rFonts w:ascii="Times New Roman" w:hAnsi="Times New Roman"/>
          <w:iCs/>
          <w:sz w:val="24"/>
        </w:rPr>
        <w:t xml:space="preserve">, </w:t>
      </w:r>
      <w:r w:rsidRPr="003C5786">
        <w:rPr>
          <w:rFonts w:ascii="Times New Roman" w:hAnsi="Times New Roman"/>
          <w:sz w:val="24"/>
        </w:rPr>
        <w:t>s 105A.14.</w:t>
      </w:r>
    </w:p>
  </w:footnote>
  <w:footnote w:id="490">
    <w:p w14:paraId="4215D4D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105A.15A.</w:t>
      </w:r>
    </w:p>
  </w:footnote>
  <w:footnote w:id="491">
    <w:p w14:paraId="5A93DE2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 xml:space="preserve">s 105A.16. See </w:t>
      </w:r>
      <w:r w:rsidRPr="003C5786">
        <w:rPr>
          <w:rFonts w:ascii="Times New Roman" w:hAnsi="Times New Roman"/>
          <w:i/>
          <w:iCs/>
          <w:sz w:val="24"/>
        </w:rPr>
        <w:t xml:space="preserve">Wainohu v New South Wales </w:t>
      </w:r>
      <w:r w:rsidRPr="003C5786">
        <w:rPr>
          <w:rFonts w:ascii="Times New Roman" w:hAnsi="Times New Roman"/>
          <w:sz w:val="24"/>
        </w:rPr>
        <w:t>(2011) 243 CLR 181 at 225 [92].</w:t>
      </w:r>
    </w:p>
  </w:footnote>
  <w:footnote w:id="492">
    <w:p w14:paraId="75BE5D06"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iCs/>
          <w:sz w:val="24"/>
        </w:rPr>
        <w:t>,</w:t>
      </w:r>
      <w:r w:rsidRPr="003C5786">
        <w:rPr>
          <w:rFonts w:ascii="Times New Roman" w:hAnsi="Times New Roman"/>
          <w:i/>
          <w:iCs/>
          <w:sz w:val="24"/>
        </w:rPr>
        <w:t xml:space="preserve"> </w:t>
      </w:r>
      <w:r w:rsidRPr="003C5786">
        <w:rPr>
          <w:rFonts w:ascii="Times New Roman" w:hAnsi="Times New Roman"/>
          <w:sz w:val="24"/>
        </w:rPr>
        <w:t>s 105A.17.</w:t>
      </w:r>
    </w:p>
  </w:footnote>
  <w:footnote w:id="493">
    <w:p w14:paraId="2303ADBC"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(2004) 223 CLR 575 at 619 [109].</w:t>
      </w:r>
    </w:p>
  </w:footnote>
  <w:footnote w:id="494">
    <w:p w14:paraId="5F2CD731"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sz w:val="24"/>
        </w:rPr>
        <w:t>Criminal Code</w:t>
      </w:r>
      <w:r w:rsidRPr="003C5786">
        <w:rPr>
          <w:rFonts w:ascii="Times New Roman" w:hAnsi="Times New Roman"/>
          <w:sz w:val="24"/>
        </w:rPr>
        <w:t xml:space="preserve">, s 105A.8(1)(a). </w:t>
      </w:r>
    </w:p>
  </w:footnote>
  <w:footnote w:id="495">
    <w:p w14:paraId="56486118" w14:textId="77777777" w:rsidR="00CE4181" w:rsidRPr="003C5786" w:rsidRDefault="00CE4181" w:rsidP="003C5786">
      <w:pPr>
        <w:pStyle w:val="FootnoteText"/>
        <w:spacing w:line="280" w:lineRule="exact"/>
        <w:ind w:right="0"/>
        <w:jc w:val="both"/>
        <w:rPr>
          <w:rFonts w:ascii="Times New Roman" w:hAnsi="Times New Roman"/>
          <w:i/>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cf </w:t>
      </w:r>
      <w:r w:rsidRPr="003C5786">
        <w:rPr>
          <w:rFonts w:ascii="Times New Roman" w:hAnsi="Times New Roman"/>
          <w:i/>
          <w:iCs/>
          <w:sz w:val="24"/>
        </w:rPr>
        <w:t>Vella v Commissioner of Police (NSW)</w:t>
      </w:r>
      <w:r w:rsidRPr="003C5786">
        <w:rPr>
          <w:rFonts w:ascii="Times New Roman" w:hAnsi="Times New Roman"/>
          <w:sz w:val="24"/>
        </w:rPr>
        <w:t xml:space="preserve"> (2019) 93 ALJR 1236 at 1249 [51]; 374 ALR 1 at 15.</w:t>
      </w:r>
    </w:p>
  </w:footnote>
  <w:footnote w:id="496">
    <w:p w14:paraId="31C1BDF2"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 xml:space="preserve">Residual Assco Group Ltd v Spalvins </w:t>
      </w:r>
      <w:r w:rsidRPr="003C5786">
        <w:rPr>
          <w:rFonts w:ascii="Times New Roman" w:hAnsi="Times New Roman"/>
          <w:sz w:val="24"/>
        </w:rPr>
        <w:t xml:space="preserve">(2000) 202 CLR 629 at 644 [28], quoting </w:t>
      </w:r>
      <w:r w:rsidRPr="003C5786">
        <w:rPr>
          <w:rFonts w:ascii="Times New Roman" w:hAnsi="Times New Roman"/>
          <w:i/>
          <w:iCs/>
          <w:sz w:val="24"/>
        </w:rPr>
        <w:t xml:space="preserve">United States v Hutcheson </w:t>
      </w:r>
      <w:r w:rsidRPr="003C5786">
        <w:rPr>
          <w:rFonts w:ascii="Times New Roman" w:hAnsi="Times New Roman"/>
          <w:sz w:val="24"/>
        </w:rPr>
        <w:t>(1941) 312 US 219 at 235.</w:t>
      </w:r>
    </w:p>
  </w:footnote>
  <w:footnote w:id="497">
    <w:p w14:paraId="70A0B9CA"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w:t>
      </w:r>
      <w:r w:rsidRPr="003C5786">
        <w:rPr>
          <w:rFonts w:ascii="Times New Roman" w:hAnsi="Times New Roman"/>
          <w:i/>
          <w:iCs/>
          <w:sz w:val="24"/>
        </w:rPr>
        <w:t xml:space="preserve"> </w:t>
      </w:r>
      <w:r w:rsidRPr="003C5786">
        <w:rPr>
          <w:rFonts w:ascii="Times New Roman" w:hAnsi="Times New Roman"/>
          <w:sz w:val="24"/>
        </w:rPr>
        <w:t>s 105A.7(5).</w:t>
      </w:r>
    </w:p>
  </w:footnote>
  <w:footnote w:id="498">
    <w:p w14:paraId="61046228"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w:t>
      </w:r>
      <w:r w:rsidRPr="003C5786">
        <w:rPr>
          <w:rFonts w:ascii="Times New Roman" w:hAnsi="Times New Roman"/>
          <w:i/>
          <w:iCs/>
          <w:sz w:val="24"/>
        </w:rPr>
        <w:t xml:space="preserve"> </w:t>
      </w:r>
      <w:r w:rsidRPr="003C5786">
        <w:rPr>
          <w:rFonts w:ascii="Times New Roman" w:hAnsi="Times New Roman"/>
          <w:sz w:val="24"/>
        </w:rPr>
        <w:t>s 105A.10.</w:t>
      </w:r>
    </w:p>
  </w:footnote>
  <w:footnote w:id="499">
    <w:p w14:paraId="00368867"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r>
      <w:r w:rsidRPr="003C5786">
        <w:rPr>
          <w:rFonts w:ascii="Times New Roman" w:hAnsi="Times New Roman"/>
          <w:i/>
          <w:iCs/>
          <w:sz w:val="24"/>
        </w:rPr>
        <w:t>Criminal Code</w:t>
      </w:r>
      <w:r w:rsidRPr="003C5786">
        <w:rPr>
          <w:rFonts w:ascii="Times New Roman" w:hAnsi="Times New Roman"/>
          <w:sz w:val="24"/>
        </w:rPr>
        <w:t>,</w:t>
      </w:r>
      <w:r w:rsidRPr="003C5786">
        <w:rPr>
          <w:rFonts w:ascii="Times New Roman" w:hAnsi="Times New Roman"/>
          <w:i/>
          <w:iCs/>
          <w:sz w:val="24"/>
        </w:rPr>
        <w:t xml:space="preserve"> </w:t>
      </w:r>
      <w:r w:rsidRPr="003C5786">
        <w:rPr>
          <w:rFonts w:ascii="Times New Roman" w:hAnsi="Times New Roman"/>
          <w:sz w:val="24"/>
        </w:rPr>
        <w:t>s 105A.11.</w:t>
      </w:r>
    </w:p>
  </w:footnote>
  <w:footnote w:id="500">
    <w:p w14:paraId="471B9229" w14:textId="77777777" w:rsidR="00CE4181" w:rsidRPr="003C5786" w:rsidRDefault="00CE4181" w:rsidP="003C5786">
      <w:pPr>
        <w:pStyle w:val="FootnoteText"/>
        <w:spacing w:line="280" w:lineRule="exact"/>
        <w:ind w:right="0"/>
        <w:jc w:val="both"/>
        <w:rPr>
          <w:rFonts w:ascii="Times New Roman" w:hAnsi="Times New Roman"/>
          <w:sz w:val="24"/>
        </w:rPr>
      </w:pPr>
      <w:r w:rsidRPr="003C5786">
        <w:rPr>
          <w:rStyle w:val="FootnoteReference"/>
          <w:rFonts w:ascii="Times New Roman" w:hAnsi="Times New Roman"/>
          <w:sz w:val="22"/>
          <w:vertAlign w:val="baseline"/>
        </w:rPr>
        <w:footnoteRef/>
      </w:r>
      <w:r w:rsidRPr="003C5786">
        <w:rPr>
          <w:rFonts w:ascii="Times New Roman" w:hAnsi="Times New Roman"/>
          <w:sz w:val="24"/>
        </w:rPr>
        <w:t xml:space="preserve"> </w:t>
      </w:r>
      <w:r w:rsidRPr="003C5786">
        <w:rPr>
          <w:rFonts w:ascii="Times New Roman" w:hAnsi="Times New Roman"/>
          <w:sz w:val="24"/>
        </w:rPr>
        <w:tab/>
        <w:t xml:space="preserve">Husak, "Preventive Detention as Punishment? Some Possible Obstacles", in Ashworth, Zedner and Tomlin (eds), </w:t>
      </w:r>
      <w:r w:rsidRPr="003C5786">
        <w:rPr>
          <w:rFonts w:ascii="Times New Roman" w:hAnsi="Times New Roman"/>
          <w:i/>
          <w:sz w:val="24"/>
        </w:rPr>
        <w:t xml:space="preserve">Prevention and the Limits of the Criminal Law </w:t>
      </w:r>
      <w:r w:rsidRPr="003C5786">
        <w:rPr>
          <w:rFonts w:ascii="Times New Roman" w:hAnsi="Times New Roman"/>
          <w:sz w:val="24"/>
        </w:rPr>
        <w:t>(2013) 178 at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02E1" w14:textId="77777777" w:rsidR="00207864" w:rsidRPr="00005D63" w:rsidRDefault="00207864" w:rsidP="00005D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787B" w14:textId="77777777" w:rsidR="00D546BA" w:rsidRDefault="00CE4181" w:rsidP="00D546B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5040FC78" w14:textId="77777777" w:rsidR="00D546BA" w:rsidRDefault="00A45C58" w:rsidP="00D546BA">
    <w:pPr>
      <w:pStyle w:val="Header"/>
      <w:tabs>
        <w:tab w:val="clear" w:pos="4153"/>
        <w:tab w:val="clear" w:pos="8306"/>
        <w:tab w:val="right" w:pos="1304"/>
      </w:tabs>
      <w:spacing w:line="280" w:lineRule="exact"/>
      <w:ind w:firstLine="0"/>
      <w:rPr>
        <w:rFonts w:ascii="Times New Roman" w:hAnsi="Times New Roman"/>
        <w:i/>
        <w:sz w:val="22"/>
      </w:rPr>
    </w:pPr>
  </w:p>
  <w:p w14:paraId="6822761C" w14:textId="77777777" w:rsidR="00D546BA" w:rsidRDefault="00CE4181" w:rsidP="00D546B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D1A0D4E" w14:textId="77777777" w:rsidR="00D546BA" w:rsidRPr="00D546BA" w:rsidRDefault="00A45C58" w:rsidP="00D546B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52BB" w14:textId="77777777" w:rsidR="00D546BA" w:rsidRDefault="00CE4181" w:rsidP="00D546B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6C61B529" w14:textId="77777777" w:rsidR="00D546BA" w:rsidRDefault="00A45C58" w:rsidP="00D546BA">
    <w:pPr>
      <w:pStyle w:val="Header"/>
      <w:tabs>
        <w:tab w:val="clear" w:pos="4153"/>
        <w:tab w:val="clear" w:pos="8306"/>
        <w:tab w:val="left" w:pos="7200"/>
        <w:tab w:val="right" w:pos="8504"/>
      </w:tabs>
      <w:spacing w:line="280" w:lineRule="exact"/>
      <w:jc w:val="right"/>
      <w:rPr>
        <w:rFonts w:ascii="Times New Roman" w:hAnsi="Times New Roman"/>
        <w:i/>
        <w:sz w:val="22"/>
      </w:rPr>
    </w:pPr>
  </w:p>
  <w:p w14:paraId="7B6FCEF1" w14:textId="77777777" w:rsidR="00D546BA" w:rsidRDefault="00CE4181" w:rsidP="00D546B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B62E6DE" w14:textId="77777777" w:rsidR="00D546BA" w:rsidRPr="00D546BA" w:rsidRDefault="00A45C58" w:rsidP="00D546B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2716" w14:textId="77777777" w:rsidR="00D546BA" w:rsidRDefault="00A45C58" w:rsidP="00D546BA">
    <w:pPr>
      <w:pStyle w:val="Header"/>
      <w:tabs>
        <w:tab w:val="clear" w:pos="4153"/>
        <w:tab w:val="clear" w:pos="8306"/>
        <w:tab w:val="center" w:pos="1134"/>
      </w:tabs>
      <w:spacing w:line="280" w:lineRule="exact"/>
      <w:ind w:firstLine="0"/>
      <w:rPr>
        <w:rFonts w:ascii="Times New Roman" w:hAnsi="Times New Roman"/>
        <w:i/>
        <w:sz w:val="22"/>
      </w:rPr>
    </w:pPr>
  </w:p>
  <w:p w14:paraId="089E4D8A" w14:textId="77777777" w:rsidR="00D546BA" w:rsidRDefault="00A45C58" w:rsidP="00D546BA">
    <w:pPr>
      <w:pStyle w:val="Header"/>
      <w:tabs>
        <w:tab w:val="clear" w:pos="4153"/>
        <w:tab w:val="clear" w:pos="8306"/>
        <w:tab w:val="center" w:pos="1134"/>
      </w:tabs>
      <w:spacing w:line="280" w:lineRule="exact"/>
      <w:ind w:firstLine="0"/>
      <w:rPr>
        <w:rFonts w:ascii="Times New Roman" w:hAnsi="Times New Roman"/>
        <w:i/>
        <w:sz w:val="22"/>
      </w:rPr>
    </w:pPr>
  </w:p>
  <w:p w14:paraId="3C1152BE" w14:textId="77777777" w:rsidR="00D546BA" w:rsidRDefault="00A45C58" w:rsidP="00D546BA">
    <w:pPr>
      <w:pStyle w:val="Header"/>
      <w:tabs>
        <w:tab w:val="clear" w:pos="4153"/>
        <w:tab w:val="clear" w:pos="8306"/>
        <w:tab w:val="center" w:pos="1134"/>
      </w:tabs>
      <w:spacing w:line="280" w:lineRule="exact"/>
      <w:ind w:firstLine="0"/>
      <w:rPr>
        <w:rFonts w:ascii="Times New Roman" w:hAnsi="Times New Roman"/>
        <w:i/>
        <w:sz w:val="22"/>
      </w:rPr>
    </w:pPr>
  </w:p>
  <w:p w14:paraId="7FA011EB" w14:textId="77777777" w:rsidR="00D40130" w:rsidRPr="00D546BA" w:rsidRDefault="00A45C58" w:rsidP="00D546BA">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1853" w14:textId="77777777" w:rsidR="003C5786" w:rsidRDefault="00CE4181" w:rsidP="003C578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288D974" w14:textId="77777777" w:rsidR="003C5786" w:rsidRDefault="00A45C58" w:rsidP="003C5786">
    <w:pPr>
      <w:pStyle w:val="Header"/>
      <w:tabs>
        <w:tab w:val="clear" w:pos="4153"/>
        <w:tab w:val="clear" w:pos="8306"/>
        <w:tab w:val="right" w:pos="1304"/>
      </w:tabs>
      <w:spacing w:line="280" w:lineRule="exact"/>
      <w:ind w:firstLine="0"/>
      <w:rPr>
        <w:rFonts w:ascii="Times New Roman" w:hAnsi="Times New Roman"/>
        <w:i/>
        <w:sz w:val="22"/>
      </w:rPr>
    </w:pPr>
  </w:p>
  <w:p w14:paraId="370B24E9" w14:textId="77777777" w:rsidR="003C5786" w:rsidRDefault="00CE4181" w:rsidP="003C578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93DC74" w14:textId="77777777" w:rsidR="003C5786" w:rsidRPr="003C5786" w:rsidRDefault="00A45C58" w:rsidP="003C578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FE70" w14:textId="77777777" w:rsidR="003C5786" w:rsidRDefault="00CE4181" w:rsidP="003C578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C31F0C6" w14:textId="77777777" w:rsidR="003C5786" w:rsidRDefault="00A45C58" w:rsidP="003C5786">
    <w:pPr>
      <w:pStyle w:val="Header"/>
      <w:tabs>
        <w:tab w:val="clear" w:pos="4153"/>
        <w:tab w:val="clear" w:pos="8306"/>
        <w:tab w:val="left" w:pos="7200"/>
        <w:tab w:val="right" w:pos="8504"/>
      </w:tabs>
      <w:spacing w:line="280" w:lineRule="exact"/>
      <w:jc w:val="right"/>
      <w:rPr>
        <w:rFonts w:ascii="Times New Roman" w:hAnsi="Times New Roman"/>
        <w:i/>
        <w:sz w:val="22"/>
      </w:rPr>
    </w:pPr>
  </w:p>
  <w:p w14:paraId="72EE867C" w14:textId="77777777" w:rsidR="003C5786" w:rsidRDefault="00CE4181" w:rsidP="003C578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3AA49D8" w14:textId="77777777" w:rsidR="003C5786" w:rsidRPr="003C5786" w:rsidRDefault="00A45C58" w:rsidP="003C578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E05F" w14:textId="77777777" w:rsidR="003C5786" w:rsidRDefault="00A45C58" w:rsidP="003C5786">
    <w:pPr>
      <w:pStyle w:val="Header"/>
      <w:tabs>
        <w:tab w:val="clear" w:pos="4153"/>
        <w:tab w:val="clear" w:pos="8306"/>
        <w:tab w:val="center" w:pos="1134"/>
      </w:tabs>
      <w:spacing w:line="280" w:lineRule="exact"/>
      <w:ind w:firstLine="0"/>
      <w:rPr>
        <w:rFonts w:ascii="Times New Roman" w:hAnsi="Times New Roman"/>
        <w:i/>
        <w:sz w:val="22"/>
      </w:rPr>
    </w:pPr>
  </w:p>
  <w:p w14:paraId="2B4C87BC" w14:textId="77777777" w:rsidR="003C5786" w:rsidRDefault="00A45C58" w:rsidP="003C5786">
    <w:pPr>
      <w:pStyle w:val="Header"/>
      <w:tabs>
        <w:tab w:val="clear" w:pos="4153"/>
        <w:tab w:val="clear" w:pos="8306"/>
        <w:tab w:val="center" w:pos="1134"/>
      </w:tabs>
      <w:spacing w:line="280" w:lineRule="exact"/>
      <w:ind w:firstLine="0"/>
      <w:rPr>
        <w:rFonts w:ascii="Times New Roman" w:hAnsi="Times New Roman"/>
        <w:i/>
        <w:sz w:val="22"/>
      </w:rPr>
    </w:pPr>
  </w:p>
  <w:p w14:paraId="32000E71" w14:textId="77777777" w:rsidR="003C5786" w:rsidRDefault="00A45C58" w:rsidP="003C5786">
    <w:pPr>
      <w:pStyle w:val="Header"/>
      <w:tabs>
        <w:tab w:val="clear" w:pos="4153"/>
        <w:tab w:val="clear" w:pos="8306"/>
        <w:tab w:val="center" w:pos="1134"/>
      </w:tabs>
      <w:spacing w:line="280" w:lineRule="exact"/>
      <w:ind w:firstLine="0"/>
      <w:rPr>
        <w:rFonts w:ascii="Times New Roman" w:hAnsi="Times New Roman"/>
        <w:i/>
        <w:sz w:val="22"/>
      </w:rPr>
    </w:pPr>
  </w:p>
  <w:p w14:paraId="4736C20B" w14:textId="77777777" w:rsidR="00E84682" w:rsidRPr="003C5786" w:rsidRDefault="00A45C58" w:rsidP="003C5786">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DA64" w14:textId="2252E47F" w:rsidR="00207864" w:rsidRPr="00005D63" w:rsidRDefault="00005D63" w:rsidP="00005D6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4664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4664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0CCA" w14:textId="09D0DC00" w:rsidR="0066064F" w:rsidRPr="00005D63" w:rsidRDefault="0066064F" w:rsidP="00005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1D19" w14:textId="77777777" w:rsidR="00005D63" w:rsidRPr="00207864" w:rsidRDefault="00005D63" w:rsidP="00207864">
    <w:pPr>
      <w:pStyle w:val="Header"/>
      <w:tabs>
        <w:tab w:val="clear" w:pos="4153"/>
        <w:tab w:val="clear" w:pos="8306"/>
        <w:tab w:val="right" w:pos="1304"/>
      </w:tabs>
      <w:spacing w:line="280" w:lineRule="exact"/>
      <w:ind w:firstLine="0"/>
      <w:rPr>
        <w:rFonts w:ascii="Times New Roman" w:hAnsi="Times New Roman"/>
        <w:i/>
        <w:sz w:val="22"/>
      </w:rPr>
    </w:pPr>
    <w:r w:rsidRPr="00207864">
      <w:rPr>
        <w:rFonts w:ascii="Times New Roman" w:hAnsi="Times New Roman"/>
        <w:i/>
        <w:sz w:val="22"/>
      </w:rPr>
      <w:t>Kiefel</w:t>
    </w:r>
    <w:r w:rsidRPr="00207864">
      <w:rPr>
        <w:rFonts w:ascii="Times New Roman" w:hAnsi="Times New Roman"/>
        <w:i/>
        <w:sz w:val="22"/>
      </w:rPr>
      <w:tab/>
      <w:t>CJ</w:t>
    </w:r>
  </w:p>
  <w:p w14:paraId="097AF4BE" w14:textId="77777777" w:rsidR="00005D63" w:rsidRPr="00207864" w:rsidRDefault="00005D63" w:rsidP="00207864">
    <w:pPr>
      <w:pStyle w:val="Header"/>
      <w:tabs>
        <w:tab w:val="clear" w:pos="4153"/>
        <w:tab w:val="clear" w:pos="8306"/>
        <w:tab w:val="right" w:pos="1304"/>
      </w:tabs>
      <w:spacing w:line="280" w:lineRule="exact"/>
      <w:ind w:firstLine="0"/>
      <w:rPr>
        <w:rFonts w:ascii="Times New Roman" w:hAnsi="Times New Roman"/>
        <w:i/>
        <w:sz w:val="22"/>
      </w:rPr>
    </w:pPr>
    <w:r w:rsidRPr="00207864">
      <w:rPr>
        <w:rFonts w:ascii="Times New Roman" w:hAnsi="Times New Roman"/>
        <w:i/>
        <w:sz w:val="22"/>
      </w:rPr>
      <w:t>Bell</w:t>
    </w:r>
    <w:r w:rsidRPr="00207864">
      <w:rPr>
        <w:rFonts w:ascii="Times New Roman" w:hAnsi="Times New Roman"/>
        <w:i/>
        <w:sz w:val="22"/>
      </w:rPr>
      <w:tab/>
      <w:t>J</w:t>
    </w:r>
  </w:p>
  <w:p w14:paraId="4D0BE5E4" w14:textId="77777777" w:rsidR="00005D63" w:rsidRPr="00207864" w:rsidRDefault="00005D63" w:rsidP="00207864">
    <w:pPr>
      <w:pStyle w:val="Header"/>
      <w:tabs>
        <w:tab w:val="clear" w:pos="4153"/>
        <w:tab w:val="clear" w:pos="8306"/>
        <w:tab w:val="right" w:pos="1304"/>
      </w:tabs>
      <w:spacing w:line="280" w:lineRule="exact"/>
      <w:ind w:firstLine="0"/>
      <w:rPr>
        <w:rFonts w:ascii="Times New Roman" w:hAnsi="Times New Roman"/>
        <w:i/>
        <w:sz w:val="22"/>
      </w:rPr>
    </w:pPr>
    <w:r w:rsidRPr="00207864">
      <w:rPr>
        <w:rFonts w:ascii="Times New Roman" w:hAnsi="Times New Roman"/>
        <w:i/>
        <w:sz w:val="22"/>
      </w:rPr>
      <w:t>Keane</w:t>
    </w:r>
    <w:r w:rsidRPr="00207864">
      <w:rPr>
        <w:rFonts w:ascii="Times New Roman" w:hAnsi="Times New Roman"/>
        <w:i/>
        <w:sz w:val="22"/>
      </w:rPr>
      <w:tab/>
      <w:t>J</w:t>
    </w:r>
  </w:p>
  <w:p w14:paraId="5C7F3B3F" w14:textId="77777777" w:rsidR="00005D63" w:rsidRDefault="00005D63" w:rsidP="0020786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810D920" w14:textId="77777777" w:rsidR="00005D63" w:rsidRDefault="00005D63" w:rsidP="00207864">
    <w:pPr>
      <w:pStyle w:val="Header"/>
      <w:tabs>
        <w:tab w:val="clear" w:pos="4153"/>
        <w:tab w:val="clear" w:pos="8306"/>
        <w:tab w:val="right" w:pos="1304"/>
      </w:tabs>
      <w:spacing w:line="280" w:lineRule="exact"/>
      <w:ind w:firstLine="0"/>
      <w:rPr>
        <w:rFonts w:ascii="Times New Roman" w:hAnsi="Times New Roman"/>
        <w:i/>
        <w:sz w:val="22"/>
      </w:rPr>
    </w:pPr>
  </w:p>
  <w:p w14:paraId="5966500E" w14:textId="77777777" w:rsidR="00005D63" w:rsidRDefault="00005D63" w:rsidP="0020786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51A021A" w14:textId="77777777" w:rsidR="00005D63" w:rsidRPr="00207864" w:rsidRDefault="00005D63" w:rsidP="0020786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84F3" w14:textId="77777777" w:rsidR="00005D63" w:rsidRPr="00207864" w:rsidRDefault="00005D63" w:rsidP="00207864">
    <w:pPr>
      <w:pStyle w:val="Header"/>
      <w:tabs>
        <w:tab w:val="clear" w:pos="4153"/>
        <w:tab w:val="clear" w:pos="8306"/>
        <w:tab w:val="left" w:pos="7200"/>
        <w:tab w:val="right" w:pos="8504"/>
      </w:tabs>
      <w:spacing w:line="280" w:lineRule="exact"/>
      <w:jc w:val="right"/>
      <w:rPr>
        <w:rFonts w:ascii="Times New Roman" w:hAnsi="Times New Roman"/>
        <w:i/>
        <w:sz w:val="22"/>
      </w:rPr>
    </w:pPr>
    <w:r w:rsidRPr="00207864">
      <w:rPr>
        <w:rFonts w:ascii="Times New Roman" w:hAnsi="Times New Roman"/>
        <w:i/>
        <w:sz w:val="22"/>
      </w:rPr>
      <w:tab/>
      <w:t>Kiefel</w:t>
    </w:r>
    <w:r w:rsidRPr="00207864">
      <w:rPr>
        <w:rFonts w:ascii="Times New Roman" w:hAnsi="Times New Roman"/>
        <w:i/>
        <w:sz w:val="22"/>
      </w:rPr>
      <w:tab/>
      <w:t>CJ</w:t>
    </w:r>
  </w:p>
  <w:p w14:paraId="64314261" w14:textId="77777777" w:rsidR="00005D63" w:rsidRPr="00207864" w:rsidRDefault="00005D63" w:rsidP="00207864">
    <w:pPr>
      <w:pStyle w:val="Header"/>
      <w:tabs>
        <w:tab w:val="clear" w:pos="4153"/>
        <w:tab w:val="clear" w:pos="8306"/>
        <w:tab w:val="left" w:pos="7200"/>
        <w:tab w:val="right" w:pos="8504"/>
      </w:tabs>
      <w:spacing w:line="280" w:lineRule="exact"/>
      <w:jc w:val="right"/>
      <w:rPr>
        <w:rFonts w:ascii="Times New Roman" w:hAnsi="Times New Roman"/>
        <w:i/>
        <w:sz w:val="22"/>
      </w:rPr>
    </w:pPr>
    <w:r w:rsidRPr="00207864">
      <w:rPr>
        <w:rFonts w:ascii="Times New Roman" w:hAnsi="Times New Roman"/>
        <w:i/>
        <w:sz w:val="22"/>
      </w:rPr>
      <w:tab/>
      <w:t>Bell</w:t>
    </w:r>
    <w:r w:rsidRPr="00207864">
      <w:rPr>
        <w:rFonts w:ascii="Times New Roman" w:hAnsi="Times New Roman"/>
        <w:i/>
        <w:sz w:val="22"/>
      </w:rPr>
      <w:tab/>
      <w:t>J</w:t>
    </w:r>
  </w:p>
  <w:p w14:paraId="50CC8251" w14:textId="77777777" w:rsidR="00005D63" w:rsidRPr="00207864" w:rsidRDefault="00005D63" w:rsidP="00207864">
    <w:pPr>
      <w:pStyle w:val="Header"/>
      <w:tabs>
        <w:tab w:val="clear" w:pos="4153"/>
        <w:tab w:val="clear" w:pos="8306"/>
        <w:tab w:val="left" w:pos="7200"/>
        <w:tab w:val="right" w:pos="8504"/>
      </w:tabs>
      <w:spacing w:line="280" w:lineRule="exact"/>
      <w:jc w:val="right"/>
      <w:rPr>
        <w:rFonts w:ascii="Times New Roman" w:hAnsi="Times New Roman"/>
        <w:i/>
        <w:sz w:val="22"/>
      </w:rPr>
    </w:pPr>
    <w:r w:rsidRPr="00207864">
      <w:rPr>
        <w:rFonts w:ascii="Times New Roman" w:hAnsi="Times New Roman"/>
        <w:i/>
        <w:sz w:val="22"/>
      </w:rPr>
      <w:tab/>
      <w:t>Keane</w:t>
    </w:r>
    <w:r w:rsidRPr="00207864">
      <w:rPr>
        <w:rFonts w:ascii="Times New Roman" w:hAnsi="Times New Roman"/>
        <w:i/>
        <w:sz w:val="22"/>
      </w:rPr>
      <w:tab/>
      <w:t>J</w:t>
    </w:r>
  </w:p>
  <w:p w14:paraId="50B039A9" w14:textId="77777777" w:rsidR="00005D63" w:rsidRDefault="00005D63" w:rsidP="0020786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3A0F93D" w14:textId="77777777" w:rsidR="00005D63" w:rsidRDefault="00005D63" w:rsidP="00207864">
    <w:pPr>
      <w:pStyle w:val="Header"/>
      <w:tabs>
        <w:tab w:val="clear" w:pos="4153"/>
        <w:tab w:val="clear" w:pos="8306"/>
        <w:tab w:val="left" w:pos="7200"/>
        <w:tab w:val="right" w:pos="8504"/>
      </w:tabs>
      <w:spacing w:line="280" w:lineRule="exact"/>
      <w:jc w:val="right"/>
      <w:rPr>
        <w:rFonts w:ascii="Times New Roman" w:hAnsi="Times New Roman"/>
        <w:i/>
        <w:sz w:val="22"/>
      </w:rPr>
    </w:pPr>
  </w:p>
  <w:p w14:paraId="218661C5" w14:textId="77777777" w:rsidR="00005D63" w:rsidRDefault="00005D63" w:rsidP="0020786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B61766B" w14:textId="77777777" w:rsidR="00005D63" w:rsidRPr="00207864" w:rsidRDefault="00005D63" w:rsidP="0020786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ACAC" w14:textId="77777777" w:rsidR="00005D63" w:rsidRDefault="00005D63" w:rsidP="00207864">
    <w:pPr>
      <w:pStyle w:val="Header"/>
      <w:tabs>
        <w:tab w:val="clear" w:pos="4153"/>
        <w:tab w:val="clear" w:pos="8306"/>
        <w:tab w:val="center" w:pos="1134"/>
      </w:tabs>
      <w:spacing w:line="280" w:lineRule="exact"/>
      <w:ind w:firstLine="0"/>
      <w:rPr>
        <w:rFonts w:ascii="Times New Roman" w:hAnsi="Times New Roman"/>
        <w:i/>
        <w:sz w:val="22"/>
      </w:rPr>
    </w:pPr>
  </w:p>
  <w:p w14:paraId="651429A9" w14:textId="77777777" w:rsidR="00005D63" w:rsidRDefault="00005D63" w:rsidP="00207864">
    <w:pPr>
      <w:pStyle w:val="Header"/>
      <w:tabs>
        <w:tab w:val="clear" w:pos="4153"/>
        <w:tab w:val="clear" w:pos="8306"/>
        <w:tab w:val="center" w:pos="1134"/>
      </w:tabs>
      <w:spacing w:line="280" w:lineRule="exact"/>
      <w:ind w:firstLine="0"/>
      <w:rPr>
        <w:rFonts w:ascii="Times New Roman" w:hAnsi="Times New Roman"/>
        <w:i/>
        <w:sz w:val="22"/>
      </w:rPr>
    </w:pPr>
  </w:p>
  <w:p w14:paraId="518F16CE" w14:textId="77777777" w:rsidR="00005D63" w:rsidRDefault="00005D63" w:rsidP="00207864">
    <w:pPr>
      <w:pStyle w:val="Header"/>
      <w:tabs>
        <w:tab w:val="clear" w:pos="4153"/>
        <w:tab w:val="clear" w:pos="8306"/>
        <w:tab w:val="center" w:pos="1134"/>
      </w:tabs>
      <w:spacing w:line="280" w:lineRule="exact"/>
      <w:ind w:firstLine="0"/>
      <w:rPr>
        <w:rFonts w:ascii="Times New Roman" w:hAnsi="Times New Roman"/>
        <w:i/>
        <w:sz w:val="22"/>
      </w:rPr>
    </w:pPr>
  </w:p>
  <w:p w14:paraId="796AB194" w14:textId="77777777" w:rsidR="00005D63" w:rsidRDefault="00005D63" w:rsidP="00207864">
    <w:pPr>
      <w:pStyle w:val="Header"/>
      <w:tabs>
        <w:tab w:val="clear" w:pos="4153"/>
        <w:tab w:val="clear" w:pos="8306"/>
        <w:tab w:val="center" w:pos="1134"/>
      </w:tabs>
      <w:spacing w:line="280" w:lineRule="exact"/>
      <w:ind w:firstLine="0"/>
      <w:rPr>
        <w:rFonts w:ascii="Times New Roman" w:hAnsi="Times New Roman"/>
        <w:i/>
        <w:sz w:val="22"/>
      </w:rPr>
    </w:pPr>
  </w:p>
  <w:p w14:paraId="0D2B6551" w14:textId="77777777" w:rsidR="00005D63" w:rsidRDefault="00005D63" w:rsidP="00207864">
    <w:pPr>
      <w:pStyle w:val="Header"/>
      <w:tabs>
        <w:tab w:val="clear" w:pos="4153"/>
        <w:tab w:val="clear" w:pos="8306"/>
        <w:tab w:val="center" w:pos="1134"/>
      </w:tabs>
      <w:spacing w:line="280" w:lineRule="exact"/>
      <w:ind w:firstLine="0"/>
      <w:rPr>
        <w:rFonts w:ascii="Times New Roman" w:hAnsi="Times New Roman"/>
        <w:i/>
        <w:sz w:val="22"/>
      </w:rPr>
    </w:pPr>
  </w:p>
  <w:p w14:paraId="54DA934A" w14:textId="77777777" w:rsidR="00005D63" w:rsidRDefault="00005D63" w:rsidP="00207864">
    <w:pPr>
      <w:pStyle w:val="Header"/>
      <w:tabs>
        <w:tab w:val="clear" w:pos="4153"/>
        <w:tab w:val="clear" w:pos="8306"/>
        <w:tab w:val="center" w:pos="1134"/>
      </w:tabs>
      <w:spacing w:line="280" w:lineRule="exact"/>
      <w:ind w:firstLine="0"/>
      <w:rPr>
        <w:rFonts w:ascii="Times New Roman" w:hAnsi="Times New Roman"/>
        <w:i/>
        <w:sz w:val="22"/>
      </w:rPr>
    </w:pPr>
  </w:p>
  <w:p w14:paraId="605166EE" w14:textId="77777777" w:rsidR="00005D63" w:rsidRPr="00207864" w:rsidRDefault="00005D63" w:rsidP="0020786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8637" w14:textId="77777777" w:rsidR="004C4BCF" w:rsidRDefault="00CE4181" w:rsidP="004C4BC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6ED2C092" w14:textId="77777777" w:rsidR="004C4BCF" w:rsidRDefault="00A45C58" w:rsidP="004C4BCF">
    <w:pPr>
      <w:pStyle w:val="Header"/>
      <w:tabs>
        <w:tab w:val="clear" w:pos="4153"/>
        <w:tab w:val="clear" w:pos="8306"/>
        <w:tab w:val="right" w:pos="1304"/>
      </w:tabs>
      <w:spacing w:line="280" w:lineRule="exact"/>
      <w:ind w:firstLine="0"/>
      <w:rPr>
        <w:rFonts w:ascii="Times New Roman" w:hAnsi="Times New Roman"/>
        <w:i/>
        <w:sz w:val="22"/>
      </w:rPr>
    </w:pPr>
  </w:p>
  <w:p w14:paraId="2632A404" w14:textId="77777777" w:rsidR="004C4BCF" w:rsidRDefault="00CE4181" w:rsidP="004C4BC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FCAF468" w14:textId="77777777" w:rsidR="004C4BCF" w:rsidRPr="004C4BCF" w:rsidRDefault="00A45C58" w:rsidP="004C4BC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6976" w14:textId="77777777" w:rsidR="004C4BCF" w:rsidRDefault="00CE4181" w:rsidP="004C4BC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3A8EC4B6" w14:textId="77777777" w:rsidR="004C4BCF" w:rsidRDefault="00A45C58" w:rsidP="004C4BCF">
    <w:pPr>
      <w:pStyle w:val="Header"/>
      <w:tabs>
        <w:tab w:val="clear" w:pos="4153"/>
        <w:tab w:val="clear" w:pos="8306"/>
        <w:tab w:val="left" w:pos="7200"/>
        <w:tab w:val="right" w:pos="8504"/>
      </w:tabs>
      <w:spacing w:line="280" w:lineRule="exact"/>
      <w:jc w:val="right"/>
      <w:rPr>
        <w:rFonts w:ascii="Times New Roman" w:hAnsi="Times New Roman"/>
        <w:i/>
        <w:sz w:val="22"/>
      </w:rPr>
    </w:pPr>
  </w:p>
  <w:p w14:paraId="121D42E0" w14:textId="77777777" w:rsidR="004C4BCF" w:rsidRDefault="00CE4181" w:rsidP="004C4BC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79B4D2A" w14:textId="77777777" w:rsidR="004C4BCF" w:rsidRPr="004C4BCF" w:rsidRDefault="00A45C58" w:rsidP="004C4BC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D927" w14:textId="77777777" w:rsidR="004C4BCF" w:rsidRDefault="00A45C58" w:rsidP="004C4BCF">
    <w:pPr>
      <w:pStyle w:val="Header"/>
      <w:tabs>
        <w:tab w:val="clear" w:pos="4153"/>
        <w:tab w:val="clear" w:pos="8306"/>
        <w:tab w:val="center" w:pos="1134"/>
      </w:tabs>
      <w:spacing w:line="280" w:lineRule="exact"/>
      <w:ind w:firstLine="0"/>
      <w:rPr>
        <w:rFonts w:ascii="Times New Roman" w:hAnsi="Times New Roman"/>
        <w:i/>
        <w:sz w:val="22"/>
      </w:rPr>
    </w:pPr>
  </w:p>
  <w:p w14:paraId="40ED9C96" w14:textId="77777777" w:rsidR="004C4BCF" w:rsidRDefault="00A45C58" w:rsidP="004C4BCF">
    <w:pPr>
      <w:pStyle w:val="Header"/>
      <w:tabs>
        <w:tab w:val="clear" w:pos="4153"/>
        <w:tab w:val="clear" w:pos="8306"/>
        <w:tab w:val="center" w:pos="1134"/>
      </w:tabs>
      <w:spacing w:line="280" w:lineRule="exact"/>
      <w:ind w:firstLine="0"/>
      <w:rPr>
        <w:rFonts w:ascii="Times New Roman" w:hAnsi="Times New Roman"/>
        <w:i/>
        <w:sz w:val="22"/>
      </w:rPr>
    </w:pPr>
  </w:p>
  <w:p w14:paraId="769D0426" w14:textId="77777777" w:rsidR="004C4BCF" w:rsidRDefault="00A45C58" w:rsidP="004C4BCF">
    <w:pPr>
      <w:pStyle w:val="Header"/>
      <w:tabs>
        <w:tab w:val="clear" w:pos="4153"/>
        <w:tab w:val="clear" w:pos="8306"/>
        <w:tab w:val="center" w:pos="1134"/>
      </w:tabs>
      <w:spacing w:line="280" w:lineRule="exact"/>
      <w:ind w:firstLine="0"/>
      <w:rPr>
        <w:rFonts w:ascii="Times New Roman" w:hAnsi="Times New Roman"/>
        <w:i/>
        <w:sz w:val="22"/>
      </w:rPr>
    </w:pPr>
  </w:p>
  <w:p w14:paraId="00B527F6" w14:textId="77777777" w:rsidR="00BF3620" w:rsidRPr="004C4BCF" w:rsidRDefault="00A45C58" w:rsidP="004C4BC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65C406A"/>
    <w:lvl w:ilvl="0">
      <w:start w:val="1"/>
      <w:numFmt w:val="none"/>
      <w:suff w:val="nothing"/>
      <w:lvlText w:val=""/>
      <w:lvlJc w:val="left"/>
      <w:pPr>
        <w:ind w:left="0" w:firstLine="0"/>
      </w:pPr>
      <w:rPr>
        <w:rFonts w:hint="default"/>
      </w:rPr>
    </w:lvl>
    <w:lvl w:ilvl="1">
      <w:start w:val="1"/>
      <w:numFmt w:val="upperRoman"/>
      <w:suff w:val="nothing"/>
      <w:lvlText w:val="%2  "/>
      <w:lvlJc w:val="left"/>
      <w:pPr>
        <w:ind w:left="0" w:firstLine="0"/>
      </w:pPr>
      <w:rPr>
        <w:rFonts w:hint="default"/>
        <w:b w:val="0"/>
        <w:i w:val="0"/>
      </w:rPr>
    </w:lvl>
    <w:lvl w:ilvl="2">
      <w:start w:val="1"/>
      <w:numFmt w:val="upperLetter"/>
      <w:suff w:val="nothing"/>
      <w:lvlText w:val="%3  "/>
      <w:lvlJc w:val="left"/>
      <w:pPr>
        <w:ind w:left="0" w:firstLine="0"/>
      </w:pPr>
      <w:rPr>
        <w:rFonts w:hint="default"/>
        <w:b w:val="0"/>
        <w:i w:val="0"/>
      </w:rPr>
    </w:lvl>
    <w:lvl w:ilvl="3">
      <w:start w:val="1"/>
      <w:numFmt w:val="decimal"/>
      <w:lvlText w:val="%4"/>
      <w:lvlJc w:val="left"/>
      <w:pPr>
        <w:tabs>
          <w:tab w:val="num" w:pos="1134"/>
        </w:tabs>
        <w:ind w:left="1134" w:hanging="567"/>
      </w:pPr>
      <w:rPr>
        <w:rFonts w:hint="default"/>
        <w:b w:val="0"/>
        <w:i/>
      </w:rPr>
    </w:lvl>
    <w:lvl w:ilvl="4">
      <w:start w:val="1"/>
      <w:numFmt w:val="lowerLetter"/>
      <w:lvlText w:val="(%5)  "/>
      <w:lvlJc w:val="left"/>
      <w:pPr>
        <w:tabs>
          <w:tab w:val="num" w:pos="567"/>
        </w:tabs>
        <w:ind w:left="567" w:firstLine="0"/>
      </w:pPr>
      <w:rPr>
        <w:rFonts w:hint="default"/>
      </w:rPr>
    </w:lvl>
    <w:lvl w:ilvl="5">
      <w:start w:val="1"/>
      <w:numFmt w:val="lowerRoman"/>
      <w:pStyle w:val="Heading6"/>
      <w:lvlText w:val="(%6)"/>
      <w:lvlJc w:val="left"/>
      <w:pPr>
        <w:tabs>
          <w:tab w:val="num" w:pos="1134"/>
        </w:tabs>
        <w:ind w:left="1134" w:firstLine="0"/>
      </w:pPr>
      <w:rPr>
        <w:rFonts w:hint="default"/>
      </w:rPr>
    </w:lvl>
    <w:lvl w:ilvl="6">
      <w:start w:val="1"/>
      <w:numFmt w:val="lowerRoman"/>
      <w:lvlText w:val="(%7)"/>
      <w:lvlJc w:val="left"/>
      <w:pPr>
        <w:tabs>
          <w:tab w:val="num" w:pos="360"/>
        </w:tabs>
        <w:ind w:left="708" w:hanging="708"/>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rPr>
    </w:lvl>
    <w:lvl w:ilvl="7">
      <w:start w:val="1"/>
      <w:numFmt w:val="lowerLetter"/>
      <w:lvlText w:val="(%8)"/>
      <w:lvlJc w:val="left"/>
      <w:pPr>
        <w:tabs>
          <w:tab w:val="num" w:pos="0"/>
        </w:tabs>
        <w:ind w:left="1416" w:hanging="708"/>
      </w:pPr>
      <w:rPr>
        <w:rFonts w:hint="default"/>
      </w:rPr>
    </w:lvl>
    <w:lvl w:ilvl="8">
      <w:start w:val="1"/>
      <w:numFmt w:val="lowerRoman"/>
      <w:lvlText w:val="(%9)"/>
      <w:lvlJc w:val="left"/>
      <w:pPr>
        <w:tabs>
          <w:tab w:val="num" w:pos="0"/>
        </w:tabs>
        <w:ind w:left="2124" w:hanging="708"/>
      </w:pPr>
      <w:rPr>
        <w:rFont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9EA2014"/>
    <w:multiLevelType w:val="multilevel"/>
    <w:tmpl w:val="AA9CC326"/>
    <w:lvl w:ilvl="0">
      <w:start w:val="1"/>
      <w:numFmt w:val="decimal"/>
      <w:pStyle w:val="Level1"/>
      <w:lvlText w:val="%1"/>
      <w:lvlJc w:val="left"/>
      <w:pPr>
        <w:ind w:left="587" w:hanging="567"/>
      </w:pPr>
      <w:rPr>
        <w:rFonts w:hint="default"/>
        <w:sz w:val="16"/>
        <w:szCs w:val="16"/>
      </w:rPr>
    </w:lvl>
    <w:lvl w:ilvl="1">
      <w:start w:val="1"/>
      <w:numFmt w:val="decimal"/>
      <w:pStyle w:val="Level2"/>
      <w:lvlText w:val="%1.%2"/>
      <w:lvlJc w:val="left"/>
      <w:pPr>
        <w:ind w:left="1154" w:hanging="567"/>
      </w:pPr>
      <w:rPr>
        <w:rFonts w:hint="default"/>
        <w:sz w:val="16"/>
        <w:szCs w:val="16"/>
      </w:rPr>
    </w:lvl>
    <w:lvl w:ilvl="2">
      <w:start w:val="1"/>
      <w:numFmt w:val="decimal"/>
      <w:lvlText w:val="[%1.%2.%3]"/>
      <w:lvlJc w:val="left"/>
      <w:pPr>
        <w:tabs>
          <w:tab w:val="num" w:pos="2005"/>
        </w:tabs>
        <w:ind w:left="2005" w:hanging="851"/>
      </w:pPr>
      <w:rPr>
        <w:rFonts w:hint="default"/>
        <w:sz w:val="18"/>
        <w:szCs w:val="18"/>
      </w:rPr>
    </w:lvl>
    <w:lvl w:ilvl="3">
      <w:start w:val="1"/>
      <w:numFmt w:val="decimal"/>
      <w:lvlText w:val="%1.%2.%3.%4"/>
      <w:lvlJc w:val="left"/>
      <w:pPr>
        <w:ind w:left="884" w:hanging="864"/>
      </w:pPr>
      <w:rPr>
        <w:rFonts w:hint="default"/>
      </w:rPr>
    </w:lvl>
    <w:lvl w:ilvl="4">
      <w:start w:val="1"/>
      <w:numFmt w:val="decimal"/>
      <w:lvlText w:val="%1.%2.%3.%4.%5"/>
      <w:lvlJc w:val="left"/>
      <w:pPr>
        <w:ind w:left="1028" w:hanging="1008"/>
      </w:pPr>
      <w:rPr>
        <w:rFonts w:hint="default"/>
      </w:rPr>
    </w:lvl>
    <w:lvl w:ilvl="5">
      <w:start w:val="1"/>
      <w:numFmt w:val="decimal"/>
      <w:lvlText w:val="%1.%2.%3.%4.%5.%6"/>
      <w:lvlJc w:val="left"/>
      <w:pPr>
        <w:ind w:left="1172" w:hanging="1152"/>
      </w:pPr>
      <w:rPr>
        <w:rFonts w:hint="default"/>
      </w:rPr>
    </w:lvl>
    <w:lvl w:ilvl="6">
      <w:start w:val="1"/>
      <w:numFmt w:val="decimal"/>
      <w:lvlText w:val="%1.%2.%3.%4.%5.%6.%7"/>
      <w:lvlJc w:val="left"/>
      <w:pPr>
        <w:ind w:left="1316" w:hanging="1296"/>
      </w:pPr>
      <w:rPr>
        <w:rFonts w:hint="default"/>
      </w:rPr>
    </w:lvl>
    <w:lvl w:ilvl="7">
      <w:start w:val="1"/>
      <w:numFmt w:val="decimal"/>
      <w:lvlText w:val="%1.%2.%3.%4.%5.%6.%7.%8"/>
      <w:lvlJc w:val="left"/>
      <w:pPr>
        <w:ind w:left="1460" w:hanging="1440"/>
      </w:pPr>
      <w:rPr>
        <w:rFonts w:hint="default"/>
      </w:rPr>
    </w:lvl>
    <w:lvl w:ilvl="8">
      <w:start w:val="1"/>
      <w:numFmt w:val="decimal"/>
      <w:lvlText w:val="%1.%2.%3.%4.%5.%6.%7.%8.%9"/>
      <w:lvlJc w:val="left"/>
      <w:pPr>
        <w:ind w:left="1604" w:hanging="1584"/>
      </w:pPr>
      <w:rPr>
        <w:rFonts w:hint="default"/>
      </w:r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2FB6623"/>
    <w:multiLevelType w:val="multilevel"/>
    <w:tmpl w:val="2A6E1B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F743063"/>
    <w:multiLevelType w:val="multilevel"/>
    <w:tmpl w:val="177E7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7F1CD8"/>
    <w:multiLevelType w:val="hybridMultilevel"/>
    <w:tmpl w:val="FED014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22"/>
  </w:num>
  <w:num w:numId="4">
    <w:abstractNumId w:val="15"/>
  </w:num>
  <w:num w:numId="5">
    <w:abstractNumId w:val="19"/>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2"/>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lvlOverride w:ilvl="0">
      <w:lvl w:ilvl="0">
        <w:start w:val="1"/>
        <w:numFmt w:val="decimal"/>
        <w:pStyle w:val="Level1"/>
        <w:lvlText w:val="%1"/>
        <w:lvlJc w:val="left"/>
        <w:pPr>
          <w:ind w:left="587" w:hanging="567"/>
        </w:pPr>
        <w:rPr>
          <w:rFonts w:hint="default"/>
          <w:sz w:val="24"/>
          <w:szCs w:val="16"/>
        </w:rPr>
      </w:lvl>
    </w:lvlOverride>
    <w:lvlOverride w:ilvl="1">
      <w:lvl w:ilvl="1">
        <w:start w:val="1"/>
        <w:numFmt w:val="decimal"/>
        <w:pStyle w:val="Level2"/>
        <w:lvlText w:val="%1.%2"/>
        <w:lvlJc w:val="left"/>
        <w:pPr>
          <w:ind w:left="1154" w:hanging="567"/>
        </w:pPr>
        <w:rPr>
          <w:rFonts w:ascii="Arial" w:hAnsi="Arial" w:cs="Arial" w:hint="default"/>
          <w:b w:val="0"/>
          <w:i w:val="0"/>
          <w:sz w:val="16"/>
          <w:szCs w:val="16"/>
        </w:rPr>
      </w:lvl>
    </w:lvlOverride>
    <w:lvlOverride w:ilvl="2">
      <w:lvl w:ilvl="2">
        <w:start w:val="1"/>
        <w:numFmt w:val="decimal"/>
        <w:lvlText w:val="%1.%2.%3"/>
        <w:lvlJc w:val="left"/>
        <w:pPr>
          <w:tabs>
            <w:tab w:val="num" w:pos="2005"/>
          </w:tabs>
          <w:ind w:left="2005" w:hanging="851"/>
        </w:pPr>
        <w:rPr>
          <w:rFonts w:hint="default"/>
          <w:sz w:val="18"/>
          <w:szCs w:val="18"/>
        </w:rPr>
      </w:lvl>
    </w:lvlOverride>
    <w:lvlOverride w:ilvl="3">
      <w:lvl w:ilvl="3">
        <w:start w:val="1"/>
        <w:numFmt w:val="decimal"/>
        <w:lvlText w:val="%1.%2.%3.%4"/>
        <w:lvlJc w:val="left"/>
        <w:pPr>
          <w:ind w:left="884" w:hanging="864"/>
        </w:pPr>
        <w:rPr>
          <w:rFonts w:hint="default"/>
        </w:rPr>
      </w:lvl>
    </w:lvlOverride>
    <w:lvlOverride w:ilvl="4">
      <w:lvl w:ilvl="4">
        <w:start w:val="1"/>
        <w:numFmt w:val="decimal"/>
        <w:lvlText w:val="%1.%2.%3.%4.%5"/>
        <w:lvlJc w:val="left"/>
        <w:pPr>
          <w:ind w:left="1028" w:hanging="1008"/>
        </w:pPr>
        <w:rPr>
          <w:rFonts w:hint="default"/>
        </w:rPr>
      </w:lvl>
    </w:lvlOverride>
    <w:lvlOverride w:ilvl="5">
      <w:lvl w:ilvl="5">
        <w:start w:val="1"/>
        <w:numFmt w:val="decimal"/>
        <w:lvlText w:val="%1.%2.%3.%4.%5.%6"/>
        <w:lvlJc w:val="left"/>
        <w:pPr>
          <w:ind w:left="1172" w:hanging="1152"/>
        </w:pPr>
        <w:rPr>
          <w:rFonts w:hint="default"/>
        </w:rPr>
      </w:lvl>
    </w:lvlOverride>
    <w:lvlOverride w:ilvl="6">
      <w:lvl w:ilvl="6">
        <w:start w:val="1"/>
        <w:numFmt w:val="decimal"/>
        <w:lvlText w:val="%1.%2.%3.%4.%5.%6.%7"/>
        <w:lvlJc w:val="left"/>
        <w:pPr>
          <w:ind w:left="1316" w:hanging="1296"/>
        </w:pPr>
        <w:rPr>
          <w:rFonts w:hint="default"/>
        </w:rPr>
      </w:lvl>
    </w:lvlOverride>
    <w:lvlOverride w:ilvl="7">
      <w:lvl w:ilvl="7">
        <w:start w:val="1"/>
        <w:numFmt w:val="decimal"/>
        <w:lvlText w:val="%1.%2.%3.%4.%5.%6.%7.%8"/>
        <w:lvlJc w:val="left"/>
        <w:pPr>
          <w:ind w:left="1460" w:hanging="1440"/>
        </w:pPr>
        <w:rPr>
          <w:rFonts w:hint="default"/>
        </w:rPr>
      </w:lvl>
    </w:lvlOverride>
    <w:lvlOverride w:ilvl="8">
      <w:lvl w:ilvl="8">
        <w:start w:val="1"/>
        <w:numFmt w:val="decimal"/>
        <w:lvlText w:val="%1.%2.%3.%4.%5.%6.%7.%8.%9"/>
        <w:lvlJc w:val="left"/>
        <w:pPr>
          <w:ind w:left="1604" w:hanging="1584"/>
        </w:pPr>
        <w:rPr>
          <w:rFonts w:hint="default"/>
        </w:rPr>
      </w:lvl>
    </w:lvlOverride>
  </w:num>
  <w:num w:numId="23">
    <w:abstractNumId w:val="20"/>
    <w:lvlOverride w:ilvl="0">
      <w:startOverride w:val="1"/>
    </w:lvlOverride>
  </w:num>
  <w:num w:numId="24">
    <w:abstractNumId w:val="20"/>
    <w:lvlOverride w:ilvl="0">
      <w:startOverride w:val="2"/>
    </w:lvlOverride>
  </w:num>
  <w:num w:numId="25">
    <w:abstractNumId w:val="17"/>
    <w:lvlOverride w:ilvl="0">
      <w:startOverride w:val="100"/>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94"/>
    <w:rsid w:val="0000000D"/>
    <w:rsid w:val="0000044D"/>
    <w:rsid w:val="000007DF"/>
    <w:rsid w:val="00000A61"/>
    <w:rsid w:val="0000105E"/>
    <w:rsid w:val="0000130C"/>
    <w:rsid w:val="000016DC"/>
    <w:rsid w:val="00001B8F"/>
    <w:rsid w:val="00001BED"/>
    <w:rsid w:val="00001EDD"/>
    <w:rsid w:val="00002069"/>
    <w:rsid w:val="0000211A"/>
    <w:rsid w:val="0000225D"/>
    <w:rsid w:val="0000229A"/>
    <w:rsid w:val="00002CE6"/>
    <w:rsid w:val="0000316A"/>
    <w:rsid w:val="00003186"/>
    <w:rsid w:val="0000379F"/>
    <w:rsid w:val="00003870"/>
    <w:rsid w:val="00003A20"/>
    <w:rsid w:val="00003DA6"/>
    <w:rsid w:val="00004059"/>
    <w:rsid w:val="000041F1"/>
    <w:rsid w:val="00004949"/>
    <w:rsid w:val="000049B7"/>
    <w:rsid w:val="00004BFE"/>
    <w:rsid w:val="00005037"/>
    <w:rsid w:val="00005930"/>
    <w:rsid w:val="00005D63"/>
    <w:rsid w:val="000067A2"/>
    <w:rsid w:val="00006AB5"/>
    <w:rsid w:val="00006B58"/>
    <w:rsid w:val="00007214"/>
    <w:rsid w:val="0000723C"/>
    <w:rsid w:val="00007822"/>
    <w:rsid w:val="00010F0A"/>
    <w:rsid w:val="000110A3"/>
    <w:rsid w:val="00011808"/>
    <w:rsid w:val="00011DC8"/>
    <w:rsid w:val="000121A1"/>
    <w:rsid w:val="00012A09"/>
    <w:rsid w:val="000135CB"/>
    <w:rsid w:val="00013692"/>
    <w:rsid w:val="00013EE5"/>
    <w:rsid w:val="00014661"/>
    <w:rsid w:val="000146A0"/>
    <w:rsid w:val="00014A09"/>
    <w:rsid w:val="00014A5C"/>
    <w:rsid w:val="00014B34"/>
    <w:rsid w:val="00015162"/>
    <w:rsid w:val="0001557F"/>
    <w:rsid w:val="00015E0D"/>
    <w:rsid w:val="000167FD"/>
    <w:rsid w:val="0001689C"/>
    <w:rsid w:val="000168C9"/>
    <w:rsid w:val="00016AAC"/>
    <w:rsid w:val="00016C20"/>
    <w:rsid w:val="00016D74"/>
    <w:rsid w:val="00016DBB"/>
    <w:rsid w:val="00017144"/>
    <w:rsid w:val="0001714D"/>
    <w:rsid w:val="0002021E"/>
    <w:rsid w:val="0002057A"/>
    <w:rsid w:val="00021200"/>
    <w:rsid w:val="00021469"/>
    <w:rsid w:val="00021A50"/>
    <w:rsid w:val="00021A53"/>
    <w:rsid w:val="00022810"/>
    <w:rsid w:val="000231BE"/>
    <w:rsid w:val="0002377E"/>
    <w:rsid w:val="00023A9D"/>
    <w:rsid w:val="00023C10"/>
    <w:rsid w:val="00024135"/>
    <w:rsid w:val="000242C0"/>
    <w:rsid w:val="00024334"/>
    <w:rsid w:val="0002433F"/>
    <w:rsid w:val="00024540"/>
    <w:rsid w:val="00024B1F"/>
    <w:rsid w:val="00024FAA"/>
    <w:rsid w:val="000250AF"/>
    <w:rsid w:val="0002529C"/>
    <w:rsid w:val="00025490"/>
    <w:rsid w:val="0002561E"/>
    <w:rsid w:val="00025745"/>
    <w:rsid w:val="00025D09"/>
    <w:rsid w:val="00025F8E"/>
    <w:rsid w:val="000264FA"/>
    <w:rsid w:val="00026602"/>
    <w:rsid w:val="00026696"/>
    <w:rsid w:val="000268E1"/>
    <w:rsid w:val="00027078"/>
    <w:rsid w:val="000270CF"/>
    <w:rsid w:val="000273B3"/>
    <w:rsid w:val="000276D0"/>
    <w:rsid w:val="0002784F"/>
    <w:rsid w:val="000279B3"/>
    <w:rsid w:val="000301B3"/>
    <w:rsid w:val="00030CC6"/>
    <w:rsid w:val="000312F5"/>
    <w:rsid w:val="000317D2"/>
    <w:rsid w:val="00031AE7"/>
    <w:rsid w:val="00031AF6"/>
    <w:rsid w:val="00032893"/>
    <w:rsid w:val="000329A8"/>
    <w:rsid w:val="00033467"/>
    <w:rsid w:val="000335AC"/>
    <w:rsid w:val="000339CF"/>
    <w:rsid w:val="0003427D"/>
    <w:rsid w:val="000347B8"/>
    <w:rsid w:val="00034992"/>
    <w:rsid w:val="00034C60"/>
    <w:rsid w:val="00034CD9"/>
    <w:rsid w:val="00034EB3"/>
    <w:rsid w:val="0003510D"/>
    <w:rsid w:val="0003542C"/>
    <w:rsid w:val="000354E4"/>
    <w:rsid w:val="0003575A"/>
    <w:rsid w:val="000359B5"/>
    <w:rsid w:val="00035BE5"/>
    <w:rsid w:val="000360EB"/>
    <w:rsid w:val="0003644E"/>
    <w:rsid w:val="00036503"/>
    <w:rsid w:val="000365C7"/>
    <w:rsid w:val="000368AE"/>
    <w:rsid w:val="00036DFD"/>
    <w:rsid w:val="000372B6"/>
    <w:rsid w:val="00037815"/>
    <w:rsid w:val="000378BA"/>
    <w:rsid w:val="00037A5F"/>
    <w:rsid w:val="00037D87"/>
    <w:rsid w:val="0004025A"/>
    <w:rsid w:val="000404C2"/>
    <w:rsid w:val="00040F49"/>
    <w:rsid w:val="00041AF8"/>
    <w:rsid w:val="00042A46"/>
    <w:rsid w:val="00042CC4"/>
    <w:rsid w:val="00043897"/>
    <w:rsid w:val="00043C13"/>
    <w:rsid w:val="00043D2C"/>
    <w:rsid w:val="00044126"/>
    <w:rsid w:val="000446C3"/>
    <w:rsid w:val="0004471D"/>
    <w:rsid w:val="00044B35"/>
    <w:rsid w:val="000465BB"/>
    <w:rsid w:val="00046812"/>
    <w:rsid w:val="00046A42"/>
    <w:rsid w:val="00046C92"/>
    <w:rsid w:val="000470AA"/>
    <w:rsid w:val="0004772C"/>
    <w:rsid w:val="00047B10"/>
    <w:rsid w:val="000503AB"/>
    <w:rsid w:val="00050488"/>
    <w:rsid w:val="000505BA"/>
    <w:rsid w:val="00050ABD"/>
    <w:rsid w:val="00050B65"/>
    <w:rsid w:val="00051399"/>
    <w:rsid w:val="00052485"/>
    <w:rsid w:val="00052C06"/>
    <w:rsid w:val="000533C0"/>
    <w:rsid w:val="0005368C"/>
    <w:rsid w:val="00053745"/>
    <w:rsid w:val="00053B72"/>
    <w:rsid w:val="00053CF5"/>
    <w:rsid w:val="00054DDE"/>
    <w:rsid w:val="000553A8"/>
    <w:rsid w:val="000555FA"/>
    <w:rsid w:val="00055796"/>
    <w:rsid w:val="00055ACD"/>
    <w:rsid w:val="00055EA3"/>
    <w:rsid w:val="0005658A"/>
    <w:rsid w:val="000567C3"/>
    <w:rsid w:val="00056D84"/>
    <w:rsid w:val="00056F27"/>
    <w:rsid w:val="000573AF"/>
    <w:rsid w:val="00057ACB"/>
    <w:rsid w:val="00057B35"/>
    <w:rsid w:val="000602B7"/>
    <w:rsid w:val="00060619"/>
    <w:rsid w:val="00060C57"/>
    <w:rsid w:val="00060E57"/>
    <w:rsid w:val="00061461"/>
    <w:rsid w:val="000615BD"/>
    <w:rsid w:val="0006169E"/>
    <w:rsid w:val="00061982"/>
    <w:rsid w:val="00061A97"/>
    <w:rsid w:val="00061E82"/>
    <w:rsid w:val="000626FD"/>
    <w:rsid w:val="00063124"/>
    <w:rsid w:val="00063372"/>
    <w:rsid w:val="000633A4"/>
    <w:rsid w:val="00063DBE"/>
    <w:rsid w:val="00064143"/>
    <w:rsid w:val="0006432B"/>
    <w:rsid w:val="0006437E"/>
    <w:rsid w:val="00064957"/>
    <w:rsid w:val="000649F5"/>
    <w:rsid w:val="000649FA"/>
    <w:rsid w:val="00064ABD"/>
    <w:rsid w:val="000650FC"/>
    <w:rsid w:val="0006519D"/>
    <w:rsid w:val="000653D4"/>
    <w:rsid w:val="000653DD"/>
    <w:rsid w:val="00065666"/>
    <w:rsid w:val="00065D16"/>
    <w:rsid w:val="00065E3F"/>
    <w:rsid w:val="000671F7"/>
    <w:rsid w:val="000702D9"/>
    <w:rsid w:val="00070499"/>
    <w:rsid w:val="00070C29"/>
    <w:rsid w:val="00071433"/>
    <w:rsid w:val="0007149B"/>
    <w:rsid w:val="000717D5"/>
    <w:rsid w:val="00071C35"/>
    <w:rsid w:val="00072190"/>
    <w:rsid w:val="0007363A"/>
    <w:rsid w:val="0007381C"/>
    <w:rsid w:val="000739A6"/>
    <w:rsid w:val="000743CD"/>
    <w:rsid w:val="0007473A"/>
    <w:rsid w:val="000748E9"/>
    <w:rsid w:val="0007496E"/>
    <w:rsid w:val="000750C4"/>
    <w:rsid w:val="0007576A"/>
    <w:rsid w:val="00075AEB"/>
    <w:rsid w:val="00075CC9"/>
    <w:rsid w:val="00075F50"/>
    <w:rsid w:val="0007656B"/>
    <w:rsid w:val="000771AC"/>
    <w:rsid w:val="00077A92"/>
    <w:rsid w:val="00077D39"/>
    <w:rsid w:val="00080528"/>
    <w:rsid w:val="000808A1"/>
    <w:rsid w:val="00080A1E"/>
    <w:rsid w:val="00080AF8"/>
    <w:rsid w:val="00080D77"/>
    <w:rsid w:val="00080F21"/>
    <w:rsid w:val="00081185"/>
    <w:rsid w:val="000811D0"/>
    <w:rsid w:val="000813BE"/>
    <w:rsid w:val="0008150C"/>
    <w:rsid w:val="0008199C"/>
    <w:rsid w:val="00081BC7"/>
    <w:rsid w:val="00081DC1"/>
    <w:rsid w:val="0008208D"/>
    <w:rsid w:val="000824BC"/>
    <w:rsid w:val="00082830"/>
    <w:rsid w:val="00082F6D"/>
    <w:rsid w:val="0008314E"/>
    <w:rsid w:val="00083D85"/>
    <w:rsid w:val="0008435D"/>
    <w:rsid w:val="00084A72"/>
    <w:rsid w:val="00085006"/>
    <w:rsid w:val="0008512D"/>
    <w:rsid w:val="00085130"/>
    <w:rsid w:val="0008558C"/>
    <w:rsid w:val="00085936"/>
    <w:rsid w:val="00085F13"/>
    <w:rsid w:val="00086B5C"/>
    <w:rsid w:val="000870C7"/>
    <w:rsid w:val="000874C7"/>
    <w:rsid w:val="00087616"/>
    <w:rsid w:val="00087786"/>
    <w:rsid w:val="00087796"/>
    <w:rsid w:val="00087C66"/>
    <w:rsid w:val="00087E56"/>
    <w:rsid w:val="00087ECB"/>
    <w:rsid w:val="000903D1"/>
    <w:rsid w:val="0009041A"/>
    <w:rsid w:val="0009059E"/>
    <w:rsid w:val="00090AE4"/>
    <w:rsid w:val="00090B80"/>
    <w:rsid w:val="000911BB"/>
    <w:rsid w:val="000914DA"/>
    <w:rsid w:val="0009187D"/>
    <w:rsid w:val="0009296F"/>
    <w:rsid w:val="000930D0"/>
    <w:rsid w:val="00093279"/>
    <w:rsid w:val="00093819"/>
    <w:rsid w:val="00093C25"/>
    <w:rsid w:val="00093EAB"/>
    <w:rsid w:val="00094179"/>
    <w:rsid w:val="000947C8"/>
    <w:rsid w:val="00094E71"/>
    <w:rsid w:val="00095112"/>
    <w:rsid w:val="00095993"/>
    <w:rsid w:val="00095B21"/>
    <w:rsid w:val="000960A7"/>
    <w:rsid w:val="00096557"/>
    <w:rsid w:val="000966C9"/>
    <w:rsid w:val="00096781"/>
    <w:rsid w:val="000967AA"/>
    <w:rsid w:val="00096B81"/>
    <w:rsid w:val="00096F5E"/>
    <w:rsid w:val="000975BD"/>
    <w:rsid w:val="000A0112"/>
    <w:rsid w:val="000A0CCF"/>
    <w:rsid w:val="000A0D2F"/>
    <w:rsid w:val="000A126A"/>
    <w:rsid w:val="000A1562"/>
    <w:rsid w:val="000A177A"/>
    <w:rsid w:val="000A1B2B"/>
    <w:rsid w:val="000A1BBF"/>
    <w:rsid w:val="000A1BFE"/>
    <w:rsid w:val="000A1EC8"/>
    <w:rsid w:val="000A2504"/>
    <w:rsid w:val="000A262A"/>
    <w:rsid w:val="000A2753"/>
    <w:rsid w:val="000A28A2"/>
    <w:rsid w:val="000A28D4"/>
    <w:rsid w:val="000A2A17"/>
    <w:rsid w:val="000A2E28"/>
    <w:rsid w:val="000A2EB4"/>
    <w:rsid w:val="000A3138"/>
    <w:rsid w:val="000A39EF"/>
    <w:rsid w:val="000A419E"/>
    <w:rsid w:val="000A46BF"/>
    <w:rsid w:val="000A4703"/>
    <w:rsid w:val="000A4A35"/>
    <w:rsid w:val="000A5CAB"/>
    <w:rsid w:val="000A5FFD"/>
    <w:rsid w:val="000A60B9"/>
    <w:rsid w:val="000A63C6"/>
    <w:rsid w:val="000A6948"/>
    <w:rsid w:val="000A7623"/>
    <w:rsid w:val="000A782F"/>
    <w:rsid w:val="000A7B4F"/>
    <w:rsid w:val="000B0237"/>
    <w:rsid w:val="000B0869"/>
    <w:rsid w:val="000B1A83"/>
    <w:rsid w:val="000B1AF0"/>
    <w:rsid w:val="000B1C7E"/>
    <w:rsid w:val="000B1EE4"/>
    <w:rsid w:val="000B20AB"/>
    <w:rsid w:val="000B225B"/>
    <w:rsid w:val="000B2435"/>
    <w:rsid w:val="000B27E6"/>
    <w:rsid w:val="000B27E9"/>
    <w:rsid w:val="000B3246"/>
    <w:rsid w:val="000B35B2"/>
    <w:rsid w:val="000B3F8C"/>
    <w:rsid w:val="000B4222"/>
    <w:rsid w:val="000B433E"/>
    <w:rsid w:val="000B4630"/>
    <w:rsid w:val="000B494A"/>
    <w:rsid w:val="000B497F"/>
    <w:rsid w:val="000B4B58"/>
    <w:rsid w:val="000B4EF8"/>
    <w:rsid w:val="000B4F58"/>
    <w:rsid w:val="000B4F82"/>
    <w:rsid w:val="000B4FDD"/>
    <w:rsid w:val="000B57AC"/>
    <w:rsid w:val="000B5CCF"/>
    <w:rsid w:val="000B5E62"/>
    <w:rsid w:val="000B61EA"/>
    <w:rsid w:val="000B6858"/>
    <w:rsid w:val="000B710D"/>
    <w:rsid w:val="000B7377"/>
    <w:rsid w:val="000B7558"/>
    <w:rsid w:val="000B7ABC"/>
    <w:rsid w:val="000C0166"/>
    <w:rsid w:val="000C0277"/>
    <w:rsid w:val="000C032E"/>
    <w:rsid w:val="000C0494"/>
    <w:rsid w:val="000C04DC"/>
    <w:rsid w:val="000C0D98"/>
    <w:rsid w:val="000C159E"/>
    <w:rsid w:val="000C1843"/>
    <w:rsid w:val="000C1A7A"/>
    <w:rsid w:val="000C21E7"/>
    <w:rsid w:val="000C27F6"/>
    <w:rsid w:val="000C2951"/>
    <w:rsid w:val="000C2A71"/>
    <w:rsid w:val="000C2E54"/>
    <w:rsid w:val="000C3219"/>
    <w:rsid w:val="000C4534"/>
    <w:rsid w:val="000C45B5"/>
    <w:rsid w:val="000C4BF8"/>
    <w:rsid w:val="000C536B"/>
    <w:rsid w:val="000C5432"/>
    <w:rsid w:val="000C543A"/>
    <w:rsid w:val="000C57DA"/>
    <w:rsid w:val="000C588E"/>
    <w:rsid w:val="000C5A4B"/>
    <w:rsid w:val="000C6288"/>
    <w:rsid w:val="000C6E80"/>
    <w:rsid w:val="000C7005"/>
    <w:rsid w:val="000C74F0"/>
    <w:rsid w:val="000C7A8B"/>
    <w:rsid w:val="000C7ABC"/>
    <w:rsid w:val="000D04CF"/>
    <w:rsid w:val="000D07CF"/>
    <w:rsid w:val="000D0883"/>
    <w:rsid w:val="000D1C06"/>
    <w:rsid w:val="000D1EDD"/>
    <w:rsid w:val="000D2217"/>
    <w:rsid w:val="000D24EC"/>
    <w:rsid w:val="000D25E6"/>
    <w:rsid w:val="000D25E7"/>
    <w:rsid w:val="000D299A"/>
    <w:rsid w:val="000D357F"/>
    <w:rsid w:val="000D3924"/>
    <w:rsid w:val="000D3C06"/>
    <w:rsid w:val="000D423E"/>
    <w:rsid w:val="000D461B"/>
    <w:rsid w:val="000D4A05"/>
    <w:rsid w:val="000D574D"/>
    <w:rsid w:val="000D5B28"/>
    <w:rsid w:val="000D65BF"/>
    <w:rsid w:val="000D6834"/>
    <w:rsid w:val="000D6E1C"/>
    <w:rsid w:val="000D7067"/>
    <w:rsid w:val="000D7B90"/>
    <w:rsid w:val="000D7C0C"/>
    <w:rsid w:val="000D7D4B"/>
    <w:rsid w:val="000D7F47"/>
    <w:rsid w:val="000E00A9"/>
    <w:rsid w:val="000E04C8"/>
    <w:rsid w:val="000E10E7"/>
    <w:rsid w:val="000E178A"/>
    <w:rsid w:val="000E1876"/>
    <w:rsid w:val="000E1CD2"/>
    <w:rsid w:val="000E1D5D"/>
    <w:rsid w:val="000E1F6F"/>
    <w:rsid w:val="000E2B3D"/>
    <w:rsid w:val="000E3413"/>
    <w:rsid w:val="000E35D7"/>
    <w:rsid w:val="000E38BD"/>
    <w:rsid w:val="000E405F"/>
    <w:rsid w:val="000E4A97"/>
    <w:rsid w:val="000E4EE2"/>
    <w:rsid w:val="000E512F"/>
    <w:rsid w:val="000E560B"/>
    <w:rsid w:val="000E5B1C"/>
    <w:rsid w:val="000E5FF4"/>
    <w:rsid w:val="000E643C"/>
    <w:rsid w:val="000E64F6"/>
    <w:rsid w:val="000E6575"/>
    <w:rsid w:val="000E65F7"/>
    <w:rsid w:val="000E6832"/>
    <w:rsid w:val="000E6A7F"/>
    <w:rsid w:val="000E7101"/>
    <w:rsid w:val="000E7357"/>
    <w:rsid w:val="000E79C7"/>
    <w:rsid w:val="000F033A"/>
    <w:rsid w:val="000F03BC"/>
    <w:rsid w:val="000F0E0E"/>
    <w:rsid w:val="000F12AB"/>
    <w:rsid w:val="000F1345"/>
    <w:rsid w:val="000F1409"/>
    <w:rsid w:val="000F1A2E"/>
    <w:rsid w:val="000F1F50"/>
    <w:rsid w:val="000F24C7"/>
    <w:rsid w:val="000F2B0E"/>
    <w:rsid w:val="000F3E91"/>
    <w:rsid w:val="000F4154"/>
    <w:rsid w:val="000F4C4A"/>
    <w:rsid w:val="000F4F39"/>
    <w:rsid w:val="000F4FAA"/>
    <w:rsid w:val="000F5D0B"/>
    <w:rsid w:val="000F62C6"/>
    <w:rsid w:val="000F6A6D"/>
    <w:rsid w:val="000F792F"/>
    <w:rsid w:val="000F7BDE"/>
    <w:rsid w:val="00100050"/>
    <w:rsid w:val="001001B9"/>
    <w:rsid w:val="0010078C"/>
    <w:rsid w:val="0010082E"/>
    <w:rsid w:val="00100EC2"/>
    <w:rsid w:val="00101278"/>
    <w:rsid w:val="001013B9"/>
    <w:rsid w:val="00101CE4"/>
    <w:rsid w:val="00102254"/>
    <w:rsid w:val="00102846"/>
    <w:rsid w:val="001028E0"/>
    <w:rsid w:val="00102E79"/>
    <w:rsid w:val="001030C3"/>
    <w:rsid w:val="001033E6"/>
    <w:rsid w:val="001036B5"/>
    <w:rsid w:val="001036D6"/>
    <w:rsid w:val="00103C51"/>
    <w:rsid w:val="00103FEC"/>
    <w:rsid w:val="00104686"/>
    <w:rsid w:val="00104EDE"/>
    <w:rsid w:val="001054FF"/>
    <w:rsid w:val="00105789"/>
    <w:rsid w:val="0010585B"/>
    <w:rsid w:val="00105C21"/>
    <w:rsid w:val="00106610"/>
    <w:rsid w:val="0010669C"/>
    <w:rsid w:val="00106B52"/>
    <w:rsid w:val="00106D31"/>
    <w:rsid w:val="0010702C"/>
    <w:rsid w:val="00110277"/>
    <w:rsid w:val="00110495"/>
    <w:rsid w:val="00110970"/>
    <w:rsid w:val="00111214"/>
    <w:rsid w:val="001112EB"/>
    <w:rsid w:val="00111324"/>
    <w:rsid w:val="00111568"/>
    <w:rsid w:val="00111C0A"/>
    <w:rsid w:val="001120C0"/>
    <w:rsid w:val="001134AC"/>
    <w:rsid w:val="0011413C"/>
    <w:rsid w:val="0011436C"/>
    <w:rsid w:val="0011451A"/>
    <w:rsid w:val="00114BD8"/>
    <w:rsid w:val="001150BF"/>
    <w:rsid w:val="001152A0"/>
    <w:rsid w:val="00115477"/>
    <w:rsid w:val="00115EB0"/>
    <w:rsid w:val="001168F2"/>
    <w:rsid w:val="00116CA3"/>
    <w:rsid w:val="001171D0"/>
    <w:rsid w:val="00117593"/>
    <w:rsid w:val="00117FDF"/>
    <w:rsid w:val="00120207"/>
    <w:rsid w:val="0012030F"/>
    <w:rsid w:val="00120697"/>
    <w:rsid w:val="00120BD7"/>
    <w:rsid w:val="00121457"/>
    <w:rsid w:val="00122153"/>
    <w:rsid w:val="001221E7"/>
    <w:rsid w:val="00122834"/>
    <w:rsid w:val="00122D55"/>
    <w:rsid w:val="00123092"/>
    <w:rsid w:val="00123127"/>
    <w:rsid w:val="00123356"/>
    <w:rsid w:val="001235C4"/>
    <w:rsid w:val="00123C1B"/>
    <w:rsid w:val="00123C4B"/>
    <w:rsid w:val="00123E29"/>
    <w:rsid w:val="001243CB"/>
    <w:rsid w:val="0012455C"/>
    <w:rsid w:val="00125138"/>
    <w:rsid w:val="001255F7"/>
    <w:rsid w:val="00125A32"/>
    <w:rsid w:val="00125B04"/>
    <w:rsid w:val="00125E3C"/>
    <w:rsid w:val="00126954"/>
    <w:rsid w:val="001269D1"/>
    <w:rsid w:val="00127044"/>
    <w:rsid w:val="00127142"/>
    <w:rsid w:val="00127527"/>
    <w:rsid w:val="00127656"/>
    <w:rsid w:val="001277BD"/>
    <w:rsid w:val="001303F0"/>
    <w:rsid w:val="0013055D"/>
    <w:rsid w:val="00130BB0"/>
    <w:rsid w:val="00130E32"/>
    <w:rsid w:val="0013113A"/>
    <w:rsid w:val="00131217"/>
    <w:rsid w:val="0013179B"/>
    <w:rsid w:val="001319A0"/>
    <w:rsid w:val="00131F89"/>
    <w:rsid w:val="00132115"/>
    <w:rsid w:val="00132162"/>
    <w:rsid w:val="001324E9"/>
    <w:rsid w:val="00132574"/>
    <w:rsid w:val="001329B6"/>
    <w:rsid w:val="00133092"/>
    <w:rsid w:val="001338B7"/>
    <w:rsid w:val="00133E7E"/>
    <w:rsid w:val="00134135"/>
    <w:rsid w:val="00134364"/>
    <w:rsid w:val="0013456F"/>
    <w:rsid w:val="00134697"/>
    <w:rsid w:val="001346B7"/>
    <w:rsid w:val="001346E4"/>
    <w:rsid w:val="00134976"/>
    <w:rsid w:val="00134F2F"/>
    <w:rsid w:val="00134FE4"/>
    <w:rsid w:val="00135050"/>
    <w:rsid w:val="001352D4"/>
    <w:rsid w:val="0013550C"/>
    <w:rsid w:val="00135A71"/>
    <w:rsid w:val="00135F72"/>
    <w:rsid w:val="00136043"/>
    <w:rsid w:val="00136135"/>
    <w:rsid w:val="00136326"/>
    <w:rsid w:val="00136F4F"/>
    <w:rsid w:val="00137294"/>
    <w:rsid w:val="0013787F"/>
    <w:rsid w:val="001378B6"/>
    <w:rsid w:val="001378BE"/>
    <w:rsid w:val="00137A05"/>
    <w:rsid w:val="00137A51"/>
    <w:rsid w:val="00137D3A"/>
    <w:rsid w:val="00137F9E"/>
    <w:rsid w:val="0014030C"/>
    <w:rsid w:val="00140673"/>
    <w:rsid w:val="001406C6"/>
    <w:rsid w:val="001407F2"/>
    <w:rsid w:val="00140D29"/>
    <w:rsid w:val="00141102"/>
    <w:rsid w:val="00141464"/>
    <w:rsid w:val="0014199B"/>
    <w:rsid w:val="00142072"/>
    <w:rsid w:val="0014227A"/>
    <w:rsid w:val="0014257D"/>
    <w:rsid w:val="00142E1B"/>
    <w:rsid w:val="00142F28"/>
    <w:rsid w:val="001433FB"/>
    <w:rsid w:val="00143FCB"/>
    <w:rsid w:val="0014445F"/>
    <w:rsid w:val="0014487F"/>
    <w:rsid w:val="00145132"/>
    <w:rsid w:val="00145627"/>
    <w:rsid w:val="00146188"/>
    <w:rsid w:val="001463FA"/>
    <w:rsid w:val="00146A41"/>
    <w:rsid w:val="00146D71"/>
    <w:rsid w:val="00146DFC"/>
    <w:rsid w:val="00147336"/>
    <w:rsid w:val="00147A7A"/>
    <w:rsid w:val="00147B45"/>
    <w:rsid w:val="00150466"/>
    <w:rsid w:val="00150A76"/>
    <w:rsid w:val="00150F82"/>
    <w:rsid w:val="0015103E"/>
    <w:rsid w:val="0015155E"/>
    <w:rsid w:val="00151659"/>
    <w:rsid w:val="00151679"/>
    <w:rsid w:val="0015214D"/>
    <w:rsid w:val="001524E3"/>
    <w:rsid w:val="0015292B"/>
    <w:rsid w:val="00152F8B"/>
    <w:rsid w:val="0015318E"/>
    <w:rsid w:val="001533B0"/>
    <w:rsid w:val="0015343F"/>
    <w:rsid w:val="0015439A"/>
    <w:rsid w:val="001543C2"/>
    <w:rsid w:val="00154592"/>
    <w:rsid w:val="0015496A"/>
    <w:rsid w:val="00154C40"/>
    <w:rsid w:val="00155862"/>
    <w:rsid w:val="001558FE"/>
    <w:rsid w:val="0015596E"/>
    <w:rsid w:val="00155B42"/>
    <w:rsid w:val="00155B43"/>
    <w:rsid w:val="00155BD1"/>
    <w:rsid w:val="00155DDC"/>
    <w:rsid w:val="00156318"/>
    <w:rsid w:val="00156A94"/>
    <w:rsid w:val="00157368"/>
    <w:rsid w:val="001577C0"/>
    <w:rsid w:val="00157AF2"/>
    <w:rsid w:val="00157DBC"/>
    <w:rsid w:val="00160049"/>
    <w:rsid w:val="0016037C"/>
    <w:rsid w:val="001603F2"/>
    <w:rsid w:val="00160EB8"/>
    <w:rsid w:val="0016131E"/>
    <w:rsid w:val="001614B4"/>
    <w:rsid w:val="0016190A"/>
    <w:rsid w:val="00161961"/>
    <w:rsid w:val="001620DC"/>
    <w:rsid w:val="0016214F"/>
    <w:rsid w:val="001629DC"/>
    <w:rsid w:val="001629E1"/>
    <w:rsid w:val="00162F4A"/>
    <w:rsid w:val="0016319C"/>
    <w:rsid w:val="0016323D"/>
    <w:rsid w:val="00163BDE"/>
    <w:rsid w:val="00163CCC"/>
    <w:rsid w:val="00163D92"/>
    <w:rsid w:val="00164069"/>
    <w:rsid w:val="00164144"/>
    <w:rsid w:val="00164A05"/>
    <w:rsid w:val="00164BBF"/>
    <w:rsid w:val="00165015"/>
    <w:rsid w:val="0016513B"/>
    <w:rsid w:val="001652DD"/>
    <w:rsid w:val="00165423"/>
    <w:rsid w:val="00165993"/>
    <w:rsid w:val="00165C5F"/>
    <w:rsid w:val="00166E3A"/>
    <w:rsid w:val="00166E52"/>
    <w:rsid w:val="00166FFC"/>
    <w:rsid w:val="0016739C"/>
    <w:rsid w:val="001677DE"/>
    <w:rsid w:val="00167A03"/>
    <w:rsid w:val="00167AAB"/>
    <w:rsid w:val="00167AD5"/>
    <w:rsid w:val="00167B10"/>
    <w:rsid w:val="0017003D"/>
    <w:rsid w:val="001702F2"/>
    <w:rsid w:val="00170433"/>
    <w:rsid w:val="0017050E"/>
    <w:rsid w:val="00170A75"/>
    <w:rsid w:val="00170AFB"/>
    <w:rsid w:val="00170D36"/>
    <w:rsid w:val="00170D53"/>
    <w:rsid w:val="00170DBB"/>
    <w:rsid w:val="00171817"/>
    <w:rsid w:val="00171C2B"/>
    <w:rsid w:val="00172ADE"/>
    <w:rsid w:val="00172B5B"/>
    <w:rsid w:val="00172BD7"/>
    <w:rsid w:val="001734E0"/>
    <w:rsid w:val="00174550"/>
    <w:rsid w:val="00175703"/>
    <w:rsid w:val="001758DE"/>
    <w:rsid w:val="00175901"/>
    <w:rsid w:val="0017674C"/>
    <w:rsid w:val="00176819"/>
    <w:rsid w:val="00176D25"/>
    <w:rsid w:val="00176EED"/>
    <w:rsid w:val="001772DD"/>
    <w:rsid w:val="00177362"/>
    <w:rsid w:val="0017748B"/>
    <w:rsid w:val="00177963"/>
    <w:rsid w:val="00180151"/>
    <w:rsid w:val="00180316"/>
    <w:rsid w:val="0018079B"/>
    <w:rsid w:val="00180829"/>
    <w:rsid w:val="00180BC2"/>
    <w:rsid w:val="00180E49"/>
    <w:rsid w:val="0018171A"/>
    <w:rsid w:val="00181E60"/>
    <w:rsid w:val="00181EBA"/>
    <w:rsid w:val="001823AE"/>
    <w:rsid w:val="00182A1E"/>
    <w:rsid w:val="00183109"/>
    <w:rsid w:val="0018342E"/>
    <w:rsid w:val="00183D44"/>
    <w:rsid w:val="0018407F"/>
    <w:rsid w:val="001840C2"/>
    <w:rsid w:val="00184310"/>
    <w:rsid w:val="0018443C"/>
    <w:rsid w:val="0018475E"/>
    <w:rsid w:val="00184B46"/>
    <w:rsid w:val="00184D44"/>
    <w:rsid w:val="00184E92"/>
    <w:rsid w:val="00184FB5"/>
    <w:rsid w:val="0018587B"/>
    <w:rsid w:val="00185939"/>
    <w:rsid w:val="00185F18"/>
    <w:rsid w:val="001863B0"/>
    <w:rsid w:val="001866AA"/>
    <w:rsid w:val="00186CFD"/>
    <w:rsid w:val="001876F6"/>
    <w:rsid w:val="001878D8"/>
    <w:rsid w:val="00187CB6"/>
    <w:rsid w:val="0019026A"/>
    <w:rsid w:val="001908F3"/>
    <w:rsid w:val="0019090C"/>
    <w:rsid w:val="0019166D"/>
    <w:rsid w:val="00191F24"/>
    <w:rsid w:val="00192677"/>
    <w:rsid w:val="001928E5"/>
    <w:rsid w:val="00192959"/>
    <w:rsid w:val="00192B4F"/>
    <w:rsid w:val="0019371D"/>
    <w:rsid w:val="00193B6B"/>
    <w:rsid w:val="00193BE2"/>
    <w:rsid w:val="00193C64"/>
    <w:rsid w:val="00193E7E"/>
    <w:rsid w:val="00193EB9"/>
    <w:rsid w:val="00193EDC"/>
    <w:rsid w:val="00194005"/>
    <w:rsid w:val="0019491F"/>
    <w:rsid w:val="001953B1"/>
    <w:rsid w:val="00195420"/>
    <w:rsid w:val="001955EE"/>
    <w:rsid w:val="001959DF"/>
    <w:rsid w:val="00195B9B"/>
    <w:rsid w:val="00195F4D"/>
    <w:rsid w:val="0019623E"/>
    <w:rsid w:val="001963C0"/>
    <w:rsid w:val="00196FBC"/>
    <w:rsid w:val="001978FB"/>
    <w:rsid w:val="00197956"/>
    <w:rsid w:val="001A1038"/>
    <w:rsid w:val="001A1724"/>
    <w:rsid w:val="001A1912"/>
    <w:rsid w:val="001A1A4A"/>
    <w:rsid w:val="001A1E72"/>
    <w:rsid w:val="001A2EEE"/>
    <w:rsid w:val="001A30D8"/>
    <w:rsid w:val="001A35DB"/>
    <w:rsid w:val="001A3B8A"/>
    <w:rsid w:val="001A401C"/>
    <w:rsid w:val="001A4106"/>
    <w:rsid w:val="001A446E"/>
    <w:rsid w:val="001A4A7D"/>
    <w:rsid w:val="001A55FF"/>
    <w:rsid w:val="001A586B"/>
    <w:rsid w:val="001A58AC"/>
    <w:rsid w:val="001A5A96"/>
    <w:rsid w:val="001A5B4F"/>
    <w:rsid w:val="001A5C62"/>
    <w:rsid w:val="001A6FCC"/>
    <w:rsid w:val="001A75EA"/>
    <w:rsid w:val="001A789C"/>
    <w:rsid w:val="001A7936"/>
    <w:rsid w:val="001A7F7D"/>
    <w:rsid w:val="001B0251"/>
    <w:rsid w:val="001B06E1"/>
    <w:rsid w:val="001B0722"/>
    <w:rsid w:val="001B07DA"/>
    <w:rsid w:val="001B08FC"/>
    <w:rsid w:val="001B0E7D"/>
    <w:rsid w:val="001B17A8"/>
    <w:rsid w:val="001B1831"/>
    <w:rsid w:val="001B18F8"/>
    <w:rsid w:val="001B1D9D"/>
    <w:rsid w:val="001B20A8"/>
    <w:rsid w:val="001B2263"/>
    <w:rsid w:val="001B2F42"/>
    <w:rsid w:val="001B30B7"/>
    <w:rsid w:val="001B35B8"/>
    <w:rsid w:val="001B3D1C"/>
    <w:rsid w:val="001B5214"/>
    <w:rsid w:val="001B53C2"/>
    <w:rsid w:val="001B556E"/>
    <w:rsid w:val="001B567F"/>
    <w:rsid w:val="001B582A"/>
    <w:rsid w:val="001B58E1"/>
    <w:rsid w:val="001B5BB7"/>
    <w:rsid w:val="001B605F"/>
    <w:rsid w:val="001B63C6"/>
    <w:rsid w:val="001B7119"/>
    <w:rsid w:val="001B762C"/>
    <w:rsid w:val="001B7828"/>
    <w:rsid w:val="001B7B53"/>
    <w:rsid w:val="001B7F4F"/>
    <w:rsid w:val="001C065C"/>
    <w:rsid w:val="001C0F07"/>
    <w:rsid w:val="001C1269"/>
    <w:rsid w:val="001C17B9"/>
    <w:rsid w:val="001C1D1A"/>
    <w:rsid w:val="001C26B9"/>
    <w:rsid w:val="001C2902"/>
    <w:rsid w:val="001C2AA3"/>
    <w:rsid w:val="001C31E6"/>
    <w:rsid w:val="001C3733"/>
    <w:rsid w:val="001C3F0B"/>
    <w:rsid w:val="001C4291"/>
    <w:rsid w:val="001C4601"/>
    <w:rsid w:val="001C470B"/>
    <w:rsid w:val="001C48D4"/>
    <w:rsid w:val="001C4C94"/>
    <w:rsid w:val="001C58A9"/>
    <w:rsid w:val="001C5C75"/>
    <w:rsid w:val="001C6202"/>
    <w:rsid w:val="001C6BDF"/>
    <w:rsid w:val="001C6BEF"/>
    <w:rsid w:val="001C6F14"/>
    <w:rsid w:val="001C6F3F"/>
    <w:rsid w:val="001C709A"/>
    <w:rsid w:val="001C70DD"/>
    <w:rsid w:val="001C70EA"/>
    <w:rsid w:val="001C779A"/>
    <w:rsid w:val="001C7BD1"/>
    <w:rsid w:val="001C7C93"/>
    <w:rsid w:val="001C7D16"/>
    <w:rsid w:val="001D0D4C"/>
    <w:rsid w:val="001D11C3"/>
    <w:rsid w:val="001D17B0"/>
    <w:rsid w:val="001D1951"/>
    <w:rsid w:val="001D1A8B"/>
    <w:rsid w:val="001D2FD3"/>
    <w:rsid w:val="001D3534"/>
    <w:rsid w:val="001D36CD"/>
    <w:rsid w:val="001D41A5"/>
    <w:rsid w:val="001D441B"/>
    <w:rsid w:val="001D44C3"/>
    <w:rsid w:val="001D46C7"/>
    <w:rsid w:val="001D4A53"/>
    <w:rsid w:val="001D4D12"/>
    <w:rsid w:val="001D4F49"/>
    <w:rsid w:val="001D4FD3"/>
    <w:rsid w:val="001D5471"/>
    <w:rsid w:val="001D56D4"/>
    <w:rsid w:val="001D58DA"/>
    <w:rsid w:val="001D58DD"/>
    <w:rsid w:val="001D5E3D"/>
    <w:rsid w:val="001D5FC1"/>
    <w:rsid w:val="001D614C"/>
    <w:rsid w:val="001D6551"/>
    <w:rsid w:val="001D7982"/>
    <w:rsid w:val="001D79C4"/>
    <w:rsid w:val="001E0039"/>
    <w:rsid w:val="001E00FA"/>
    <w:rsid w:val="001E0368"/>
    <w:rsid w:val="001E03C2"/>
    <w:rsid w:val="001E0819"/>
    <w:rsid w:val="001E0FE3"/>
    <w:rsid w:val="001E125E"/>
    <w:rsid w:val="001E1D3D"/>
    <w:rsid w:val="001E3045"/>
    <w:rsid w:val="001E3354"/>
    <w:rsid w:val="001E3C69"/>
    <w:rsid w:val="001E423D"/>
    <w:rsid w:val="001E47B2"/>
    <w:rsid w:val="001E47D1"/>
    <w:rsid w:val="001E4811"/>
    <w:rsid w:val="001E48CC"/>
    <w:rsid w:val="001E4CD4"/>
    <w:rsid w:val="001E56F0"/>
    <w:rsid w:val="001E5D87"/>
    <w:rsid w:val="001E60CC"/>
    <w:rsid w:val="001E61BA"/>
    <w:rsid w:val="001E6238"/>
    <w:rsid w:val="001E65E7"/>
    <w:rsid w:val="001E6618"/>
    <w:rsid w:val="001E6A64"/>
    <w:rsid w:val="001E6C13"/>
    <w:rsid w:val="001E6DC2"/>
    <w:rsid w:val="001E71CE"/>
    <w:rsid w:val="001E739B"/>
    <w:rsid w:val="001E75C5"/>
    <w:rsid w:val="001E77A2"/>
    <w:rsid w:val="001E7D7C"/>
    <w:rsid w:val="001F01B8"/>
    <w:rsid w:val="001F02FC"/>
    <w:rsid w:val="001F0A0F"/>
    <w:rsid w:val="001F0D37"/>
    <w:rsid w:val="001F0F51"/>
    <w:rsid w:val="001F0FCE"/>
    <w:rsid w:val="001F19F9"/>
    <w:rsid w:val="001F1B45"/>
    <w:rsid w:val="001F1F6C"/>
    <w:rsid w:val="001F2032"/>
    <w:rsid w:val="001F2352"/>
    <w:rsid w:val="001F24A7"/>
    <w:rsid w:val="001F2743"/>
    <w:rsid w:val="001F2C45"/>
    <w:rsid w:val="001F3223"/>
    <w:rsid w:val="001F348A"/>
    <w:rsid w:val="001F365C"/>
    <w:rsid w:val="001F367C"/>
    <w:rsid w:val="001F3BF8"/>
    <w:rsid w:val="001F3C46"/>
    <w:rsid w:val="001F3F2A"/>
    <w:rsid w:val="001F4106"/>
    <w:rsid w:val="001F42DE"/>
    <w:rsid w:val="001F46C1"/>
    <w:rsid w:val="001F4E70"/>
    <w:rsid w:val="001F5996"/>
    <w:rsid w:val="001F5B48"/>
    <w:rsid w:val="001F69C2"/>
    <w:rsid w:val="001F6E5F"/>
    <w:rsid w:val="001F7646"/>
    <w:rsid w:val="001F7ACE"/>
    <w:rsid w:val="002005DF"/>
    <w:rsid w:val="00200F77"/>
    <w:rsid w:val="0020126D"/>
    <w:rsid w:val="002019AD"/>
    <w:rsid w:val="00201D6F"/>
    <w:rsid w:val="00201F5B"/>
    <w:rsid w:val="00201FC4"/>
    <w:rsid w:val="002029E7"/>
    <w:rsid w:val="002030E8"/>
    <w:rsid w:val="0020350F"/>
    <w:rsid w:val="0020397D"/>
    <w:rsid w:val="00203ED9"/>
    <w:rsid w:val="00203EFA"/>
    <w:rsid w:val="00203FF2"/>
    <w:rsid w:val="0020471F"/>
    <w:rsid w:val="002048D1"/>
    <w:rsid w:val="00204CCE"/>
    <w:rsid w:val="002052F9"/>
    <w:rsid w:val="002054DF"/>
    <w:rsid w:val="002057D9"/>
    <w:rsid w:val="00205E07"/>
    <w:rsid w:val="0020605D"/>
    <w:rsid w:val="002065FE"/>
    <w:rsid w:val="00206645"/>
    <w:rsid w:val="002068D5"/>
    <w:rsid w:val="00206B5B"/>
    <w:rsid w:val="00206F55"/>
    <w:rsid w:val="0020704A"/>
    <w:rsid w:val="00207724"/>
    <w:rsid w:val="0020781D"/>
    <w:rsid w:val="00207855"/>
    <w:rsid w:val="00207864"/>
    <w:rsid w:val="002079CB"/>
    <w:rsid w:val="002100C5"/>
    <w:rsid w:val="00210147"/>
    <w:rsid w:val="002101A4"/>
    <w:rsid w:val="002102D6"/>
    <w:rsid w:val="00210512"/>
    <w:rsid w:val="002106D5"/>
    <w:rsid w:val="0021096E"/>
    <w:rsid w:val="00210DE8"/>
    <w:rsid w:val="002110C9"/>
    <w:rsid w:val="00211116"/>
    <w:rsid w:val="00211171"/>
    <w:rsid w:val="002112FB"/>
    <w:rsid w:val="0021157D"/>
    <w:rsid w:val="002117EB"/>
    <w:rsid w:val="00211935"/>
    <w:rsid w:val="00211D73"/>
    <w:rsid w:val="00211ED1"/>
    <w:rsid w:val="00212241"/>
    <w:rsid w:val="00212918"/>
    <w:rsid w:val="00212A3E"/>
    <w:rsid w:val="00213488"/>
    <w:rsid w:val="00213784"/>
    <w:rsid w:val="002143B6"/>
    <w:rsid w:val="0021475D"/>
    <w:rsid w:val="00214865"/>
    <w:rsid w:val="002149DF"/>
    <w:rsid w:val="00214A76"/>
    <w:rsid w:val="00214BF2"/>
    <w:rsid w:val="00214EAD"/>
    <w:rsid w:val="0021545F"/>
    <w:rsid w:val="00215A7F"/>
    <w:rsid w:val="00216522"/>
    <w:rsid w:val="0021677D"/>
    <w:rsid w:val="00216A6B"/>
    <w:rsid w:val="00216CED"/>
    <w:rsid w:val="00217277"/>
    <w:rsid w:val="002172B4"/>
    <w:rsid w:val="00217407"/>
    <w:rsid w:val="0021790D"/>
    <w:rsid w:val="00217C24"/>
    <w:rsid w:val="00220D34"/>
    <w:rsid w:val="0022103E"/>
    <w:rsid w:val="002216FD"/>
    <w:rsid w:val="00221D19"/>
    <w:rsid w:val="00221D58"/>
    <w:rsid w:val="002224A7"/>
    <w:rsid w:val="002228DF"/>
    <w:rsid w:val="00222B50"/>
    <w:rsid w:val="00223087"/>
    <w:rsid w:val="002234F6"/>
    <w:rsid w:val="00223515"/>
    <w:rsid w:val="002241A5"/>
    <w:rsid w:val="0022471D"/>
    <w:rsid w:val="00224828"/>
    <w:rsid w:val="00224969"/>
    <w:rsid w:val="00224EDD"/>
    <w:rsid w:val="00224EE6"/>
    <w:rsid w:val="0022567C"/>
    <w:rsid w:val="002258EA"/>
    <w:rsid w:val="00225A15"/>
    <w:rsid w:val="00225BFF"/>
    <w:rsid w:val="00225F46"/>
    <w:rsid w:val="0022666B"/>
    <w:rsid w:val="002269E4"/>
    <w:rsid w:val="00226C7E"/>
    <w:rsid w:val="00227160"/>
    <w:rsid w:val="0022734D"/>
    <w:rsid w:val="00227FA0"/>
    <w:rsid w:val="00227FF9"/>
    <w:rsid w:val="00230325"/>
    <w:rsid w:val="002306F3"/>
    <w:rsid w:val="00230783"/>
    <w:rsid w:val="002307F9"/>
    <w:rsid w:val="0023096F"/>
    <w:rsid w:val="00231611"/>
    <w:rsid w:val="0023176A"/>
    <w:rsid w:val="00231ABC"/>
    <w:rsid w:val="00231C75"/>
    <w:rsid w:val="002321C8"/>
    <w:rsid w:val="002322EA"/>
    <w:rsid w:val="002323EC"/>
    <w:rsid w:val="00232B02"/>
    <w:rsid w:val="0023306B"/>
    <w:rsid w:val="00233278"/>
    <w:rsid w:val="0023389E"/>
    <w:rsid w:val="00233AEA"/>
    <w:rsid w:val="0023426A"/>
    <w:rsid w:val="0023447F"/>
    <w:rsid w:val="002350B3"/>
    <w:rsid w:val="00235845"/>
    <w:rsid w:val="00235BF1"/>
    <w:rsid w:val="00235E1C"/>
    <w:rsid w:val="00235F20"/>
    <w:rsid w:val="002360E2"/>
    <w:rsid w:val="002367C5"/>
    <w:rsid w:val="00236BFF"/>
    <w:rsid w:val="00237248"/>
    <w:rsid w:val="0023738F"/>
    <w:rsid w:val="00237569"/>
    <w:rsid w:val="00237866"/>
    <w:rsid w:val="0023798E"/>
    <w:rsid w:val="00237D59"/>
    <w:rsid w:val="00240059"/>
    <w:rsid w:val="002400D7"/>
    <w:rsid w:val="002404BB"/>
    <w:rsid w:val="00240A4A"/>
    <w:rsid w:val="00240E68"/>
    <w:rsid w:val="00240F11"/>
    <w:rsid w:val="0024184E"/>
    <w:rsid w:val="00242233"/>
    <w:rsid w:val="00242478"/>
    <w:rsid w:val="002427F9"/>
    <w:rsid w:val="00242C9D"/>
    <w:rsid w:val="00242EE4"/>
    <w:rsid w:val="0024340C"/>
    <w:rsid w:val="0024362B"/>
    <w:rsid w:val="0024389F"/>
    <w:rsid w:val="002438E8"/>
    <w:rsid w:val="002439FD"/>
    <w:rsid w:val="00243F94"/>
    <w:rsid w:val="002443A8"/>
    <w:rsid w:val="0024442C"/>
    <w:rsid w:val="0024462E"/>
    <w:rsid w:val="002452E3"/>
    <w:rsid w:val="00245730"/>
    <w:rsid w:val="002458A6"/>
    <w:rsid w:val="002458BE"/>
    <w:rsid w:val="00245A96"/>
    <w:rsid w:val="00245B0B"/>
    <w:rsid w:val="002464E9"/>
    <w:rsid w:val="00246793"/>
    <w:rsid w:val="002467E7"/>
    <w:rsid w:val="00246D08"/>
    <w:rsid w:val="00246DAC"/>
    <w:rsid w:val="0024723B"/>
    <w:rsid w:val="00247395"/>
    <w:rsid w:val="002474FA"/>
    <w:rsid w:val="00247869"/>
    <w:rsid w:val="00250305"/>
    <w:rsid w:val="002509D1"/>
    <w:rsid w:val="00250C9A"/>
    <w:rsid w:val="00250DA9"/>
    <w:rsid w:val="00250DC5"/>
    <w:rsid w:val="00251480"/>
    <w:rsid w:val="00251512"/>
    <w:rsid w:val="0025154D"/>
    <w:rsid w:val="00251A43"/>
    <w:rsid w:val="00251ED1"/>
    <w:rsid w:val="002528B6"/>
    <w:rsid w:val="00252B38"/>
    <w:rsid w:val="002532D8"/>
    <w:rsid w:val="00253493"/>
    <w:rsid w:val="00253A74"/>
    <w:rsid w:val="00253AA8"/>
    <w:rsid w:val="00254CCD"/>
    <w:rsid w:val="002554CC"/>
    <w:rsid w:val="002554F9"/>
    <w:rsid w:val="00257174"/>
    <w:rsid w:val="00257772"/>
    <w:rsid w:val="00257AFB"/>
    <w:rsid w:val="00257D79"/>
    <w:rsid w:val="00257FBC"/>
    <w:rsid w:val="00260C6D"/>
    <w:rsid w:val="002618FD"/>
    <w:rsid w:val="00261A0A"/>
    <w:rsid w:val="002622C8"/>
    <w:rsid w:val="00262384"/>
    <w:rsid w:val="0026293D"/>
    <w:rsid w:val="00262B35"/>
    <w:rsid w:val="0026345A"/>
    <w:rsid w:val="0026391D"/>
    <w:rsid w:val="00264015"/>
    <w:rsid w:val="0026416B"/>
    <w:rsid w:val="00264948"/>
    <w:rsid w:val="00265443"/>
    <w:rsid w:val="00265448"/>
    <w:rsid w:val="00265504"/>
    <w:rsid w:val="00265666"/>
    <w:rsid w:val="00265982"/>
    <w:rsid w:val="00265C68"/>
    <w:rsid w:val="00266054"/>
    <w:rsid w:val="002660DD"/>
    <w:rsid w:val="00266A51"/>
    <w:rsid w:val="0026787E"/>
    <w:rsid w:val="002679AD"/>
    <w:rsid w:val="00267A11"/>
    <w:rsid w:val="00270154"/>
    <w:rsid w:val="00270209"/>
    <w:rsid w:val="00270422"/>
    <w:rsid w:val="0027072B"/>
    <w:rsid w:val="00270A9A"/>
    <w:rsid w:val="00270E0F"/>
    <w:rsid w:val="00270EF5"/>
    <w:rsid w:val="00270F04"/>
    <w:rsid w:val="0027116B"/>
    <w:rsid w:val="002714B7"/>
    <w:rsid w:val="00271F70"/>
    <w:rsid w:val="00272060"/>
    <w:rsid w:val="00272499"/>
    <w:rsid w:val="002725C2"/>
    <w:rsid w:val="00272BA5"/>
    <w:rsid w:val="00272E3E"/>
    <w:rsid w:val="0027312D"/>
    <w:rsid w:val="00273151"/>
    <w:rsid w:val="00273B5A"/>
    <w:rsid w:val="0027408B"/>
    <w:rsid w:val="0027466C"/>
    <w:rsid w:val="00274683"/>
    <w:rsid w:val="0027496F"/>
    <w:rsid w:val="002751D3"/>
    <w:rsid w:val="002757FB"/>
    <w:rsid w:val="00275F98"/>
    <w:rsid w:val="00276196"/>
    <w:rsid w:val="00276777"/>
    <w:rsid w:val="00276B56"/>
    <w:rsid w:val="00276D85"/>
    <w:rsid w:val="00276F31"/>
    <w:rsid w:val="00277CCA"/>
    <w:rsid w:val="00277E0F"/>
    <w:rsid w:val="0028076C"/>
    <w:rsid w:val="00280962"/>
    <w:rsid w:val="00280F46"/>
    <w:rsid w:val="0028129F"/>
    <w:rsid w:val="002816B2"/>
    <w:rsid w:val="002819FD"/>
    <w:rsid w:val="00281C24"/>
    <w:rsid w:val="00282112"/>
    <w:rsid w:val="002823ED"/>
    <w:rsid w:val="00282722"/>
    <w:rsid w:val="0028274C"/>
    <w:rsid w:val="002830A3"/>
    <w:rsid w:val="0028331E"/>
    <w:rsid w:val="00283875"/>
    <w:rsid w:val="002843BB"/>
    <w:rsid w:val="00284539"/>
    <w:rsid w:val="00284581"/>
    <w:rsid w:val="002845B2"/>
    <w:rsid w:val="00284928"/>
    <w:rsid w:val="00284AC8"/>
    <w:rsid w:val="0028583A"/>
    <w:rsid w:val="00285958"/>
    <w:rsid w:val="0028599C"/>
    <w:rsid w:val="002859BA"/>
    <w:rsid w:val="00285A70"/>
    <w:rsid w:val="00285C64"/>
    <w:rsid w:val="00286B48"/>
    <w:rsid w:val="00287368"/>
    <w:rsid w:val="0028752D"/>
    <w:rsid w:val="00287737"/>
    <w:rsid w:val="00287873"/>
    <w:rsid w:val="002878C6"/>
    <w:rsid w:val="002901CD"/>
    <w:rsid w:val="0029020E"/>
    <w:rsid w:val="002908CC"/>
    <w:rsid w:val="00290FDF"/>
    <w:rsid w:val="002910B0"/>
    <w:rsid w:val="002910B2"/>
    <w:rsid w:val="002910CA"/>
    <w:rsid w:val="002915F0"/>
    <w:rsid w:val="002916CC"/>
    <w:rsid w:val="00291BA7"/>
    <w:rsid w:val="00291D5E"/>
    <w:rsid w:val="002921A9"/>
    <w:rsid w:val="0029229A"/>
    <w:rsid w:val="0029241A"/>
    <w:rsid w:val="0029278C"/>
    <w:rsid w:val="002927EE"/>
    <w:rsid w:val="002928CA"/>
    <w:rsid w:val="00292A8D"/>
    <w:rsid w:val="00292E65"/>
    <w:rsid w:val="00293060"/>
    <w:rsid w:val="0029317E"/>
    <w:rsid w:val="002934C1"/>
    <w:rsid w:val="0029376C"/>
    <w:rsid w:val="00293786"/>
    <w:rsid w:val="00293857"/>
    <w:rsid w:val="002938C7"/>
    <w:rsid w:val="00294437"/>
    <w:rsid w:val="0029462D"/>
    <w:rsid w:val="00294C55"/>
    <w:rsid w:val="0029510B"/>
    <w:rsid w:val="002953FF"/>
    <w:rsid w:val="00296731"/>
    <w:rsid w:val="0029697C"/>
    <w:rsid w:val="00296A90"/>
    <w:rsid w:val="00296C6B"/>
    <w:rsid w:val="00297869"/>
    <w:rsid w:val="002979AE"/>
    <w:rsid w:val="002979F1"/>
    <w:rsid w:val="00297A88"/>
    <w:rsid w:val="00297C1E"/>
    <w:rsid w:val="00297C5C"/>
    <w:rsid w:val="00297DE7"/>
    <w:rsid w:val="002A0219"/>
    <w:rsid w:val="002A13E1"/>
    <w:rsid w:val="002A2775"/>
    <w:rsid w:val="002A2FD1"/>
    <w:rsid w:val="002A30DB"/>
    <w:rsid w:val="002A3248"/>
    <w:rsid w:val="002A3660"/>
    <w:rsid w:val="002A3D91"/>
    <w:rsid w:val="002A4748"/>
    <w:rsid w:val="002A4D10"/>
    <w:rsid w:val="002A4E18"/>
    <w:rsid w:val="002A5181"/>
    <w:rsid w:val="002A568B"/>
    <w:rsid w:val="002A588E"/>
    <w:rsid w:val="002A5941"/>
    <w:rsid w:val="002A59E1"/>
    <w:rsid w:val="002A601D"/>
    <w:rsid w:val="002A613A"/>
    <w:rsid w:val="002A6327"/>
    <w:rsid w:val="002A6340"/>
    <w:rsid w:val="002A6361"/>
    <w:rsid w:val="002A6BD6"/>
    <w:rsid w:val="002A6E10"/>
    <w:rsid w:val="002A6E43"/>
    <w:rsid w:val="002A6F07"/>
    <w:rsid w:val="002A7EE7"/>
    <w:rsid w:val="002B0846"/>
    <w:rsid w:val="002B0E84"/>
    <w:rsid w:val="002B1304"/>
    <w:rsid w:val="002B14A5"/>
    <w:rsid w:val="002B1EF2"/>
    <w:rsid w:val="002B1FFF"/>
    <w:rsid w:val="002B2014"/>
    <w:rsid w:val="002B2241"/>
    <w:rsid w:val="002B27BF"/>
    <w:rsid w:val="002B2823"/>
    <w:rsid w:val="002B28B2"/>
    <w:rsid w:val="002B2CF9"/>
    <w:rsid w:val="002B3AAA"/>
    <w:rsid w:val="002B3DC6"/>
    <w:rsid w:val="002B4889"/>
    <w:rsid w:val="002B4C36"/>
    <w:rsid w:val="002B4CC2"/>
    <w:rsid w:val="002B4EF8"/>
    <w:rsid w:val="002B4FDC"/>
    <w:rsid w:val="002B59A8"/>
    <w:rsid w:val="002B5A7A"/>
    <w:rsid w:val="002B62C1"/>
    <w:rsid w:val="002B6489"/>
    <w:rsid w:val="002B69C0"/>
    <w:rsid w:val="002B7C57"/>
    <w:rsid w:val="002B7D1F"/>
    <w:rsid w:val="002B7D3A"/>
    <w:rsid w:val="002B7E3D"/>
    <w:rsid w:val="002C0BB7"/>
    <w:rsid w:val="002C0F5F"/>
    <w:rsid w:val="002C1195"/>
    <w:rsid w:val="002C1205"/>
    <w:rsid w:val="002C1225"/>
    <w:rsid w:val="002C1432"/>
    <w:rsid w:val="002C14CC"/>
    <w:rsid w:val="002C15E4"/>
    <w:rsid w:val="002C1E34"/>
    <w:rsid w:val="002C2EDC"/>
    <w:rsid w:val="002C2FD3"/>
    <w:rsid w:val="002C336D"/>
    <w:rsid w:val="002C3F0B"/>
    <w:rsid w:val="002C3F11"/>
    <w:rsid w:val="002C3F46"/>
    <w:rsid w:val="002C4710"/>
    <w:rsid w:val="002C485B"/>
    <w:rsid w:val="002C4E89"/>
    <w:rsid w:val="002C5407"/>
    <w:rsid w:val="002C5807"/>
    <w:rsid w:val="002C587E"/>
    <w:rsid w:val="002C5981"/>
    <w:rsid w:val="002C5BCC"/>
    <w:rsid w:val="002C5F51"/>
    <w:rsid w:val="002C6418"/>
    <w:rsid w:val="002C68EA"/>
    <w:rsid w:val="002C7099"/>
    <w:rsid w:val="002C7409"/>
    <w:rsid w:val="002C7648"/>
    <w:rsid w:val="002C7E97"/>
    <w:rsid w:val="002D0410"/>
    <w:rsid w:val="002D07AE"/>
    <w:rsid w:val="002D0899"/>
    <w:rsid w:val="002D12D5"/>
    <w:rsid w:val="002D1421"/>
    <w:rsid w:val="002D1707"/>
    <w:rsid w:val="002D17E2"/>
    <w:rsid w:val="002D1A67"/>
    <w:rsid w:val="002D2041"/>
    <w:rsid w:val="002D2125"/>
    <w:rsid w:val="002D2156"/>
    <w:rsid w:val="002D21E1"/>
    <w:rsid w:val="002D2953"/>
    <w:rsid w:val="002D2A4F"/>
    <w:rsid w:val="002D2D81"/>
    <w:rsid w:val="002D3356"/>
    <w:rsid w:val="002D3F5B"/>
    <w:rsid w:val="002D44BF"/>
    <w:rsid w:val="002D47F3"/>
    <w:rsid w:val="002D4C7B"/>
    <w:rsid w:val="002D5A3F"/>
    <w:rsid w:val="002D6794"/>
    <w:rsid w:val="002D7081"/>
    <w:rsid w:val="002D71F0"/>
    <w:rsid w:val="002D7632"/>
    <w:rsid w:val="002D78D0"/>
    <w:rsid w:val="002D7A45"/>
    <w:rsid w:val="002D7CE0"/>
    <w:rsid w:val="002E02C4"/>
    <w:rsid w:val="002E0451"/>
    <w:rsid w:val="002E05C7"/>
    <w:rsid w:val="002E0A52"/>
    <w:rsid w:val="002E0EC8"/>
    <w:rsid w:val="002E18BD"/>
    <w:rsid w:val="002E19D6"/>
    <w:rsid w:val="002E1C3B"/>
    <w:rsid w:val="002E255A"/>
    <w:rsid w:val="002E278F"/>
    <w:rsid w:val="002E2A43"/>
    <w:rsid w:val="002E2B58"/>
    <w:rsid w:val="002E2C43"/>
    <w:rsid w:val="002E3025"/>
    <w:rsid w:val="002E308D"/>
    <w:rsid w:val="002E3656"/>
    <w:rsid w:val="002E3B4D"/>
    <w:rsid w:val="002E3CC0"/>
    <w:rsid w:val="002E4065"/>
    <w:rsid w:val="002E43D3"/>
    <w:rsid w:val="002E4568"/>
    <w:rsid w:val="002E4C78"/>
    <w:rsid w:val="002E4CB9"/>
    <w:rsid w:val="002E508C"/>
    <w:rsid w:val="002E535D"/>
    <w:rsid w:val="002E5AE8"/>
    <w:rsid w:val="002E6081"/>
    <w:rsid w:val="002E6164"/>
    <w:rsid w:val="002E6172"/>
    <w:rsid w:val="002E6232"/>
    <w:rsid w:val="002E7296"/>
    <w:rsid w:val="002E78CB"/>
    <w:rsid w:val="002E7DF1"/>
    <w:rsid w:val="002F0121"/>
    <w:rsid w:val="002F024C"/>
    <w:rsid w:val="002F0522"/>
    <w:rsid w:val="002F0734"/>
    <w:rsid w:val="002F0A9D"/>
    <w:rsid w:val="002F0D0E"/>
    <w:rsid w:val="002F0F1B"/>
    <w:rsid w:val="002F1C1A"/>
    <w:rsid w:val="002F1F77"/>
    <w:rsid w:val="002F240C"/>
    <w:rsid w:val="002F256F"/>
    <w:rsid w:val="002F2C0E"/>
    <w:rsid w:val="002F38AC"/>
    <w:rsid w:val="002F3D34"/>
    <w:rsid w:val="002F3EA9"/>
    <w:rsid w:val="002F3F83"/>
    <w:rsid w:val="002F4212"/>
    <w:rsid w:val="002F4C60"/>
    <w:rsid w:val="002F4DD5"/>
    <w:rsid w:val="002F51A9"/>
    <w:rsid w:val="002F560F"/>
    <w:rsid w:val="002F5CA9"/>
    <w:rsid w:val="002F5EFE"/>
    <w:rsid w:val="002F6006"/>
    <w:rsid w:val="002F6078"/>
    <w:rsid w:val="002F67AD"/>
    <w:rsid w:val="002F6D16"/>
    <w:rsid w:val="002F7074"/>
    <w:rsid w:val="002F70F6"/>
    <w:rsid w:val="002F71B3"/>
    <w:rsid w:val="002F7E00"/>
    <w:rsid w:val="003000B8"/>
    <w:rsid w:val="00300100"/>
    <w:rsid w:val="003006AF"/>
    <w:rsid w:val="0030156C"/>
    <w:rsid w:val="00301658"/>
    <w:rsid w:val="00301975"/>
    <w:rsid w:val="00301D82"/>
    <w:rsid w:val="003024A5"/>
    <w:rsid w:val="00302D69"/>
    <w:rsid w:val="00302F3E"/>
    <w:rsid w:val="00303938"/>
    <w:rsid w:val="003039DB"/>
    <w:rsid w:val="00303BA8"/>
    <w:rsid w:val="00304576"/>
    <w:rsid w:val="00304E0F"/>
    <w:rsid w:val="00305161"/>
    <w:rsid w:val="003052DD"/>
    <w:rsid w:val="0030542C"/>
    <w:rsid w:val="00305544"/>
    <w:rsid w:val="003056DD"/>
    <w:rsid w:val="00305706"/>
    <w:rsid w:val="0030593F"/>
    <w:rsid w:val="00305C70"/>
    <w:rsid w:val="00305E0A"/>
    <w:rsid w:val="00305E4B"/>
    <w:rsid w:val="00306228"/>
    <w:rsid w:val="00306233"/>
    <w:rsid w:val="00306532"/>
    <w:rsid w:val="003065BF"/>
    <w:rsid w:val="0030662E"/>
    <w:rsid w:val="00306877"/>
    <w:rsid w:val="00306F33"/>
    <w:rsid w:val="00306FA8"/>
    <w:rsid w:val="0030768E"/>
    <w:rsid w:val="0030792F"/>
    <w:rsid w:val="00307E76"/>
    <w:rsid w:val="00310418"/>
    <w:rsid w:val="003104E3"/>
    <w:rsid w:val="00310E98"/>
    <w:rsid w:val="00311027"/>
    <w:rsid w:val="0031102E"/>
    <w:rsid w:val="0031117E"/>
    <w:rsid w:val="00311AC2"/>
    <w:rsid w:val="00311D45"/>
    <w:rsid w:val="00311FD7"/>
    <w:rsid w:val="003120B9"/>
    <w:rsid w:val="003124C0"/>
    <w:rsid w:val="00312A81"/>
    <w:rsid w:val="00312E1C"/>
    <w:rsid w:val="00312EE9"/>
    <w:rsid w:val="00312FFC"/>
    <w:rsid w:val="00314343"/>
    <w:rsid w:val="00314518"/>
    <w:rsid w:val="003150BF"/>
    <w:rsid w:val="003150CE"/>
    <w:rsid w:val="003152EA"/>
    <w:rsid w:val="00315D58"/>
    <w:rsid w:val="00315E92"/>
    <w:rsid w:val="0031611C"/>
    <w:rsid w:val="0031630C"/>
    <w:rsid w:val="003169CD"/>
    <w:rsid w:val="00316FFB"/>
    <w:rsid w:val="003170BA"/>
    <w:rsid w:val="003175CD"/>
    <w:rsid w:val="003177C7"/>
    <w:rsid w:val="003208D5"/>
    <w:rsid w:val="00320A8B"/>
    <w:rsid w:val="00320BF9"/>
    <w:rsid w:val="00320CFC"/>
    <w:rsid w:val="00320D00"/>
    <w:rsid w:val="00320ECA"/>
    <w:rsid w:val="003213A1"/>
    <w:rsid w:val="0032150C"/>
    <w:rsid w:val="00321AB2"/>
    <w:rsid w:val="00321D8D"/>
    <w:rsid w:val="0032200F"/>
    <w:rsid w:val="0032242B"/>
    <w:rsid w:val="00322732"/>
    <w:rsid w:val="003227DA"/>
    <w:rsid w:val="00322C4F"/>
    <w:rsid w:val="00322E16"/>
    <w:rsid w:val="0032330C"/>
    <w:rsid w:val="003233C9"/>
    <w:rsid w:val="003234FB"/>
    <w:rsid w:val="00323B9E"/>
    <w:rsid w:val="00323F37"/>
    <w:rsid w:val="0032480F"/>
    <w:rsid w:val="003248EF"/>
    <w:rsid w:val="00324AAE"/>
    <w:rsid w:val="00324FFB"/>
    <w:rsid w:val="00325221"/>
    <w:rsid w:val="00325B19"/>
    <w:rsid w:val="00325E3B"/>
    <w:rsid w:val="00326094"/>
    <w:rsid w:val="003260A1"/>
    <w:rsid w:val="003264CC"/>
    <w:rsid w:val="003267B2"/>
    <w:rsid w:val="0032688C"/>
    <w:rsid w:val="00326C41"/>
    <w:rsid w:val="00326F6D"/>
    <w:rsid w:val="003271DB"/>
    <w:rsid w:val="003278AA"/>
    <w:rsid w:val="00327FCA"/>
    <w:rsid w:val="003303D7"/>
    <w:rsid w:val="003305E7"/>
    <w:rsid w:val="00330804"/>
    <w:rsid w:val="00330BEC"/>
    <w:rsid w:val="00330C9E"/>
    <w:rsid w:val="0033188A"/>
    <w:rsid w:val="003319C3"/>
    <w:rsid w:val="00332464"/>
    <w:rsid w:val="00332631"/>
    <w:rsid w:val="00332C0A"/>
    <w:rsid w:val="00332E2E"/>
    <w:rsid w:val="0033319B"/>
    <w:rsid w:val="00333298"/>
    <w:rsid w:val="003332DA"/>
    <w:rsid w:val="0033433C"/>
    <w:rsid w:val="00334613"/>
    <w:rsid w:val="00334A6B"/>
    <w:rsid w:val="0033509F"/>
    <w:rsid w:val="00335701"/>
    <w:rsid w:val="003358C7"/>
    <w:rsid w:val="00335D45"/>
    <w:rsid w:val="00335FE9"/>
    <w:rsid w:val="00336172"/>
    <w:rsid w:val="003366B2"/>
    <w:rsid w:val="00336B5A"/>
    <w:rsid w:val="00336B89"/>
    <w:rsid w:val="00336BA1"/>
    <w:rsid w:val="00337002"/>
    <w:rsid w:val="00337009"/>
    <w:rsid w:val="00337649"/>
    <w:rsid w:val="00337B2E"/>
    <w:rsid w:val="00340066"/>
    <w:rsid w:val="00340362"/>
    <w:rsid w:val="00340446"/>
    <w:rsid w:val="003407E4"/>
    <w:rsid w:val="00340B77"/>
    <w:rsid w:val="00341284"/>
    <w:rsid w:val="003412A8"/>
    <w:rsid w:val="003417EB"/>
    <w:rsid w:val="00341CB0"/>
    <w:rsid w:val="00341CD5"/>
    <w:rsid w:val="0034288B"/>
    <w:rsid w:val="00342D25"/>
    <w:rsid w:val="0034332B"/>
    <w:rsid w:val="003436DD"/>
    <w:rsid w:val="00343801"/>
    <w:rsid w:val="00343B31"/>
    <w:rsid w:val="00344974"/>
    <w:rsid w:val="00344E7A"/>
    <w:rsid w:val="003454E3"/>
    <w:rsid w:val="00345566"/>
    <w:rsid w:val="00345D5B"/>
    <w:rsid w:val="003461FA"/>
    <w:rsid w:val="00346256"/>
    <w:rsid w:val="003462EF"/>
    <w:rsid w:val="0034681C"/>
    <w:rsid w:val="00346930"/>
    <w:rsid w:val="00346A7E"/>
    <w:rsid w:val="003470CC"/>
    <w:rsid w:val="0034758D"/>
    <w:rsid w:val="003475FC"/>
    <w:rsid w:val="00347F44"/>
    <w:rsid w:val="003505CA"/>
    <w:rsid w:val="0035125F"/>
    <w:rsid w:val="00351549"/>
    <w:rsid w:val="00351805"/>
    <w:rsid w:val="0035188F"/>
    <w:rsid w:val="00351C76"/>
    <w:rsid w:val="003520CB"/>
    <w:rsid w:val="00352E6D"/>
    <w:rsid w:val="00353070"/>
    <w:rsid w:val="00353091"/>
    <w:rsid w:val="003532EA"/>
    <w:rsid w:val="00353688"/>
    <w:rsid w:val="00353777"/>
    <w:rsid w:val="003538DF"/>
    <w:rsid w:val="00353A33"/>
    <w:rsid w:val="00353B07"/>
    <w:rsid w:val="00353C45"/>
    <w:rsid w:val="003541A1"/>
    <w:rsid w:val="0035442C"/>
    <w:rsid w:val="0035459F"/>
    <w:rsid w:val="00354D79"/>
    <w:rsid w:val="003552F2"/>
    <w:rsid w:val="00355EBB"/>
    <w:rsid w:val="00356165"/>
    <w:rsid w:val="003567F1"/>
    <w:rsid w:val="00356F05"/>
    <w:rsid w:val="003570A0"/>
    <w:rsid w:val="003570EF"/>
    <w:rsid w:val="0035784F"/>
    <w:rsid w:val="00357D88"/>
    <w:rsid w:val="003600A8"/>
    <w:rsid w:val="003601EA"/>
    <w:rsid w:val="00360974"/>
    <w:rsid w:val="00360D02"/>
    <w:rsid w:val="00361464"/>
    <w:rsid w:val="00361B1C"/>
    <w:rsid w:val="00361C46"/>
    <w:rsid w:val="00361E40"/>
    <w:rsid w:val="003621A2"/>
    <w:rsid w:val="00362FAB"/>
    <w:rsid w:val="00362FD7"/>
    <w:rsid w:val="003632BB"/>
    <w:rsid w:val="00364965"/>
    <w:rsid w:val="00364A42"/>
    <w:rsid w:val="00364C72"/>
    <w:rsid w:val="003651C0"/>
    <w:rsid w:val="00365E1F"/>
    <w:rsid w:val="0036603D"/>
    <w:rsid w:val="003663B9"/>
    <w:rsid w:val="00366524"/>
    <w:rsid w:val="00366787"/>
    <w:rsid w:val="00367BB8"/>
    <w:rsid w:val="0037033B"/>
    <w:rsid w:val="003705BF"/>
    <w:rsid w:val="00370818"/>
    <w:rsid w:val="00370D53"/>
    <w:rsid w:val="00370FB6"/>
    <w:rsid w:val="00371056"/>
    <w:rsid w:val="00371150"/>
    <w:rsid w:val="00371680"/>
    <w:rsid w:val="00371A3E"/>
    <w:rsid w:val="00372506"/>
    <w:rsid w:val="00372612"/>
    <w:rsid w:val="00372A19"/>
    <w:rsid w:val="00372D83"/>
    <w:rsid w:val="0037322A"/>
    <w:rsid w:val="00373E58"/>
    <w:rsid w:val="003741E4"/>
    <w:rsid w:val="0037470B"/>
    <w:rsid w:val="0037479A"/>
    <w:rsid w:val="003747F6"/>
    <w:rsid w:val="00374960"/>
    <w:rsid w:val="00374AB9"/>
    <w:rsid w:val="00374DEE"/>
    <w:rsid w:val="00374EEC"/>
    <w:rsid w:val="00374F97"/>
    <w:rsid w:val="00375446"/>
    <w:rsid w:val="0037548B"/>
    <w:rsid w:val="003755FE"/>
    <w:rsid w:val="003759F1"/>
    <w:rsid w:val="00376073"/>
    <w:rsid w:val="00376669"/>
    <w:rsid w:val="00376D12"/>
    <w:rsid w:val="00377452"/>
    <w:rsid w:val="00377766"/>
    <w:rsid w:val="00377A0C"/>
    <w:rsid w:val="00380035"/>
    <w:rsid w:val="00380A49"/>
    <w:rsid w:val="00380ECF"/>
    <w:rsid w:val="00380F4E"/>
    <w:rsid w:val="0038105A"/>
    <w:rsid w:val="00381095"/>
    <w:rsid w:val="00381223"/>
    <w:rsid w:val="00381849"/>
    <w:rsid w:val="00381BBF"/>
    <w:rsid w:val="00382228"/>
    <w:rsid w:val="00382527"/>
    <w:rsid w:val="00382C32"/>
    <w:rsid w:val="0038359D"/>
    <w:rsid w:val="0038406A"/>
    <w:rsid w:val="0038412E"/>
    <w:rsid w:val="00384603"/>
    <w:rsid w:val="00384691"/>
    <w:rsid w:val="0038472E"/>
    <w:rsid w:val="00384A7D"/>
    <w:rsid w:val="00384F36"/>
    <w:rsid w:val="00385271"/>
    <w:rsid w:val="003861CA"/>
    <w:rsid w:val="00386254"/>
    <w:rsid w:val="00386493"/>
    <w:rsid w:val="00386987"/>
    <w:rsid w:val="00386C28"/>
    <w:rsid w:val="0038724D"/>
    <w:rsid w:val="00387669"/>
    <w:rsid w:val="00387B46"/>
    <w:rsid w:val="0039002E"/>
    <w:rsid w:val="003903A4"/>
    <w:rsid w:val="00390927"/>
    <w:rsid w:val="003917DA"/>
    <w:rsid w:val="00391B5C"/>
    <w:rsid w:val="0039226E"/>
    <w:rsid w:val="003925B4"/>
    <w:rsid w:val="003926DB"/>
    <w:rsid w:val="003928E9"/>
    <w:rsid w:val="00392994"/>
    <w:rsid w:val="00392CC8"/>
    <w:rsid w:val="00392DCC"/>
    <w:rsid w:val="0039323A"/>
    <w:rsid w:val="00393665"/>
    <w:rsid w:val="00393901"/>
    <w:rsid w:val="00394C69"/>
    <w:rsid w:val="00394EE0"/>
    <w:rsid w:val="003951B4"/>
    <w:rsid w:val="0039527F"/>
    <w:rsid w:val="00395668"/>
    <w:rsid w:val="0039569B"/>
    <w:rsid w:val="0039571B"/>
    <w:rsid w:val="00395865"/>
    <w:rsid w:val="00395CD7"/>
    <w:rsid w:val="003960C0"/>
    <w:rsid w:val="003969AC"/>
    <w:rsid w:val="00397365"/>
    <w:rsid w:val="003A0139"/>
    <w:rsid w:val="003A1107"/>
    <w:rsid w:val="003A111B"/>
    <w:rsid w:val="003A1E40"/>
    <w:rsid w:val="003A2017"/>
    <w:rsid w:val="003A23D7"/>
    <w:rsid w:val="003A33AD"/>
    <w:rsid w:val="003A36A7"/>
    <w:rsid w:val="003A3C95"/>
    <w:rsid w:val="003A3D4C"/>
    <w:rsid w:val="003A3FA1"/>
    <w:rsid w:val="003A408F"/>
    <w:rsid w:val="003A48CC"/>
    <w:rsid w:val="003A4F45"/>
    <w:rsid w:val="003A4FBE"/>
    <w:rsid w:val="003A589F"/>
    <w:rsid w:val="003A5AE0"/>
    <w:rsid w:val="003A658C"/>
    <w:rsid w:val="003A69EA"/>
    <w:rsid w:val="003A6D4D"/>
    <w:rsid w:val="003A6FF2"/>
    <w:rsid w:val="003A7093"/>
    <w:rsid w:val="003A72EF"/>
    <w:rsid w:val="003A7565"/>
    <w:rsid w:val="003A782A"/>
    <w:rsid w:val="003A799C"/>
    <w:rsid w:val="003A7C7B"/>
    <w:rsid w:val="003B0073"/>
    <w:rsid w:val="003B0183"/>
    <w:rsid w:val="003B05E0"/>
    <w:rsid w:val="003B082B"/>
    <w:rsid w:val="003B0E5E"/>
    <w:rsid w:val="003B10D8"/>
    <w:rsid w:val="003B136E"/>
    <w:rsid w:val="003B1DE0"/>
    <w:rsid w:val="003B1E66"/>
    <w:rsid w:val="003B264E"/>
    <w:rsid w:val="003B2770"/>
    <w:rsid w:val="003B2FA1"/>
    <w:rsid w:val="003B3213"/>
    <w:rsid w:val="003B330D"/>
    <w:rsid w:val="003B3BE9"/>
    <w:rsid w:val="003B3DCC"/>
    <w:rsid w:val="003B4300"/>
    <w:rsid w:val="003B47D5"/>
    <w:rsid w:val="003B4A62"/>
    <w:rsid w:val="003B4BDC"/>
    <w:rsid w:val="003B4DB1"/>
    <w:rsid w:val="003B4EED"/>
    <w:rsid w:val="003B502F"/>
    <w:rsid w:val="003B57F7"/>
    <w:rsid w:val="003B617A"/>
    <w:rsid w:val="003B61D3"/>
    <w:rsid w:val="003B623F"/>
    <w:rsid w:val="003B64FE"/>
    <w:rsid w:val="003B6850"/>
    <w:rsid w:val="003B6B2C"/>
    <w:rsid w:val="003B7A0D"/>
    <w:rsid w:val="003C0992"/>
    <w:rsid w:val="003C0BB9"/>
    <w:rsid w:val="003C1244"/>
    <w:rsid w:val="003C12EA"/>
    <w:rsid w:val="003C1512"/>
    <w:rsid w:val="003C17A2"/>
    <w:rsid w:val="003C1DEC"/>
    <w:rsid w:val="003C206A"/>
    <w:rsid w:val="003C266A"/>
    <w:rsid w:val="003C2A08"/>
    <w:rsid w:val="003C2FC9"/>
    <w:rsid w:val="003C3278"/>
    <w:rsid w:val="003C355C"/>
    <w:rsid w:val="003C3625"/>
    <w:rsid w:val="003C3836"/>
    <w:rsid w:val="003C5723"/>
    <w:rsid w:val="003C594C"/>
    <w:rsid w:val="003C5B07"/>
    <w:rsid w:val="003C5E07"/>
    <w:rsid w:val="003C602A"/>
    <w:rsid w:val="003C6182"/>
    <w:rsid w:val="003C6360"/>
    <w:rsid w:val="003C656A"/>
    <w:rsid w:val="003C6610"/>
    <w:rsid w:val="003C7174"/>
    <w:rsid w:val="003C74ED"/>
    <w:rsid w:val="003C788A"/>
    <w:rsid w:val="003D0005"/>
    <w:rsid w:val="003D044B"/>
    <w:rsid w:val="003D0CA3"/>
    <w:rsid w:val="003D1227"/>
    <w:rsid w:val="003D1759"/>
    <w:rsid w:val="003D1896"/>
    <w:rsid w:val="003D2099"/>
    <w:rsid w:val="003D21C8"/>
    <w:rsid w:val="003D28B2"/>
    <w:rsid w:val="003D2B93"/>
    <w:rsid w:val="003D2BC2"/>
    <w:rsid w:val="003D2DA6"/>
    <w:rsid w:val="003D2F50"/>
    <w:rsid w:val="003D3A2B"/>
    <w:rsid w:val="003D3B09"/>
    <w:rsid w:val="003D3B14"/>
    <w:rsid w:val="003D3FAA"/>
    <w:rsid w:val="003D4235"/>
    <w:rsid w:val="003D43B3"/>
    <w:rsid w:val="003D4E29"/>
    <w:rsid w:val="003D52A8"/>
    <w:rsid w:val="003D58EC"/>
    <w:rsid w:val="003D58EF"/>
    <w:rsid w:val="003D5B90"/>
    <w:rsid w:val="003D5F70"/>
    <w:rsid w:val="003D6044"/>
    <w:rsid w:val="003D62F7"/>
    <w:rsid w:val="003D650B"/>
    <w:rsid w:val="003D6540"/>
    <w:rsid w:val="003D6574"/>
    <w:rsid w:val="003D6789"/>
    <w:rsid w:val="003D6D9B"/>
    <w:rsid w:val="003D6E82"/>
    <w:rsid w:val="003D768F"/>
    <w:rsid w:val="003D7787"/>
    <w:rsid w:val="003E0556"/>
    <w:rsid w:val="003E0780"/>
    <w:rsid w:val="003E08CC"/>
    <w:rsid w:val="003E0A95"/>
    <w:rsid w:val="003E1035"/>
    <w:rsid w:val="003E153B"/>
    <w:rsid w:val="003E1718"/>
    <w:rsid w:val="003E17F2"/>
    <w:rsid w:val="003E19F7"/>
    <w:rsid w:val="003E1AB2"/>
    <w:rsid w:val="003E1EB2"/>
    <w:rsid w:val="003E1FE4"/>
    <w:rsid w:val="003E24DA"/>
    <w:rsid w:val="003E315B"/>
    <w:rsid w:val="003E377F"/>
    <w:rsid w:val="003E37BB"/>
    <w:rsid w:val="003E39E3"/>
    <w:rsid w:val="003E3DC9"/>
    <w:rsid w:val="003E4153"/>
    <w:rsid w:val="003E43AD"/>
    <w:rsid w:val="003E492C"/>
    <w:rsid w:val="003E511B"/>
    <w:rsid w:val="003E552F"/>
    <w:rsid w:val="003E5610"/>
    <w:rsid w:val="003E59A0"/>
    <w:rsid w:val="003E5F7A"/>
    <w:rsid w:val="003E6367"/>
    <w:rsid w:val="003E646E"/>
    <w:rsid w:val="003E6B53"/>
    <w:rsid w:val="003E710D"/>
    <w:rsid w:val="003E72AB"/>
    <w:rsid w:val="003E74EF"/>
    <w:rsid w:val="003E7A9C"/>
    <w:rsid w:val="003F0A67"/>
    <w:rsid w:val="003F0F9F"/>
    <w:rsid w:val="003F154E"/>
    <w:rsid w:val="003F1ABF"/>
    <w:rsid w:val="003F1E5A"/>
    <w:rsid w:val="003F1EE6"/>
    <w:rsid w:val="003F2789"/>
    <w:rsid w:val="003F28D2"/>
    <w:rsid w:val="003F3219"/>
    <w:rsid w:val="003F328F"/>
    <w:rsid w:val="003F351D"/>
    <w:rsid w:val="003F3585"/>
    <w:rsid w:val="003F43D0"/>
    <w:rsid w:val="003F464E"/>
    <w:rsid w:val="003F46C5"/>
    <w:rsid w:val="003F4C66"/>
    <w:rsid w:val="003F531A"/>
    <w:rsid w:val="003F542D"/>
    <w:rsid w:val="003F55F4"/>
    <w:rsid w:val="003F5CEB"/>
    <w:rsid w:val="003F5ED3"/>
    <w:rsid w:val="003F603E"/>
    <w:rsid w:val="003F6447"/>
    <w:rsid w:val="003F6D1E"/>
    <w:rsid w:val="003F6E1A"/>
    <w:rsid w:val="003F73F7"/>
    <w:rsid w:val="003F76C2"/>
    <w:rsid w:val="003F783D"/>
    <w:rsid w:val="003F7C9E"/>
    <w:rsid w:val="003F7D21"/>
    <w:rsid w:val="004003C0"/>
    <w:rsid w:val="00401235"/>
    <w:rsid w:val="00401286"/>
    <w:rsid w:val="00401A89"/>
    <w:rsid w:val="00401ACE"/>
    <w:rsid w:val="00401B2C"/>
    <w:rsid w:val="00401FCC"/>
    <w:rsid w:val="004025E8"/>
    <w:rsid w:val="00402734"/>
    <w:rsid w:val="00402768"/>
    <w:rsid w:val="00402A59"/>
    <w:rsid w:val="00402AFD"/>
    <w:rsid w:val="00402FA1"/>
    <w:rsid w:val="00403718"/>
    <w:rsid w:val="004037D2"/>
    <w:rsid w:val="00403D5C"/>
    <w:rsid w:val="00403E71"/>
    <w:rsid w:val="00403EDF"/>
    <w:rsid w:val="00404A3B"/>
    <w:rsid w:val="00404A45"/>
    <w:rsid w:val="00404A8E"/>
    <w:rsid w:val="00404C36"/>
    <w:rsid w:val="004050EE"/>
    <w:rsid w:val="004062E5"/>
    <w:rsid w:val="00406738"/>
    <w:rsid w:val="00406AF3"/>
    <w:rsid w:val="00406BC8"/>
    <w:rsid w:val="00406CA4"/>
    <w:rsid w:val="00406F38"/>
    <w:rsid w:val="004070C9"/>
    <w:rsid w:val="0040759F"/>
    <w:rsid w:val="004107CA"/>
    <w:rsid w:val="0041107C"/>
    <w:rsid w:val="004111BC"/>
    <w:rsid w:val="004114CB"/>
    <w:rsid w:val="004115E1"/>
    <w:rsid w:val="00411942"/>
    <w:rsid w:val="0041195C"/>
    <w:rsid w:val="004125F4"/>
    <w:rsid w:val="00412635"/>
    <w:rsid w:val="004126D4"/>
    <w:rsid w:val="004129A8"/>
    <w:rsid w:val="004134FB"/>
    <w:rsid w:val="00413E11"/>
    <w:rsid w:val="0041435F"/>
    <w:rsid w:val="00414703"/>
    <w:rsid w:val="00414C72"/>
    <w:rsid w:val="004154A2"/>
    <w:rsid w:val="00415BAF"/>
    <w:rsid w:val="00415C88"/>
    <w:rsid w:val="00415D2B"/>
    <w:rsid w:val="00415E4C"/>
    <w:rsid w:val="004168B6"/>
    <w:rsid w:val="00416ADD"/>
    <w:rsid w:val="00416C0A"/>
    <w:rsid w:val="00417021"/>
    <w:rsid w:val="004171CF"/>
    <w:rsid w:val="00417547"/>
    <w:rsid w:val="0041788F"/>
    <w:rsid w:val="00420112"/>
    <w:rsid w:val="0042033B"/>
    <w:rsid w:val="0042041D"/>
    <w:rsid w:val="00420579"/>
    <w:rsid w:val="00421941"/>
    <w:rsid w:val="00421D9A"/>
    <w:rsid w:val="00422654"/>
    <w:rsid w:val="00422C53"/>
    <w:rsid w:val="004234D9"/>
    <w:rsid w:val="00423C4A"/>
    <w:rsid w:val="00423CB9"/>
    <w:rsid w:val="00423FDF"/>
    <w:rsid w:val="004249B1"/>
    <w:rsid w:val="00424BBF"/>
    <w:rsid w:val="00424D58"/>
    <w:rsid w:val="00424DE2"/>
    <w:rsid w:val="00425133"/>
    <w:rsid w:val="00425175"/>
    <w:rsid w:val="00425279"/>
    <w:rsid w:val="00425403"/>
    <w:rsid w:val="00425881"/>
    <w:rsid w:val="00427529"/>
    <w:rsid w:val="0042767A"/>
    <w:rsid w:val="00427A0B"/>
    <w:rsid w:val="00427B46"/>
    <w:rsid w:val="00427EB1"/>
    <w:rsid w:val="00430145"/>
    <w:rsid w:val="0043050F"/>
    <w:rsid w:val="004305AF"/>
    <w:rsid w:val="00430DB4"/>
    <w:rsid w:val="0043114E"/>
    <w:rsid w:val="004312EC"/>
    <w:rsid w:val="004313B7"/>
    <w:rsid w:val="00431427"/>
    <w:rsid w:val="004319C0"/>
    <w:rsid w:val="00431A39"/>
    <w:rsid w:val="00431F33"/>
    <w:rsid w:val="0043210C"/>
    <w:rsid w:val="0043233D"/>
    <w:rsid w:val="00432528"/>
    <w:rsid w:val="004326DC"/>
    <w:rsid w:val="00432836"/>
    <w:rsid w:val="0043296F"/>
    <w:rsid w:val="00432C29"/>
    <w:rsid w:val="004337CA"/>
    <w:rsid w:val="00433A18"/>
    <w:rsid w:val="004340E6"/>
    <w:rsid w:val="00434A32"/>
    <w:rsid w:val="00435A0F"/>
    <w:rsid w:val="004365E9"/>
    <w:rsid w:val="00436FCB"/>
    <w:rsid w:val="0043704B"/>
    <w:rsid w:val="004371A9"/>
    <w:rsid w:val="004373D1"/>
    <w:rsid w:val="00437574"/>
    <w:rsid w:val="0043778D"/>
    <w:rsid w:val="00437C7A"/>
    <w:rsid w:val="00437D68"/>
    <w:rsid w:val="004405CF"/>
    <w:rsid w:val="00440B58"/>
    <w:rsid w:val="0044169D"/>
    <w:rsid w:val="00441B35"/>
    <w:rsid w:val="00441E76"/>
    <w:rsid w:val="004423F8"/>
    <w:rsid w:val="004428CA"/>
    <w:rsid w:val="004428E4"/>
    <w:rsid w:val="0044290B"/>
    <w:rsid w:val="00443493"/>
    <w:rsid w:val="0044421A"/>
    <w:rsid w:val="00444294"/>
    <w:rsid w:val="00445201"/>
    <w:rsid w:val="004453E5"/>
    <w:rsid w:val="004454C2"/>
    <w:rsid w:val="00445620"/>
    <w:rsid w:val="00445D5E"/>
    <w:rsid w:val="00446807"/>
    <w:rsid w:val="0044695D"/>
    <w:rsid w:val="00446AA3"/>
    <w:rsid w:val="00446AE9"/>
    <w:rsid w:val="00446B8C"/>
    <w:rsid w:val="00447347"/>
    <w:rsid w:val="004474A4"/>
    <w:rsid w:val="004474E9"/>
    <w:rsid w:val="004474FA"/>
    <w:rsid w:val="00447D89"/>
    <w:rsid w:val="00447F33"/>
    <w:rsid w:val="00450407"/>
    <w:rsid w:val="00450A27"/>
    <w:rsid w:val="00450BEA"/>
    <w:rsid w:val="00450C91"/>
    <w:rsid w:val="00451EC2"/>
    <w:rsid w:val="004520FE"/>
    <w:rsid w:val="00452118"/>
    <w:rsid w:val="004523AB"/>
    <w:rsid w:val="00452495"/>
    <w:rsid w:val="00452610"/>
    <w:rsid w:val="004526A7"/>
    <w:rsid w:val="00452941"/>
    <w:rsid w:val="00452F85"/>
    <w:rsid w:val="00453732"/>
    <w:rsid w:val="0045373C"/>
    <w:rsid w:val="004538C0"/>
    <w:rsid w:val="004539D9"/>
    <w:rsid w:val="00453CEB"/>
    <w:rsid w:val="0045433B"/>
    <w:rsid w:val="00454598"/>
    <w:rsid w:val="00454772"/>
    <w:rsid w:val="00454AA6"/>
    <w:rsid w:val="0045527C"/>
    <w:rsid w:val="0045596A"/>
    <w:rsid w:val="00455A79"/>
    <w:rsid w:val="00455D99"/>
    <w:rsid w:val="004561C5"/>
    <w:rsid w:val="004563F8"/>
    <w:rsid w:val="00457010"/>
    <w:rsid w:val="004575C5"/>
    <w:rsid w:val="00457795"/>
    <w:rsid w:val="004603B8"/>
    <w:rsid w:val="00460891"/>
    <w:rsid w:val="00461B66"/>
    <w:rsid w:val="0046216A"/>
    <w:rsid w:val="0046260D"/>
    <w:rsid w:val="00463357"/>
    <w:rsid w:val="0046352B"/>
    <w:rsid w:val="00463A04"/>
    <w:rsid w:val="00463BC2"/>
    <w:rsid w:val="004646FA"/>
    <w:rsid w:val="00464A59"/>
    <w:rsid w:val="00464A98"/>
    <w:rsid w:val="00464AA4"/>
    <w:rsid w:val="0046519D"/>
    <w:rsid w:val="00465255"/>
    <w:rsid w:val="00465691"/>
    <w:rsid w:val="0046585B"/>
    <w:rsid w:val="00465E38"/>
    <w:rsid w:val="0046639C"/>
    <w:rsid w:val="00466ACD"/>
    <w:rsid w:val="00466BB3"/>
    <w:rsid w:val="00466FCC"/>
    <w:rsid w:val="004670BC"/>
    <w:rsid w:val="004673BF"/>
    <w:rsid w:val="00467531"/>
    <w:rsid w:val="00467805"/>
    <w:rsid w:val="00470681"/>
    <w:rsid w:val="004712E9"/>
    <w:rsid w:val="004720E4"/>
    <w:rsid w:val="0047269E"/>
    <w:rsid w:val="00472B99"/>
    <w:rsid w:val="00472DE8"/>
    <w:rsid w:val="00472DF3"/>
    <w:rsid w:val="00472E10"/>
    <w:rsid w:val="0047362E"/>
    <w:rsid w:val="004736F2"/>
    <w:rsid w:val="00473718"/>
    <w:rsid w:val="00473869"/>
    <w:rsid w:val="00473EF3"/>
    <w:rsid w:val="0047410E"/>
    <w:rsid w:val="004742B5"/>
    <w:rsid w:val="004744DF"/>
    <w:rsid w:val="00474636"/>
    <w:rsid w:val="00474ACD"/>
    <w:rsid w:val="00474C01"/>
    <w:rsid w:val="004759E6"/>
    <w:rsid w:val="00475AEE"/>
    <w:rsid w:val="0047612B"/>
    <w:rsid w:val="00476978"/>
    <w:rsid w:val="00476CB8"/>
    <w:rsid w:val="00476FDB"/>
    <w:rsid w:val="0047753E"/>
    <w:rsid w:val="0048029D"/>
    <w:rsid w:val="0048054A"/>
    <w:rsid w:val="004812DD"/>
    <w:rsid w:val="00481558"/>
    <w:rsid w:val="004818E8"/>
    <w:rsid w:val="00481CDB"/>
    <w:rsid w:val="00482000"/>
    <w:rsid w:val="00482267"/>
    <w:rsid w:val="0048298A"/>
    <w:rsid w:val="00482C63"/>
    <w:rsid w:val="00482EA6"/>
    <w:rsid w:val="00482F67"/>
    <w:rsid w:val="00482FCC"/>
    <w:rsid w:val="00483006"/>
    <w:rsid w:val="004842F9"/>
    <w:rsid w:val="00484381"/>
    <w:rsid w:val="00484915"/>
    <w:rsid w:val="00484D6D"/>
    <w:rsid w:val="00484DD3"/>
    <w:rsid w:val="00484FC9"/>
    <w:rsid w:val="00485961"/>
    <w:rsid w:val="004859B2"/>
    <w:rsid w:val="00485A25"/>
    <w:rsid w:val="00485A69"/>
    <w:rsid w:val="004861EB"/>
    <w:rsid w:val="00486220"/>
    <w:rsid w:val="0048641F"/>
    <w:rsid w:val="00487286"/>
    <w:rsid w:val="00487387"/>
    <w:rsid w:val="00487648"/>
    <w:rsid w:val="00487785"/>
    <w:rsid w:val="00487D86"/>
    <w:rsid w:val="00490057"/>
    <w:rsid w:val="00490060"/>
    <w:rsid w:val="00490AAE"/>
    <w:rsid w:val="004916CE"/>
    <w:rsid w:val="004917AD"/>
    <w:rsid w:val="00491802"/>
    <w:rsid w:val="004919FD"/>
    <w:rsid w:val="00491AEF"/>
    <w:rsid w:val="00491C57"/>
    <w:rsid w:val="0049241C"/>
    <w:rsid w:val="00492BB6"/>
    <w:rsid w:val="00492E20"/>
    <w:rsid w:val="004931B7"/>
    <w:rsid w:val="0049322B"/>
    <w:rsid w:val="0049405E"/>
    <w:rsid w:val="00494467"/>
    <w:rsid w:val="00494DB8"/>
    <w:rsid w:val="00494E57"/>
    <w:rsid w:val="00495072"/>
    <w:rsid w:val="0049510F"/>
    <w:rsid w:val="0049528B"/>
    <w:rsid w:val="00495361"/>
    <w:rsid w:val="00495745"/>
    <w:rsid w:val="00495E6D"/>
    <w:rsid w:val="004961A4"/>
    <w:rsid w:val="004962A7"/>
    <w:rsid w:val="00496326"/>
    <w:rsid w:val="00496B6E"/>
    <w:rsid w:val="00496BE1"/>
    <w:rsid w:val="00496D22"/>
    <w:rsid w:val="00496D4B"/>
    <w:rsid w:val="00496ECD"/>
    <w:rsid w:val="00497C53"/>
    <w:rsid w:val="004A0FBF"/>
    <w:rsid w:val="004A132C"/>
    <w:rsid w:val="004A13E6"/>
    <w:rsid w:val="004A1A32"/>
    <w:rsid w:val="004A1F93"/>
    <w:rsid w:val="004A21CE"/>
    <w:rsid w:val="004A22E4"/>
    <w:rsid w:val="004A23A0"/>
    <w:rsid w:val="004A2809"/>
    <w:rsid w:val="004A2EE3"/>
    <w:rsid w:val="004A30F4"/>
    <w:rsid w:val="004A31A8"/>
    <w:rsid w:val="004A3AB4"/>
    <w:rsid w:val="004A3C12"/>
    <w:rsid w:val="004A3ED5"/>
    <w:rsid w:val="004A419C"/>
    <w:rsid w:val="004A420C"/>
    <w:rsid w:val="004A46E4"/>
    <w:rsid w:val="004A5452"/>
    <w:rsid w:val="004A5610"/>
    <w:rsid w:val="004A5A96"/>
    <w:rsid w:val="004A63A2"/>
    <w:rsid w:val="004A6ACF"/>
    <w:rsid w:val="004A6EE5"/>
    <w:rsid w:val="004A778C"/>
    <w:rsid w:val="004A7C2D"/>
    <w:rsid w:val="004B0027"/>
    <w:rsid w:val="004B00EC"/>
    <w:rsid w:val="004B01D4"/>
    <w:rsid w:val="004B09CA"/>
    <w:rsid w:val="004B0B8C"/>
    <w:rsid w:val="004B0BEA"/>
    <w:rsid w:val="004B0E37"/>
    <w:rsid w:val="004B1E37"/>
    <w:rsid w:val="004B253B"/>
    <w:rsid w:val="004B264C"/>
    <w:rsid w:val="004B26D9"/>
    <w:rsid w:val="004B279B"/>
    <w:rsid w:val="004B2C5E"/>
    <w:rsid w:val="004B33CF"/>
    <w:rsid w:val="004B36DA"/>
    <w:rsid w:val="004B3BB0"/>
    <w:rsid w:val="004B3C3B"/>
    <w:rsid w:val="004B45AA"/>
    <w:rsid w:val="004B49F8"/>
    <w:rsid w:val="004B49FB"/>
    <w:rsid w:val="004B4E08"/>
    <w:rsid w:val="004B4F24"/>
    <w:rsid w:val="004B5642"/>
    <w:rsid w:val="004B56DA"/>
    <w:rsid w:val="004B5B13"/>
    <w:rsid w:val="004B5CD9"/>
    <w:rsid w:val="004B5E6E"/>
    <w:rsid w:val="004B626E"/>
    <w:rsid w:val="004B64AB"/>
    <w:rsid w:val="004B6BDD"/>
    <w:rsid w:val="004B6C5B"/>
    <w:rsid w:val="004B774B"/>
    <w:rsid w:val="004B7AD9"/>
    <w:rsid w:val="004B7FFB"/>
    <w:rsid w:val="004C01F8"/>
    <w:rsid w:val="004C06FB"/>
    <w:rsid w:val="004C0BA3"/>
    <w:rsid w:val="004C0C09"/>
    <w:rsid w:val="004C0CE2"/>
    <w:rsid w:val="004C15C9"/>
    <w:rsid w:val="004C1821"/>
    <w:rsid w:val="004C18D4"/>
    <w:rsid w:val="004C1F77"/>
    <w:rsid w:val="004C2311"/>
    <w:rsid w:val="004C26C4"/>
    <w:rsid w:val="004C2E21"/>
    <w:rsid w:val="004C31FC"/>
    <w:rsid w:val="004C393B"/>
    <w:rsid w:val="004C41D7"/>
    <w:rsid w:val="004C44F9"/>
    <w:rsid w:val="004C4629"/>
    <w:rsid w:val="004C4645"/>
    <w:rsid w:val="004C4B71"/>
    <w:rsid w:val="004C5B5F"/>
    <w:rsid w:val="004C5C05"/>
    <w:rsid w:val="004C5D56"/>
    <w:rsid w:val="004C5E7C"/>
    <w:rsid w:val="004C622F"/>
    <w:rsid w:val="004C69EB"/>
    <w:rsid w:val="004C7030"/>
    <w:rsid w:val="004C73FC"/>
    <w:rsid w:val="004C7664"/>
    <w:rsid w:val="004C7E96"/>
    <w:rsid w:val="004C7FCB"/>
    <w:rsid w:val="004C7FFC"/>
    <w:rsid w:val="004D087E"/>
    <w:rsid w:val="004D10EB"/>
    <w:rsid w:val="004D14F9"/>
    <w:rsid w:val="004D19DB"/>
    <w:rsid w:val="004D1E88"/>
    <w:rsid w:val="004D216E"/>
    <w:rsid w:val="004D2820"/>
    <w:rsid w:val="004D2870"/>
    <w:rsid w:val="004D2FA5"/>
    <w:rsid w:val="004D3298"/>
    <w:rsid w:val="004D335E"/>
    <w:rsid w:val="004D3CD7"/>
    <w:rsid w:val="004D437D"/>
    <w:rsid w:val="004D4864"/>
    <w:rsid w:val="004D5719"/>
    <w:rsid w:val="004D5881"/>
    <w:rsid w:val="004D58DE"/>
    <w:rsid w:val="004D58EC"/>
    <w:rsid w:val="004D5BF0"/>
    <w:rsid w:val="004D5CBF"/>
    <w:rsid w:val="004D63E2"/>
    <w:rsid w:val="004D66F7"/>
    <w:rsid w:val="004D6BA5"/>
    <w:rsid w:val="004D71E9"/>
    <w:rsid w:val="004D763A"/>
    <w:rsid w:val="004D76AD"/>
    <w:rsid w:val="004D7716"/>
    <w:rsid w:val="004D793C"/>
    <w:rsid w:val="004D7951"/>
    <w:rsid w:val="004E00BC"/>
    <w:rsid w:val="004E06A4"/>
    <w:rsid w:val="004E0A95"/>
    <w:rsid w:val="004E0B4F"/>
    <w:rsid w:val="004E10DE"/>
    <w:rsid w:val="004E12AA"/>
    <w:rsid w:val="004E15FF"/>
    <w:rsid w:val="004E1A93"/>
    <w:rsid w:val="004E1F68"/>
    <w:rsid w:val="004E2AC7"/>
    <w:rsid w:val="004E2EA2"/>
    <w:rsid w:val="004E306D"/>
    <w:rsid w:val="004E37B0"/>
    <w:rsid w:val="004E388A"/>
    <w:rsid w:val="004E3AD3"/>
    <w:rsid w:val="004E3CB5"/>
    <w:rsid w:val="004E3F30"/>
    <w:rsid w:val="004E4525"/>
    <w:rsid w:val="004E45E5"/>
    <w:rsid w:val="004E46D6"/>
    <w:rsid w:val="004E46F8"/>
    <w:rsid w:val="004E479C"/>
    <w:rsid w:val="004E4C10"/>
    <w:rsid w:val="004E50C8"/>
    <w:rsid w:val="004E571A"/>
    <w:rsid w:val="004E5DD1"/>
    <w:rsid w:val="004E620C"/>
    <w:rsid w:val="004E653E"/>
    <w:rsid w:val="004E65F5"/>
    <w:rsid w:val="004E66E4"/>
    <w:rsid w:val="004E681E"/>
    <w:rsid w:val="004E6F99"/>
    <w:rsid w:val="004E771A"/>
    <w:rsid w:val="004E77A0"/>
    <w:rsid w:val="004E7B3D"/>
    <w:rsid w:val="004E7C70"/>
    <w:rsid w:val="004E7E1E"/>
    <w:rsid w:val="004E7F58"/>
    <w:rsid w:val="004E7FF9"/>
    <w:rsid w:val="004F0D56"/>
    <w:rsid w:val="004F12AF"/>
    <w:rsid w:val="004F1B9D"/>
    <w:rsid w:val="004F2250"/>
    <w:rsid w:val="004F240F"/>
    <w:rsid w:val="004F2D77"/>
    <w:rsid w:val="004F33FF"/>
    <w:rsid w:val="004F3C95"/>
    <w:rsid w:val="004F3E23"/>
    <w:rsid w:val="004F3E28"/>
    <w:rsid w:val="004F4AA3"/>
    <w:rsid w:val="004F4C89"/>
    <w:rsid w:val="004F4FF2"/>
    <w:rsid w:val="004F5316"/>
    <w:rsid w:val="004F56C7"/>
    <w:rsid w:val="004F58A9"/>
    <w:rsid w:val="004F621F"/>
    <w:rsid w:val="004F6240"/>
    <w:rsid w:val="004F6274"/>
    <w:rsid w:val="004F6AE5"/>
    <w:rsid w:val="004F78A3"/>
    <w:rsid w:val="00500189"/>
    <w:rsid w:val="0050034A"/>
    <w:rsid w:val="0050061F"/>
    <w:rsid w:val="00500AAE"/>
    <w:rsid w:val="00501FC6"/>
    <w:rsid w:val="0050269C"/>
    <w:rsid w:val="00502774"/>
    <w:rsid w:val="00502EAE"/>
    <w:rsid w:val="00502F64"/>
    <w:rsid w:val="00503404"/>
    <w:rsid w:val="00503425"/>
    <w:rsid w:val="005039D2"/>
    <w:rsid w:val="00503A13"/>
    <w:rsid w:val="00503A1B"/>
    <w:rsid w:val="00503C81"/>
    <w:rsid w:val="00504A43"/>
    <w:rsid w:val="00504BCC"/>
    <w:rsid w:val="0050500F"/>
    <w:rsid w:val="00505052"/>
    <w:rsid w:val="00505279"/>
    <w:rsid w:val="00505521"/>
    <w:rsid w:val="00505A67"/>
    <w:rsid w:val="00505DB5"/>
    <w:rsid w:val="005063E1"/>
    <w:rsid w:val="005069FD"/>
    <w:rsid w:val="00506A7E"/>
    <w:rsid w:val="00506CF9"/>
    <w:rsid w:val="00506D29"/>
    <w:rsid w:val="00506EF0"/>
    <w:rsid w:val="0050746C"/>
    <w:rsid w:val="005079D4"/>
    <w:rsid w:val="00507CC5"/>
    <w:rsid w:val="00507F2B"/>
    <w:rsid w:val="005109CF"/>
    <w:rsid w:val="00510BEB"/>
    <w:rsid w:val="00510F64"/>
    <w:rsid w:val="00511723"/>
    <w:rsid w:val="005117BE"/>
    <w:rsid w:val="00511894"/>
    <w:rsid w:val="0051296E"/>
    <w:rsid w:val="00513237"/>
    <w:rsid w:val="0051331A"/>
    <w:rsid w:val="0051372B"/>
    <w:rsid w:val="00513B2F"/>
    <w:rsid w:val="00513E44"/>
    <w:rsid w:val="00514143"/>
    <w:rsid w:val="005145DA"/>
    <w:rsid w:val="0051474D"/>
    <w:rsid w:val="005149B7"/>
    <w:rsid w:val="00515D40"/>
    <w:rsid w:val="0051655C"/>
    <w:rsid w:val="00516811"/>
    <w:rsid w:val="00516A61"/>
    <w:rsid w:val="00516BBB"/>
    <w:rsid w:val="005171B9"/>
    <w:rsid w:val="005174FA"/>
    <w:rsid w:val="00520801"/>
    <w:rsid w:val="00520B59"/>
    <w:rsid w:val="00520CDB"/>
    <w:rsid w:val="0052114A"/>
    <w:rsid w:val="005216D0"/>
    <w:rsid w:val="00521F7D"/>
    <w:rsid w:val="00522093"/>
    <w:rsid w:val="005221A3"/>
    <w:rsid w:val="00522307"/>
    <w:rsid w:val="0052253C"/>
    <w:rsid w:val="00522541"/>
    <w:rsid w:val="005227C3"/>
    <w:rsid w:val="00522FFC"/>
    <w:rsid w:val="00523026"/>
    <w:rsid w:val="00523629"/>
    <w:rsid w:val="00523D3E"/>
    <w:rsid w:val="00523E83"/>
    <w:rsid w:val="0052418C"/>
    <w:rsid w:val="0052478A"/>
    <w:rsid w:val="005248BB"/>
    <w:rsid w:val="00524A04"/>
    <w:rsid w:val="005251C2"/>
    <w:rsid w:val="0052557D"/>
    <w:rsid w:val="00525759"/>
    <w:rsid w:val="005278C0"/>
    <w:rsid w:val="00530504"/>
    <w:rsid w:val="00530707"/>
    <w:rsid w:val="005308A5"/>
    <w:rsid w:val="005314E9"/>
    <w:rsid w:val="00531723"/>
    <w:rsid w:val="00531B17"/>
    <w:rsid w:val="00531CEF"/>
    <w:rsid w:val="005320A8"/>
    <w:rsid w:val="0053216E"/>
    <w:rsid w:val="00532339"/>
    <w:rsid w:val="00532611"/>
    <w:rsid w:val="0053275E"/>
    <w:rsid w:val="00532CE5"/>
    <w:rsid w:val="00533405"/>
    <w:rsid w:val="00533930"/>
    <w:rsid w:val="005339BF"/>
    <w:rsid w:val="00534451"/>
    <w:rsid w:val="005347DF"/>
    <w:rsid w:val="00534A2D"/>
    <w:rsid w:val="00534BDB"/>
    <w:rsid w:val="0053508A"/>
    <w:rsid w:val="005355BD"/>
    <w:rsid w:val="005358FB"/>
    <w:rsid w:val="00535DB1"/>
    <w:rsid w:val="005360E3"/>
    <w:rsid w:val="0053656A"/>
    <w:rsid w:val="00536CA8"/>
    <w:rsid w:val="00536CE2"/>
    <w:rsid w:val="005375DF"/>
    <w:rsid w:val="0053761F"/>
    <w:rsid w:val="00537C26"/>
    <w:rsid w:val="00537C5C"/>
    <w:rsid w:val="005405D5"/>
    <w:rsid w:val="005407DB"/>
    <w:rsid w:val="00540CB9"/>
    <w:rsid w:val="00540D57"/>
    <w:rsid w:val="005413A6"/>
    <w:rsid w:val="00541485"/>
    <w:rsid w:val="00541EF9"/>
    <w:rsid w:val="005421F0"/>
    <w:rsid w:val="00542268"/>
    <w:rsid w:val="005427CE"/>
    <w:rsid w:val="00542D61"/>
    <w:rsid w:val="00542EF5"/>
    <w:rsid w:val="005430B3"/>
    <w:rsid w:val="005431CF"/>
    <w:rsid w:val="005434ED"/>
    <w:rsid w:val="00543D0A"/>
    <w:rsid w:val="00543F97"/>
    <w:rsid w:val="005446ED"/>
    <w:rsid w:val="00544823"/>
    <w:rsid w:val="005454F3"/>
    <w:rsid w:val="005455E5"/>
    <w:rsid w:val="005458DE"/>
    <w:rsid w:val="00545C7E"/>
    <w:rsid w:val="00545D4C"/>
    <w:rsid w:val="0054605E"/>
    <w:rsid w:val="0054653F"/>
    <w:rsid w:val="0054681B"/>
    <w:rsid w:val="00546878"/>
    <w:rsid w:val="00546DFF"/>
    <w:rsid w:val="00546F76"/>
    <w:rsid w:val="00547480"/>
    <w:rsid w:val="0054779A"/>
    <w:rsid w:val="00547BA1"/>
    <w:rsid w:val="00547BFE"/>
    <w:rsid w:val="00547C9F"/>
    <w:rsid w:val="00547EC5"/>
    <w:rsid w:val="005510D6"/>
    <w:rsid w:val="00551EA9"/>
    <w:rsid w:val="00551F49"/>
    <w:rsid w:val="0055233B"/>
    <w:rsid w:val="005527B5"/>
    <w:rsid w:val="00552D24"/>
    <w:rsid w:val="00552D46"/>
    <w:rsid w:val="005530E9"/>
    <w:rsid w:val="0055357D"/>
    <w:rsid w:val="00553B5C"/>
    <w:rsid w:val="00553E32"/>
    <w:rsid w:val="00553F0A"/>
    <w:rsid w:val="00554A59"/>
    <w:rsid w:val="00554F19"/>
    <w:rsid w:val="0055512F"/>
    <w:rsid w:val="00555CFE"/>
    <w:rsid w:val="00555EE1"/>
    <w:rsid w:val="005564DC"/>
    <w:rsid w:val="005565A8"/>
    <w:rsid w:val="00556F43"/>
    <w:rsid w:val="00556FFA"/>
    <w:rsid w:val="00557ABF"/>
    <w:rsid w:val="00557CB1"/>
    <w:rsid w:val="00557E29"/>
    <w:rsid w:val="00557EC8"/>
    <w:rsid w:val="00560077"/>
    <w:rsid w:val="00560267"/>
    <w:rsid w:val="005604EF"/>
    <w:rsid w:val="0056091E"/>
    <w:rsid w:val="00561371"/>
    <w:rsid w:val="005614FA"/>
    <w:rsid w:val="0056172D"/>
    <w:rsid w:val="0056235B"/>
    <w:rsid w:val="005623B3"/>
    <w:rsid w:val="005629B1"/>
    <w:rsid w:val="00563085"/>
    <w:rsid w:val="005632BD"/>
    <w:rsid w:val="005635F3"/>
    <w:rsid w:val="0056362E"/>
    <w:rsid w:val="00563D7A"/>
    <w:rsid w:val="00563F2C"/>
    <w:rsid w:val="0056411C"/>
    <w:rsid w:val="00564F7F"/>
    <w:rsid w:val="00564FBB"/>
    <w:rsid w:val="005652DC"/>
    <w:rsid w:val="00565694"/>
    <w:rsid w:val="0056584A"/>
    <w:rsid w:val="00565924"/>
    <w:rsid w:val="00565B4C"/>
    <w:rsid w:val="00565CE8"/>
    <w:rsid w:val="00565D5C"/>
    <w:rsid w:val="00565FEB"/>
    <w:rsid w:val="005663BC"/>
    <w:rsid w:val="005663FF"/>
    <w:rsid w:val="00566977"/>
    <w:rsid w:val="00566ED9"/>
    <w:rsid w:val="005677E5"/>
    <w:rsid w:val="00567FFE"/>
    <w:rsid w:val="00570D24"/>
    <w:rsid w:val="005716D7"/>
    <w:rsid w:val="005720D2"/>
    <w:rsid w:val="005724C2"/>
    <w:rsid w:val="0057284A"/>
    <w:rsid w:val="0057289C"/>
    <w:rsid w:val="0057294C"/>
    <w:rsid w:val="00572D21"/>
    <w:rsid w:val="00572E8A"/>
    <w:rsid w:val="00573374"/>
    <w:rsid w:val="0057343D"/>
    <w:rsid w:val="005735D3"/>
    <w:rsid w:val="00574B1C"/>
    <w:rsid w:val="00574C1A"/>
    <w:rsid w:val="00574D80"/>
    <w:rsid w:val="00575059"/>
    <w:rsid w:val="0057558C"/>
    <w:rsid w:val="0057616E"/>
    <w:rsid w:val="00576921"/>
    <w:rsid w:val="00576D8C"/>
    <w:rsid w:val="00577496"/>
    <w:rsid w:val="005774DF"/>
    <w:rsid w:val="00577A7C"/>
    <w:rsid w:val="00577EF2"/>
    <w:rsid w:val="005805AC"/>
    <w:rsid w:val="005807BD"/>
    <w:rsid w:val="00580EEB"/>
    <w:rsid w:val="00580FCF"/>
    <w:rsid w:val="00581A7C"/>
    <w:rsid w:val="00582051"/>
    <w:rsid w:val="00582C2F"/>
    <w:rsid w:val="00582CE5"/>
    <w:rsid w:val="005835CA"/>
    <w:rsid w:val="00583673"/>
    <w:rsid w:val="00583714"/>
    <w:rsid w:val="00583D08"/>
    <w:rsid w:val="00583D37"/>
    <w:rsid w:val="0058430A"/>
    <w:rsid w:val="0058440E"/>
    <w:rsid w:val="005845EE"/>
    <w:rsid w:val="00584788"/>
    <w:rsid w:val="00584970"/>
    <w:rsid w:val="00584DB6"/>
    <w:rsid w:val="005857D3"/>
    <w:rsid w:val="00585A1E"/>
    <w:rsid w:val="00585CDD"/>
    <w:rsid w:val="0058728F"/>
    <w:rsid w:val="00587BE7"/>
    <w:rsid w:val="00587CBC"/>
    <w:rsid w:val="00587DB2"/>
    <w:rsid w:val="00587F57"/>
    <w:rsid w:val="00587FB3"/>
    <w:rsid w:val="00590B2C"/>
    <w:rsid w:val="005911BF"/>
    <w:rsid w:val="005913BB"/>
    <w:rsid w:val="005918BB"/>
    <w:rsid w:val="00591F4F"/>
    <w:rsid w:val="00591F73"/>
    <w:rsid w:val="005926A8"/>
    <w:rsid w:val="00592C9C"/>
    <w:rsid w:val="0059302C"/>
    <w:rsid w:val="00593696"/>
    <w:rsid w:val="00593B72"/>
    <w:rsid w:val="005942DE"/>
    <w:rsid w:val="005943FE"/>
    <w:rsid w:val="005949A9"/>
    <w:rsid w:val="00594D71"/>
    <w:rsid w:val="00594E52"/>
    <w:rsid w:val="0059530E"/>
    <w:rsid w:val="00595439"/>
    <w:rsid w:val="00595DF1"/>
    <w:rsid w:val="00595F4B"/>
    <w:rsid w:val="005961F0"/>
    <w:rsid w:val="00596524"/>
    <w:rsid w:val="00596861"/>
    <w:rsid w:val="00596ADF"/>
    <w:rsid w:val="0059720E"/>
    <w:rsid w:val="005977A0"/>
    <w:rsid w:val="00597D35"/>
    <w:rsid w:val="00597E57"/>
    <w:rsid w:val="005A0150"/>
    <w:rsid w:val="005A09A5"/>
    <w:rsid w:val="005A0ACC"/>
    <w:rsid w:val="005A0CE1"/>
    <w:rsid w:val="005A1584"/>
    <w:rsid w:val="005A1649"/>
    <w:rsid w:val="005A1806"/>
    <w:rsid w:val="005A2404"/>
    <w:rsid w:val="005A2785"/>
    <w:rsid w:val="005A2CC0"/>
    <w:rsid w:val="005A300F"/>
    <w:rsid w:val="005A340E"/>
    <w:rsid w:val="005A34E1"/>
    <w:rsid w:val="005A372E"/>
    <w:rsid w:val="005A3CDA"/>
    <w:rsid w:val="005A3DEF"/>
    <w:rsid w:val="005A4072"/>
    <w:rsid w:val="005A45F3"/>
    <w:rsid w:val="005A4A36"/>
    <w:rsid w:val="005A53F7"/>
    <w:rsid w:val="005A55B7"/>
    <w:rsid w:val="005A5640"/>
    <w:rsid w:val="005A5BBA"/>
    <w:rsid w:val="005A5DC6"/>
    <w:rsid w:val="005A6075"/>
    <w:rsid w:val="005A6452"/>
    <w:rsid w:val="005A655C"/>
    <w:rsid w:val="005A6D6D"/>
    <w:rsid w:val="005A6F55"/>
    <w:rsid w:val="005A707F"/>
    <w:rsid w:val="005A7264"/>
    <w:rsid w:val="005A75FE"/>
    <w:rsid w:val="005B1601"/>
    <w:rsid w:val="005B218A"/>
    <w:rsid w:val="005B2337"/>
    <w:rsid w:val="005B25DC"/>
    <w:rsid w:val="005B27A3"/>
    <w:rsid w:val="005B2B68"/>
    <w:rsid w:val="005B333F"/>
    <w:rsid w:val="005B3CCE"/>
    <w:rsid w:val="005B3D86"/>
    <w:rsid w:val="005B3ECB"/>
    <w:rsid w:val="005B42E0"/>
    <w:rsid w:val="005B470E"/>
    <w:rsid w:val="005B49FE"/>
    <w:rsid w:val="005B4C2C"/>
    <w:rsid w:val="005B4CFC"/>
    <w:rsid w:val="005B58B0"/>
    <w:rsid w:val="005B5996"/>
    <w:rsid w:val="005B5BE3"/>
    <w:rsid w:val="005B5F8D"/>
    <w:rsid w:val="005B653E"/>
    <w:rsid w:val="005B6EC8"/>
    <w:rsid w:val="005B766B"/>
    <w:rsid w:val="005B77DB"/>
    <w:rsid w:val="005B788A"/>
    <w:rsid w:val="005B79D9"/>
    <w:rsid w:val="005B7FBF"/>
    <w:rsid w:val="005C0122"/>
    <w:rsid w:val="005C0298"/>
    <w:rsid w:val="005C0769"/>
    <w:rsid w:val="005C0A3A"/>
    <w:rsid w:val="005C0E53"/>
    <w:rsid w:val="005C11D9"/>
    <w:rsid w:val="005C1706"/>
    <w:rsid w:val="005C18CC"/>
    <w:rsid w:val="005C1914"/>
    <w:rsid w:val="005C1E4B"/>
    <w:rsid w:val="005C1FEC"/>
    <w:rsid w:val="005C2118"/>
    <w:rsid w:val="005C2499"/>
    <w:rsid w:val="005C2A5B"/>
    <w:rsid w:val="005C2E56"/>
    <w:rsid w:val="005C325F"/>
    <w:rsid w:val="005C360A"/>
    <w:rsid w:val="005C390B"/>
    <w:rsid w:val="005C397A"/>
    <w:rsid w:val="005C3B46"/>
    <w:rsid w:val="005C3C6D"/>
    <w:rsid w:val="005C3D39"/>
    <w:rsid w:val="005C41F6"/>
    <w:rsid w:val="005C42A9"/>
    <w:rsid w:val="005C4A8A"/>
    <w:rsid w:val="005C5663"/>
    <w:rsid w:val="005C5B8C"/>
    <w:rsid w:val="005C62A7"/>
    <w:rsid w:val="005C6439"/>
    <w:rsid w:val="005C649A"/>
    <w:rsid w:val="005C7478"/>
    <w:rsid w:val="005C7DF1"/>
    <w:rsid w:val="005D0562"/>
    <w:rsid w:val="005D0ADB"/>
    <w:rsid w:val="005D0CC5"/>
    <w:rsid w:val="005D0CD5"/>
    <w:rsid w:val="005D126B"/>
    <w:rsid w:val="005D2091"/>
    <w:rsid w:val="005D20C5"/>
    <w:rsid w:val="005D221C"/>
    <w:rsid w:val="005D2950"/>
    <w:rsid w:val="005D2A43"/>
    <w:rsid w:val="005D2A9E"/>
    <w:rsid w:val="005D2AC8"/>
    <w:rsid w:val="005D2C70"/>
    <w:rsid w:val="005D31B9"/>
    <w:rsid w:val="005D3AD4"/>
    <w:rsid w:val="005D3B5E"/>
    <w:rsid w:val="005D4458"/>
    <w:rsid w:val="005D451B"/>
    <w:rsid w:val="005D4584"/>
    <w:rsid w:val="005D4628"/>
    <w:rsid w:val="005D4B43"/>
    <w:rsid w:val="005D4BE5"/>
    <w:rsid w:val="005D4FA8"/>
    <w:rsid w:val="005D5729"/>
    <w:rsid w:val="005D581E"/>
    <w:rsid w:val="005D58B3"/>
    <w:rsid w:val="005D61F8"/>
    <w:rsid w:val="005D62C8"/>
    <w:rsid w:val="005D6526"/>
    <w:rsid w:val="005D68D8"/>
    <w:rsid w:val="005D6DF9"/>
    <w:rsid w:val="005D6EA0"/>
    <w:rsid w:val="005D7565"/>
    <w:rsid w:val="005D7ACD"/>
    <w:rsid w:val="005E001E"/>
    <w:rsid w:val="005E0A82"/>
    <w:rsid w:val="005E0B91"/>
    <w:rsid w:val="005E1197"/>
    <w:rsid w:val="005E152F"/>
    <w:rsid w:val="005E1FFB"/>
    <w:rsid w:val="005E200A"/>
    <w:rsid w:val="005E20B3"/>
    <w:rsid w:val="005E2F77"/>
    <w:rsid w:val="005E3346"/>
    <w:rsid w:val="005E36BB"/>
    <w:rsid w:val="005E39EA"/>
    <w:rsid w:val="005E3EF6"/>
    <w:rsid w:val="005E4369"/>
    <w:rsid w:val="005E4475"/>
    <w:rsid w:val="005E45BC"/>
    <w:rsid w:val="005E4700"/>
    <w:rsid w:val="005E53D0"/>
    <w:rsid w:val="005E5ACE"/>
    <w:rsid w:val="005E5C67"/>
    <w:rsid w:val="005E694F"/>
    <w:rsid w:val="005E6A65"/>
    <w:rsid w:val="005E794E"/>
    <w:rsid w:val="005E79F0"/>
    <w:rsid w:val="005E7B36"/>
    <w:rsid w:val="005E7B7B"/>
    <w:rsid w:val="005F0217"/>
    <w:rsid w:val="005F028C"/>
    <w:rsid w:val="005F02E6"/>
    <w:rsid w:val="005F071A"/>
    <w:rsid w:val="005F10F1"/>
    <w:rsid w:val="005F18ED"/>
    <w:rsid w:val="005F1911"/>
    <w:rsid w:val="005F279A"/>
    <w:rsid w:val="005F2CBA"/>
    <w:rsid w:val="005F2D9C"/>
    <w:rsid w:val="005F3216"/>
    <w:rsid w:val="005F336A"/>
    <w:rsid w:val="005F39AD"/>
    <w:rsid w:val="005F3B7D"/>
    <w:rsid w:val="005F460B"/>
    <w:rsid w:val="005F4BD0"/>
    <w:rsid w:val="005F4DFE"/>
    <w:rsid w:val="005F4EF9"/>
    <w:rsid w:val="005F54B9"/>
    <w:rsid w:val="005F5AD9"/>
    <w:rsid w:val="005F5E83"/>
    <w:rsid w:val="005F61AB"/>
    <w:rsid w:val="005F68DC"/>
    <w:rsid w:val="005F6B6C"/>
    <w:rsid w:val="005F6BE8"/>
    <w:rsid w:val="005F7135"/>
    <w:rsid w:val="005F73DC"/>
    <w:rsid w:val="005F7526"/>
    <w:rsid w:val="005F7680"/>
    <w:rsid w:val="005F76BA"/>
    <w:rsid w:val="005F7726"/>
    <w:rsid w:val="005F7FE5"/>
    <w:rsid w:val="00600058"/>
    <w:rsid w:val="00600425"/>
    <w:rsid w:val="00601077"/>
    <w:rsid w:val="0060159C"/>
    <w:rsid w:val="006015AE"/>
    <w:rsid w:val="0060173C"/>
    <w:rsid w:val="006017B1"/>
    <w:rsid w:val="006026A6"/>
    <w:rsid w:val="00602C66"/>
    <w:rsid w:val="006035B6"/>
    <w:rsid w:val="006038AB"/>
    <w:rsid w:val="00603CBD"/>
    <w:rsid w:val="00604130"/>
    <w:rsid w:val="00604AEA"/>
    <w:rsid w:val="00604C18"/>
    <w:rsid w:val="00604D42"/>
    <w:rsid w:val="00604D93"/>
    <w:rsid w:val="00605B3A"/>
    <w:rsid w:val="00605DE7"/>
    <w:rsid w:val="00605E96"/>
    <w:rsid w:val="00606334"/>
    <w:rsid w:val="006065F8"/>
    <w:rsid w:val="006066A1"/>
    <w:rsid w:val="00606859"/>
    <w:rsid w:val="0060685F"/>
    <w:rsid w:val="00607066"/>
    <w:rsid w:val="00607197"/>
    <w:rsid w:val="00607475"/>
    <w:rsid w:val="00607A16"/>
    <w:rsid w:val="00607EF3"/>
    <w:rsid w:val="00610049"/>
    <w:rsid w:val="006101F4"/>
    <w:rsid w:val="006107E2"/>
    <w:rsid w:val="006109F8"/>
    <w:rsid w:val="00611031"/>
    <w:rsid w:val="00611075"/>
    <w:rsid w:val="006111F1"/>
    <w:rsid w:val="00611398"/>
    <w:rsid w:val="006114A5"/>
    <w:rsid w:val="00611871"/>
    <w:rsid w:val="0061190A"/>
    <w:rsid w:val="00612955"/>
    <w:rsid w:val="0061338D"/>
    <w:rsid w:val="00613905"/>
    <w:rsid w:val="00613944"/>
    <w:rsid w:val="00613F9B"/>
    <w:rsid w:val="00614002"/>
    <w:rsid w:val="006143A7"/>
    <w:rsid w:val="006147EA"/>
    <w:rsid w:val="00614D57"/>
    <w:rsid w:val="006151FA"/>
    <w:rsid w:val="006155DD"/>
    <w:rsid w:val="00616952"/>
    <w:rsid w:val="006169AA"/>
    <w:rsid w:val="00616ED5"/>
    <w:rsid w:val="006170F6"/>
    <w:rsid w:val="00620173"/>
    <w:rsid w:val="0062080E"/>
    <w:rsid w:val="00620B38"/>
    <w:rsid w:val="00620DC1"/>
    <w:rsid w:val="00620FFB"/>
    <w:rsid w:val="00621692"/>
    <w:rsid w:val="006219F9"/>
    <w:rsid w:val="00621C0C"/>
    <w:rsid w:val="006220C5"/>
    <w:rsid w:val="006222B9"/>
    <w:rsid w:val="00622333"/>
    <w:rsid w:val="00622698"/>
    <w:rsid w:val="00623075"/>
    <w:rsid w:val="0062340A"/>
    <w:rsid w:val="006236A3"/>
    <w:rsid w:val="006236C0"/>
    <w:rsid w:val="006236D8"/>
    <w:rsid w:val="006238C5"/>
    <w:rsid w:val="00623910"/>
    <w:rsid w:val="0062420B"/>
    <w:rsid w:val="00624566"/>
    <w:rsid w:val="0062467C"/>
    <w:rsid w:val="0062472B"/>
    <w:rsid w:val="00624A27"/>
    <w:rsid w:val="00624D74"/>
    <w:rsid w:val="00625554"/>
    <w:rsid w:val="00625A57"/>
    <w:rsid w:val="00625B99"/>
    <w:rsid w:val="00625F9B"/>
    <w:rsid w:val="00626257"/>
    <w:rsid w:val="0062626C"/>
    <w:rsid w:val="00626627"/>
    <w:rsid w:val="00626C33"/>
    <w:rsid w:val="0062716D"/>
    <w:rsid w:val="00627376"/>
    <w:rsid w:val="00627507"/>
    <w:rsid w:val="00627AF2"/>
    <w:rsid w:val="00627EEA"/>
    <w:rsid w:val="00630478"/>
    <w:rsid w:val="00630E59"/>
    <w:rsid w:val="00631884"/>
    <w:rsid w:val="00631E53"/>
    <w:rsid w:val="006324C4"/>
    <w:rsid w:val="006327AC"/>
    <w:rsid w:val="00632F94"/>
    <w:rsid w:val="0063367E"/>
    <w:rsid w:val="006340E1"/>
    <w:rsid w:val="00634272"/>
    <w:rsid w:val="0063460C"/>
    <w:rsid w:val="0063531D"/>
    <w:rsid w:val="00635398"/>
    <w:rsid w:val="00635D15"/>
    <w:rsid w:val="0063622E"/>
    <w:rsid w:val="0063632F"/>
    <w:rsid w:val="006364CC"/>
    <w:rsid w:val="00636AF0"/>
    <w:rsid w:val="0063718C"/>
    <w:rsid w:val="00637512"/>
    <w:rsid w:val="00637588"/>
    <w:rsid w:val="00637BD5"/>
    <w:rsid w:val="00637E8A"/>
    <w:rsid w:val="00637F09"/>
    <w:rsid w:val="00640A04"/>
    <w:rsid w:val="00640A5F"/>
    <w:rsid w:val="00640AB8"/>
    <w:rsid w:val="00640B2E"/>
    <w:rsid w:val="00640E38"/>
    <w:rsid w:val="00640E97"/>
    <w:rsid w:val="00641232"/>
    <w:rsid w:val="00641AAB"/>
    <w:rsid w:val="006424AA"/>
    <w:rsid w:val="006427D3"/>
    <w:rsid w:val="00642F3D"/>
    <w:rsid w:val="006434EE"/>
    <w:rsid w:val="00643601"/>
    <w:rsid w:val="00643866"/>
    <w:rsid w:val="00643B80"/>
    <w:rsid w:val="00643FD7"/>
    <w:rsid w:val="006445B3"/>
    <w:rsid w:val="00644ECE"/>
    <w:rsid w:val="00645337"/>
    <w:rsid w:val="00646239"/>
    <w:rsid w:val="00646400"/>
    <w:rsid w:val="00646B5A"/>
    <w:rsid w:val="00646C49"/>
    <w:rsid w:val="00646C4A"/>
    <w:rsid w:val="00647179"/>
    <w:rsid w:val="006471DF"/>
    <w:rsid w:val="0064729B"/>
    <w:rsid w:val="00647CF5"/>
    <w:rsid w:val="006507CA"/>
    <w:rsid w:val="00650C56"/>
    <w:rsid w:val="00650D94"/>
    <w:rsid w:val="00651229"/>
    <w:rsid w:val="00651241"/>
    <w:rsid w:val="0065164D"/>
    <w:rsid w:val="00651CE6"/>
    <w:rsid w:val="00652370"/>
    <w:rsid w:val="00652858"/>
    <w:rsid w:val="006529B2"/>
    <w:rsid w:val="00652EA8"/>
    <w:rsid w:val="00652F6D"/>
    <w:rsid w:val="00652F95"/>
    <w:rsid w:val="00652FDF"/>
    <w:rsid w:val="00653FF4"/>
    <w:rsid w:val="00654042"/>
    <w:rsid w:val="0065427B"/>
    <w:rsid w:val="006542C4"/>
    <w:rsid w:val="0065440E"/>
    <w:rsid w:val="0065443C"/>
    <w:rsid w:val="0065498D"/>
    <w:rsid w:val="00654D22"/>
    <w:rsid w:val="00654E41"/>
    <w:rsid w:val="00655310"/>
    <w:rsid w:val="006558DC"/>
    <w:rsid w:val="00655AEF"/>
    <w:rsid w:val="00655BFE"/>
    <w:rsid w:val="00655F4A"/>
    <w:rsid w:val="0065624F"/>
    <w:rsid w:val="00656AA3"/>
    <w:rsid w:val="00656B27"/>
    <w:rsid w:val="006571FE"/>
    <w:rsid w:val="00657B79"/>
    <w:rsid w:val="00657F8B"/>
    <w:rsid w:val="0066017A"/>
    <w:rsid w:val="00660273"/>
    <w:rsid w:val="00660401"/>
    <w:rsid w:val="0066064F"/>
    <w:rsid w:val="00660B47"/>
    <w:rsid w:val="006618FC"/>
    <w:rsid w:val="00661A29"/>
    <w:rsid w:val="00661A5D"/>
    <w:rsid w:val="00662EF4"/>
    <w:rsid w:val="006638DC"/>
    <w:rsid w:val="00663D00"/>
    <w:rsid w:val="00663E86"/>
    <w:rsid w:val="00664396"/>
    <w:rsid w:val="0066461F"/>
    <w:rsid w:val="00664670"/>
    <w:rsid w:val="00664814"/>
    <w:rsid w:val="006651DA"/>
    <w:rsid w:val="006651E0"/>
    <w:rsid w:val="0066557E"/>
    <w:rsid w:val="00665BC0"/>
    <w:rsid w:val="00665CF7"/>
    <w:rsid w:val="006660E9"/>
    <w:rsid w:val="0066624B"/>
    <w:rsid w:val="00666534"/>
    <w:rsid w:val="006666D1"/>
    <w:rsid w:val="00666D31"/>
    <w:rsid w:val="00670003"/>
    <w:rsid w:val="006700BE"/>
    <w:rsid w:val="00670492"/>
    <w:rsid w:val="00670781"/>
    <w:rsid w:val="00670964"/>
    <w:rsid w:val="006709A7"/>
    <w:rsid w:val="006710A5"/>
    <w:rsid w:val="00671B4C"/>
    <w:rsid w:val="00671B7E"/>
    <w:rsid w:val="00671C95"/>
    <w:rsid w:val="00671EC8"/>
    <w:rsid w:val="00671ECE"/>
    <w:rsid w:val="0067239B"/>
    <w:rsid w:val="0067244F"/>
    <w:rsid w:val="006726C7"/>
    <w:rsid w:val="006728FD"/>
    <w:rsid w:val="00672A85"/>
    <w:rsid w:val="00673568"/>
    <w:rsid w:val="00673633"/>
    <w:rsid w:val="0067405D"/>
    <w:rsid w:val="006740A1"/>
    <w:rsid w:val="0067461D"/>
    <w:rsid w:val="00674947"/>
    <w:rsid w:val="00674A85"/>
    <w:rsid w:val="00674B0C"/>
    <w:rsid w:val="00674C9A"/>
    <w:rsid w:val="00675644"/>
    <w:rsid w:val="006759F6"/>
    <w:rsid w:val="00675EAD"/>
    <w:rsid w:val="0067631D"/>
    <w:rsid w:val="0067652D"/>
    <w:rsid w:val="00676721"/>
    <w:rsid w:val="006767BC"/>
    <w:rsid w:val="00676A4A"/>
    <w:rsid w:val="00676E31"/>
    <w:rsid w:val="00677171"/>
    <w:rsid w:val="00677807"/>
    <w:rsid w:val="00677E54"/>
    <w:rsid w:val="00677EB9"/>
    <w:rsid w:val="0068044F"/>
    <w:rsid w:val="006809D8"/>
    <w:rsid w:val="00680AEF"/>
    <w:rsid w:val="00680B60"/>
    <w:rsid w:val="00681AC7"/>
    <w:rsid w:val="00681D62"/>
    <w:rsid w:val="00681D75"/>
    <w:rsid w:val="00681FE1"/>
    <w:rsid w:val="00682062"/>
    <w:rsid w:val="0068242E"/>
    <w:rsid w:val="006828EE"/>
    <w:rsid w:val="00682B39"/>
    <w:rsid w:val="00682B78"/>
    <w:rsid w:val="0068343E"/>
    <w:rsid w:val="0068346F"/>
    <w:rsid w:val="0068349E"/>
    <w:rsid w:val="006835E8"/>
    <w:rsid w:val="00683674"/>
    <w:rsid w:val="00683D14"/>
    <w:rsid w:val="00683E82"/>
    <w:rsid w:val="00683EEF"/>
    <w:rsid w:val="006841F6"/>
    <w:rsid w:val="00684772"/>
    <w:rsid w:val="00684BAF"/>
    <w:rsid w:val="00684BD9"/>
    <w:rsid w:val="00684E56"/>
    <w:rsid w:val="00684ECA"/>
    <w:rsid w:val="00684FA1"/>
    <w:rsid w:val="00685BB7"/>
    <w:rsid w:val="006861FD"/>
    <w:rsid w:val="00686627"/>
    <w:rsid w:val="00686736"/>
    <w:rsid w:val="006869ED"/>
    <w:rsid w:val="00686B32"/>
    <w:rsid w:val="00686D1E"/>
    <w:rsid w:val="00686E38"/>
    <w:rsid w:val="00687014"/>
    <w:rsid w:val="0068727B"/>
    <w:rsid w:val="00687FBF"/>
    <w:rsid w:val="006902F0"/>
    <w:rsid w:val="00690461"/>
    <w:rsid w:val="00690AD7"/>
    <w:rsid w:val="00690DC7"/>
    <w:rsid w:val="00690F2B"/>
    <w:rsid w:val="006911CD"/>
    <w:rsid w:val="006914A5"/>
    <w:rsid w:val="006915BF"/>
    <w:rsid w:val="006917A1"/>
    <w:rsid w:val="006918D2"/>
    <w:rsid w:val="00691D41"/>
    <w:rsid w:val="006924EC"/>
    <w:rsid w:val="006925AD"/>
    <w:rsid w:val="00692739"/>
    <w:rsid w:val="0069284D"/>
    <w:rsid w:val="00692BD8"/>
    <w:rsid w:val="00693323"/>
    <w:rsid w:val="00693BF7"/>
    <w:rsid w:val="00693DB4"/>
    <w:rsid w:val="00694046"/>
    <w:rsid w:val="00694268"/>
    <w:rsid w:val="00694660"/>
    <w:rsid w:val="00694B89"/>
    <w:rsid w:val="00695412"/>
    <w:rsid w:val="0069563D"/>
    <w:rsid w:val="00695C22"/>
    <w:rsid w:val="006961A2"/>
    <w:rsid w:val="00696AF1"/>
    <w:rsid w:val="00696BD9"/>
    <w:rsid w:val="00696EBB"/>
    <w:rsid w:val="00697657"/>
    <w:rsid w:val="00697ABD"/>
    <w:rsid w:val="00697C71"/>
    <w:rsid w:val="00697D11"/>
    <w:rsid w:val="00697EDA"/>
    <w:rsid w:val="006A0343"/>
    <w:rsid w:val="006A04BE"/>
    <w:rsid w:val="006A0F68"/>
    <w:rsid w:val="006A108D"/>
    <w:rsid w:val="006A166F"/>
    <w:rsid w:val="006A16DE"/>
    <w:rsid w:val="006A17BE"/>
    <w:rsid w:val="006A1AE1"/>
    <w:rsid w:val="006A1D78"/>
    <w:rsid w:val="006A1F10"/>
    <w:rsid w:val="006A1F2E"/>
    <w:rsid w:val="006A2110"/>
    <w:rsid w:val="006A33E0"/>
    <w:rsid w:val="006A3866"/>
    <w:rsid w:val="006A3900"/>
    <w:rsid w:val="006A3D37"/>
    <w:rsid w:val="006A40C6"/>
    <w:rsid w:val="006A4419"/>
    <w:rsid w:val="006A4AE7"/>
    <w:rsid w:val="006A4D4E"/>
    <w:rsid w:val="006A500B"/>
    <w:rsid w:val="006A52D1"/>
    <w:rsid w:val="006A5661"/>
    <w:rsid w:val="006A57C8"/>
    <w:rsid w:val="006A5A06"/>
    <w:rsid w:val="006A5AA7"/>
    <w:rsid w:val="006A5DD6"/>
    <w:rsid w:val="006A6809"/>
    <w:rsid w:val="006A7290"/>
    <w:rsid w:val="006A73F2"/>
    <w:rsid w:val="006A7986"/>
    <w:rsid w:val="006A7A31"/>
    <w:rsid w:val="006B0FA7"/>
    <w:rsid w:val="006B20E1"/>
    <w:rsid w:val="006B262C"/>
    <w:rsid w:val="006B298B"/>
    <w:rsid w:val="006B2BDA"/>
    <w:rsid w:val="006B34A0"/>
    <w:rsid w:val="006B3E7E"/>
    <w:rsid w:val="006B432B"/>
    <w:rsid w:val="006B4C49"/>
    <w:rsid w:val="006B4F74"/>
    <w:rsid w:val="006B4F9D"/>
    <w:rsid w:val="006B58A3"/>
    <w:rsid w:val="006B591C"/>
    <w:rsid w:val="006B62E6"/>
    <w:rsid w:val="006B630A"/>
    <w:rsid w:val="006B644D"/>
    <w:rsid w:val="006B64F7"/>
    <w:rsid w:val="006B6F52"/>
    <w:rsid w:val="006B75C9"/>
    <w:rsid w:val="006B7CA6"/>
    <w:rsid w:val="006C09BA"/>
    <w:rsid w:val="006C0AB6"/>
    <w:rsid w:val="006C1353"/>
    <w:rsid w:val="006C13BA"/>
    <w:rsid w:val="006C1577"/>
    <w:rsid w:val="006C1B18"/>
    <w:rsid w:val="006C1B37"/>
    <w:rsid w:val="006C2D10"/>
    <w:rsid w:val="006C2EAA"/>
    <w:rsid w:val="006C5530"/>
    <w:rsid w:val="006C579A"/>
    <w:rsid w:val="006C59B1"/>
    <w:rsid w:val="006C5ACD"/>
    <w:rsid w:val="006C6300"/>
    <w:rsid w:val="006C645D"/>
    <w:rsid w:val="006C6F1F"/>
    <w:rsid w:val="006C71C2"/>
    <w:rsid w:val="006C7A74"/>
    <w:rsid w:val="006D0E8E"/>
    <w:rsid w:val="006D1544"/>
    <w:rsid w:val="006D169D"/>
    <w:rsid w:val="006D1DFD"/>
    <w:rsid w:val="006D2AB2"/>
    <w:rsid w:val="006D2AC8"/>
    <w:rsid w:val="006D2E56"/>
    <w:rsid w:val="006D334C"/>
    <w:rsid w:val="006D36B7"/>
    <w:rsid w:val="006D3A49"/>
    <w:rsid w:val="006D3CA9"/>
    <w:rsid w:val="006D422B"/>
    <w:rsid w:val="006D467A"/>
    <w:rsid w:val="006D4763"/>
    <w:rsid w:val="006D4D89"/>
    <w:rsid w:val="006D5ABE"/>
    <w:rsid w:val="006D5EF7"/>
    <w:rsid w:val="006D6932"/>
    <w:rsid w:val="006D6B53"/>
    <w:rsid w:val="006D6F31"/>
    <w:rsid w:val="006D7AF9"/>
    <w:rsid w:val="006D7B25"/>
    <w:rsid w:val="006D7D88"/>
    <w:rsid w:val="006D7D8E"/>
    <w:rsid w:val="006E054C"/>
    <w:rsid w:val="006E0978"/>
    <w:rsid w:val="006E0D4B"/>
    <w:rsid w:val="006E1233"/>
    <w:rsid w:val="006E1393"/>
    <w:rsid w:val="006E16F1"/>
    <w:rsid w:val="006E1977"/>
    <w:rsid w:val="006E1ABD"/>
    <w:rsid w:val="006E2507"/>
    <w:rsid w:val="006E31DD"/>
    <w:rsid w:val="006E359B"/>
    <w:rsid w:val="006E3A1B"/>
    <w:rsid w:val="006E3C66"/>
    <w:rsid w:val="006E3DE8"/>
    <w:rsid w:val="006E41F5"/>
    <w:rsid w:val="006E4752"/>
    <w:rsid w:val="006E4B81"/>
    <w:rsid w:val="006E4E8A"/>
    <w:rsid w:val="006E4EAE"/>
    <w:rsid w:val="006E51A2"/>
    <w:rsid w:val="006E5B9B"/>
    <w:rsid w:val="006E617A"/>
    <w:rsid w:val="006E6597"/>
    <w:rsid w:val="006E6863"/>
    <w:rsid w:val="006E6CE1"/>
    <w:rsid w:val="006E73E6"/>
    <w:rsid w:val="006E75BF"/>
    <w:rsid w:val="006E7AE6"/>
    <w:rsid w:val="006E7D58"/>
    <w:rsid w:val="006F09B5"/>
    <w:rsid w:val="006F0D58"/>
    <w:rsid w:val="006F0DAB"/>
    <w:rsid w:val="006F119C"/>
    <w:rsid w:val="006F1349"/>
    <w:rsid w:val="006F15B3"/>
    <w:rsid w:val="006F1662"/>
    <w:rsid w:val="006F201F"/>
    <w:rsid w:val="006F2802"/>
    <w:rsid w:val="006F2C03"/>
    <w:rsid w:val="006F2D48"/>
    <w:rsid w:val="006F2F99"/>
    <w:rsid w:val="006F4129"/>
    <w:rsid w:val="006F449F"/>
    <w:rsid w:val="006F48B3"/>
    <w:rsid w:val="006F48B8"/>
    <w:rsid w:val="006F4C86"/>
    <w:rsid w:val="006F4CDE"/>
    <w:rsid w:val="006F50C8"/>
    <w:rsid w:val="006F5102"/>
    <w:rsid w:val="006F5226"/>
    <w:rsid w:val="006F553C"/>
    <w:rsid w:val="006F6258"/>
    <w:rsid w:val="006F654F"/>
    <w:rsid w:val="006F65E1"/>
    <w:rsid w:val="006F6AE5"/>
    <w:rsid w:val="006F6BF3"/>
    <w:rsid w:val="006F6CFB"/>
    <w:rsid w:val="006F7335"/>
    <w:rsid w:val="006F7A04"/>
    <w:rsid w:val="006F7BCE"/>
    <w:rsid w:val="006F7F8E"/>
    <w:rsid w:val="00700638"/>
    <w:rsid w:val="007006D9"/>
    <w:rsid w:val="00700917"/>
    <w:rsid w:val="00700BCA"/>
    <w:rsid w:val="007011BB"/>
    <w:rsid w:val="00701552"/>
    <w:rsid w:val="007015BE"/>
    <w:rsid w:val="0070162B"/>
    <w:rsid w:val="00701641"/>
    <w:rsid w:val="00702B7B"/>
    <w:rsid w:val="00702BA2"/>
    <w:rsid w:val="007031AD"/>
    <w:rsid w:val="00704093"/>
    <w:rsid w:val="00704100"/>
    <w:rsid w:val="00704DC2"/>
    <w:rsid w:val="00704FDE"/>
    <w:rsid w:val="00705448"/>
    <w:rsid w:val="00705B7F"/>
    <w:rsid w:val="00705DE3"/>
    <w:rsid w:val="00705E31"/>
    <w:rsid w:val="00706727"/>
    <w:rsid w:val="0070683C"/>
    <w:rsid w:val="00707607"/>
    <w:rsid w:val="00710017"/>
    <w:rsid w:val="00710367"/>
    <w:rsid w:val="00710530"/>
    <w:rsid w:val="00710633"/>
    <w:rsid w:val="0071085A"/>
    <w:rsid w:val="00710ED6"/>
    <w:rsid w:val="00711449"/>
    <w:rsid w:val="00711FEA"/>
    <w:rsid w:val="007122EC"/>
    <w:rsid w:val="0071251E"/>
    <w:rsid w:val="007126C4"/>
    <w:rsid w:val="0071336A"/>
    <w:rsid w:val="00713867"/>
    <w:rsid w:val="007139E1"/>
    <w:rsid w:val="00713D6C"/>
    <w:rsid w:val="00713DA6"/>
    <w:rsid w:val="00714504"/>
    <w:rsid w:val="00714999"/>
    <w:rsid w:val="00714B62"/>
    <w:rsid w:val="00714D57"/>
    <w:rsid w:val="007151D7"/>
    <w:rsid w:val="00715310"/>
    <w:rsid w:val="00715A0A"/>
    <w:rsid w:val="00715AB9"/>
    <w:rsid w:val="00715DB7"/>
    <w:rsid w:val="007166F8"/>
    <w:rsid w:val="00716910"/>
    <w:rsid w:val="007172A3"/>
    <w:rsid w:val="0071742A"/>
    <w:rsid w:val="00717598"/>
    <w:rsid w:val="0071767A"/>
    <w:rsid w:val="007177A6"/>
    <w:rsid w:val="00717EFC"/>
    <w:rsid w:val="00720C0E"/>
    <w:rsid w:val="00720E01"/>
    <w:rsid w:val="00721452"/>
    <w:rsid w:val="00721E06"/>
    <w:rsid w:val="00721F71"/>
    <w:rsid w:val="007220FE"/>
    <w:rsid w:val="007223BD"/>
    <w:rsid w:val="007225A0"/>
    <w:rsid w:val="00722EB8"/>
    <w:rsid w:val="0072375E"/>
    <w:rsid w:val="00723B8A"/>
    <w:rsid w:val="0072432C"/>
    <w:rsid w:val="0072479E"/>
    <w:rsid w:val="007248EF"/>
    <w:rsid w:val="00724E10"/>
    <w:rsid w:val="00725043"/>
    <w:rsid w:val="007251AF"/>
    <w:rsid w:val="00725337"/>
    <w:rsid w:val="00725693"/>
    <w:rsid w:val="00725E71"/>
    <w:rsid w:val="00726026"/>
    <w:rsid w:val="0072690B"/>
    <w:rsid w:val="00726B0D"/>
    <w:rsid w:val="00727F22"/>
    <w:rsid w:val="00730A00"/>
    <w:rsid w:val="00730E8F"/>
    <w:rsid w:val="00731D48"/>
    <w:rsid w:val="007320CE"/>
    <w:rsid w:val="00732425"/>
    <w:rsid w:val="007325D5"/>
    <w:rsid w:val="007327E5"/>
    <w:rsid w:val="007327FF"/>
    <w:rsid w:val="00732B55"/>
    <w:rsid w:val="00732CFD"/>
    <w:rsid w:val="007332BD"/>
    <w:rsid w:val="007333C3"/>
    <w:rsid w:val="007333FB"/>
    <w:rsid w:val="00733572"/>
    <w:rsid w:val="00733672"/>
    <w:rsid w:val="0073413C"/>
    <w:rsid w:val="00734484"/>
    <w:rsid w:val="0073461C"/>
    <w:rsid w:val="00734DC3"/>
    <w:rsid w:val="00734E9E"/>
    <w:rsid w:val="0073554E"/>
    <w:rsid w:val="007356D3"/>
    <w:rsid w:val="00735CFD"/>
    <w:rsid w:val="00735D57"/>
    <w:rsid w:val="0073642F"/>
    <w:rsid w:val="00736A51"/>
    <w:rsid w:val="00736F46"/>
    <w:rsid w:val="00737CF3"/>
    <w:rsid w:val="00737D1B"/>
    <w:rsid w:val="00740734"/>
    <w:rsid w:val="00740740"/>
    <w:rsid w:val="00740B4F"/>
    <w:rsid w:val="00740CF2"/>
    <w:rsid w:val="00741000"/>
    <w:rsid w:val="007410F9"/>
    <w:rsid w:val="0074181D"/>
    <w:rsid w:val="007419DE"/>
    <w:rsid w:val="00742076"/>
    <w:rsid w:val="007420AD"/>
    <w:rsid w:val="00742931"/>
    <w:rsid w:val="00742A4A"/>
    <w:rsid w:val="007434AF"/>
    <w:rsid w:val="00743A5F"/>
    <w:rsid w:val="00743AF1"/>
    <w:rsid w:val="00743D3D"/>
    <w:rsid w:val="00744355"/>
    <w:rsid w:val="0074445C"/>
    <w:rsid w:val="00744523"/>
    <w:rsid w:val="00744859"/>
    <w:rsid w:val="00745136"/>
    <w:rsid w:val="007451A5"/>
    <w:rsid w:val="00745A15"/>
    <w:rsid w:val="00745DD2"/>
    <w:rsid w:val="007465F6"/>
    <w:rsid w:val="00746F5A"/>
    <w:rsid w:val="00747460"/>
    <w:rsid w:val="007475E0"/>
    <w:rsid w:val="0075001D"/>
    <w:rsid w:val="00750261"/>
    <w:rsid w:val="007502BB"/>
    <w:rsid w:val="00750EEE"/>
    <w:rsid w:val="0075102E"/>
    <w:rsid w:val="00751140"/>
    <w:rsid w:val="00751354"/>
    <w:rsid w:val="00751960"/>
    <w:rsid w:val="00751DA9"/>
    <w:rsid w:val="007521B7"/>
    <w:rsid w:val="0075224A"/>
    <w:rsid w:val="007522C4"/>
    <w:rsid w:val="007527D8"/>
    <w:rsid w:val="00752DBD"/>
    <w:rsid w:val="0075314C"/>
    <w:rsid w:val="00753725"/>
    <w:rsid w:val="007537B1"/>
    <w:rsid w:val="00753912"/>
    <w:rsid w:val="00753B19"/>
    <w:rsid w:val="00753EDA"/>
    <w:rsid w:val="0075407F"/>
    <w:rsid w:val="0075417F"/>
    <w:rsid w:val="0075431E"/>
    <w:rsid w:val="00754414"/>
    <w:rsid w:val="00754A10"/>
    <w:rsid w:val="00755B2F"/>
    <w:rsid w:val="00755E33"/>
    <w:rsid w:val="007566A1"/>
    <w:rsid w:val="00756909"/>
    <w:rsid w:val="00756E03"/>
    <w:rsid w:val="007570A5"/>
    <w:rsid w:val="00757149"/>
    <w:rsid w:val="007579BF"/>
    <w:rsid w:val="00757B27"/>
    <w:rsid w:val="00760082"/>
    <w:rsid w:val="00760424"/>
    <w:rsid w:val="00760D10"/>
    <w:rsid w:val="007615FC"/>
    <w:rsid w:val="00761636"/>
    <w:rsid w:val="00761708"/>
    <w:rsid w:val="00762108"/>
    <w:rsid w:val="007623BC"/>
    <w:rsid w:val="00762674"/>
    <w:rsid w:val="0076279D"/>
    <w:rsid w:val="00762C07"/>
    <w:rsid w:val="00762F9A"/>
    <w:rsid w:val="00763995"/>
    <w:rsid w:val="00763DF4"/>
    <w:rsid w:val="0076580B"/>
    <w:rsid w:val="00765C4F"/>
    <w:rsid w:val="0076605B"/>
    <w:rsid w:val="0076628A"/>
    <w:rsid w:val="007663D5"/>
    <w:rsid w:val="00767EB4"/>
    <w:rsid w:val="007703C0"/>
    <w:rsid w:val="00770B6C"/>
    <w:rsid w:val="00770E38"/>
    <w:rsid w:val="00770EE7"/>
    <w:rsid w:val="0077131C"/>
    <w:rsid w:val="0077166E"/>
    <w:rsid w:val="007716A5"/>
    <w:rsid w:val="00772098"/>
    <w:rsid w:val="00772331"/>
    <w:rsid w:val="007725CE"/>
    <w:rsid w:val="007729C7"/>
    <w:rsid w:val="00772DAD"/>
    <w:rsid w:val="00772E06"/>
    <w:rsid w:val="0077308A"/>
    <w:rsid w:val="00773700"/>
    <w:rsid w:val="00773B11"/>
    <w:rsid w:val="00773BF8"/>
    <w:rsid w:val="00774022"/>
    <w:rsid w:val="00774A9B"/>
    <w:rsid w:val="007751DE"/>
    <w:rsid w:val="00775201"/>
    <w:rsid w:val="00775295"/>
    <w:rsid w:val="007754C9"/>
    <w:rsid w:val="00775827"/>
    <w:rsid w:val="007761C2"/>
    <w:rsid w:val="00776555"/>
    <w:rsid w:val="00776AA4"/>
    <w:rsid w:val="00776D4F"/>
    <w:rsid w:val="00780168"/>
    <w:rsid w:val="00780577"/>
    <w:rsid w:val="00780B0A"/>
    <w:rsid w:val="00781157"/>
    <w:rsid w:val="0078126D"/>
    <w:rsid w:val="0078133D"/>
    <w:rsid w:val="007819DB"/>
    <w:rsid w:val="00781E34"/>
    <w:rsid w:val="007828A3"/>
    <w:rsid w:val="00782B7C"/>
    <w:rsid w:val="007831CB"/>
    <w:rsid w:val="007833F4"/>
    <w:rsid w:val="00784141"/>
    <w:rsid w:val="00784275"/>
    <w:rsid w:val="007843AA"/>
    <w:rsid w:val="0078448D"/>
    <w:rsid w:val="00784DB1"/>
    <w:rsid w:val="00784FAA"/>
    <w:rsid w:val="00785785"/>
    <w:rsid w:val="00785900"/>
    <w:rsid w:val="00785B4A"/>
    <w:rsid w:val="00785EE6"/>
    <w:rsid w:val="00786EC4"/>
    <w:rsid w:val="007871DC"/>
    <w:rsid w:val="007873A9"/>
    <w:rsid w:val="00787445"/>
    <w:rsid w:val="00787EBB"/>
    <w:rsid w:val="00787FBB"/>
    <w:rsid w:val="00790816"/>
    <w:rsid w:val="00790880"/>
    <w:rsid w:val="007909B8"/>
    <w:rsid w:val="00790CD9"/>
    <w:rsid w:val="00791026"/>
    <w:rsid w:val="00791AB3"/>
    <w:rsid w:val="00791DED"/>
    <w:rsid w:val="00791E76"/>
    <w:rsid w:val="00791F92"/>
    <w:rsid w:val="00792413"/>
    <w:rsid w:val="00792AA8"/>
    <w:rsid w:val="00792B88"/>
    <w:rsid w:val="00793AAE"/>
    <w:rsid w:val="00793B35"/>
    <w:rsid w:val="00793BA8"/>
    <w:rsid w:val="00794972"/>
    <w:rsid w:val="00794C13"/>
    <w:rsid w:val="00794F48"/>
    <w:rsid w:val="00795363"/>
    <w:rsid w:val="00795BD3"/>
    <w:rsid w:val="00796146"/>
    <w:rsid w:val="00796166"/>
    <w:rsid w:val="00796196"/>
    <w:rsid w:val="00796EE7"/>
    <w:rsid w:val="00797022"/>
    <w:rsid w:val="00797C41"/>
    <w:rsid w:val="00797C62"/>
    <w:rsid w:val="00797C7E"/>
    <w:rsid w:val="00797D01"/>
    <w:rsid w:val="00797DC7"/>
    <w:rsid w:val="007A029B"/>
    <w:rsid w:val="007A059C"/>
    <w:rsid w:val="007A0CAC"/>
    <w:rsid w:val="007A0FCA"/>
    <w:rsid w:val="007A0FCE"/>
    <w:rsid w:val="007A10DE"/>
    <w:rsid w:val="007A150C"/>
    <w:rsid w:val="007A1585"/>
    <w:rsid w:val="007A15A4"/>
    <w:rsid w:val="007A23DF"/>
    <w:rsid w:val="007A2718"/>
    <w:rsid w:val="007A2A82"/>
    <w:rsid w:val="007A2DE3"/>
    <w:rsid w:val="007A3508"/>
    <w:rsid w:val="007A3621"/>
    <w:rsid w:val="007A3656"/>
    <w:rsid w:val="007A3ABE"/>
    <w:rsid w:val="007A3D27"/>
    <w:rsid w:val="007A3D84"/>
    <w:rsid w:val="007A4A62"/>
    <w:rsid w:val="007A4CB0"/>
    <w:rsid w:val="007A5106"/>
    <w:rsid w:val="007A51A1"/>
    <w:rsid w:val="007A5425"/>
    <w:rsid w:val="007A5553"/>
    <w:rsid w:val="007A5B52"/>
    <w:rsid w:val="007A62C3"/>
    <w:rsid w:val="007A663D"/>
    <w:rsid w:val="007A6D49"/>
    <w:rsid w:val="007A6F27"/>
    <w:rsid w:val="007A7A95"/>
    <w:rsid w:val="007A7E6C"/>
    <w:rsid w:val="007B01E5"/>
    <w:rsid w:val="007B038D"/>
    <w:rsid w:val="007B052E"/>
    <w:rsid w:val="007B0B0C"/>
    <w:rsid w:val="007B0D73"/>
    <w:rsid w:val="007B1400"/>
    <w:rsid w:val="007B14B2"/>
    <w:rsid w:val="007B14BB"/>
    <w:rsid w:val="007B14D0"/>
    <w:rsid w:val="007B18A2"/>
    <w:rsid w:val="007B1A02"/>
    <w:rsid w:val="007B1E6A"/>
    <w:rsid w:val="007B1EF5"/>
    <w:rsid w:val="007B2104"/>
    <w:rsid w:val="007B21AF"/>
    <w:rsid w:val="007B27F0"/>
    <w:rsid w:val="007B28AD"/>
    <w:rsid w:val="007B2BF8"/>
    <w:rsid w:val="007B3322"/>
    <w:rsid w:val="007B406F"/>
    <w:rsid w:val="007B4102"/>
    <w:rsid w:val="007B456D"/>
    <w:rsid w:val="007B49E9"/>
    <w:rsid w:val="007B4A5B"/>
    <w:rsid w:val="007B4AC1"/>
    <w:rsid w:val="007B4B00"/>
    <w:rsid w:val="007B4E40"/>
    <w:rsid w:val="007B5F1B"/>
    <w:rsid w:val="007B6068"/>
    <w:rsid w:val="007B62B9"/>
    <w:rsid w:val="007B651A"/>
    <w:rsid w:val="007B6537"/>
    <w:rsid w:val="007B6648"/>
    <w:rsid w:val="007B6669"/>
    <w:rsid w:val="007B6682"/>
    <w:rsid w:val="007B68E9"/>
    <w:rsid w:val="007B70FB"/>
    <w:rsid w:val="007B7826"/>
    <w:rsid w:val="007B7F6E"/>
    <w:rsid w:val="007C041F"/>
    <w:rsid w:val="007C0628"/>
    <w:rsid w:val="007C0ADE"/>
    <w:rsid w:val="007C0BD6"/>
    <w:rsid w:val="007C0C93"/>
    <w:rsid w:val="007C0DCF"/>
    <w:rsid w:val="007C0F59"/>
    <w:rsid w:val="007C0F5B"/>
    <w:rsid w:val="007C0FD5"/>
    <w:rsid w:val="007C174D"/>
    <w:rsid w:val="007C1EDD"/>
    <w:rsid w:val="007C259D"/>
    <w:rsid w:val="007C261E"/>
    <w:rsid w:val="007C27F1"/>
    <w:rsid w:val="007C311B"/>
    <w:rsid w:val="007C3903"/>
    <w:rsid w:val="007C3C08"/>
    <w:rsid w:val="007C3E29"/>
    <w:rsid w:val="007C3E84"/>
    <w:rsid w:val="007C3FF0"/>
    <w:rsid w:val="007C506B"/>
    <w:rsid w:val="007C52A0"/>
    <w:rsid w:val="007C5B9E"/>
    <w:rsid w:val="007C5FA6"/>
    <w:rsid w:val="007C64B8"/>
    <w:rsid w:val="007C6B2E"/>
    <w:rsid w:val="007C6E1A"/>
    <w:rsid w:val="007C7135"/>
    <w:rsid w:val="007C76C2"/>
    <w:rsid w:val="007C7D32"/>
    <w:rsid w:val="007C7F61"/>
    <w:rsid w:val="007D0137"/>
    <w:rsid w:val="007D0725"/>
    <w:rsid w:val="007D0986"/>
    <w:rsid w:val="007D0AD6"/>
    <w:rsid w:val="007D0E17"/>
    <w:rsid w:val="007D0E33"/>
    <w:rsid w:val="007D10FC"/>
    <w:rsid w:val="007D1408"/>
    <w:rsid w:val="007D1995"/>
    <w:rsid w:val="007D1EEB"/>
    <w:rsid w:val="007D218D"/>
    <w:rsid w:val="007D3816"/>
    <w:rsid w:val="007D3B09"/>
    <w:rsid w:val="007D4B48"/>
    <w:rsid w:val="007D529F"/>
    <w:rsid w:val="007D5845"/>
    <w:rsid w:val="007D59A7"/>
    <w:rsid w:val="007D6408"/>
    <w:rsid w:val="007D654E"/>
    <w:rsid w:val="007D6985"/>
    <w:rsid w:val="007D698B"/>
    <w:rsid w:val="007D7A41"/>
    <w:rsid w:val="007D7BA7"/>
    <w:rsid w:val="007D7BB6"/>
    <w:rsid w:val="007D7E7D"/>
    <w:rsid w:val="007D7F9B"/>
    <w:rsid w:val="007E04F5"/>
    <w:rsid w:val="007E11A6"/>
    <w:rsid w:val="007E11E5"/>
    <w:rsid w:val="007E134C"/>
    <w:rsid w:val="007E1901"/>
    <w:rsid w:val="007E2254"/>
    <w:rsid w:val="007E2272"/>
    <w:rsid w:val="007E23E4"/>
    <w:rsid w:val="007E27D5"/>
    <w:rsid w:val="007E2953"/>
    <w:rsid w:val="007E3035"/>
    <w:rsid w:val="007E34BB"/>
    <w:rsid w:val="007E35D3"/>
    <w:rsid w:val="007E3644"/>
    <w:rsid w:val="007E3678"/>
    <w:rsid w:val="007E36AB"/>
    <w:rsid w:val="007E3A2A"/>
    <w:rsid w:val="007E3F67"/>
    <w:rsid w:val="007E4050"/>
    <w:rsid w:val="007E4A0A"/>
    <w:rsid w:val="007E4D51"/>
    <w:rsid w:val="007E4EDD"/>
    <w:rsid w:val="007E5866"/>
    <w:rsid w:val="007E5D35"/>
    <w:rsid w:val="007E6095"/>
    <w:rsid w:val="007E6188"/>
    <w:rsid w:val="007E696F"/>
    <w:rsid w:val="007E6FE8"/>
    <w:rsid w:val="007E70D9"/>
    <w:rsid w:val="007E774F"/>
    <w:rsid w:val="007E7DA0"/>
    <w:rsid w:val="007F00B6"/>
    <w:rsid w:val="007F0130"/>
    <w:rsid w:val="007F03F1"/>
    <w:rsid w:val="007F088A"/>
    <w:rsid w:val="007F0E4D"/>
    <w:rsid w:val="007F0EA2"/>
    <w:rsid w:val="007F19FE"/>
    <w:rsid w:val="007F1AC3"/>
    <w:rsid w:val="007F1B73"/>
    <w:rsid w:val="007F1E4E"/>
    <w:rsid w:val="007F21F7"/>
    <w:rsid w:val="007F24FA"/>
    <w:rsid w:val="007F29FC"/>
    <w:rsid w:val="007F2CDC"/>
    <w:rsid w:val="007F2D44"/>
    <w:rsid w:val="007F2F9A"/>
    <w:rsid w:val="007F3328"/>
    <w:rsid w:val="007F3894"/>
    <w:rsid w:val="007F42AE"/>
    <w:rsid w:val="007F42CC"/>
    <w:rsid w:val="007F46C9"/>
    <w:rsid w:val="007F46F1"/>
    <w:rsid w:val="007F4756"/>
    <w:rsid w:val="007F49B1"/>
    <w:rsid w:val="007F49CA"/>
    <w:rsid w:val="007F4D17"/>
    <w:rsid w:val="007F4FD6"/>
    <w:rsid w:val="007F50C7"/>
    <w:rsid w:val="007F52A6"/>
    <w:rsid w:val="007F5789"/>
    <w:rsid w:val="007F5E4C"/>
    <w:rsid w:val="007F6042"/>
    <w:rsid w:val="007F68DA"/>
    <w:rsid w:val="007F6A1C"/>
    <w:rsid w:val="007F6B1D"/>
    <w:rsid w:val="007F6C9F"/>
    <w:rsid w:val="007F74AC"/>
    <w:rsid w:val="007F7878"/>
    <w:rsid w:val="00800042"/>
    <w:rsid w:val="00800224"/>
    <w:rsid w:val="008004E7"/>
    <w:rsid w:val="00800D87"/>
    <w:rsid w:val="00801C37"/>
    <w:rsid w:val="00801CD3"/>
    <w:rsid w:val="00801D07"/>
    <w:rsid w:val="00801FE7"/>
    <w:rsid w:val="00802121"/>
    <w:rsid w:val="0080276C"/>
    <w:rsid w:val="00802ED6"/>
    <w:rsid w:val="00802EDA"/>
    <w:rsid w:val="00802F45"/>
    <w:rsid w:val="008031AA"/>
    <w:rsid w:val="00803367"/>
    <w:rsid w:val="00803633"/>
    <w:rsid w:val="00803C0B"/>
    <w:rsid w:val="00803EB5"/>
    <w:rsid w:val="0080463A"/>
    <w:rsid w:val="00804B39"/>
    <w:rsid w:val="008052F1"/>
    <w:rsid w:val="008057D2"/>
    <w:rsid w:val="00805DE6"/>
    <w:rsid w:val="008060C8"/>
    <w:rsid w:val="0080636C"/>
    <w:rsid w:val="00807112"/>
    <w:rsid w:val="0080798E"/>
    <w:rsid w:val="0081040A"/>
    <w:rsid w:val="00810572"/>
    <w:rsid w:val="00810F05"/>
    <w:rsid w:val="00810F5C"/>
    <w:rsid w:val="008111A8"/>
    <w:rsid w:val="008111D6"/>
    <w:rsid w:val="008111F9"/>
    <w:rsid w:val="008116A6"/>
    <w:rsid w:val="00811934"/>
    <w:rsid w:val="00812723"/>
    <w:rsid w:val="00812821"/>
    <w:rsid w:val="008128EE"/>
    <w:rsid w:val="008138EA"/>
    <w:rsid w:val="008141ED"/>
    <w:rsid w:val="0081488F"/>
    <w:rsid w:val="00814A6A"/>
    <w:rsid w:val="00814BB9"/>
    <w:rsid w:val="00814CF2"/>
    <w:rsid w:val="00814ED4"/>
    <w:rsid w:val="008152E3"/>
    <w:rsid w:val="0081557C"/>
    <w:rsid w:val="008159B1"/>
    <w:rsid w:val="00815BC6"/>
    <w:rsid w:val="0081602E"/>
    <w:rsid w:val="008160F5"/>
    <w:rsid w:val="00816B9B"/>
    <w:rsid w:val="0081711C"/>
    <w:rsid w:val="008172E3"/>
    <w:rsid w:val="008174BB"/>
    <w:rsid w:val="008176C1"/>
    <w:rsid w:val="008178D5"/>
    <w:rsid w:val="008178E5"/>
    <w:rsid w:val="00817B8C"/>
    <w:rsid w:val="00817C0E"/>
    <w:rsid w:val="00817CC7"/>
    <w:rsid w:val="00817D89"/>
    <w:rsid w:val="00817F09"/>
    <w:rsid w:val="00817F3B"/>
    <w:rsid w:val="00820282"/>
    <w:rsid w:val="0082040F"/>
    <w:rsid w:val="00820DCA"/>
    <w:rsid w:val="0082117F"/>
    <w:rsid w:val="00822244"/>
    <w:rsid w:val="0082224D"/>
    <w:rsid w:val="00822AE5"/>
    <w:rsid w:val="008233B9"/>
    <w:rsid w:val="0082371F"/>
    <w:rsid w:val="00823A28"/>
    <w:rsid w:val="00824126"/>
    <w:rsid w:val="008245D9"/>
    <w:rsid w:val="00824D13"/>
    <w:rsid w:val="00824FF6"/>
    <w:rsid w:val="00825A82"/>
    <w:rsid w:val="0082619C"/>
    <w:rsid w:val="00826407"/>
    <w:rsid w:val="0082641E"/>
    <w:rsid w:val="00826778"/>
    <w:rsid w:val="008269F0"/>
    <w:rsid w:val="0082703C"/>
    <w:rsid w:val="00827344"/>
    <w:rsid w:val="0082778D"/>
    <w:rsid w:val="00827A7D"/>
    <w:rsid w:val="00830064"/>
    <w:rsid w:val="0083049A"/>
    <w:rsid w:val="00830737"/>
    <w:rsid w:val="00830774"/>
    <w:rsid w:val="00830847"/>
    <w:rsid w:val="008315D6"/>
    <w:rsid w:val="008319FF"/>
    <w:rsid w:val="00831A0D"/>
    <w:rsid w:val="00831C51"/>
    <w:rsid w:val="00831DB7"/>
    <w:rsid w:val="008320A5"/>
    <w:rsid w:val="008321B0"/>
    <w:rsid w:val="00832220"/>
    <w:rsid w:val="0083266A"/>
    <w:rsid w:val="00832741"/>
    <w:rsid w:val="00832B23"/>
    <w:rsid w:val="008330D8"/>
    <w:rsid w:val="00833107"/>
    <w:rsid w:val="00833B6A"/>
    <w:rsid w:val="00833EB3"/>
    <w:rsid w:val="008342F3"/>
    <w:rsid w:val="008345A3"/>
    <w:rsid w:val="00834C5B"/>
    <w:rsid w:val="00834FCB"/>
    <w:rsid w:val="00835797"/>
    <w:rsid w:val="00835864"/>
    <w:rsid w:val="00835C61"/>
    <w:rsid w:val="00835FA1"/>
    <w:rsid w:val="00836066"/>
    <w:rsid w:val="00836AD2"/>
    <w:rsid w:val="00836BBB"/>
    <w:rsid w:val="00836BEF"/>
    <w:rsid w:val="00836CC0"/>
    <w:rsid w:val="008373D0"/>
    <w:rsid w:val="008375CC"/>
    <w:rsid w:val="0083776F"/>
    <w:rsid w:val="008405ED"/>
    <w:rsid w:val="008415CC"/>
    <w:rsid w:val="00841940"/>
    <w:rsid w:val="0084226B"/>
    <w:rsid w:val="008423A8"/>
    <w:rsid w:val="00842862"/>
    <w:rsid w:val="00842BC1"/>
    <w:rsid w:val="00842CFC"/>
    <w:rsid w:val="008437BF"/>
    <w:rsid w:val="00843924"/>
    <w:rsid w:val="00843E04"/>
    <w:rsid w:val="00843E1D"/>
    <w:rsid w:val="0084505C"/>
    <w:rsid w:val="00845199"/>
    <w:rsid w:val="008452E3"/>
    <w:rsid w:val="0084545F"/>
    <w:rsid w:val="008457BF"/>
    <w:rsid w:val="00845864"/>
    <w:rsid w:val="00845AA1"/>
    <w:rsid w:val="008461B1"/>
    <w:rsid w:val="00846521"/>
    <w:rsid w:val="00846600"/>
    <w:rsid w:val="008467C1"/>
    <w:rsid w:val="008469CE"/>
    <w:rsid w:val="00846F77"/>
    <w:rsid w:val="008472EB"/>
    <w:rsid w:val="008476FC"/>
    <w:rsid w:val="00847DFE"/>
    <w:rsid w:val="00847FEF"/>
    <w:rsid w:val="00850035"/>
    <w:rsid w:val="00850680"/>
    <w:rsid w:val="008507AA"/>
    <w:rsid w:val="008508CE"/>
    <w:rsid w:val="00850EEE"/>
    <w:rsid w:val="00851111"/>
    <w:rsid w:val="00851220"/>
    <w:rsid w:val="0085142D"/>
    <w:rsid w:val="00851481"/>
    <w:rsid w:val="00851516"/>
    <w:rsid w:val="008525CF"/>
    <w:rsid w:val="008529D8"/>
    <w:rsid w:val="008530F7"/>
    <w:rsid w:val="00853AC8"/>
    <w:rsid w:val="008542CC"/>
    <w:rsid w:val="00854A61"/>
    <w:rsid w:val="00855CFC"/>
    <w:rsid w:val="008562ED"/>
    <w:rsid w:val="00856457"/>
    <w:rsid w:val="00856497"/>
    <w:rsid w:val="008569CE"/>
    <w:rsid w:val="00860852"/>
    <w:rsid w:val="00860973"/>
    <w:rsid w:val="00860B77"/>
    <w:rsid w:val="00860D69"/>
    <w:rsid w:val="008616ED"/>
    <w:rsid w:val="0086173D"/>
    <w:rsid w:val="0086183E"/>
    <w:rsid w:val="00861D06"/>
    <w:rsid w:val="00862807"/>
    <w:rsid w:val="00862A0B"/>
    <w:rsid w:val="00862C34"/>
    <w:rsid w:val="00862C8D"/>
    <w:rsid w:val="00862D52"/>
    <w:rsid w:val="00862E26"/>
    <w:rsid w:val="008633EA"/>
    <w:rsid w:val="00863AD4"/>
    <w:rsid w:val="00863F12"/>
    <w:rsid w:val="008641A7"/>
    <w:rsid w:val="008642FE"/>
    <w:rsid w:val="0086446F"/>
    <w:rsid w:val="00864630"/>
    <w:rsid w:val="008646B9"/>
    <w:rsid w:val="008648B5"/>
    <w:rsid w:val="008654C2"/>
    <w:rsid w:val="00865D13"/>
    <w:rsid w:val="0086641A"/>
    <w:rsid w:val="00866775"/>
    <w:rsid w:val="00866CD7"/>
    <w:rsid w:val="00866D5E"/>
    <w:rsid w:val="00866D89"/>
    <w:rsid w:val="00866F26"/>
    <w:rsid w:val="00867166"/>
    <w:rsid w:val="00867C6B"/>
    <w:rsid w:val="00867F68"/>
    <w:rsid w:val="008704F4"/>
    <w:rsid w:val="00870A5A"/>
    <w:rsid w:val="00870C92"/>
    <w:rsid w:val="00871042"/>
    <w:rsid w:val="0087111F"/>
    <w:rsid w:val="008713C8"/>
    <w:rsid w:val="008718B3"/>
    <w:rsid w:val="00871D11"/>
    <w:rsid w:val="00871EF9"/>
    <w:rsid w:val="00872510"/>
    <w:rsid w:val="00872752"/>
    <w:rsid w:val="00872CA2"/>
    <w:rsid w:val="00872E1E"/>
    <w:rsid w:val="00873053"/>
    <w:rsid w:val="008734EB"/>
    <w:rsid w:val="008737D3"/>
    <w:rsid w:val="00873B2D"/>
    <w:rsid w:val="00873CE3"/>
    <w:rsid w:val="008743A5"/>
    <w:rsid w:val="008746E7"/>
    <w:rsid w:val="008748A2"/>
    <w:rsid w:val="00875135"/>
    <w:rsid w:val="008758F0"/>
    <w:rsid w:val="008759BD"/>
    <w:rsid w:val="0087670C"/>
    <w:rsid w:val="00876CAF"/>
    <w:rsid w:val="00876D1C"/>
    <w:rsid w:val="00877777"/>
    <w:rsid w:val="008777CA"/>
    <w:rsid w:val="00877CBF"/>
    <w:rsid w:val="00877D01"/>
    <w:rsid w:val="00877FE1"/>
    <w:rsid w:val="008802F4"/>
    <w:rsid w:val="00880583"/>
    <w:rsid w:val="00880F1E"/>
    <w:rsid w:val="00880F9F"/>
    <w:rsid w:val="00881067"/>
    <w:rsid w:val="00881BC5"/>
    <w:rsid w:val="008820E5"/>
    <w:rsid w:val="00882799"/>
    <w:rsid w:val="008827AD"/>
    <w:rsid w:val="00882C53"/>
    <w:rsid w:val="00882D53"/>
    <w:rsid w:val="00883351"/>
    <w:rsid w:val="00883437"/>
    <w:rsid w:val="008834C5"/>
    <w:rsid w:val="0088375D"/>
    <w:rsid w:val="0088394D"/>
    <w:rsid w:val="00883C24"/>
    <w:rsid w:val="00883F3D"/>
    <w:rsid w:val="00883FB1"/>
    <w:rsid w:val="0088441F"/>
    <w:rsid w:val="0088447F"/>
    <w:rsid w:val="00884562"/>
    <w:rsid w:val="00884C9D"/>
    <w:rsid w:val="008853F8"/>
    <w:rsid w:val="0088544A"/>
    <w:rsid w:val="00885749"/>
    <w:rsid w:val="00885BAC"/>
    <w:rsid w:val="00885D72"/>
    <w:rsid w:val="00886222"/>
    <w:rsid w:val="00886757"/>
    <w:rsid w:val="00886988"/>
    <w:rsid w:val="008875AD"/>
    <w:rsid w:val="0088772C"/>
    <w:rsid w:val="0088780E"/>
    <w:rsid w:val="00887820"/>
    <w:rsid w:val="00887B6E"/>
    <w:rsid w:val="00890060"/>
    <w:rsid w:val="008904D9"/>
    <w:rsid w:val="00891C01"/>
    <w:rsid w:val="00891C10"/>
    <w:rsid w:val="00891C25"/>
    <w:rsid w:val="00892197"/>
    <w:rsid w:val="0089226B"/>
    <w:rsid w:val="008925CB"/>
    <w:rsid w:val="00892664"/>
    <w:rsid w:val="00892F6B"/>
    <w:rsid w:val="00893CF1"/>
    <w:rsid w:val="008948ED"/>
    <w:rsid w:val="00894A8E"/>
    <w:rsid w:val="008953BD"/>
    <w:rsid w:val="00895A6B"/>
    <w:rsid w:val="00896AA3"/>
    <w:rsid w:val="00896C17"/>
    <w:rsid w:val="00897199"/>
    <w:rsid w:val="0089778C"/>
    <w:rsid w:val="00897E64"/>
    <w:rsid w:val="008A022F"/>
    <w:rsid w:val="008A03E3"/>
    <w:rsid w:val="008A04A1"/>
    <w:rsid w:val="008A04F3"/>
    <w:rsid w:val="008A073C"/>
    <w:rsid w:val="008A0815"/>
    <w:rsid w:val="008A0D27"/>
    <w:rsid w:val="008A1081"/>
    <w:rsid w:val="008A17DB"/>
    <w:rsid w:val="008A23D3"/>
    <w:rsid w:val="008A2B30"/>
    <w:rsid w:val="008A2C50"/>
    <w:rsid w:val="008A2ED1"/>
    <w:rsid w:val="008A338E"/>
    <w:rsid w:val="008A363E"/>
    <w:rsid w:val="008A3662"/>
    <w:rsid w:val="008A4628"/>
    <w:rsid w:val="008A496F"/>
    <w:rsid w:val="008A525C"/>
    <w:rsid w:val="008A5FC6"/>
    <w:rsid w:val="008A6222"/>
    <w:rsid w:val="008A68EF"/>
    <w:rsid w:val="008A7512"/>
    <w:rsid w:val="008B038A"/>
    <w:rsid w:val="008B140E"/>
    <w:rsid w:val="008B14FF"/>
    <w:rsid w:val="008B1A21"/>
    <w:rsid w:val="008B1AEA"/>
    <w:rsid w:val="008B1FF2"/>
    <w:rsid w:val="008B27DB"/>
    <w:rsid w:val="008B2871"/>
    <w:rsid w:val="008B345D"/>
    <w:rsid w:val="008B38A3"/>
    <w:rsid w:val="008B3F45"/>
    <w:rsid w:val="008B47CB"/>
    <w:rsid w:val="008B5763"/>
    <w:rsid w:val="008B5918"/>
    <w:rsid w:val="008B60A7"/>
    <w:rsid w:val="008B6338"/>
    <w:rsid w:val="008B6A6C"/>
    <w:rsid w:val="008B6B02"/>
    <w:rsid w:val="008B7F24"/>
    <w:rsid w:val="008C00BC"/>
    <w:rsid w:val="008C073B"/>
    <w:rsid w:val="008C15BB"/>
    <w:rsid w:val="008C18A0"/>
    <w:rsid w:val="008C2133"/>
    <w:rsid w:val="008C25A7"/>
    <w:rsid w:val="008C262D"/>
    <w:rsid w:val="008C28E5"/>
    <w:rsid w:val="008C2B22"/>
    <w:rsid w:val="008C36C5"/>
    <w:rsid w:val="008C3864"/>
    <w:rsid w:val="008C3F36"/>
    <w:rsid w:val="008C430A"/>
    <w:rsid w:val="008C489F"/>
    <w:rsid w:val="008C4C9B"/>
    <w:rsid w:val="008C4D7A"/>
    <w:rsid w:val="008C4E5F"/>
    <w:rsid w:val="008C612E"/>
    <w:rsid w:val="008C6368"/>
    <w:rsid w:val="008C6A2B"/>
    <w:rsid w:val="008C6C82"/>
    <w:rsid w:val="008C6E7B"/>
    <w:rsid w:val="008C6FE1"/>
    <w:rsid w:val="008C714C"/>
    <w:rsid w:val="008C7184"/>
    <w:rsid w:val="008C73B1"/>
    <w:rsid w:val="008C77C8"/>
    <w:rsid w:val="008C7976"/>
    <w:rsid w:val="008C79A9"/>
    <w:rsid w:val="008C7B38"/>
    <w:rsid w:val="008C7C20"/>
    <w:rsid w:val="008D004C"/>
    <w:rsid w:val="008D0C3C"/>
    <w:rsid w:val="008D0DA2"/>
    <w:rsid w:val="008D0E3E"/>
    <w:rsid w:val="008D1103"/>
    <w:rsid w:val="008D15F7"/>
    <w:rsid w:val="008D1BAF"/>
    <w:rsid w:val="008D1BBA"/>
    <w:rsid w:val="008D1FDE"/>
    <w:rsid w:val="008D2048"/>
    <w:rsid w:val="008D20D7"/>
    <w:rsid w:val="008D218B"/>
    <w:rsid w:val="008D256F"/>
    <w:rsid w:val="008D2771"/>
    <w:rsid w:val="008D29AA"/>
    <w:rsid w:val="008D351D"/>
    <w:rsid w:val="008D3A66"/>
    <w:rsid w:val="008D3E88"/>
    <w:rsid w:val="008D3FCD"/>
    <w:rsid w:val="008D4612"/>
    <w:rsid w:val="008D4658"/>
    <w:rsid w:val="008D4A7F"/>
    <w:rsid w:val="008D55F7"/>
    <w:rsid w:val="008D5F24"/>
    <w:rsid w:val="008D6604"/>
    <w:rsid w:val="008D6880"/>
    <w:rsid w:val="008D68CA"/>
    <w:rsid w:val="008D7080"/>
    <w:rsid w:val="008D7741"/>
    <w:rsid w:val="008E0401"/>
    <w:rsid w:val="008E04F2"/>
    <w:rsid w:val="008E0587"/>
    <w:rsid w:val="008E0800"/>
    <w:rsid w:val="008E097D"/>
    <w:rsid w:val="008E0FF9"/>
    <w:rsid w:val="008E11C8"/>
    <w:rsid w:val="008E1327"/>
    <w:rsid w:val="008E1608"/>
    <w:rsid w:val="008E1C45"/>
    <w:rsid w:val="008E242E"/>
    <w:rsid w:val="008E268F"/>
    <w:rsid w:val="008E27C3"/>
    <w:rsid w:val="008E2F00"/>
    <w:rsid w:val="008E315B"/>
    <w:rsid w:val="008E347D"/>
    <w:rsid w:val="008E3A76"/>
    <w:rsid w:val="008E4208"/>
    <w:rsid w:val="008E45D8"/>
    <w:rsid w:val="008E5467"/>
    <w:rsid w:val="008E57C4"/>
    <w:rsid w:val="008E5A3C"/>
    <w:rsid w:val="008E5B91"/>
    <w:rsid w:val="008E5BB1"/>
    <w:rsid w:val="008E647B"/>
    <w:rsid w:val="008E6622"/>
    <w:rsid w:val="008E682F"/>
    <w:rsid w:val="008E7127"/>
    <w:rsid w:val="008E72E8"/>
    <w:rsid w:val="008E7B41"/>
    <w:rsid w:val="008E7B61"/>
    <w:rsid w:val="008F0559"/>
    <w:rsid w:val="008F05D3"/>
    <w:rsid w:val="008F078C"/>
    <w:rsid w:val="008F07D5"/>
    <w:rsid w:val="008F1077"/>
    <w:rsid w:val="008F1B62"/>
    <w:rsid w:val="008F1BFB"/>
    <w:rsid w:val="008F248C"/>
    <w:rsid w:val="008F2616"/>
    <w:rsid w:val="008F3503"/>
    <w:rsid w:val="008F36BB"/>
    <w:rsid w:val="008F3AE2"/>
    <w:rsid w:val="008F401D"/>
    <w:rsid w:val="008F4151"/>
    <w:rsid w:val="008F42E7"/>
    <w:rsid w:val="008F4B7D"/>
    <w:rsid w:val="008F5337"/>
    <w:rsid w:val="008F5487"/>
    <w:rsid w:val="008F5A01"/>
    <w:rsid w:val="008F5E79"/>
    <w:rsid w:val="008F5F1B"/>
    <w:rsid w:val="008F600E"/>
    <w:rsid w:val="008F6221"/>
    <w:rsid w:val="008F648A"/>
    <w:rsid w:val="008F673B"/>
    <w:rsid w:val="008F674C"/>
    <w:rsid w:val="008F7072"/>
    <w:rsid w:val="008F722B"/>
    <w:rsid w:val="008F777B"/>
    <w:rsid w:val="008F7B41"/>
    <w:rsid w:val="008F7CCE"/>
    <w:rsid w:val="008F7CF4"/>
    <w:rsid w:val="00900372"/>
    <w:rsid w:val="00900398"/>
    <w:rsid w:val="009006A2"/>
    <w:rsid w:val="009007A4"/>
    <w:rsid w:val="00900C72"/>
    <w:rsid w:val="00900CBD"/>
    <w:rsid w:val="0090113C"/>
    <w:rsid w:val="00901288"/>
    <w:rsid w:val="009017F8"/>
    <w:rsid w:val="00901CC4"/>
    <w:rsid w:val="00902480"/>
    <w:rsid w:val="009024A2"/>
    <w:rsid w:val="00902832"/>
    <w:rsid w:val="00903CC6"/>
    <w:rsid w:val="009041F7"/>
    <w:rsid w:val="00904371"/>
    <w:rsid w:val="009047CB"/>
    <w:rsid w:val="00904B96"/>
    <w:rsid w:val="00904C9A"/>
    <w:rsid w:val="00904D9D"/>
    <w:rsid w:val="00905EC9"/>
    <w:rsid w:val="009060BC"/>
    <w:rsid w:val="00906192"/>
    <w:rsid w:val="009064E2"/>
    <w:rsid w:val="00906597"/>
    <w:rsid w:val="0090665D"/>
    <w:rsid w:val="009066EF"/>
    <w:rsid w:val="009077C7"/>
    <w:rsid w:val="00911002"/>
    <w:rsid w:val="009111A6"/>
    <w:rsid w:val="009111AB"/>
    <w:rsid w:val="0091178B"/>
    <w:rsid w:val="00911A1B"/>
    <w:rsid w:val="00911E9C"/>
    <w:rsid w:val="0091220E"/>
    <w:rsid w:val="00912754"/>
    <w:rsid w:val="00912D46"/>
    <w:rsid w:val="009131D8"/>
    <w:rsid w:val="0091333D"/>
    <w:rsid w:val="009135ED"/>
    <w:rsid w:val="00913E6D"/>
    <w:rsid w:val="00914044"/>
    <w:rsid w:val="0091415D"/>
    <w:rsid w:val="00914597"/>
    <w:rsid w:val="0091465A"/>
    <w:rsid w:val="00914A90"/>
    <w:rsid w:val="0091581B"/>
    <w:rsid w:val="00915972"/>
    <w:rsid w:val="00917078"/>
    <w:rsid w:val="009172FC"/>
    <w:rsid w:val="00917944"/>
    <w:rsid w:val="00917A30"/>
    <w:rsid w:val="00917BBA"/>
    <w:rsid w:val="00920039"/>
    <w:rsid w:val="00920067"/>
    <w:rsid w:val="00920216"/>
    <w:rsid w:val="00920463"/>
    <w:rsid w:val="009204FF"/>
    <w:rsid w:val="00920658"/>
    <w:rsid w:val="00920A97"/>
    <w:rsid w:val="00920E56"/>
    <w:rsid w:val="0092111B"/>
    <w:rsid w:val="009212F5"/>
    <w:rsid w:val="009218CB"/>
    <w:rsid w:val="009218FA"/>
    <w:rsid w:val="0092194A"/>
    <w:rsid w:val="009219C7"/>
    <w:rsid w:val="00922564"/>
    <w:rsid w:val="00923090"/>
    <w:rsid w:val="009231E5"/>
    <w:rsid w:val="00923342"/>
    <w:rsid w:val="009238C7"/>
    <w:rsid w:val="00923D68"/>
    <w:rsid w:val="00924457"/>
    <w:rsid w:val="009245CA"/>
    <w:rsid w:val="0092489E"/>
    <w:rsid w:val="00924B08"/>
    <w:rsid w:val="00925478"/>
    <w:rsid w:val="009254B4"/>
    <w:rsid w:val="009255D9"/>
    <w:rsid w:val="0092565E"/>
    <w:rsid w:val="00925A73"/>
    <w:rsid w:val="009261A6"/>
    <w:rsid w:val="009262D5"/>
    <w:rsid w:val="009268AA"/>
    <w:rsid w:val="00926A98"/>
    <w:rsid w:val="00926C1F"/>
    <w:rsid w:val="00926E4D"/>
    <w:rsid w:val="00926F70"/>
    <w:rsid w:val="009272D3"/>
    <w:rsid w:val="00927568"/>
    <w:rsid w:val="00927710"/>
    <w:rsid w:val="009278ED"/>
    <w:rsid w:val="009279A0"/>
    <w:rsid w:val="00927A2F"/>
    <w:rsid w:val="00930235"/>
    <w:rsid w:val="00930463"/>
    <w:rsid w:val="009305C2"/>
    <w:rsid w:val="00930706"/>
    <w:rsid w:val="00930839"/>
    <w:rsid w:val="00930B23"/>
    <w:rsid w:val="00930B74"/>
    <w:rsid w:val="00930CB4"/>
    <w:rsid w:val="00930E3E"/>
    <w:rsid w:val="00930F27"/>
    <w:rsid w:val="00930F4A"/>
    <w:rsid w:val="00931175"/>
    <w:rsid w:val="00931EEB"/>
    <w:rsid w:val="00932410"/>
    <w:rsid w:val="00932C2F"/>
    <w:rsid w:val="00932C99"/>
    <w:rsid w:val="00933186"/>
    <w:rsid w:val="0093352D"/>
    <w:rsid w:val="009338AE"/>
    <w:rsid w:val="00933E29"/>
    <w:rsid w:val="0093433B"/>
    <w:rsid w:val="00934A36"/>
    <w:rsid w:val="0093542B"/>
    <w:rsid w:val="00935601"/>
    <w:rsid w:val="00935C87"/>
    <w:rsid w:val="00936623"/>
    <w:rsid w:val="00936E5E"/>
    <w:rsid w:val="00940185"/>
    <w:rsid w:val="00940547"/>
    <w:rsid w:val="009405F6"/>
    <w:rsid w:val="0094063E"/>
    <w:rsid w:val="00940BCD"/>
    <w:rsid w:val="00940C90"/>
    <w:rsid w:val="009410D1"/>
    <w:rsid w:val="00941279"/>
    <w:rsid w:val="00941B60"/>
    <w:rsid w:val="00941C21"/>
    <w:rsid w:val="00942CAF"/>
    <w:rsid w:val="0094322F"/>
    <w:rsid w:val="009432E6"/>
    <w:rsid w:val="00943300"/>
    <w:rsid w:val="009436DE"/>
    <w:rsid w:val="00943B07"/>
    <w:rsid w:val="00944699"/>
    <w:rsid w:val="00944B6A"/>
    <w:rsid w:val="00944BB6"/>
    <w:rsid w:val="00945431"/>
    <w:rsid w:val="00945B08"/>
    <w:rsid w:val="00945BAA"/>
    <w:rsid w:val="00945FA8"/>
    <w:rsid w:val="0094608B"/>
    <w:rsid w:val="009462D5"/>
    <w:rsid w:val="009467B2"/>
    <w:rsid w:val="00946956"/>
    <w:rsid w:val="00946E02"/>
    <w:rsid w:val="009473C9"/>
    <w:rsid w:val="00947510"/>
    <w:rsid w:val="00947846"/>
    <w:rsid w:val="00947D49"/>
    <w:rsid w:val="00950027"/>
    <w:rsid w:val="00950149"/>
    <w:rsid w:val="00950CC3"/>
    <w:rsid w:val="00950EB6"/>
    <w:rsid w:val="0095149D"/>
    <w:rsid w:val="009514D9"/>
    <w:rsid w:val="0095160D"/>
    <w:rsid w:val="0095160E"/>
    <w:rsid w:val="00951B12"/>
    <w:rsid w:val="00951D01"/>
    <w:rsid w:val="00952012"/>
    <w:rsid w:val="00952925"/>
    <w:rsid w:val="00952CA9"/>
    <w:rsid w:val="00953517"/>
    <w:rsid w:val="0095456C"/>
    <w:rsid w:val="009547B3"/>
    <w:rsid w:val="009548AD"/>
    <w:rsid w:val="00954968"/>
    <w:rsid w:val="00954C97"/>
    <w:rsid w:val="00954DC9"/>
    <w:rsid w:val="00954E99"/>
    <w:rsid w:val="00954EC1"/>
    <w:rsid w:val="00954F6C"/>
    <w:rsid w:val="009551E8"/>
    <w:rsid w:val="00955BC1"/>
    <w:rsid w:val="00955FA5"/>
    <w:rsid w:val="0095656F"/>
    <w:rsid w:val="00956864"/>
    <w:rsid w:val="00956905"/>
    <w:rsid w:val="00957085"/>
    <w:rsid w:val="00957331"/>
    <w:rsid w:val="00957B5B"/>
    <w:rsid w:val="00960245"/>
    <w:rsid w:val="00960CBF"/>
    <w:rsid w:val="00960F98"/>
    <w:rsid w:val="009614C6"/>
    <w:rsid w:val="009617E8"/>
    <w:rsid w:val="0096225C"/>
    <w:rsid w:val="009623BC"/>
    <w:rsid w:val="00962BFB"/>
    <w:rsid w:val="00962E1C"/>
    <w:rsid w:val="00962FA6"/>
    <w:rsid w:val="0096349D"/>
    <w:rsid w:val="00964061"/>
    <w:rsid w:val="00964855"/>
    <w:rsid w:val="00964954"/>
    <w:rsid w:val="009649E3"/>
    <w:rsid w:val="0096567B"/>
    <w:rsid w:val="0096649E"/>
    <w:rsid w:val="00966572"/>
    <w:rsid w:val="00966B48"/>
    <w:rsid w:val="00966BDE"/>
    <w:rsid w:val="00966DEC"/>
    <w:rsid w:val="00967120"/>
    <w:rsid w:val="009675BE"/>
    <w:rsid w:val="00967C92"/>
    <w:rsid w:val="009702C4"/>
    <w:rsid w:val="0097051B"/>
    <w:rsid w:val="00970E92"/>
    <w:rsid w:val="00971320"/>
    <w:rsid w:val="00971764"/>
    <w:rsid w:val="009718B4"/>
    <w:rsid w:val="00971A8C"/>
    <w:rsid w:val="00971AEA"/>
    <w:rsid w:val="00971EF2"/>
    <w:rsid w:val="00971F33"/>
    <w:rsid w:val="00971F94"/>
    <w:rsid w:val="00972183"/>
    <w:rsid w:val="0097224A"/>
    <w:rsid w:val="00972373"/>
    <w:rsid w:val="0097265B"/>
    <w:rsid w:val="0097310F"/>
    <w:rsid w:val="0097383B"/>
    <w:rsid w:val="00973952"/>
    <w:rsid w:val="00973C4E"/>
    <w:rsid w:val="009749D5"/>
    <w:rsid w:val="009750D6"/>
    <w:rsid w:val="009755A0"/>
    <w:rsid w:val="009755D5"/>
    <w:rsid w:val="00975A72"/>
    <w:rsid w:val="00975F01"/>
    <w:rsid w:val="0097606D"/>
    <w:rsid w:val="00976206"/>
    <w:rsid w:val="00976242"/>
    <w:rsid w:val="0097629E"/>
    <w:rsid w:val="009763AA"/>
    <w:rsid w:val="0097673B"/>
    <w:rsid w:val="009767C4"/>
    <w:rsid w:val="00977482"/>
    <w:rsid w:val="0097784C"/>
    <w:rsid w:val="00977A04"/>
    <w:rsid w:val="009801C5"/>
    <w:rsid w:val="009805C0"/>
    <w:rsid w:val="00980EAD"/>
    <w:rsid w:val="009811B3"/>
    <w:rsid w:val="0098127C"/>
    <w:rsid w:val="009813A2"/>
    <w:rsid w:val="00981949"/>
    <w:rsid w:val="00981DD0"/>
    <w:rsid w:val="009825B5"/>
    <w:rsid w:val="00982A3D"/>
    <w:rsid w:val="00982C52"/>
    <w:rsid w:val="00982DC3"/>
    <w:rsid w:val="009833FA"/>
    <w:rsid w:val="00983A33"/>
    <w:rsid w:val="00983C0D"/>
    <w:rsid w:val="00983C44"/>
    <w:rsid w:val="00984322"/>
    <w:rsid w:val="009844D6"/>
    <w:rsid w:val="009845CF"/>
    <w:rsid w:val="00985621"/>
    <w:rsid w:val="00986164"/>
    <w:rsid w:val="009862D1"/>
    <w:rsid w:val="00986D3B"/>
    <w:rsid w:val="00986D4B"/>
    <w:rsid w:val="00986D89"/>
    <w:rsid w:val="00987563"/>
    <w:rsid w:val="00987AB4"/>
    <w:rsid w:val="00987E97"/>
    <w:rsid w:val="009902AA"/>
    <w:rsid w:val="00990380"/>
    <w:rsid w:val="00990A21"/>
    <w:rsid w:val="009917A9"/>
    <w:rsid w:val="009918DA"/>
    <w:rsid w:val="00991C38"/>
    <w:rsid w:val="009921DB"/>
    <w:rsid w:val="0099271D"/>
    <w:rsid w:val="0099273C"/>
    <w:rsid w:val="0099380E"/>
    <w:rsid w:val="00993C94"/>
    <w:rsid w:val="009940EF"/>
    <w:rsid w:val="009942DF"/>
    <w:rsid w:val="009946BF"/>
    <w:rsid w:val="009946C0"/>
    <w:rsid w:val="009947B2"/>
    <w:rsid w:val="00994A8D"/>
    <w:rsid w:val="00994BA7"/>
    <w:rsid w:val="00994D06"/>
    <w:rsid w:val="00995144"/>
    <w:rsid w:val="0099538F"/>
    <w:rsid w:val="00995F11"/>
    <w:rsid w:val="0099611C"/>
    <w:rsid w:val="00996203"/>
    <w:rsid w:val="00996604"/>
    <w:rsid w:val="00996658"/>
    <w:rsid w:val="0099785D"/>
    <w:rsid w:val="00997B78"/>
    <w:rsid w:val="00997CF0"/>
    <w:rsid w:val="009A0401"/>
    <w:rsid w:val="009A0575"/>
    <w:rsid w:val="009A0948"/>
    <w:rsid w:val="009A0BBC"/>
    <w:rsid w:val="009A10C6"/>
    <w:rsid w:val="009A12AB"/>
    <w:rsid w:val="009A14B9"/>
    <w:rsid w:val="009A22F2"/>
    <w:rsid w:val="009A26F4"/>
    <w:rsid w:val="009A2DEC"/>
    <w:rsid w:val="009A2E75"/>
    <w:rsid w:val="009A3478"/>
    <w:rsid w:val="009A3B81"/>
    <w:rsid w:val="009A3F23"/>
    <w:rsid w:val="009A3FD1"/>
    <w:rsid w:val="009A4429"/>
    <w:rsid w:val="009A49B2"/>
    <w:rsid w:val="009A4B61"/>
    <w:rsid w:val="009A5AFD"/>
    <w:rsid w:val="009A636E"/>
    <w:rsid w:val="009A6555"/>
    <w:rsid w:val="009A6EFD"/>
    <w:rsid w:val="009A7321"/>
    <w:rsid w:val="009A7824"/>
    <w:rsid w:val="009A7B01"/>
    <w:rsid w:val="009A7E74"/>
    <w:rsid w:val="009B04D6"/>
    <w:rsid w:val="009B0544"/>
    <w:rsid w:val="009B0672"/>
    <w:rsid w:val="009B0B47"/>
    <w:rsid w:val="009B0B7A"/>
    <w:rsid w:val="009B11D9"/>
    <w:rsid w:val="009B15FF"/>
    <w:rsid w:val="009B1655"/>
    <w:rsid w:val="009B1669"/>
    <w:rsid w:val="009B2009"/>
    <w:rsid w:val="009B200C"/>
    <w:rsid w:val="009B282F"/>
    <w:rsid w:val="009B29BD"/>
    <w:rsid w:val="009B2E6B"/>
    <w:rsid w:val="009B328A"/>
    <w:rsid w:val="009B343E"/>
    <w:rsid w:val="009B3689"/>
    <w:rsid w:val="009B381B"/>
    <w:rsid w:val="009B39DC"/>
    <w:rsid w:val="009B3EF7"/>
    <w:rsid w:val="009B3F21"/>
    <w:rsid w:val="009B432A"/>
    <w:rsid w:val="009B469E"/>
    <w:rsid w:val="009B4A40"/>
    <w:rsid w:val="009B4AB5"/>
    <w:rsid w:val="009B4B5D"/>
    <w:rsid w:val="009B4BDB"/>
    <w:rsid w:val="009B4E10"/>
    <w:rsid w:val="009B4FA5"/>
    <w:rsid w:val="009B51D1"/>
    <w:rsid w:val="009B5B98"/>
    <w:rsid w:val="009B5F74"/>
    <w:rsid w:val="009B61E7"/>
    <w:rsid w:val="009B638C"/>
    <w:rsid w:val="009B6434"/>
    <w:rsid w:val="009B70E1"/>
    <w:rsid w:val="009B710D"/>
    <w:rsid w:val="009B741A"/>
    <w:rsid w:val="009B76E7"/>
    <w:rsid w:val="009B7887"/>
    <w:rsid w:val="009B7C4C"/>
    <w:rsid w:val="009B7C59"/>
    <w:rsid w:val="009B7F79"/>
    <w:rsid w:val="009C0572"/>
    <w:rsid w:val="009C0C65"/>
    <w:rsid w:val="009C1688"/>
    <w:rsid w:val="009C1D12"/>
    <w:rsid w:val="009C29A0"/>
    <w:rsid w:val="009C2F5A"/>
    <w:rsid w:val="009C3A85"/>
    <w:rsid w:val="009C40DC"/>
    <w:rsid w:val="009C45FA"/>
    <w:rsid w:val="009C466B"/>
    <w:rsid w:val="009C472D"/>
    <w:rsid w:val="009C4A22"/>
    <w:rsid w:val="009C4A3C"/>
    <w:rsid w:val="009C4A79"/>
    <w:rsid w:val="009C5204"/>
    <w:rsid w:val="009C537C"/>
    <w:rsid w:val="009C5650"/>
    <w:rsid w:val="009C6049"/>
    <w:rsid w:val="009C605F"/>
    <w:rsid w:val="009C62C6"/>
    <w:rsid w:val="009C697F"/>
    <w:rsid w:val="009C6E72"/>
    <w:rsid w:val="009C7349"/>
    <w:rsid w:val="009C747A"/>
    <w:rsid w:val="009C7482"/>
    <w:rsid w:val="009C76EA"/>
    <w:rsid w:val="009C7B0B"/>
    <w:rsid w:val="009C7B9C"/>
    <w:rsid w:val="009D0451"/>
    <w:rsid w:val="009D0FDC"/>
    <w:rsid w:val="009D1202"/>
    <w:rsid w:val="009D140F"/>
    <w:rsid w:val="009D1487"/>
    <w:rsid w:val="009D1C51"/>
    <w:rsid w:val="009D1D02"/>
    <w:rsid w:val="009D1DA9"/>
    <w:rsid w:val="009D1F8F"/>
    <w:rsid w:val="009D28CB"/>
    <w:rsid w:val="009D311A"/>
    <w:rsid w:val="009D3139"/>
    <w:rsid w:val="009D3187"/>
    <w:rsid w:val="009D33A2"/>
    <w:rsid w:val="009D345F"/>
    <w:rsid w:val="009D3AE4"/>
    <w:rsid w:val="009D3C3F"/>
    <w:rsid w:val="009D3DDE"/>
    <w:rsid w:val="009D3F1D"/>
    <w:rsid w:val="009D4234"/>
    <w:rsid w:val="009D43D4"/>
    <w:rsid w:val="009D4D67"/>
    <w:rsid w:val="009D5034"/>
    <w:rsid w:val="009D5563"/>
    <w:rsid w:val="009D589F"/>
    <w:rsid w:val="009D58DA"/>
    <w:rsid w:val="009D5FB0"/>
    <w:rsid w:val="009D6101"/>
    <w:rsid w:val="009D635B"/>
    <w:rsid w:val="009D66DC"/>
    <w:rsid w:val="009D6B9B"/>
    <w:rsid w:val="009D7996"/>
    <w:rsid w:val="009D799C"/>
    <w:rsid w:val="009D79CB"/>
    <w:rsid w:val="009D7A90"/>
    <w:rsid w:val="009D7F6F"/>
    <w:rsid w:val="009E0393"/>
    <w:rsid w:val="009E07D3"/>
    <w:rsid w:val="009E0C03"/>
    <w:rsid w:val="009E13C2"/>
    <w:rsid w:val="009E1A36"/>
    <w:rsid w:val="009E1C8C"/>
    <w:rsid w:val="009E1E0E"/>
    <w:rsid w:val="009E22A4"/>
    <w:rsid w:val="009E2634"/>
    <w:rsid w:val="009E2651"/>
    <w:rsid w:val="009E2797"/>
    <w:rsid w:val="009E3126"/>
    <w:rsid w:val="009E37EB"/>
    <w:rsid w:val="009E3ABD"/>
    <w:rsid w:val="009E3CB0"/>
    <w:rsid w:val="009E42DF"/>
    <w:rsid w:val="009E4478"/>
    <w:rsid w:val="009E48F5"/>
    <w:rsid w:val="009E4DAF"/>
    <w:rsid w:val="009E4E34"/>
    <w:rsid w:val="009E4F95"/>
    <w:rsid w:val="009E5898"/>
    <w:rsid w:val="009E58CD"/>
    <w:rsid w:val="009E5969"/>
    <w:rsid w:val="009E5A4D"/>
    <w:rsid w:val="009E5DA5"/>
    <w:rsid w:val="009E68A4"/>
    <w:rsid w:val="009E6B98"/>
    <w:rsid w:val="009E6EC9"/>
    <w:rsid w:val="009F01F4"/>
    <w:rsid w:val="009F06F2"/>
    <w:rsid w:val="009F19CB"/>
    <w:rsid w:val="009F2399"/>
    <w:rsid w:val="009F239D"/>
    <w:rsid w:val="009F283A"/>
    <w:rsid w:val="009F2979"/>
    <w:rsid w:val="009F3F82"/>
    <w:rsid w:val="009F408F"/>
    <w:rsid w:val="009F4CE6"/>
    <w:rsid w:val="009F4EB7"/>
    <w:rsid w:val="009F5407"/>
    <w:rsid w:val="009F56E3"/>
    <w:rsid w:val="009F5AA8"/>
    <w:rsid w:val="009F61BD"/>
    <w:rsid w:val="009F635E"/>
    <w:rsid w:val="009F64C8"/>
    <w:rsid w:val="009F673D"/>
    <w:rsid w:val="009F6A66"/>
    <w:rsid w:val="009F6A6F"/>
    <w:rsid w:val="009F6C65"/>
    <w:rsid w:val="009F70A8"/>
    <w:rsid w:val="009F70B4"/>
    <w:rsid w:val="009F7B7A"/>
    <w:rsid w:val="00A00477"/>
    <w:rsid w:val="00A00F4E"/>
    <w:rsid w:val="00A01281"/>
    <w:rsid w:val="00A019CC"/>
    <w:rsid w:val="00A01EDD"/>
    <w:rsid w:val="00A0231C"/>
    <w:rsid w:val="00A028A1"/>
    <w:rsid w:val="00A02C5D"/>
    <w:rsid w:val="00A030EC"/>
    <w:rsid w:val="00A03225"/>
    <w:rsid w:val="00A03A69"/>
    <w:rsid w:val="00A03F46"/>
    <w:rsid w:val="00A041C7"/>
    <w:rsid w:val="00A041E9"/>
    <w:rsid w:val="00A0489D"/>
    <w:rsid w:val="00A04C03"/>
    <w:rsid w:val="00A04DAE"/>
    <w:rsid w:val="00A04FC7"/>
    <w:rsid w:val="00A052C6"/>
    <w:rsid w:val="00A05B3F"/>
    <w:rsid w:val="00A05B6D"/>
    <w:rsid w:val="00A05E55"/>
    <w:rsid w:val="00A0714A"/>
    <w:rsid w:val="00A0768C"/>
    <w:rsid w:val="00A07EC1"/>
    <w:rsid w:val="00A1035A"/>
    <w:rsid w:val="00A104A9"/>
    <w:rsid w:val="00A1075B"/>
    <w:rsid w:val="00A10961"/>
    <w:rsid w:val="00A118F9"/>
    <w:rsid w:val="00A11B26"/>
    <w:rsid w:val="00A12114"/>
    <w:rsid w:val="00A121EA"/>
    <w:rsid w:val="00A122FC"/>
    <w:rsid w:val="00A124CD"/>
    <w:rsid w:val="00A127CE"/>
    <w:rsid w:val="00A12D2A"/>
    <w:rsid w:val="00A135EE"/>
    <w:rsid w:val="00A1446B"/>
    <w:rsid w:val="00A148F9"/>
    <w:rsid w:val="00A14D0C"/>
    <w:rsid w:val="00A15096"/>
    <w:rsid w:val="00A151B5"/>
    <w:rsid w:val="00A15760"/>
    <w:rsid w:val="00A16155"/>
    <w:rsid w:val="00A161FC"/>
    <w:rsid w:val="00A16529"/>
    <w:rsid w:val="00A167F2"/>
    <w:rsid w:val="00A16853"/>
    <w:rsid w:val="00A16B73"/>
    <w:rsid w:val="00A16EC0"/>
    <w:rsid w:val="00A170E7"/>
    <w:rsid w:val="00A173A4"/>
    <w:rsid w:val="00A17AD6"/>
    <w:rsid w:val="00A17EFE"/>
    <w:rsid w:val="00A20213"/>
    <w:rsid w:val="00A20577"/>
    <w:rsid w:val="00A20635"/>
    <w:rsid w:val="00A2064D"/>
    <w:rsid w:val="00A20C78"/>
    <w:rsid w:val="00A20FAB"/>
    <w:rsid w:val="00A21272"/>
    <w:rsid w:val="00A21D9A"/>
    <w:rsid w:val="00A2312E"/>
    <w:rsid w:val="00A236E0"/>
    <w:rsid w:val="00A237DF"/>
    <w:rsid w:val="00A2387C"/>
    <w:rsid w:val="00A23C0B"/>
    <w:rsid w:val="00A23F67"/>
    <w:rsid w:val="00A242ED"/>
    <w:rsid w:val="00A24323"/>
    <w:rsid w:val="00A24450"/>
    <w:rsid w:val="00A24705"/>
    <w:rsid w:val="00A24EF5"/>
    <w:rsid w:val="00A2512C"/>
    <w:rsid w:val="00A2515B"/>
    <w:rsid w:val="00A2588E"/>
    <w:rsid w:val="00A25E45"/>
    <w:rsid w:val="00A264AD"/>
    <w:rsid w:val="00A26EDF"/>
    <w:rsid w:val="00A270D2"/>
    <w:rsid w:val="00A2756F"/>
    <w:rsid w:val="00A27813"/>
    <w:rsid w:val="00A27840"/>
    <w:rsid w:val="00A27904"/>
    <w:rsid w:val="00A27C18"/>
    <w:rsid w:val="00A30B35"/>
    <w:rsid w:val="00A3116B"/>
    <w:rsid w:val="00A31369"/>
    <w:rsid w:val="00A31882"/>
    <w:rsid w:val="00A31B33"/>
    <w:rsid w:val="00A31C6C"/>
    <w:rsid w:val="00A31EFE"/>
    <w:rsid w:val="00A31F86"/>
    <w:rsid w:val="00A31F93"/>
    <w:rsid w:val="00A32950"/>
    <w:rsid w:val="00A32E75"/>
    <w:rsid w:val="00A336B0"/>
    <w:rsid w:val="00A33A66"/>
    <w:rsid w:val="00A33D9E"/>
    <w:rsid w:val="00A33E66"/>
    <w:rsid w:val="00A34521"/>
    <w:rsid w:val="00A34789"/>
    <w:rsid w:val="00A34FBB"/>
    <w:rsid w:val="00A35906"/>
    <w:rsid w:val="00A35922"/>
    <w:rsid w:val="00A35AF9"/>
    <w:rsid w:val="00A35DB3"/>
    <w:rsid w:val="00A360DD"/>
    <w:rsid w:val="00A3630E"/>
    <w:rsid w:val="00A3639F"/>
    <w:rsid w:val="00A364F1"/>
    <w:rsid w:val="00A36E16"/>
    <w:rsid w:val="00A37970"/>
    <w:rsid w:val="00A37BB8"/>
    <w:rsid w:val="00A37F58"/>
    <w:rsid w:val="00A400AD"/>
    <w:rsid w:val="00A400CC"/>
    <w:rsid w:val="00A40398"/>
    <w:rsid w:val="00A40467"/>
    <w:rsid w:val="00A404C5"/>
    <w:rsid w:val="00A4051C"/>
    <w:rsid w:val="00A40BF1"/>
    <w:rsid w:val="00A41192"/>
    <w:rsid w:val="00A4196B"/>
    <w:rsid w:val="00A41C82"/>
    <w:rsid w:val="00A41FF8"/>
    <w:rsid w:val="00A4228B"/>
    <w:rsid w:val="00A4255C"/>
    <w:rsid w:val="00A426D9"/>
    <w:rsid w:val="00A4276D"/>
    <w:rsid w:val="00A42C32"/>
    <w:rsid w:val="00A42D87"/>
    <w:rsid w:val="00A43021"/>
    <w:rsid w:val="00A43D99"/>
    <w:rsid w:val="00A443D6"/>
    <w:rsid w:val="00A444B8"/>
    <w:rsid w:val="00A44BD3"/>
    <w:rsid w:val="00A44FFA"/>
    <w:rsid w:val="00A4521D"/>
    <w:rsid w:val="00A454AB"/>
    <w:rsid w:val="00A456D6"/>
    <w:rsid w:val="00A4578A"/>
    <w:rsid w:val="00A45A36"/>
    <w:rsid w:val="00A45BA6"/>
    <w:rsid w:val="00A45C08"/>
    <w:rsid w:val="00A45C58"/>
    <w:rsid w:val="00A46458"/>
    <w:rsid w:val="00A465E0"/>
    <w:rsid w:val="00A46643"/>
    <w:rsid w:val="00A46C4C"/>
    <w:rsid w:val="00A46D6F"/>
    <w:rsid w:val="00A46D70"/>
    <w:rsid w:val="00A4712C"/>
    <w:rsid w:val="00A47320"/>
    <w:rsid w:val="00A47590"/>
    <w:rsid w:val="00A4759A"/>
    <w:rsid w:val="00A47AD0"/>
    <w:rsid w:val="00A47DD0"/>
    <w:rsid w:val="00A5031D"/>
    <w:rsid w:val="00A506E8"/>
    <w:rsid w:val="00A50839"/>
    <w:rsid w:val="00A512C1"/>
    <w:rsid w:val="00A516F9"/>
    <w:rsid w:val="00A51BEE"/>
    <w:rsid w:val="00A51D0F"/>
    <w:rsid w:val="00A51F0A"/>
    <w:rsid w:val="00A5226E"/>
    <w:rsid w:val="00A52432"/>
    <w:rsid w:val="00A5280E"/>
    <w:rsid w:val="00A528B9"/>
    <w:rsid w:val="00A52A59"/>
    <w:rsid w:val="00A52EDE"/>
    <w:rsid w:val="00A53033"/>
    <w:rsid w:val="00A5342B"/>
    <w:rsid w:val="00A534B7"/>
    <w:rsid w:val="00A53633"/>
    <w:rsid w:val="00A5382A"/>
    <w:rsid w:val="00A54157"/>
    <w:rsid w:val="00A54248"/>
    <w:rsid w:val="00A54391"/>
    <w:rsid w:val="00A547D0"/>
    <w:rsid w:val="00A54EF2"/>
    <w:rsid w:val="00A551F4"/>
    <w:rsid w:val="00A55595"/>
    <w:rsid w:val="00A55829"/>
    <w:rsid w:val="00A55C84"/>
    <w:rsid w:val="00A55D48"/>
    <w:rsid w:val="00A55F36"/>
    <w:rsid w:val="00A55F3C"/>
    <w:rsid w:val="00A56111"/>
    <w:rsid w:val="00A562B2"/>
    <w:rsid w:val="00A565BB"/>
    <w:rsid w:val="00A56CF1"/>
    <w:rsid w:val="00A56FA5"/>
    <w:rsid w:val="00A570F1"/>
    <w:rsid w:val="00A5730B"/>
    <w:rsid w:val="00A57326"/>
    <w:rsid w:val="00A579F0"/>
    <w:rsid w:val="00A57BEB"/>
    <w:rsid w:val="00A57E1F"/>
    <w:rsid w:val="00A57E60"/>
    <w:rsid w:val="00A600F4"/>
    <w:rsid w:val="00A602FE"/>
    <w:rsid w:val="00A6079D"/>
    <w:rsid w:val="00A60B92"/>
    <w:rsid w:val="00A61673"/>
    <w:rsid w:val="00A62E9E"/>
    <w:rsid w:val="00A6353D"/>
    <w:rsid w:val="00A63970"/>
    <w:rsid w:val="00A63C86"/>
    <w:rsid w:val="00A64732"/>
    <w:rsid w:val="00A64877"/>
    <w:rsid w:val="00A64926"/>
    <w:rsid w:val="00A64B4D"/>
    <w:rsid w:val="00A64ED1"/>
    <w:rsid w:val="00A6566F"/>
    <w:rsid w:val="00A65691"/>
    <w:rsid w:val="00A665CF"/>
    <w:rsid w:val="00A66748"/>
    <w:rsid w:val="00A66E27"/>
    <w:rsid w:val="00A67268"/>
    <w:rsid w:val="00A672A1"/>
    <w:rsid w:val="00A6751D"/>
    <w:rsid w:val="00A67AF3"/>
    <w:rsid w:val="00A67B48"/>
    <w:rsid w:val="00A67CA7"/>
    <w:rsid w:val="00A67E65"/>
    <w:rsid w:val="00A703C9"/>
    <w:rsid w:val="00A7080E"/>
    <w:rsid w:val="00A70F13"/>
    <w:rsid w:val="00A71619"/>
    <w:rsid w:val="00A71B23"/>
    <w:rsid w:val="00A71F4F"/>
    <w:rsid w:val="00A72070"/>
    <w:rsid w:val="00A722BE"/>
    <w:rsid w:val="00A728D7"/>
    <w:rsid w:val="00A72B0A"/>
    <w:rsid w:val="00A72ED0"/>
    <w:rsid w:val="00A7312E"/>
    <w:rsid w:val="00A737ED"/>
    <w:rsid w:val="00A73C19"/>
    <w:rsid w:val="00A74A2B"/>
    <w:rsid w:val="00A74A44"/>
    <w:rsid w:val="00A74AA7"/>
    <w:rsid w:val="00A752D0"/>
    <w:rsid w:val="00A75512"/>
    <w:rsid w:val="00A75561"/>
    <w:rsid w:val="00A7567D"/>
    <w:rsid w:val="00A75CA8"/>
    <w:rsid w:val="00A75CB6"/>
    <w:rsid w:val="00A76744"/>
    <w:rsid w:val="00A76B18"/>
    <w:rsid w:val="00A76D70"/>
    <w:rsid w:val="00A7752F"/>
    <w:rsid w:val="00A77630"/>
    <w:rsid w:val="00A800B1"/>
    <w:rsid w:val="00A8186D"/>
    <w:rsid w:val="00A818C3"/>
    <w:rsid w:val="00A819D3"/>
    <w:rsid w:val="00A81B25"/>
    <w:rsid w:val="00A81DC8"/>
    <w:rsid w:val="00A81E93"/>
    <w:rsid w:val="00A81EBC"/>
    <w:rsid w:val="00A82379"/>
    <w:rsid w:val="00A82D33"/>
    <w:rsid w:val="00A8334A"/>
    <w:rsid w:val="00A8345E"/>
    <w:rsid w:val="00A83494"/>
    <w:rsid w:val="00A8377A"/>
    <w:rsid w:val="00A849E7"/>
    <w:rsid w:val="00A84CA6"/>
    <w:rsid w:val="00A84DE7"/>
    <w:rsid w:val="00A85723"/>
    <w:rsid w:val="00A85881"/>
    <w:rsid w:val="00A85C1B"/>
    <w:rsid w:val="00A85C35"/>
    <w:rsid w:val="00A86670"/>
    <w:rsid w:val="00A868A8"/>
    <w:rsid w:val="00A86C2D"/>
    <w:rsid w:val="00A87510"/>
    <w:rsid w:val="00A87B23"/>
    <w:rsid w:val="00A87CFB"/>
    <w:rsid w:val="00A90B6E"/>
    <w:rsid w:val="00A90E60"/>
    <w:rsid w:val="00A90FE3"/>
    <w:rsid w:val="00A910E6"/>
    <w:rsid w:val="00A91E3B"/>
    <w:rsid w:val="00A91E78"/>
    <w:rsid w:val="00A91FE0"/>
    <w:rsid w:val="00A92061"/>
    <w:rsid w:val="00A925F1"/>
    <w:rsid w:val="00A93284"/>
    <w:rsid w:val="00A93467"/>
    <w:rsid w:val="00A93752"/>
    <w:rsid w:val="00A940C2"/>
    <w:rsid w:val="00A94249"/>
    <w:rsid w:val="00A94786"/>
    <w:rsid w:val="00A94949"/>
    <w:rsid w:val="00A9496D"/>
    <w:rsid w:val="00A94AF6"/>
    <w:rsid w:val="00A94BC9"/>
    <w:rsid w:val="00A94C87"/>
    <w:rsid w:val="00A94F9E"/>
    <w:rsid w:val="00A94FD6"/>
    <w:rsid w:val="00A959BC"/>
    <w:rsid w:val="00A961BE"/>
    <w:rsid w:val="00A962AE"/>
    <w:rsid w:val="00A962FC"/>
    <w:rsid w:val="00A96621"/>
    <w:rsid w:val="00A96945"/>
    <w:rsid w:val="00A969DC"/>
    <w:rsid w:val="00AA01AD"/>
    <w:rsid w:val="00AA06E3"/>
    <w:rsid w:val="00AA1194"/>
    <w:rsid w:val="00AA163D"/>
    <w:rsid w:val="00AA1914"/>
    <w:rsid w:val="00AA1949"/>
    <w:rsid w:val="00AA1BD6"/>
    <w:rsid w:val="00AA3286"/>
    <w:rsid w:val="00AA3480"/>
    <w:rsid w:val="00AA3C60"/>
    <w:rsid w:val="00AA3C63"/>
    <w:rsid w:val="00AA3F80"/>
    <w:rsid w:val="00AA4373"/>
    <w:rsid w:val="00AA49B1"/>
    <w:rsid w:val="00AA4F62"/>
    <w:rsid w:val="00AA5D85"/>
    <w:rsid w:val="00AA6D10"/>
    <w:rsid w:val="00AA6ED5"/>
    <w:rsid w:val="00AA7101"/>
    <w:rsid w:val="00AB00AE"/>
    <w:rsid w:val="00AB0174"/>
    <w:rsid w:val="00AB08AF"/>
    <w:rsid w:val="00AB122A"/>
    <w:rsid w:val="00AB1FF8"/>
    <w:rsid w:val="00AB234E"/>
    <w:rsid w:val="00AB2B61"/>
    <w:rsid w:val="00AB2FF4"/>
    <w:rsid w:val="00AB31E3"/>
    <w:rsid w:val="00AB34FF"/>
    <w:rsid w:val="00AB39E3"/>
    <w:rsid w:val="00AB4216"/>
    <w:rsid w:val="00AB4976"/>
    <w:rsid w:val="00AB5BF1"/>
    <w:rsid w:val="00AB5C9C"/>
    <w:rsid w:val="00AB5F0C"/>
    <w:rsid w:val="00AB5F57"/>
    <w:rsid w:val="00AB5F9C"/>
    <w:rsid w:val="00AB614E"/>
    <w:rsid w:val="00AB6161"/>
    <w:rsid w:val="00AB623A"/>
    <w:rsid w:val="00AB6C59"/>
    <w:rsid w:val="00AC037A"/>
    <w:rsid w:val="00AC04B4"/>
    <w:rsid w:val="00AC0805"/>
    <w:rsid w:val="00AC13CB"/>
    <w:rsid w:val="00AC15BA"/>
    <w:rsid w:val="00AC1AD6"/>
    <w:rsid w:val="00AC2540"/>
    <w:rsid w:val="00AC278C"/>
    <w:rsid w:val="00AC3890"/>
    <w:rsid w:val="00AC38D4"/>
    <w:rsid w:val="00AC3BEE"/>
    <w:rsid w:val="00AC3C47"/>
    <w:rsid w:val="00AC3DA9"/>
    <w:rsid w:val="00AC4233"/>
    <w:rsid w:val="00AC426E"/>
    <w:rsid w:val="00AC435D"/>
    <w:rsid w:val="00AC4453"/>
    <w:rsid w:val="00AC4874"/>
    <w:rsid w:val="00AC4D6B"/>
    <w:rsid w:val="00AC5163"/>
    <w:rsid w:val="00AC55B2"/>
    <w:rsid w:val="00AC6172"/>
    <w:rsid w:val="00AC64C3"/>
    <w:rsid w:val="00AC6AA3"/>
    <w:rsid w:val="00AC6ABA"/>
    <w:rsid w:val="00AC70E8"/>
    <w:rsid w:val="00AC7599"/>
    <w:rsid w:val="00AC7866"/>
    <w:rsid w:val="00AD0618"/>
    <w:rsid w:val="00AD0F87"/>
    <w:rsid w:val="00AD185F"/>
    <w:rsid w:val="00AD1A4D"/>
    <w:rsid w:val="00AD1AD8"/>
    <w:rsid w:val="00AD2A54"/>
    <w:rsid w:val="00AD302A"/>
    <w:rsid w:val="00AD3CD1"/>
    <w:rsid w:val="00AD3CDA"/>
    <w:rsid w:val="00AD3D0F"/>
    <w:rsid w:val="00AD3DB9"/>
    <w:rsid w:val="00AD3E95"/>
    <w:rsid w:val="00AD4B94"/>
    <w:rsid w:val="00AD4C41"/>
    <w:rsid w:val="00AD4E6A"/>
    <w:rsid w:val="00AD4F6A"/>
    <w:rsid w:val="00AD50C2"/>
    <w:rsid w:val="00AD56B7"/>
    <w:rsid w:val="00AD5DB6"/>
    <w:rsid w:val="00AD6450"/>
    <w:rsid w:val="00AD64DF"/>
    <w:rsid w:val="00AD6512"/>
    <w:rsid w:val="00AD71BB"/>
    <w:rsid w:val="00AD74FA"/>
    <w:rsid w:val="00AD7609"/>
    <w:rsid w:val="00AD7B41"/>
    <w:rsid w:val="00AD7D43"/>
    <w:rsid w:val="00AD7FBB"/>
    <w:rsid w:val="00AE091B"/>
    <w:rsid w:val="00AE0A46"/>
    <w:rsid w:val="00AE0EE3"/>
    <w:rsid w:val="00AE0F9D"/>
    <w:rsid w:val="00AE1025"/>
    <w:rsid w:val="00AE1505"/>
    <w:rsid w:val="00AE16BA"/>
    <w:rsid w:val="00AE2557"/>
    <w:rsid w:val="00AE2AC5"/>
    <w:rsid w:val="00AE3448"/>
    <w:rsid w:val="00AE350A"/>
    <w:rsid w:val="00AE3735"/>
    <w:rsid w:val="00AE3F03"/>
    <w:rsid w:val="00AE3F04"/>
    <w:rsid w:val="00AE49DB"/>
    <w:rsid w:val="00AE4ECF"/>
    <w:rsid w:val="00AE5DA0"/>
    <w:rsid w:val="00AE5E61"/>
    <w:rsid w:val="00AE602B"/>
    <w:rsid w:val="00AE607A"/>
    <w:rsid w:val="00AE64F0"/>
    <w:rsid w:val="00AE66FA"/>
    <w:rsid w:val="00AE6957"/>
    <w:rsid w:val="00AE6F3A"/>
    <w:rsid w:val="00AE7103"/>
    <w:rsid w:val="00AE7DF1"/>
    <w:rsid w:val="00AF0942"/>
    <w:rsid w:val="00AF0BFC"/>
    <w:rsid w:val="00AF13A0"/>
    <w:rsid w:val="00AF1745"/>
    <w:rsid w:val="00AF192E"/>
    <w:rsid w:val="00AF22CD"/>
    <w:rsid w:val="00AF23C8"/>
    <w:rsid w:val="00AF269B"/>
    <w:rsid w:val="00AF2AE2"/>
    <w:rsid w:val="00AF2BBB"/>
    <w:rsid w:val="00AF2E72"/>
    <w:rsid w:val="00AF38EF"/>
    <w:rsid w:val="00AF3BB9"/>
    <w:rsid w:val="00AF3C94"/>
    <w:rsid w:val="00AF3E40"/>
    <w:rsid w:val="00AF41FB"/>
    <w:rsid w:val="00AF43D7"/>
    <w:rsid w:val="00AF48F8"/>
    <w:rsid w:val="00AF5A0D"/>
    <w:rsid w:val="00AF5E5A"/>
    <w:rsid w:val="00AF65C3"/>
    <w:rsid w:val="00AF65D4"/>
    <w:rsid w:val="00AF68DD"/>
    <w:rsid w:val="00AF6F08"/>
    <w:rsid w:val="00AF7B47"/>
    <w:rsid w:val="00B001A3"/>
    <w:rsid w:val="00B00438"/>
    <w:rsid w:val="00B00566"/>
    <w:rsid w:val="00B016D4"/>
    <w:rsid w:val="00B01962"/>
    <w:rsid w:val="00B02AEC"/>
    <w:rsid w:val="00B03167"/>
    <w:rsid w:val="00B03602"/>
    <w:rsid w:val="00B0377E"/>
    <w:rsid w:val="00B03911"/>
    <w:rsid w:val="00B04223"/>
    <w:rsid w:val="00B04B71"/>
    <w:rsid w:val="00B04D5E"/>
    <w:rsid w:val="00B04F64"/>
    <w:rsid w:val="00B04FAD"/>
    <w:rsid w:val="00B0501B"/>
    <w:rsid w:val="00B053F9"/>
    <w:rsid w:val="00B05F6A"/>
    <w:rsid w:val="00B05FD1"/>
    <w:rsid w:val="00B067C6"/>
    <w:rsid w:val="00B069A5"/>
    <w:rsid w:val="00B069EF"/>
    <w:rsid w:val="00B06B08"/>
    <w:rsid w:val="00B06BE4"/>
    <w:rsid w:val="00B07980"/>
    <w:rsid w:val="00B07BA9"/>
    <w:rsid w:val="00B07EFC"/>
    <w:rsid w:val="00B10055"/>
    <w:rsid w:val="00B102ED"/>
    <w:rsid w:val="00B1084D"/>
    <w:rsid w:val="00B11083"/>
    <w:rsid w:val="00B1141E"/>
    <w:rsid w:val="00B12059"/>
    <w:rsid w:val="00B12104"/>
    <w:rsid w:val="00B12450"/>
    <w:rsid w:val="00B125C8"/>
    <w:rsid w:val="00B1278B"/>
    <w:rsid w:val="00B12BB1"/>
    <w:rsid w:val="00B12C90"/>
    <w:rsid w:val="00B12D78"/>
    <w:rsid w:val="00B13BBF"/>
    <w:rsid w:val="00B142B0"/>
    <w:rsid w:val="00B1463D"/>
    <w:rsid w:val="00B14727"/>
    <w:rsid w:val="00B1475E"/>
    <w:rsid w:val="00B1486A"/>
    <w:rsid w:val="00B14C54"/>
    <w:rsid w:val="00B14F42"/>
    <w:rsid w:val="00B1529F"/>
    <w:rsid w:val="00B160EA"/>
    <w:rsid w:val="00B16200"/>
    <w:rsid w:val="00B16879"/>
    <w:rsid w:val="00B17295"/>
    <w:rsid w:val="00B179DC"/>
    <w:rsid w:val="00B20525"/>
    <w:rsid w:val="00B2108A"/>
    <w:rsid w:val="00B215F5"/>
    <w:rsid w:val="00B217FC"/>
    <w:rsid w:val="00B21962"/>
    <w:rsid w:val="00B21E1A"/>
    <w:rsid w:val="00B22514"/>
    <w:rsid w:val="00B22612"/>
    <w:rsid w:val="00B22D2F"/>
    <w:rsid w:val="00B2369C"/>
    <w:rsid w:val="00B250A7"/>
    <w:rsid w:val="00B25402"/>
    <w:rsid w:val="00B25861"/>
    <w:rsid w:val="00B25AE5"/>
    <w:rsid w:val="00B25DD4"/>
    <w:rsid w:val="00B25DF2"/>
    <w:rsid w:val="00B26294"/>
    <w:rsid w:val="00B266AE"/>
    <w:rsid w:val="00B268D6"/>
    <w:rsid w:val="00B26E4B"/>
    <w:rsid w:val="00B277EC"/>
    <w:rsid w:val="00B27A54"/>
    <w:rsid w:val="00B27CFB"/>
    <w:rsid w:val="00B30783"/>
    <w:rsid w:val="00B31251"/>
    <w:rsid w:val="00B314E3"/>
    <w:rsid w:val="00B31EE5"/>
    <w:rsid w:val="00B31EF0"/>
    <w:rsid w:val="00B328EA"/>
    <w:rsid w:val="00B32B92"/>
    <w:rsid w:val="00B32DD0"/>
    <w:rsid w:val="00B3348F"/>
    <w:rsid w:val="00B33EFD"/>
    <w:rsid w:val="00B34FD3"/>
    <w:rsid w:val="00B36132"/>
    <w:rsid w:val="00B36230"/>
    <w:rsid w:val="00B364BC"/>
    <w:rsid w:val="00B36BC7"/>
    <w:rsid w:val="00B36CF2"/>
    <w:rsid w:val="00B37273"/>
    <w:rsid w:val="00B37924"/>
    <w:rsid w:val="00B40632"/>
    <w:rsid w:val="00B40BC6"/>
    <w:rsid w:val="00B40CA1"/>
    <w:rsid w:val="00B4111A"/>
    <w:rsid w:val="00B4114F"/>
    <w:rsid w:val="00B41CAB"/>
    <w:rsid w:val="00B41D33"/>
    <w:rsid w:val="00B41F0F"/>
    <w:rsid w:val="00B42482"/>
    <w:rsid w:val="00B42560"/>
    <w:rsid w:val="00B42620"/>
    <w:rsid w:val="00B42730"/>
    <w:rsid w:val="00B42E0E"/>
    <w:rsid w:val="00B42E5F"/>
    <w:rsid w:val="00B4334A"/>
    <w:rsid w:val="00B4349A"/>
    <w:rsid w:val="00B4354E"/>
    <w:rsid w:val="00B43608"/>
    <w:rsid w:val="00B43620"/>
    <w:rsid w:val="00B43650"/>
    <w:rsid w:val="00B43667"/>
    <w:rsid w:val="00B43CFD"/>
    <w:rsid w:val="00B43D8F"/>
    <w:rsid w:val="00B43F29"/>
    <w:rsid w:val="00B43FC2"/>
    <w:rsid w:val="00B4426B"/>
    <w:rsid w:val="00B446D5"/>
    <w:rsid w:val="00B44F2A"/>
    <w:rsid w:val="00B44FCB"/>
    <w:rsid w:val="00B455AA"/>
    <w:rsid w:val="00B455B6"/>
    <w:rsid w:val="00B45778"/>
    <w:rsid w:val="00B457A1"/>
    <w:rsid w:val="00B460B0"/>
    <w:rsid w:val="00B4630F"/>
    <w:rsid w:val="00B4647B"/>
    <w:rsid w:val="00B464B1"/>
    <w:rsid w:val="00B46589"/>
    <w:rsid w:val="00B467E4"/>
    <w:rsid w:val="00B47A4A"/>
    <w:rsid w:val="00B47A4D"/>
    <w:rsid w:val="00B47B99"/>
    <w:rsid w:val="00B5040E"/>
    <w:rsid w:val="00B50668"/>
    <w:rsid w:val="00B506F2"/>
    <w:rsid w:val="00B510E3"/>
    <w:rsid w:val="00B51A14"/>
    <w:rsid w:val="00B521AC"/>
    <w:rsid w:val="00B521F8"/>
    <w:rsid w:val="00B52702"/>
    <w:rsid w:val="00B52B4F"/>
    <w:rsid w:val="00B5321D"/>
    <w:rsid w:val="00B53524"/>
    <w:rsid w:val="00B5368B"/>
    <w:rsid w:val="00B53821"/>
    <w:rsid w:val="00B54205"/>
    <w:rsid w:val="00B54673"/>
    <w:rsid w:val="00B54764"/>
    <w:rsid w:val="00B5498D"/>
    <w:rsid w:val="00B54CE4"/>
    <w:rsid w:val="00B5501D"/>
    <w:rsid w:val="00B55040"/>
    <w:rsid w:val="00B5513E"/>
    <w:rsid w:val="00B5514C"/>
    <w:rsid w:val="00B55304"/>
    <w:rsid w:val="00B553A8"/>
    <w:rsid w:val="00B56059"/>
    <w:rsid w:val="00B57298"/>
    <w:rsid w:val="00B57526"/>
    <w:rsid w:val="00B5782A"/>
    <w:rsid w:val="00B579B8"/>
    <w:rsid w:val="00B60C0C"/>
    <w:rsid w:val="00B60FDC"/>
    <w:rsid w:val="00B6151E"/>
    <w:rsid w:val="00B6158F"/>
    <w:rsid w:val="00B617D6"/>
    <w:rsid w:val="00B61B57"/>
    <w:rsid w:val="00B621D3"/>
    <w:rsid w:val="00B62227"/>
    <w:rsid w:val="00B62484"/>
    <w:rsid w:val="00B62712"/>
    <w:rsid w:val="00B62912"/>
    <w:rsid w:val="00B62C66"/>
    <w:rsid w:val="00B630A4"/>
    <w:rsid w:val="00B634D9"/>
    <w:rsid w:val="00B63861"/>
    <w:rsid w:val="00B63A50"/>
    <w:rsid w:val="00B63D45"/>
    <w:rsid w:val="00B63D5A"/>
    <w:rsid w:val="00B642F5"/>
    <w:rsid w:val="00B64718"/>
    <w:rsid w:val="00B647E0"/>
    <w:rsid w:val="00B648FA"/>
    <w:rsid w:val="00B64962"/>
    <w:rsid w:val="00B64D7A"/>
    <w:rsid w:val="00B64F6C"/>
    <w:rsid w:val="00B652A2"/>
    <w:rsid w:val="00B6542C"/>
    <w:rsid w:val="00B65476"/>
    <w:rsid w:val="00B65F2B"/>
    <w:rsid w:val="00B6616C"/>
    <w:rsid w:val="00B66569"/>
    <w:rsid w:val="00B665DE"/>
    <w:rsid w:val="00B665DF"/>
    <w:rsid w:val="00B6699D"/>
    <w:rsid w:val="00B67668"/>
    <w:rsid w:val="00B676EC"/>
    <w:rsid w:val="00B677ED"/>
    <w:rsid w:val="00B67D44"/>
    <w:rsid w:val="00B67F3C"/>
    <w:rsid w:val="00B7006A"/>
    <w:rsid w:val="00B7016C"/>
    <w:rsid w:val="00B701D5"/>
    <w:rsid w:val="00B70362"/>
    <w:rsid w:val="00B7039B"/>
    <w:rsid w:val="00B70658"/>
    <w:rsid w:val="00B71472"/>
    <w:rsid w:val="00B71511"/>
    <w:rsid w:val="00B71659"/>
    <w:rsid w:val="00B72284"/>
    <w:rsid w:val="00B722F1"/>
    <w:rsid w:val="00B72755"/>
    <w:rsid w:val="00B729BF"/>
    <w:rsid w:val="00B7306A"/>
    <w:rsid w:val="00B735EF"/>
    <w:rsid w:val="00B738E1"/>
    <w:rsid w:val="00B74D1E"/>
    <w:rsid w:val="00B75004"/>
    <w:rsid w:val="00B753D1"/>
    <w:rsid w:val="00B755FB"/>
    <w:rsid w:val="00B7585F"/>
    <w:rsid w:val="00B763B8"/>
    <w:rsid w:val="00B7685B"/>
    <w:rsid w:val="00B76A18"/>
    <w:rsid w:val="00B76F91"/>
    <w:rsid w:val="00B7734B"/>
    <w:rsid w:val="00B779A4"/>
    <w:rsid w:val="00B801A3"/>
    <w:rsid w:val="00B80538"/>
    <w:rsid w:val="00B80546"/>
    <w:rsid w:val="00B80574"/>
    <w:rsid w:val="00B8169C"/>
    <w:rsid w:val="00B8199F"/>
    <w:rsid w:val="00B81B53"/>
    <w:rsid w:val="00B82CBA"/>
    <w:rsid w:val="00B8317A"/>
    <w:rsid w:val="00B831C3"/>
    <w:rsid w:val="00B83AA8"/>
    <w:rsid w:val="00B83BFD"/>
    <w:rsid w:val="00B83D0A"/>
    <w:rsid w:val="00B83DB7"/>
    <w:rsid w:val="00B844AD"/>
    <w:rsid w:val="00B846AF"/>
    <w:rsid w:val="00B84C6C"/>
    <w:rsid w:val="00B84ED4"/>
    <w:rsid w:val="00B850F2"/>
    <w:rsid w:val="00B85685"/>
    <w:rsid w:val="00B85D62"/>
    <w:rsid w:val="00B863FD"/>
    <w:rsid w:val="00B86B6C"/>
    <w:rsid w:val="00B86DB7"/>
    <w:rsid w:val="00B87481"/>
    <w:rsid w:val="00B87887"/>
    <w:rsid w:val="00B9053F"/>
    <w:rsid w:val="00B910FE"/>
    <w:rsid w:val="00B9125C"/>
    <w:rsid w:val="00B91306"/>
    <w:rsid w:val="00B917AE"/>
    <w:rsid w:val="00B919F8"/>
    <w:rsid w:val="00B91D0F"/>
    <w:rsid w:val="00B92687"/>
    <w:rsid w:val="00B92A12"/>
    <w:rsid w:val="00B92DF2"/>
    <w:rsid w:val="00B92E11"/>
    <w:rsid w:val="00B9348E"/>
    <w:rsid w:val="00B93511"/>
    <w:rsid w:val="00B93960"/>
    <w:rsid w:val="00B93A28"/>
    <w:rsid w:val="00B93A48"/>
    <w:rsid w:val="00B94248"/>
    <w:rsid w:val="00B942A1"/>
    <w:rsid w:val="00B94327"/>
    <w:rsid w:val="00B94606"/>
    <w:rsid w:val="00B946A8"/>
    <w:rsid w:val="00B9488B"/>
    <w:rsid w:val="00B94B4F"/>
    <w:rsid w:val="00B94E4C"/>
    <w:rsid w:val="00B9531B"/>
    <w:rsid w:val="00B957E9"/>
    <w:rsid w:val="00B95C58"/>
    <w:rsid w:val="00B96082"/>
    <w:rsid w:val="00B96432"/>
    <w:rsid w:val="00B9677E"/>
    <w:rsid w:val="00B96B17"/>
    <w:rsid w:val="00B96B8E"/>
    <w:rsid w:val="00B96E8B"/>
    <w:rsid w:val="00B96FB7"/>
    <w:rsid w:val="00B9711E"/>
    <w:rsid w:val="00B97214"/>
    <w:rsid w:val="00B973F1"/>
    <w:rsid w:val="00B976F6"/>
    <w:rsid w:val="00B97DF7"/>
    <w:rsid w:val="00BA01C3"/>
    <w:rsid w:val="00BA0210"/>
    <w:rsid w:val="00BA039A"/>
    <w:rsid w:val="00BA0EEB"/>
    <w:rsid w:val="00BA19DC"/>
    <w:rsid w:val="00BA1DFC"/>
    <w:rsid w:val="00BA235C"/>
    <w:rsid w:val="00BA2AC9"/>
    <w:rsid w:val="00BA2D8B"/>
    <w:rsid w:val="00BA2DAF"/>
    <w:rsid w:val="00BA339C"/>
    <w:rsid w:val="00BA3786"/>
    <w:rsid w:val="00BA39C4"/>
    <w:rsid w:val="00BA39D6"/>
    <w:rsid w:val="00BA39E7"/>
    <w:rsid w:val="00BA4501"/>
    <w:rsid w:val="00BA5299"/>
    <w:rsid w:val="00BA5A02"/>
    <w:rsid w:val="00BA5AA3"/>
    <w:rsid w:val="00BA5F41"/>
    <w:rsid w:val="00BA6242"/>
    <w:rsid w:val="00BA6760"/>
    <w:rsid w:val="00BA6A4D"/>
    <w:rsid w:val="00BA6D6C"/>
    <w:rsid w:val="00BA70E2"/>
    <w:rsid w:val="00BA7385"/>
    <w:rsid w:val="00BA74E8"/>
    <w:rsid w:val="00BA75A4"/>
    <w:rsid w:val="00BB0192"/>
    <w:rsid w:val="00BB07BE"/>
    <w:rsid w:val="00BB095C"/>
    <w:rsid w:val="00BB097F"/>
    <w:rsid w:val="00BB0AF3"/>
    <w:rsid w:val="00BB14F9"/>
    <w:rsid w:val="00BB16F1"/>
    <w:rsid w:val="00BB187C"/>
    <w:rsid w:val="00BB2563"/>
    <w:rsid w:val="00BB296B"/>
    <w:rsid w:val="00BB3622"/>
    <w:rsid w:val="00BB3EB9"/>
    <w:rsid w:val="00BB3FD2"/>
    <w:rsid w:val="00BB4CD1"/>
    <w:rsid w:val="00BB4F6F"/>
    <w:rsid w:val="00BB50C7"/>
    <w:rsid w:val="00BB5383"/>
    <w:rsid w:val="00BB5C1F"/>
    <w:rsid w:val="00BB5C46"/>
    <w:rsid w:val="00BB6143"/>
    <w:rsid w:val="00BB6484"/>
    <w:rsid w:val="00BB682C"/>
    <w:rsid w:val="00BB6AD4"/>
    <w:rsid w:val="00BB6F13"/>
    <w:rsid w:val="00BB701C"/>
    <w:rsid w:val="00BB7023"/>
    <w:rsid w:val="00BB7CA9"/>
    <w:rsid w:val="00BB7ED9"/>
    <w:rsid w:val="00BC0209"/>
    <w:rsid w:val="00BC0504"/>
    <w:rsid w:val="00BC0617"/>
    <w:rsid w:val="00BC0783"/>
    <w:rsid w:val="00BC08AC"/>
    <w:rsid w:val="00BC099A"/>
    <w:rsid w:val="00BC0DDA"/>
    <w:rsid w:val="00BC0FFA"/>
    <w:rsid w:val="00BC14B0"/>
    <w:rsid w:val="00BC1661"/>
    <w:rsid w:val="00BC1B26"/>
    <w:rsid w:val="00BC236B"/>
    <w:rsid w:val="00BC2AA2"/>
    <w:rsid w:val="00BC2BB4"/>
    <w:rsid w:val="00BC2BC5"/>
    <w:rsid w:val="00BC2E57"/>
    <w:rsid w:val="00BC2ED3"/>
    <w:rsid w:val="00BC3AE5"/>
    <w:rsid w:val="00BC4D63"/>
    <w:rsid w:val="00BC5244"/>
    <w:rsid w:val="00BC5967"/>
    <w:rsid w:val="00BC59F9"/>
    <w:rsid w:val="00BC5AA4"/>
    <w:rsid w:val="00BC60EC"/>
    <w:rsid w:val="00BC65D9"/>
    <w:rsid w:val="00BC6609"/>
    <w:rsid w:val="00BC69C0"/>
    <w:rsid w:val="00BC6B77"/>
    <w:rsid w:val="00BC6E40"/>
    <w:rsid w:val="00BC72BE"/>
    <w:rsid w:val="00BC7623"/>
    <w:rsid w:val="00BC77A2"/>
    <w:rsid w:val="00BC7C52"/>
    <w:rsid w:val="00BD0AA4"/>
    <w:rsid w:val="00BD0ABE"/>
    <w:rsid w:val="00BD0B57"/>
    <w:rsid w:val="00BD0CF6"/>
    <w:rsid w:val="00BD10A0"/>
    <w:rsid w:val="00BD1257"/>
    <w:rsid w:val="00BD14C5"/>
    <w:rsid w:val="00BD196A"/>
    <w:rsid w:val="00BD2033"/>
    <w:rsid w:val="00BD2081"/>
    <w:rsid w:val="00BD20E5"/>
    <w:rsid w:val="00BD2307"/>
    <w:rsid w:val="00BD2311"/>
    <w:rsid w:val="00BD249F"/>
    <w:rsid w:val="00BD2660"/>
    <w:rsid w:val="00BD372D"/>
    <w:rsid w:val="00BD4137"/>
    <w:rsid w:val="00BD48A4"/>
    <w:rsid w:val="00BD4D3E"/>
    <w:rsid w:val="00BD54DF"/>
    <w:rsid w:val="00BD57F4"/>
    <w:rsid w:val="00BD5A8B"/>
    <w:rsid w:val="00BD5C61"/>
    <w:rsid w:val="00BD5CA4"/>
    <w:rsid w:val="00BD60AB"/>
    <w:rsid w:val="00BD6262"/>
    <w:rsid w:val="00BD6596"/>
    <w:rsid w:val="00BD66EC"/>
    <w:rsid w:val="00BD6922"/>
    <w:rsid w:val="00BD72CD"/>
    <w:rsid w:val="00BD7A92"/>
    <w:rsid w:val="00BD7B89"/>
    <w:rsid w:val="00BD7F55"/>
    <w:rsid w:val="00BE04F0"/>
    <w:rsid w:val="00BE0729"/>
    <w:rsid w:val="00BE07CD"/>
    <w:rsid w:val="00BE0A3C"/>
    <w:rsid w:val="00BE0E10"/>
    <w:rsid w:val="00BE0E3A"/>
    <w:rsid w:val="00BE1574"/>
    <w:rsid w:val="00BE18EC"/>
    <w:rsid w:val="00BE1A50"/>
    <w:rsid w:val="00BE207B"/>
    <w:rsid w:val="00BE2382"/>
    <w:rsid w:val="00BE299A"/>
    <w:rsid w:val="00BE2ECE"/>
    <w:rsid w:val="00BE37A6"/>
    <w:rsid w:val="00BE3D72"/>
    <w:rsid w:val="00BE3F0C"/>
    <w:rsid w:val="00BE3F10"/>
    <w:rsid w:val="00BE400A"/>
    <w:rsid w:val="00BE41D9"/>
    <w:rsid w:val="00BE42E4"/>
    <w:rsid w:val="00BE444A"/>
    <w:rsid w:val="00BE4633"/>
    <w:rsid w:val="00BE4C48"/>
    <w:rsid w:val="00BE572D"/>
    <w:rsid w:val="00BE593A"/>
    <w:rsid w:val="00BE5C92"/>
    <w:rsid w:val="00BE5EDE"/>
    <w:rsid w:val="00BE5FFF"/>
    <w:rsid w:val="00BE61C1"/>
    <w:rsid w:val="00BE64AF"/>
    <w:rsid w:val="00BE660F"/>
    <w:rsid w:val="00BE6717"/>
    <w:rsid w:val="00BE6A20"/>
    <w:rsid w:val="00BE70C4"/>
    <w:rsid w:val="00BE763D"/>
    <w:rsid w:val="00BE7732"/>
    <w:rsid w:val="00BE7ABC"/>
    <w:rsid w:val="00BE7DCC"/>
    <w:rsid w:val="00BF0381"/>
    <w:rsid w:val="00BF05BD"/>
    <w:rsid w:val="00BF0B12"/>
    <w:rsid w:val="00BF0C39"/>
    <w:rsid w:val="00BF0F50"/>
    <w:rsid w:val="00BF1259"/>
    <w:rsid w:val="00BF1644"/>
    <w:rsid w:val="00BF18A9"/>
    <w:rsid w:val="00BF1CA8"/>
    <w:rsid w:val="00BF23F7"/>
    <w:rsid w:val="00BF2C0B"/>
    <w:rsid w:val="00BF35E7"/>
    <w:rsid w:val="00BF39B0"/>
    <w:rsid w:val="00BF40B2"/>
    <w:rsid w:val="00BF4564"/>
    <w:rsid w:val="00BF4901"/>
    <w:rsid w:val="00BF53BC"/>
    <w:rsid w:val="00BF5C66"/>
    <w:rsid w:val="00BF5EEB"/>
    <w:rsid w:val="00BF628E"/>
    <w:rsid w:val="00BF63E5"/>
    <w:rsid w:val="00BF698F"/>
    <w:rsid w:val="00BF6A5E"/>
    <w:rsid w:val="00BF6E7B"/>
    <w:rsid w:val="00BF7A9B"/>
    <w:rsid w:val="00BF7BEE"/>
    <w:rsid w:val="00C00072"/>
    <w:rsid w:val="00C002A8"/>
    <w:rsid w:val="00C00424"/>
    <w:rsid w:val="00C00454"/>
    <w:rsid w:val="00C00461"/>
    <w:rsid w:val="00C00641"/>
    <w:rsid w:val="00C00D2A"/>
    <w:rsid w:val="00C01021"/>
    <w:rsid w:val="00C013A8"/>
    <w:rsid w:val="00C0141F"/>
    <w:rsid w:val="00C017BF"/>
    <w:rsid w:val="00C01DB8"/>
    <w:rsid w:val="00C025E7"/>
    <w:rsid w:val="00C02CAE"/>
    <w:rsid w:val="00C03B3B"/>
    <w:rsid w:val="00C0412D"/>
    <w:rsid w:val="00C04190"/>
    <w:rsid w:val="00C048AF"/>
    <w:rsid w:val="00C0495F"/>
    <w:rsid w:val="00C04CC9"/>
    <w:rsid w:val="00C04D9B"/>
    <w:rsid w:val="00C0502D"/>
    <w:rsid w:val="00C050E5"/>
    <w:rsid w:val="00C05225"/>
    <w:rsid w:val="00C05836"/>
    <w:rsid w:val="00C05FDC"/>
    <w:rsid w:val="00C061A6"/>
    <w:rsid w:val="00C077E0"/>
    <w:rsid w:val="00C07DC5"/>
    <w:rsid w:val="00C07DE6"/>
    <w:rsid w:val="00C10178"/>
    <w:rsid w:val="00C10A4C"/>
    <w:rsid w:val="00C1100E"/>
    <w:rsid w:val="00C11323"/>
    <w:rsid w:val="00C119D3"/>
    <w:rsid w:val="00C11A5E"/>
    <w:rsid w:val="00C120E4"/>
    <w:rsid w:val="00C12850"/>
    <w:rsid w:val="00C12D97"/>
    <w:rsid w:val="00C12DE0"/>
    <w:rsid w:val="00C1415D"/>
    <w:rsid w:val="00C149D6"/>
    <w:rsid w:val="00C14C1A"/>
    <w:rsid w:val="00C150E2"/>
    <w:rsid w:val="00C152FB"/>
    <w:rsid w:val="00C154B5"/>
    <w:rsid w:val="00C158B6"/>
    <w:rsid w:val="00C15EF8"/>
    <w:rsid w:val="00C161D0"/>
    <w:rsid w:val="00C163DF"/>
    <w:rsid w:val="00C16632"/>
    <w:rsid w:val="00C166CF"/>
    <w:rsid w:val="00C16D5D"/>
    <w:rsid w:val="00C17677"/>
    <w:rsid w:val="00C17872"/>
    <w:rsid w:val="00C17D7D"/>
    <w:rsid w:val="00C17F8D"/>
    <w:rsid w:val="00C17FE7"/>
    <w:rsid w:val="00C205AD"/>
    <w:rsid w:val="00C205E9"/>
    <w:rsid w:val="00C206A7"/>
    <w:rsid w:val="00C207BB"/>
    <w:rsid w:val="00C20ABB"/>
    <w:rsid w:val="00C20AE6"/>
    <w:rsid w:val="00C20E11"/>
    <w:rsid w:val="00C212FC"/>
    <w:rsid w:val="00C21A79"/>
    <w:rsid w:val="00C21AB7"/>
    <w:rsid w:val="00C222EC"/>
    <w:rsid w:val="00C22A2D"/>
    <w:rsid w:val="00C23347"/>
    <w:rsid w:val="00C23395"/>
    <w:rsid w:val="00C23F48"/>
    <w:rsid w:val="00C23F51"/>
    <w:rsid w:val="00C241CB"/>
    <w:rsid w:val="00C2420C"/>
    <w:rsid w:val="00C24EC9"/>
    <w:rsid w:val="00C25354"/>
    <w:rsid w:val="00C253F8"/>
    <w:rsid w:val="00C25440"/>
    <w:rsid w:val="00C2546D"/>
    <w:rsid w:val="00C256B3"/>
    <w:rsid w:val="00C256F3"/>
    <w:rsid w:val="00C258AF"/>
    <w:rsid w:val="00C262BD"/>
    <w:rsid w:val="00C265D3"/>
    <w:rsid w:val="00C26A31"/>
    <w:rsid w:val="00C273A0"/>
    <w:rsid w:val="00C274A6"/>
    <w:rsid w:val="00C2768C"/>
    <w:rsid w:val="00C27841"/>
    <w:rsid w:val="00C27AB6"/>
    <w:rsid w:val="00C300E9"/>
    <w:rsid w:val="00C30F5E"/>
    <w:rsid w:val="00C310C2"/>
    <w:rsid w:val="00C32674"/>
    <w:rsid w:val="00C32B7B"/>
    <w:rsid w:val="00C3300C"/>
    <w:rsid w:val="00C33433"/>
    <w:rsid w:val="00C3343E"/>
    <w:rsid w:val="00C334AA"/>
    <w:rsid w:val="00C34519"/>
    <w:rsid w:val="00C34C70"/>
    <w:rsid w:val="00C34FBB"/>
    <w:rsid w:val="00C35068"/>
    <w:rsid w:val="00C3515D"/>
    <w:rsid w:val="00C35364"/>
    <w:rsid w:val="00C35A24"/>
    <w:rsid w:val="00C35A92"/>
    <w:rsid w:val="00C35AFE"/>
    <w:rsid w:val="00C35E6D"/>
    <w:rsid w:val="00C36347"/>
    <w:rsid w:val="00C36525"/>
    <w:rsid w:val="00C36A94"/>
    <w:rsid w:val="00C37218"/>
    <w:rsid w:val="00C378D0"/>
    <w:rsid w:val="00C37AB7"/>
    <w:rsid w:val="00C37B40"/>
    <w:rsid w:val="00C37F9D"/>
    <w:rsid w:val="00C4094E"/>
    <w:rsid w:val="00C40A5E"/>
    <w:rsid w:val="00C40AAF"/>
    <w:rsid w:val="00C40D54"/>
    <w:rsid w:val="00C40EB3"/>
    <w:rsid w:val="00C40F12"/>
    <w:rsid w:val="00C4123E"/>
    <w:rsid w:val="00C4164F"/>
    <w:rsid w:val="00C41A62"/>
    <w:rsid w:val="00C41BD9"/>
    <w:rsid w:val="00C421B9"/>
    <w:rsid w:val="00C42C4E"/>
    <w:rsid w:val="00C43419"/>
    <w:rsid w:val="00C4344D"/>
    <w:rsid w:val="00C434FD"/>
    <w:rsid w:val="00C43F08"/>
    <w:rsid w:val="00C44386"/>
    <w:rsid w:val="00C44C71"/>
    <w:rsid w:val="00C44E1C"/>
    <w:rsid w:val="00C452E7"/>
    <w:rsid w:val="00C45A94"/>
    <w:rsid w:val="00C46361"/>
    <w:rsid w:val="00C4665D"/>
    <w:rsid w:val="00C4795E"/>
    <w:rsid w:val="00C47AC7"/>
    <w:rsid w:val="00C50EF2"/>
    <w:rsid w:val="00C5192E"/>
    <w:rsid w:val="00C51BB6"/>
    <w:rsid w:val="00C5214E"/>
    <w:rsid w:val="00C5244F"/>
    <w:rsid w:val="00C52558"/>
    <w:rsid w:val="00C52B2A"/>
    <w:rsid w:val="00C52DE6"/>
    <w:rsid w:val="00C52E05"/>
    <w:rsid w:val="00C52EE9"/>
    <w:rsid w:val="00C5308E"/>
    <w:rsid w:val="00C53383"/>
    <w:rsid w:val="00C5372B"/>
    <w:rsid w:val="00C53A00"/>
    <w:rsid w:val="00C53FBA"/>
    <w:rsid w:val="00C54247"/>
    <w:rsid w:val="00C54430"/>
    <w:rsid w:val="00C544F2"/>
    <w:rsid w:val="00C546C0"/>
    <w:rsid w:val="00C54740"/>
    <w:rsid w:val="00C54A1B"/>
    <w:rsid w:val="00C55286"/>
    <w:rsid w:val="00C5536B"/>
    <w:rsid w:val="00C553CF"/>
    <w:rsid w:val="00C55644"/>
    <w:rsid w:val="00C55BC2"/>
    <w:rsid w:val="00C56B10"/>
    <w:rsid w:val="00C56E29"/>
    <w:rsid w:val="00C6016B"/>
    <w:rsid w:val="00C60373"/>
    <w:rsid w:val="00C60AD7"/>
    <w:rsid w:val="00C60B0C"/>
    <w:rsid w:val="00C60C9B"/>
    <w:rsid w:val="00C61388"/>
    <w:rsid w:val="00C61D92"/>
    <w:rsid w:val="00C62384"/>
    <w:rsid w:val="00C62410"/>
    <w:rsid w:val="00C62586"/>
    <w:rsid w:val="00C632A1"/>
    <w:rsid w:val="00C632ED"/>
    <w:rsid w:val="00C633C1"/>
    <w:rsid w:val="00C63476"/>
    <w:rsid w:val="00C634A7"/>
    <w:rsid w:val="00C6351F"/>
    <w:rsid w:val="00C635D4"/>
    <w:rsid w:val="00C63631"/>
    <w:rsid w:val="00C638D7"/>
    <w:rsid w:val="00C63933"/>
    <w:rsid w:val="00C63BC0"/>
    <w:rsid w:val="00C64593"/>
    <w:rsid w:val="00C64720"/>
    <w:rsid w:val="00C64995"/>
    <w:rsid w:val="00C64DAC"/>
    <w:rsid w:val="00C6517F"/>
    <w:rsid w:val="00C65383"/>
    <w:rsid w:val="00C65801"/>
    <w:rsid w:val="00C66A56"/>
    <w:rsid w:val="00C66C8C"/>
    <w:rsid w:val="00C66EAD"/>
    <w:rsid w:val="00C66FA9"/>
    <w:rsid w:val="00C678D7"/>
    <w:rsid w:val="00C67BA6"/>
    <w:rsid w:val="00C7014A"/>
    <w:rsid w:val="00C70DA3"/>
    <w:rsid w:val="00C711BE"/>
    <w:rsid w:val="00C71513"/>
    <w:rsid w:val="00C718BC"/>
    <w:rsid w:val="00C71920"/>
    <w:rsid w:val="00C71A28"/>
    <w:rsid w:val="00C71AED"/>
    <w:rsid w:val="00C72A63"/>
    <w:rsid w:val="00C72B7C"/>
    <w:rsid w:val="00C72CA0"/>
    <w:rsid w:val="00C7328D"/>
    <w:rsid w:val="00C73607"/>
    <w:rsid w:val="00C73C66"/>
    <w:rsid w:val="00C73CBE"/>
    <w:rsid w:val="00C73E58"/>
    <w:rsid w:val="00C73F7C"/>
    <w:rsid w:val="00C7443B"/>
    <w:rsid w:val="00C74BFF"/>
    <w:rsid w:val="00C7505D"/>
    <w:rsid w:val="00C753E6"/>
    <w:rsid w:val="00C754E8"/>
    <w:rsid w:val="00C756CF"/>
    <w:rsid w:val="00C757FD"/>
    <w:rsid w:val="00C766D3"/>
    <w:rsid w:val="00C76790"/>
    <w:rsid w:val="00C7689E"/>
    <w:rsid w:val="00C7703F"/>
    <w:rsid w:val="00C771E9"/>
    <w:rsid w:val="00C771F9"/>
    <w:rsid w:val="00C777A9"/>
    <w:rsid w:val="00C77B94"/>
    <w:rsid w:val="00C77BAF"/>
    <w:rsid w:val="00C77D3B"/>
    <w:rsid w:val="00C809BB"/>
    <w:rsid w:val="00C80AE4"/>
    <w:rsid w:val="00C80BAA"/>
    <w:rsid w:val="00C80E61"/>
    <w:rsid w:val="00C8128C"/>
    <w:rsid w:val="00C819F2"/>
    <w:rsid w:val="00C81D42"/>
    <w:rsid w:val="00C820B2"/>
    <w:rsid w:val="00C8273F"/>
    <w:rsid w:val="00C8293D"/>
    <w:rsid w:val="00C82A0B"/>
    <w:rsid w:val="00C82B28"/>
    <w:rsid w:val="00C82EBB"/>
    <w:rsid w:val="00C83119"/>
    <w:rsid w:val="00C836DB"/>
    <w:rsid w:val="00C83869"/>
    <w:rsid w:val="00C8390C"/>
    <w:rsid w:val="00C83CC2"/>
    <w:rsid w:val="00C8443B"/>
    <w:rsid w:val="00C845EC"/>
    <w:rsid w:val="00C84CD2"/>
    <w:rsid w:val="00C85F07"/>
    <w:rsid w:val="00C86122"/>
    <w:rsid w:val="00C86488"/>
    <w:rsid w:val="00C8653A"/>
    <w:rsid w:val="00C86B20"/>
    <w:rsid w:val="00C86C72"/>
    <w:rsid w:val="00C86ECB"/>
    <w:rsid w:val="00C871C4"/>
    <w:rsid w:val="00C8756A"/>
    <w:rsid w:val="00C8776B"/>
    <w:rsid w:val="00C90671"/>
    <w:rsid w:val="00C90CAE"/>
    <w:rsid w:val="00C9157B"/>
    <w:rsid w:val="00C91585"/>
    <w:rsid w:val="00C915CD"/>
    <w:rsid w:val="00C915FD"/>
    <w:rsid w:val="00C917E2"/>
    <w:rsid w:val="00C9180F"/>
    <w:rsid w:val="00C91AD9"/>
    <w:rsid w:val="00C9228E"/>
    <w:rsid w:val="00C925C8"/>
    <w:rsid w:val="00C927AA"/>
    <w:rsid w:val="00C928D7"/>
    <w:rsid w:val="00C92D6E"/>
    <w:rsid w:val="00C933EE"/>
    <w:rsid w:val="00C93CF6"/>
    <w:rsid w:val="00C93E97"/>
    <w:rsid w:val="00C94DB8"/>
    <w:rsid w:val="00C958B2"/>
    <w:rsid w:val="00C9601B"/>
    <w:rsid w:val="00C9692D"/>
    <w:rsid w:val="00C96BD9"/>
    <w:rsid w:val="00C96C3C"/>
    <w:rsid w:val="00C9705B"/>
    <w:rsid w:val="00C97139"/>
    <w:rsid w:val="00C97315"/>
    <w:rsid w:val="00C97353"/>
    <w:rsid w:val="00C976C6"/>
    <w:rsid w:val="00C97A31"/>
    <w:rsid w:val="00C97AD2"/>
    <w:rsid w:val="00C97CD1"/>
    <w:rsid w:val="00C97CE3"/>
    <w:rsid w:val="00CA09A9"/>
    <w:rsid w:val="00CA10C3"/>
    <w:rsid w:val="00CA1130"/>
    <w:rsid w:val="00CA145D"/>
    <w:rsid w:val="00CA16BD"/>
    <w:rsid w:val="00CA1797"/>
    <w:rsid w:val="00CA1D2D"/>
    <w:rsid w:val="00CA25F9"/>
    <w:rsid w:val="00CA26A9"/>
    <w:rsid w:val="00CA2B5B"/>
    <w:rsid w:val="00CA2D7D"/>
    <w:rsid w:val="00CA3066"/>
    <w:rsid w:val="00CA3303"/>
    <w:rsid w:val="00CA3EF0"/>
    <w:rsid w:val="00CA415F"/>
    <w:rsid w:val="00CA417C"/>
    <w:rsid w:val="00CA43F3"/>
    <w:rsid w:val="00CA4634"/>
    <w:rsid w:val="00CA4B44"/>
    <w:rsid w:val="00CA4D28"/>
    <w:rsid w:val="00CA5332"/>
    <w:rsid w:val="00CA55D4"/>
    <w:rsid w:val="00CA5AAB"/>
    <w:rsid w:val="00CA5EA7"/>
    <w:rsid w:val="00CA5F9A"/>
    <w:rsid w:val="00CA635C"/>
    <w:rsid w:val="00CA723C"/>
    <w:rsid w:val="00CB026C"/>
    <w:rsid w:val="00CB0344"/>
    <w:rsid w:val="00CB0507"/>
    <w:rsid w:val="00CB11C7"/>
    <w:rsid w:val="00CB141C"/>
    <w:rsid w:val="00CB1D8A"/>
    <w:rsid w:val="00CB24EF"/>
    <w:rsid w:val="00CB26F8"/>
    <w:rsid w:val="00CB2888"/>
    <w:rsid w:val="00CB2C14"/>
    <w:rsid w:val="00CB2C53"/>
    <w:rsid w:val="00CB2ECD"/>
    <w:rsid w:val="00CB31D8"/>
    <w:rsid w:val="00CB39B1"/>
    <w:rsid w:val="00CB3E9E"/>
    <w:rsid w:val="00CB3F72"/>
    <w:rsid w:val="00CB41AF"/>
    <w:rsid w:val="00CB4AF9"/>
    <w:rsid w:val="00CB4E39"/>
    <w:rsid w:val="00CB5419"/>
    <w:rsid w:val="00CB5741"/>
    <w:rsid w:val="00CB5878"/>
    <w:rsid w:val="00CB5A49"/>
    <w:rsid w:val="00CB5B42"/>
    <w:rsid w:val="00CB5C15"/>
    <w:rsid w:val="00CB6602"/>
    <w:rsid w:val="00CB6710"/>
    <w:rsid w:val="00CB675C"/>
    <w:rsid w:val="00CB678B"/>
    <w:rsid w:val="00CB6C7F"/>
    <w:rsid w:val="00CB759D"/>
    <w:rsid w:val="00CC087E"/>
    <w:rsid w:val="00CC0B55"/>
    <w:rsid w:val="00CC0D63"/>
    <w:rsid w:val="00CC101C"/>
    <w:rsid w:val="00CC1228"/>
    <w:rsid w:val="00CC147F"/>
    <w:rsid w:val="00CC186A"/>
    <w:rsid w:val="00CC1A21"/>
    <w:rsid w:val="00CC2ABD"/>
    <w:rsid w:val="00CC2B53"/>
    <w:rsid w:val="00CC2BA6"/>
    <w:rsid w:val="00CC2F60"/>
    <w:rsid w:val="00CC3016"/>
    <w:rsid w:val="00CC318B"/>
    <w:rsid w:val="00CC3555"/>
    <w:rsid w:val="00CC3728"/>
    <w:rsid w:val="00CC3942"/>
    <w:rsid w:val="00CC3CBF"/>
    <w:rsid w:val="00CC3E21"/>
    <w:rsid w:val="00CC3EC2"/>
    <w:rsid w:val="00CC421D"/>
    <w:rsid w:val="00CC4436"/>
    <w:rsid w:val="00CC491E"/>
    <w:rsid w:val="00CC4EA7"/>
    <w:rsid w:val="00CC5B3D"/>
    <w:rsid w:val="00CC5D97"/>
    <w:rsid w:val="00CC5F71"/>
    <w:rsid w:val="00CC621B"/>
    <w:rsid w:val="00CC626B"/>
    <w:rsid w:val="00CC66DE"/>
    <w:rsid w:val="00CC690E"/>
    <w:rsid w:val="00CC6B3E"/>
    <w:rsid w:val="00CC6D2D"/>
    <w:rsid w:val="00CC7011"/>
    <w:rsid w:val="00CC79CC"/>
    <w:rsid w:val="00CC7C0C"/>
    <w:rsid w:val="00CD018A"/>
    <w:rsid w:val="00CD0246"/>
    <w:rsid w:val="00CD02DB"/>
    <w:rsid w:val="00CD0324"/>
    <w:rsid w:val="00CD0473"/>
    <w:rsid w:val="00CD096D"/>
    <w:rsid w:val="00CD1A1F"/>
    <w:rsid w:val="00CD1B4A"/>
    <w:rsid w:val="00CD1BB7"/>
    <w:rsid w:val="00CD1C38"/>
    <w:rsid w:val="00CD1D34"/>
    <w:rsid w:val="00CD1F11"/>
    <w:rsid w:val="00CD1FFF"/>
    <w:rsid w:val="00CD2D5F"/>
    <w:rsid w:val="00CD2F54"/>
    <w:rsid w:val="00CD336F"/>
    <w:rsid w:val="00CD3724"/>
    <w:rsid w:val="00CD3879"/>
    <w:rsid w:val="00CD3A36"/>
    <w:rsid w:val="00CD4568"/>
    <w:rsid w:val="00CD4869"/>
    <w:rsid w:val="00CD4D1E"/>
    <w:rsid w:val="00CD4D90"/>
    <w:rsid w:val="00CD5367"/>
    <w:rsid w:val="00CD57A3"/>
    <w:rsid w:val="00CD5B3A"/>
    <w:rsid w:val="00CD60B6"/>
    <w:rsid w:val="00CD6D27"/>
    <w:rsid w:val="00CD7111"/>
    <w:rsid w:val="00CD731F"/>
    <w:rsid w:val="00CD738D"/>
    <w:rsid w:val="00CD75E3"/>
    <w:rsid w:val="00CD7ED4"/>
    <w:rsid w:val="00CD7FFA"/>
    <w:rsid w:val="00CE01A4"/>
    <w:rsid w:val="00CE07E9"/>
    <w:rsid w:val="00CE0DD2"/>
    <w:rsid w:val="00CE15FC"/>
    <w:rsid w:val="00CE2613"/>
    <w:rsid w:val="00CE2627"/>
    <w:rsid w:val="00CE2EB2"/>
    <w:rsid w:val="00CE3150"/>
    <w:rsid w:val="00CE3FD1"/>
    <w:rsid w:val="00CE4181"/>
    <w:rsid w:val="00CE424D"/>
    <w:rsid w:val="00CE4956"/>
    <w:rsid w:val="00CE4A55"/>
    <w:rsid w:val="00CE4C45"/>
    <w:rsid w:val="00CE525D"/>
    <w:rsid w:val="00CE5283"/>
    <w:rsid w:val="00CE52E0"/>
    <w:rsid w:val="00CE536F"/>
    <w:rsid w:val="00CE594B"/>
    <w:rsid w:val="00CE5C99"/>
    <w:rsid w:val="00CE5CAD"/>
    <w:rsid w:val="00CE62AC"/>
    <w:rsid w:val="00CE632C"/>
    <w:rsid w:val="00CE6496"/>
    <w:rsid w:val="00CE64D5"/>
    <w:rsid w:val="00CE67ED"/>
    <w:rsid w:val="00CE695A"/>
    <w:rsid w:val="00CE6B2F"/>
    <w:rsid w:val="00CE6C8C"/>
    <w:rsid w:val="00CE6DDB"/>
    <w:rsid w:val="00CE7429"/>
    <w:rsid w:val="00CE79C3"/>
    <w:rsid w:val="00CE7C4D"/>
    <w:rsid w:val="00CF01AC"/>
    <w:rsid w:val="00CF045D"/>
    <w:rsid w:val="00CF0521"/>
    <w:rsid w:val="00CF0BF4"/>
    <w:rsid w:val="00CF1300"/>
    <w:rsid w:val="00CF1500"/>
    <w:rsid w:val="00CF1577"/>
    <w:rsid w:val="00CF19E8"/>
    <w:rsid w:val="00CF1A82"/>
    <w:rsid w:val="00CF1BEF"/>
    <w:rsid w:val="00CF1DD1"/>
    <w:rsid w:val="00CF23EE"/>
    <w:rsid w:val="00CF33DE"/>
    <w:rsid w:val="00CF367F"/>
    <w:rsid w:val="00CF3BCB"/>
    <w:rsid w:val="00CF3BF1"/>
    <w:rsid w:val="00CF3C30"/>
    <w:rsid w:val="00CF42B4"/>
    <w:rsid w:val="00CF43B7"/>
    <w:rsid w:val="00CF50F8"/>
    <w:rsid w:val="00CF5309"/>
    <w:rsid w:val="00CF7038"/>
    <w:rsid w:val="00CF7330"/>
    <w:rsid w:val="00CF77DA"/>
    <w:rsid w:val="00CF7816"/>
    <w:rsid w:val="00CF7D66"/>
    <w:rsid w:val="00D0008A"/>
    <w:rsid w:val="00D00411"/>
    <w:rsid w:val="00D006B1"/>
    <w:rsid w:val="00D00D74"/>
    <w:rsid w:val="00D01DD4"/>
    <w:rsid w:val="00D02014"/>
    <w:rsid w:val="00D02150"/>
    <w:rsid w:val="00D0265A"/>
    <w:rsid w:val="00D026E3"/>
    <w:rsid w:val="00D02A0A"/>
    <w:rsid w:val="00D02F72"/>
    <w:rsid w:val="00D03CF8"/>
    <w:rsid w:val="00D046F8"/>
    <w:rsid w:val="00D048D9"/>
    <w:rsid w:val="00D04F20"/>
    <w:rsid w:val="00D05FE5"/>
    <w:rsid w:val="00D06543"/>
    <w:rsid w:val="00D067AB"/>
    <w:rsid w:val="00D06A95"/>
    <w:rsid w:val="00D06DE4"/>
    <w:rsid w:val="00D074F6"/>
    <w:rsid w:val="00D07667"/>
    <w:rsid w:val="00D0792B"/>
    <w:rsid w:val="00D07B38"/>
    <w:rsid w:val="00D10612"/>
    <w:rsid w:val="00D10898"/>
    <w:rsid w:val="00D10F09"/>
    <w:rsid w:val="00D11357"/>
    <w:rsid w:val="00D1173A"/>
    <w:rsid w:val="00D11C1B"/>
    <w:rsid w:val="00D126F7"/>
    <w:rsid w:val="00D128FB"/>
    <w:rsid w:val="00D12967"/>
    <w:rsid w:val="00D129F0"/>
    <w:rsid w:val="00D129F5"/>
    <w:rsid w:val="00D12C03"/>
    <w:rsid w:val="00D12EBA"/>
    <w:rsid w:val="00D12ED9"/>
    <w:rsid w:val="00D12EE1"/>
    <w:rsid w:val="00D1321A"/>
    <w:rsid w:val="00D132FC"/>
    <w:rsid w:val="00D13829"/>
    <w:rsid w:val="00D13889"/>
    <w:rsid w:val="00D13DB2"/>
    <w:rsid w:val="00D141DD"/>
    <w:rsid w:val="00D143E7"/>
    <w:rsid w:val="00D1494A"/>
    <w:rsid w:val="00D15001"/>
    <w:rsid w:val="00D155E2"/>
    <w:rsid w:val="00D15908"/>
    <w:rsid w:val="00D15DBF"/>
    <w:rsid w:val="00D160DA"/>
    <w:rsid w:val="00D16EBD"/>
    <w:rsid w:val="00D173D8"/>
    <w:rsid w:val="00D17903"/>
    <w:rsid w:val="00D17A5A"/>
    <w:rsid w:val="00D204C6"/>
    <w:rsid w:val="00D205D4"/>
    <w:rsid w:val="00D20938"/>
    <w:rsid w:val="00D20B1D"/>
    <w:rsid w:val="00D20ED5"/>
    <w:rsid w:val="00D21887"/>
    <w:rsid w:val="00D220AF"/>
    <w:rsid w:val="00D22B88"/>
    <w:rsid w:val="00D22CC6"/>
    <w:rsid w:val="00D237F7"/>
    <w:rsid w:val="00D23B04"/>
    <w:rsid w:val="00D23CA1"/>
    <w:rsid w:val="00D23E4E"/>
    <w:rsid w:val="00D24415"/>
    <w:rsid w:val="00D247D5"/>
    <w:rsid w:val="00D24A8E"/>
    <w:rsid w:val="00D25697"/>
    <w:rsid w:val="00D25703"/>
    <w:rsid w:val="00D266DE"/>
    <w:rsid w:val="00D26A6C"/>
    <w:rsid w:val="00D26C3D"/>
    <w:rsid w:val="00D27398"/>
    <w:rsid w:val="00D27810"/>
    <w:rsid w:val="00D27B77"/>
    <w:rsid w:val="00D27D6B"/>
    <w:rsid w:val="00D310B1"/>
    <w:rsid w:val="00D3128B"/>
    <w:rsid w:val="00D314BF"/>
    <w:rsid w:val="00D31689"/>
    <w:rsid w:val="00D31D36"/>
    <w:rsid w:val="00D32184"/>
    <w:rsid w:val="00D32663"/>
    <w:rsid w:val="00D32C8D"/>
    <w:rsid w:val="00D331F3"/>
    <w:rsid w:val="00D33CAF"/>
    <w:rsid w:val="00D34079"/>
    <w:rsid w:val="00D34ABB"/>
    <w:rsid w:val="00D35072"/>
    <w:rsid w:val="00D35451"/>
    <w:rsid w:val="00D354AE"/>
    <w:rsid w:val="00D355E8"/>
    <w:rsid w:val="00D35D70"/>
    <w:rsid w:val="00D3627C"/>
    <w:rsid w:val="00D36778"/>
    <w:rsid w:val="00D36797"/>
    <w:rsid w:val="00D40038"/>
    <w:rsid w:val="00D4029C"/>
    <w:rsid w:val="00D4191B"/>
    <w:rsid w:val="00D42C8B"/>
    <w:rsid w:val="00D42E6F"/>
    <w:rsid w:val="00D435F3"/>
    <w:rsid w:val="00D437C8"/>
    <w:rsid w:val="00D438EC"/>
    <w:rsid w:val="00D43DD6"/>
    <w:rsid w:val="00D43FFA"/>
    <w:rsid w:val="00D4467D"/>
    <w:rsid w:val="00D44A0F"/>
    <w:rsid w:val="00D44A8D"/>
    <w:rsid w:val="00D44AF8"/>
    <w:rsid w:val="00D44D19"/>
    <w:rsid w:val="00D4581B"/>
    <w:rsid w:val="00D458D4"/>
    <w:rsid w:val="00D45B9F"/>
    <w:rsid w:val="00D4668F"/>
    <w:rsid w:val="00D46696"/>
    <w:rsid w:val="00D46FF5"/>
    <w:rsid w:val="00D4718C"/>
    <w:rsid w:val="00D478EA"/>
    <w:rsid w:val="00D5051D"/>
    <w:rsid w:val="00D50734"/>
    <w:rsid w:val="00D50986"/>
    <w:rsid w:val="00D50CC8"/>
    <w:rsid w:val="00D51607"/>
    <w:rsid w:val="00D51C2C"/>
    <w:rsid w:val="00D51CE2"/>
    <w:rsid w:val="00D51F14"/>
    <w:rsid w:val="00D520A9"/>
    <w:rsid w:val="00D522B2"/>
    <w:rsid w:val="00D526A8"/>
    <w:rsid w:val="00D52A6A"/>
    <w:rsid w:val="00D52B59"/>
    <w:rsid w:val="00D52C23"/>
    <w:rsid w:val="00D5349A"/>
    <w:rsid w:val="00D53706"/>
    <w:rsid w:val="00D53806"/>
    <w:rsid w:val="00D53DE5"/>
    <w:rsid w:val="00D542EF"/>
    <w:rsid w:val="00D543FA"/>
    <w:rsid w:val="00D54667"/>
    <w:rsid w:val="00D549A2"/>
    <w:rsid w:val="00D551FE"/>
    <w:rsid w:val="00D552A0"/>
    <w:rsid w:val="00D557D0"/>
    <w:rsid w:val="00D55A36"/>
    <w:rsid w:val="00D55B25"/>
    <w:rsid w:val="00D5689A"/>
    <w:rsid w:val="00D56B8A"/>
    <w:rsid w:val="00D57072"/>
    <w:rsid w:val="00D57248"/>
    <w:rsid w:val="00D575B2"/>
    <w:rsid w:val="00D57B4E"/>
    <w:rsid w:val="00D57E96"/>
    <w:rsid w:val="00D603DF"/>
    <w:rsid w:val="00D604F7"/>
    <w:rsid w:val="00D60C2C"/>
    <w:rsid w:val="00D61206"/>
    <w:rsid w:val="00D61249"/>
    <w:rsid w:val="00D61491"/>
    <w:rsid w:val="00D618BE"/>
    <w:rsid w:val="00D61AE5"/>
    <w:rsid w:val="00D61C8F"/>
    <w:rsid w:val="00D61E4B"/>
    <w:rsid w:val="00D61F89"/>
    <w:rsid w:val="00D62345"/>
    <w:rsid w:val="00D630F8"/>
    <w:rsid w:val="00D63136"/>
    <w:rsid w:val="00D63580"/>
    <w:rsid w:val="00D63BF2"/>
    <w:rsid w:val="00D63C6C"/>
    <w:rsid w:val="00D63EF9"/>
    <w:rsid w:val="00D64636"/>
    <w:rsid w:val="00D646A8"/>
    <w:rsid w:val="00D64724"/>
    <w:rsid w:val="00D64B8B"/>
    <w:rsid w:val="00D64FBC"/>
    <w:rsid w:val="00D65120"/>
    <w:rsid w:val="00D657B5"/>
    <w:rsid w:val="00D65914"/>
    <w:rsid w:val="00D65BBD"/>
    <w:rsid w:val="00D65C6F"/>
    <w:rsid w:val="00D65CE7"/>
    <w:rsid w:val="00D6667D"/>
    <w:rsid w:val="00D668E4"/>
    <w:rsid w:val="00D669C1"/>
    <w:rsid w:val="00D66AE0"/>
    <w:rsid w:val="00D66CBB"/>
    <w:rsid w:val="00D6738E"/>
    <w:rsid w:val="00D673B5"/>
    <w:rsid w:val="00D67466"/>
    <w:rsid w:val="00D67D76"/>
    <w:rsid w:val="00D67DE1"/>
    <w:rsid w:val="00D70124"/>
    <w:rsid w:val="00D7021E"/>
    <w:rsid w:val="00D70376"/>
    <w:rsid w:val="00D7047B"/>
    <w:rsid w:val="00D70590"/>
    <w:rsid w:val="00D70753"/>
    <w:rsid w:val="00D70F3B"/>
    <w:rsid w:val="00D71353"/>
    <w:rsid w:val="00D71540"/>
    <w:rsid w:val="00D7179A"/>
    <w:rsid w:val="00D71962"/>
    <w:rsid w:val="00D71DF1"/>
    <w:rsid w:val="00D72688"/>
    <w:rsid w:val="00D729A9"/>
    <w:rsid w:val="00D72A84"/>
    <w:rsid w:val="00D72AE0"/>
    <w:rsid w:val="00D73131"/>
    <w:rsid w:val="00D73B05"/>
    <w:rsid w:val="00D73E38"/>
    <w:rsid w:val="00D73FA0"/>
    <w:rsid w:val="00D741F4"/>
    <w:rsid w:val="00D748F5"/>
    <w:rsid w:val="00D74FEC"/>
    <w:rsid w:val="00D750E5"/>
    <w:rsid w:val="00D75505"/>
    <w:rsid w:val="00D755FC"/>
    <w:rsid w:val="00D75D49"/>
    <w:rsid w:val="00D7604E"/>
    <w:rsid w:val="00D761DC"/>
    <w:rsid w:val="00D76327"/>
    <w:rsid w:val="00D76695"/>
    <w:rsid w:val="00D778E9"/>
    <w:rsid w:val="00D7798D"/>
    <w:rsid w:val="00D77DAB"/>
    <w:rsid w:val="00D804BA"/>
    <w:rsid w:val="00D80AB3"/>
    <w:rsid w:val="00D81123"/>
    <w:rsid w:val="00D8184C"/>
    <w:rsid w:val="00D81CDA"/>
    <w:rsid w:val="00D8228F"/>
    <w:rsid w:val="00D82416"/>
    <w:rsid w:val="00D8287D"/>
    <w:rsid w:val="00D83165"/>
    <w:rsid w:val="00D8335C"/>
    <w:rsid w:val="00D83B3B"/>
    <w:rsid w:val="00D83B3C"/>
    <w:rsid w:val="00D83B8A"/>
    <w:rsid w:val="00D83CB1"/>
    <w:rsid w:val="00D844E8"/>
    <w:rsid w:val="00D84B13"/>
    <w:rsid w:val="00D84F28"/>
    <w:rsid w:val="00D84F37"/>
    <w:rsid w:val="00D852DE"/>
    <w:rsid w:val="00D85957"/>
    <w:rsid w:val="00D85E11"/>
    <w:rsid w:val="00D85E5C"/>
    <w:rsid w:val="00D862DA"/>
    <w:rsid w:val="00D863C2"/>
    <w:rsid w:val="00D8640C"/>
    <w:rsid w:val="00D86456"/>
    <w:rsid w:val="00D8675D"/>
    <w:rsid w:val="00D86941"/>
    <w:rsid w:val="00D869ED"/>
    <w:rsid w:val="00D86A30"/>
    <w:rsid w:val="00D86C79"/>
    <w:rsid w:val="00D86CEA"/>
    <w:rsid w:val="00D870BD"/>
    <w:rsid w:val="00D870DC"/>
    <w:rsid w:val="00D870E4"/>
    <w:rsid w:val="00D90510"/>
    <w:rsid w:val="00D90A74"/>
    <w:rsid w:val="00D90ED8"/>
    <w:rsid w:val="00D910B0"/>
    <w:rsid w:val="00D911D8"/>
    <w:rsid w:val="00D911E2"/>
    <w:rsid w:val="00D91C66"/>
    <w:rsid w:val="00D91ED2"/>
    <w:rsid w:val="00D92023"/>
    <w:rsid w:val="00D920D3"/>
    <w:rsid w:val="00D92459"/>
    <w:rsid w:val="00D925C5"/>
    <w:rsid w:val="00D92631"/>
    <w:rsid w:val="00D92852"/>
    <w:rsid w:val="00D92BBC"/>
    <w:rsid w:val="00D92C92"/>
    <w:rsid w:val="00D930B3"/>
    <w:rsid w:val="00D932BD"/>
    <w:rsid w:val="00D93B12"/>
    <w:rsid w:val="00D942EF"/>
    <w:rsid w:val="00D944BC"/>
    <w:rsid w:val="00D946C5"/>
    <w:rsid w:val="00D95CE5"/>
    <w:rsid w:val="00D95DAE"/>
    <w:rsid w:val="00D95F95"/>
    <w:rsid w:val="00D96723"/>
    <w:rsid w:val="00D96B69"/>
    <w:rsid w:val="00D978E5"/>
    <w:rsid w:val="00D97A77"/>
    <w:rsid w:val="00D97E8A"/>
    <w:rsid w:val="00DA032A"/>
    <w:rsid w:val="00DA04E4"/>
    <w:rsid w:val="00DA072B"/>
    <w:rsid w:val="00DA09A7"/>
    <w:rsid w:val="00DA1037"/>
    <w:rsid w:val="00DA15DC"/>
    <w:rsid w:val="00DA16F3"/>
    <w:rsid w:val="00DA1DDA"/>
    <w:rsid w:val="00DA3199"/>
    <w:rsid w:val="00DA388F"/>
    <w:rsid w:val="00DA3A11"/>
    <w:rsid w:val="00DA3D7B"/>
    <w:rsid w:val="00DA436F"/>
    <w:rsid w:val="00DA4A7B"/>
    <w:rsid w:val="00DA5203"/>
    <w:rsid w:val="00DA5360"/>
    <w:rsid w:val="00DA596B"/>
    <w:rsid w:val="00DA5A91"/>
    <w:rsid w:val="00DA5B32"/>
    <w:rsid w:val="00DA606A"/>
    <w:rsid w:val="00DA64D2"/>
    <w:rsid w:val="00DA6721"/>
    <w:rsid w:val="00DA6FBD"/>
    <w:rsid w:val="00DA7189"/>
    <w:rsid w:val="00DA7370"/>
    <w:rsid w:val="00DA7CC8"/>
    <w:rsid w:val="00DB0375"/>
    <w:rsid w:val="00DB0407"/>
    <w:rsid w:val="00DB09ED"/>
    <w:rsid w:val="00DB100F"/>
    <w:rsid w:val="00DB1190"/>
    <w:rsid w:val="00DB13E7"/>
    <w:rsid w:val="00DB174E"/>
    <w:rsid w:val="00DB205B"/>
    <w:rsid w:val="00DB222F"/>
    <w:rsid w:val="00DB22C1"/>
    <w:rsid w:val="00DB2CC1"/>
    <w:rsid w:val="00DB2CFD"/>
    <w:rsid w:val="00DB2D84"/>
    <w:rsid w:val="00DB2E53"/>
    <w:rsid w:val="00DB3240"/>
    <w:rsid w:val="00DB4044"/>
    <w:rsid w:val="00DB4594"/>
    <w:rsid w:val="00DB4AA3"/>
    <w:rsid w:val="00DB4B63"/>
    <w:rsid w:val="00DB4DA2"/>
    <w:rsid w:val="00DB4F1F"/>
    <w:rsid w:val="00DB5A33"/>
    <w:rsid w:val="00DB5A76"/>
    <w:rsid w:val="00DB6094"/>
    <w:rsid w:val="00DB642C"/>
    <w:rsid w:val="00DB67C2"/>
    <w:rsid w:val="00DB68F5"/>
    <w:rsid w:val="00DB68FF"/>
    <w:rsid w:val="00DB6CDA"/>
    <w:rsid w:val="00DB6F2A"/>
    <w:rsid w:val="00DB7230"/>
    <w:rsid w:val="00DB7554"/>
    <w:rsid w:val="00DB77A4"/>
    <w:rsid w:val="00DB783A"/>
    <w:rsid w:val="00DB7F9F"/>
    <w:rsid w:val="00DC07F9"/>
    <w:rsid w:val="00DC14C3"/>
    <w:rsid w:val="00DC2269"/>
    <w:rsid w:val="00DC25D8"/>
    <w:rsid w:val="00DC2614"/>
    <w:rsid w:val="00DC3082"/>
    <w:rsid w:val="00DC31A1"/>
    <w:rsid w:val="00DC32BA"/>
    <w:rsid w:val="00DC3403"/>
    <w:rsid w:val="00DC3B6A"/>
    <w:rsid w:val="00DC3DE3"/>
    <w:rsid w:val="00DC3F58"/>
    <w:rsid w:val="00DC4420"/>
    <w:rsid w:val="00DC5811"/>
    <w:rsid w:val="00DC5C84"/>
    <w:rsid w:val="00DC5F37"/>
    <w:rsid w:val="00DC5FD8"/>
    <w:rsid w:val="00DC6318"/>
    <w:rsid w:val="00DC6E5A"/>
    <w:rsid w:val="00DC74A9"/>
    <w:rsid w:val="00DC7BAC"/>
    <w:rsid w:val="00DC7C10"/>
    <w:rsid w:val="00DD02CE"/>
    <w:rsid w:val="00DD1A58"/>
    <w:rsid w:val="00DD1B0D"/>
    <w:rsid w:val="00DD1CF6"/>
    <w:rsid w:val="00DD222F"/>
    <w:rsid w:val="00DD2BCD"/>
    <w:rsid w:val="00DD2DC1"/>
    <w:rsid w:val="00DD3822"/>
    <w:rsid w:val="00DD38FE"/>
    <w:rsid w:val="00DD3E50"/>
    <w:rsid w:val="00DD40CD"/>
    <w:rsid w:val="00DD4229"/>
    <w:rsid w:val="00DD4303"/>
    <w:rsid w:val="00DD44BE"/>
    <w:rsid w:val="00DD4702"/>
    <w:rsid w:val="00DD4DCC"/>
    <w:rsid w:val="00DD5D35"/>
    <w:rsid w:val="00DD61AB"/>
    <w:rsid w:val="00DD64DD"/>
    <w:rsid w:val="00DD6537"/>
    <w:rsid w:val="00DD6667"/>
    <w:rsid w:val="00DD68B0"/>
    <w:rsid w:val="00DD68E3"/>
    <w:rsid w:val="00DD6A75"/>
    <w:rsid w:val="00DD7293"/>
    <w:rsid w:val="00DD74A2"/>
    <w:rsid w:val="00DD75E6"/>
    <w:rsid w:val="00DD76FC"/>
    <w:rsid w:val="00DD7940"/>
    <w:rsid w:val="00DD79E4"/>
    <w:rsid w:val="00DD7B5F"/>
    <w:rsid w:val="00DD7E2C"/>
    <w:rsid w:val="00DD7EA8"/>
    <w:rsid w:val="00DE02CE"/>
    <w:rsid w:val="00DE05CB"/>
    <w:rsid w:val="00DE1086"/>
    <w:rsid w:val="00DE1868"/>
    <w:rsid w:val="00DE19B3"/>
    <w:rsid w:val="00DE1BB4"/>
    <w:rsid w:val="00DE1C51"/>
    <w:rsid w:val="00DE1CB2"/>
    <w:rsid w:val="00DE1D07"/>
    <w:rsid w:val="00DE1EDE"/>
    <w:rsid w:val="00DE321D"/>
    <w:rsid w:val="00DE36C7"/>
    <w:rsid w:val="00DE383B"/>
    <w:rsid w:val="00DE3912"/>
    <w:rsid w:val="00DE3D52"/>
    <w:rsid w:val="00DE3E44"/>
    <w:rsid w:val="00DE41C7"/>
    <w:rsid w:val="00DE47DC"/>
    <w:rsid w:val="00DE49BE"/>
    <w:rsid w:val="00DE4A27"/>
    <w:rsid w:val="00DE4ACA"/>
    <w:rsid w:val="00DE4D8C"/>
    <w:rsid w:val="00DE4F99"/>
    <w:rsid w:val="00DE523E"/>
    <w:rsid w:val="00DE5444"/>
    <w:rsid w:val="00DE5571"/>
    <w:rsid w:val="00DE5E42"/>
    <w:rsid w:val="00DE6234"/>
    <w:rsid w:val="00DE6479"/>
    <w:rsid w:val="00DE6576"/>
    <w:rsid w:val="00DE6F3E"/>
    <w:rsid w:val="00DE6F9A"/>
    <w:rsid w:val="00DE716A"/>
    <w:rsid w:val="00DE7272"/>
    <w:rsid w:val="00DE76A4"/>
    <w:rsid w:val="00DF04EA"/>
    <w:rsid w:val="00DF0A63"/>
    <w:rsid w:val="00DF0B46"/>
    <w:rsid w:val="00DF10CA"/>
    <w:rsid w:val="00DF126A"/>
    <w:rsid w:val="00DF1299"/>
    <w:rsid w:val="00DF1C9A"/>
    <w:rsid w:val="00DF2692"/>
    <w:rsid w:val="00DF2AD4"/>
    <w:rsid w:val="00DF2AD8"/>
    <w:rsid w:val="00DF2E35"/>
    <w:rsid w:val="00DF3100"/>
    <w:rsid w:val="00DF37F1"/>
    <w:rsid w:val="00DF3995"/>
    <w:rsid w:val="00DF3B6A"/>
    <w:rsid w:val="00DF3EAB"/>
    <w:rsid w:val="00DF40DE"/>
    <w:rsid w:val="00DF44E4"/>
    <w:rsid w:val="00DF4614"/>
    <w:rsid w:val="00DF465A"/>
    <w:rsid w:val="00DF4B3A"/>
    <w:rsid w:val="00DF4B75"/>
    <w:rsid w:val="00DF5157"/>
    <w:rsid w:val="00DF538F"/>
    <w:rsid w:val="00DF56A8"/>
    <w:rsid w:val="00DF57F9"/>
    <w:rsid w:val="00DF5B47"/>
    <w:rsid w:val="00DF6310"/>
    <w:rsid w:val="00DF658B"/>
    <w:rsid w:val="00DF67C9"/>
    <w:rsid w:val="00DF684F"/>
    <w:rsid w:val="00DF6C27"/>
    <w:rsid w:val="00DF6D10"/>
    <w:rsid w:val="00DF7871"/>
    <w:rsid w:val="00DF7B25"/>
    <w:rsid w:val="00DF7DD8"/>
    <w:rsid w:val="00E00894"/>
    <w:rsid w:val="00E00908"/>
    <w:rsid w:val="00E00B67"/>
    <w:rsid w:val="00E01AD8"/>
    <w:rsid w:val="00E01B58"/>
    <w:rsid w:val="00E01BE1"/>
    <w:rsid w:val="00E01D2E"/>
    <w:rsid w:val="00E01F2D"/>
    <w:rsid w:val="00E02850"/>
    <w:rsid w:val="00E0330B"/>
    <w:rsid w:val="00E03FE1"/>
    <w:rsid w:val="00E04392"/>
    <w:rsid w:val="00E04A86"/>
    <w:rsid w:val="00E04CBF"/>
    <w:rsid w:val="00E05CF3"/>
    <w:rsid w:val="00E05EDF"/>
    <w:rsid w:val="00E064D8"/>
    <w:rsid w:val="00E06D0A"/>
    <w:rsid w:val="00E077FD"/>
    <w:rsid w:val="00E07DBD"/>
    <w:rsid w:val="00E07DC8"/>
    <w:rsid w:val="00E07F66"/>
    <w:rsid w:val="00E117CB"/>
    <w:rsid w:val="00E119CF"/>
    <w:rsid w:val="00E11B6D"/>
    <w:rsid w:val="00E11F95"/>
    <w:rsid w:val="00E1259F"/>
    <w:rsid w:val="00E12941"/>
    <w:rsid w:val="00E12A49"/>
    <w:rsid w:val="00E12FB9"/>
    <w:rsid w:val="00E135A1"/>
    <w:rsid w:val="00E137A5"/>
    <w:rsid w:val="00E13A50"/>
    <w:rsid w:val="00E13E5A"/>
    <w:rsid w:val="00E142F6"/>
    <w:rsid w:val="00E1496E"/>
    <w:rsid w:val="00E14AB7"/>
    <w:rsid w:val="00E151AD"/>
    <w:rsid w:val="00E158DD"/>
    <w:rsid w:val="00E15B6D"/>
    <w:rsid w:val="00E162FD"/>
    <w:rsid w:val="00E16606"/>
    <w:rsid w:val="00E166D3"/>
    <w:rsid w:val="00E16C30"/>
    <w:rsid w:val="00E16EF1"/>
    <w:rsid w:val="00E17185"/>
    <w:rsid w:val="00E17612"/>
    <w:rsid w:val="00E177A0"/>
    <w:rsid w:val="00E17A79"/>
    <w:rsid w:val="00E17CB3"/>
    <w:rsid w:val="00E17F63"/>
    <w:rsid w:val="00E2054E"/>
    <w:rsid w:val="00E2067C"/>
    <w:rsid w:val="00E20804"/>
    <w:rsid w:val="00E20930"/>
    <w:rsid w:val="00E20AB8"/>
    <w:rsid w:val="00E20F75"/>
    <w:rsid w:val="00E2107B"/>
    <w:rsid w:val="00E2130A"/>
    <w:rsid w:val="00E2179D"/>
    <w:rsid w:val="00E217A0"/>
    <w:rsid w:val="00E21D77"/>
    <w:rsid w:val="00E21E78"/>
    <w:rsid w:val="00E21EDF"/>
    <w:rsid w:val="00E22295"/>
    <w:rsid w:val="00E222FB"/>
    <w:rsid w:val="00E22739"/>
    <w:rsid w:val="00E22A09"/>
    <w:rsid w:val="00E22B8D"/>
    <w:rsid w:val="00E22BB9"/>
    <w:rsid w:val="00E22CD6"/>
    <w:rsid w:val="00E233DC"/>
    <w:rsid w:val="00E236AD"/>
    <w:rsid w:val="00E237D0"/>
    <w:rsid w:val="00E23A2A"/>
    <w:rsid w:val="00E23DDF"/>
    <w:rsid w:val="00E241F9"/>
    <w:rsid w:val="00E24517"/>
    <w:rsid w:val="00E24E16"/>
    <w:rsid w:val="00E259E5"/>
    <w:rsid w:val="00E267F3"/>
    <w:rsid w:val="00E272FF"/>
    <w:rsid w:val="00E27302"/>
    <w:rsid w:val="00E276D9"/>
    <w:rsid w:val="00E27884"/>
    <w:rsid w:val="00E27CD2"/>
    <w:rsid w:val="00E27FE8"/>
    <w:rsid w:val="00E308C4"/>
    <w:rsid w:val="00E30A33"/>
    <w:rsid w:val="00E30B62"/>
    <w:rsid w:val="00E3134F"/>
    <w:rsid w:val="00E31A38"/>
    <w:rsid w:val="00E31B29"/>
    <w:rsid w:val="00E31B93"/>
    <w:rsid w:val="00E31DFD"/>
    <w:rsid w:val="00E322BE"/>
    <w:rsid w:val="00E324E9"/>
    <w:rsid w:val="00E333B5"/>
    <w:rsid w:val="00E33E05"/>
    <w:rsid w:val="00E34938"/>
    <w:rsid w:val="00E352D9"/>
    <w:rsid w:val="00E35978"/>
    <w:rsid w:val="00E35D4E"/>
    <w:rsid w:val="00E36C43"/>
    <w:rsid w:val="00E37101"/>
    <w:rsid w:val="00E3720A"/>
    <w:rsid w:val="00E37CC2"/>
    <w:rsid w:val="00E37E20"/>
    <w:rsid w:val="00E40CB7"/>
    <w:rsid w:val="00E4155C"/>
    <w:rsid w:val="00E41B17"/>
    <w:rsid w:val="00E4207D"/>
    <w:rsid w:val="00E422EC"/>
    <w:rsid w:val="00E42D33"/>
    <w:rsid w:val="00E43C06"/>
    <w:rsid w:val="00E44326"/>
    <w:rsid w:val="00E444A4"/>
    <w:rsid w:val="00E44585"/>
    <w:rsid w:val="00E445A3"/>
    <w:rsid w:val="00E449B1"/>
    <w:rsid w:val="00E44F1E"/>
    <w:rsid w:val="00E451B0"/>
    <w:rsid w:val="00E45989"/>
    <w:rsid w:val="00E45FFC"/>
    <w:rsid w:val="00E46C8A"/>
    <w:rsid w:val="00E46FD4"/>
    <w:rsid w:val="00E46FE3"/>
    <w:rsid w:val="00E4752D"/>
    <w:rsid w:val="00E47911"/>
    <w:rsid w:val="00E47B31"/>
    <w:rsid w:val="00E501F7"/>
    <w:rsid w:val="00E5082D"/>
    <w:rsid w:val="00E50A03"/>
    <w:rsid w:val="00E51782"/>
    <w:rsid w:val="00E51797"/>
    <w:rsid w:val="00E51894"/>
    <w:rsid w:val="00E518C5"/>
    <w:rsid w:val="00E5199B"/>
    <w:rsid w:val="00E51AB0"/>
    <w:rsid w:val="00E5212B"/>
    <w:rsid w:val="00E52232"/>
    <w:rsid w:val="00E52463"/>
    <w:rsid w:val="00E52675"/>
    <w:rsid w:val="00E528DC"/>
    <w:rsid w:val="00E52BDC"/>
    <w:rsid w:val="00E52D35"/>
    <w:rsid w:val="00E52D70"/>
    <w:rsid w:val="00E52E04"/>
    <w:rsid w:val="00E52E97"/>
    <w:rsid w:val="00E52FCE"/>
    <w:rsid w:val="00E53404"/>
    <w:rsid w:val="00E536EF"/>
    <w:rsid w:val="00E53742"/>
    <w:rsid w:val="00E53782"/>
    <w:rsid w:val="00E54374"/>
    <w:rsid w:val="00E547B9"/>
    <w:rsid w:val="00E54B4F"/>
    <w:rsid w:val="00E55437"/>
    <w:rsid w:val="00E5581A"/>
    <w:rsid w:val="00E55E58"/>
    <w:rsid w:val="00E5660A"/>
    <w:rsid w:val="00E5670A"/>
    <w:rsid w:val="00E5706B"/>
    <w:rsid w:val="00E57441"/>
    <w:rsid w:val="00E574A9"/>
    <w:rsid w:val="00E57E75"/>
    <w:rsid w:val="00E611A1"/>
    <w:rsid w:val="00E61355"/>
    <w:rsid w:val="00E613BC"/>
    <w:rsid w:val="00E6156A"/>
    <w:rsid w:val="00E6183B"/>
    <w:rsid w:val="00E61956"/>
    <w:rsid w:val="00E61D7B"/>
    <w:rsid w:val="00E61E32"/>
    <w:rsid w:val="00E61E6E"/>
    <w:rsid w:val="00E61F1E"/>
    <w:rsid w:val="00E62517"/>
    <w:rsid w:val="00E6312A"/>
    <w:rsid w:val="00E6332C"/>
    <w:rsid w:val="00E6343A"/>
    <w:rsid w:val="00E6352D"/>
    <w:rsid w:val="00E63849"/>
    <w:rsid w:val="00E63B11"/>
    <w:rsid w:val="00E63BC6"/>
    <w:rsid w:val="00E642F8"/>
    <w:rsid w:val="00E64587"/>
    <w:rsid w:val="00E64C6D"/>
    <w:rsid w:val="00E65910"/>
    <w:rsid w:val="00E65B27"/>
    <w:rsid w:val="00E66077"/>
    <w:rsid w:val="00E6674C"/>
    <w:rsid w:val="00E6683B"/>
    <w:rsid w:val="00E66861"/>
    <w:rsid w:val="00E66E21"/>
    <w:rsid w:val="00E66E53"/>
    <w:rsid w:val="00E67063"/>
    <w:rsid w:val="00E70882"/>
    <w:rsid w:val="00E70C11"/>
    <w:rsid w:val="00E70C57"/>
    <w:rsid w:val="00E70F38"/>
    <w:rsid w:val="00E710FC"/>
    <w:rsid w:val="00E7139A"/>
    <w:rsid w:val="00E71915"/>
    <w:rsid w:val="00E71D58"/>
    <w:rsid w:val="00E71E70"/>
    <w:rsid w:val="00E71FD9"/>
    <w:rsid w:val="00E727A6"/>
    <w:rsid w:val="00E7288F"/>
    <w:rsid w:val="00E72B29"/>
    <w:rsid w:val="00E73562"/>
    <w:rsid w:val="00E7406F"/>
    <w:rsid w:val="00E742FC"/>
    <w:rsid w:val="00E754EE"/>
    <w:rsid w:val="00E75842"/>
    <w:rsid w:val="00E75C1B"/>
    <w:rsid w:val="00E7691B"/>
    <w:rsid w:val="00E76C18"/>
    <w:rsid w:val="00E76E2C"/>
    <w:rsid w:val="00E77969"/>
    <w:rsid w:val="00E77D66"/>
    <w:rsid w:val="00E800D8"/>
    <w:rsid w:val="00E80505"/>
    <w:rsid w:val="00E805C5"/>
    <w:rsid w:val="00E80869"/>
    <w:rsid w:val="00E80916"/>
    <w:rsid w:val="00E81092"/>
    <w:rsid w:val="00E81A7B"/>
    <w:rsid w:val="00E820CC"/>
    <w:rsid w:val="00E82460"/>
    <w:rsid w:val="00E826CD"/>
    <w:rsid w:val="00E829AF"/>
    <w:rsid w:val="00E82F68"/>
    <w:rsid w:val="00E83B11"/>
    <w:rsid w:val="00E83C36"/>
    <w:rsid w:val="00E840DF"/>
    <w:rsid w:val="00E8461B"/>
    <w:rsid w:val="00E855D2"/>
    <w:rsid w:val="00E8560F"/>
    <w:rsid w:val="00E85C6A"/>
    <w:rsid w:val="00E85D2F"/>
    <w:rsid w:val="00E85FDB"/>
    <w:rsid w:val="00E8603A"/>
    <w:rsid w:val="00E87119"/>
    <w:rsid w:val="00E872F7"/>
    <w:rsid w:val="00E873F8"/>
    <w:rsid w:val="00E8780A"/>
    <w:rsid w:val="00E87BAB"/>
    <w:rsid w:val="00E87F22"/>
    <w:rsid w:val="00E9064E"/>
    <w:rsid w:val="00E90A4F"/>
    <w:rsid w:val="00E90D71"/>
    <w:rsid w:val="00E911A2"/>
    <w:rsid w:val="00E91362"/>
    <w:rsid w:val="00E91A24"/>
    <w:rsid w:val="00E91D5F"/>
    <w:rsid w:val="00E91F99"/>
    <w:rsid w:val="00E92099"/>
    <w:rsid w:val="00E923E6"/>
    <w:rsid w:val="00E9243C"/>
    <w:rsid w:val="00E93177"/>
    <w:rsid w:val="00E94C5A"/>
    <w:rsid w:val="00E94CDC"/>
    <w:rsid w:val="00E95286"/>
    <w:rsid w:val="00E957FC"/>
    <w:rsid w:val="00E95A6A"/>
    <w:rsid w:val="00E95D8F"/>
    <w:rsid w:val="00E965E4"/>
    <w:rsid w:val="00E967D8"/>
    <w:rsid w:val="00E968B6"/>
    <w:rsid w:val="00E96ACB"/>
    <w:rsid w:val="00E96C04"/>
    <w:rsid w:val="00E97085"/>
    <w:rsid w:val="00E97390"/>
    <w:rsid w:val="00E97A4B"/>
    <w:rsid w:val="00E97D02"/>
    <w:rsid w:val="00E97E77"/>
    <w:rsid w:val="00EA0289"/>
    <w:rsid w:val="00EA056A"/>
    <w:rsid w:val="00EA0916"/>
    <w:rsid w:val="00EA0CEB"/>
    <w:rsid w:val="00EA134C"/>
    <w:rsid w:val="00EA17CE"/>
    <w:rsid w:val="00EA1E96"/>
    <w:rsid w:val="00EA22CF"/>
    <w:rsid w:val="00EA2E66"/>
    <w:rsid w:val="00EA2FC6"/>
    <w:rsid w:val="00EA303B"/>
    <w:rsid w:val="00EA329A"/>
    <w:rsid w:val="00EA36B9"/>
    <w:rsid w:val="00EA37DC"/>
    <w:rsid w:val="00EA37E2"/>
    <w:rsid w:val="00EA38F7"/>
    <w:rsid w:val="00EA390D"/>
    <w:rsid w:val="00EA476D"/>
    <w:rsid w:val="00EA4889"/>
    <w:rsid w:val="00EA4EE2"/>
    <w:rsid w:val="00EA5320"/>
    <w:rsid w:val="00EA5EBF"/>
    <w:rsid w:val="00EA6320"/>
    <w:rsid w:val="00EA6515"/>
    <w:rsid w:val="00EA6680"/>
    <w:rsid w:val="00EA6E0A"/>
    <w:rsid w:val="00EA6E2E"/>
    <w:rsid w:val="00EA6F68"/>
    <w:rsid w:val="00EA749F"/>
    <w:rsid w:val="00EA757D"/>
    <w:rsid w:val="00EA79A1"/>
    <w:rsid w:val="00EA7CE6"/>
    <w:rsid w:val="00EA7F77"/>
    <w:rsid w:val="00EB063C"/>
    <w:rsid w:val="00EB06E4"/>
    <w:rsid w:val="00EB11AB"/>
    <w:rsid w:val="00EB11D1"/>
    <w:rsid w:val="00EB14FA"/>
    <w:rsid w:val="00EB181B"/>
    <w:rsid w:val="00EB197B"/>
    <w:rsid w:val="00EB1CA4"/>
    <w:rsid w:val="00EB2712"/>
    <w:rsid w:val="00EB2824"/>
    <w:rsid w:val="00EB2956"/>
    <w:rsid w:val="00EB2CA0"/>
    <w:rsid w:val="00EB2DEA"/>
    <w:rsid w:val="00EB31AD"/>
    <w:rsid w:val="00EB31C9"/>
    <w:rsid w:val="00EB36B8"/>
    <w:rsid w:val="00EB4484"/>
    <w:rsid w:val="00EB44E8"/>
    <w:rsid w:val="00EB4F6F"/>
    <w:rsid w:val="00EB51D4"/>
    <w:rsid w:val="00EB57AF"/>
    <w:rsid w:val="00EB6B94"/>
    <w:rsid w:val="00EB7053"/>
    <w:rsid w:val="00EB78C5"/>
    <w:rsid w:val="00EB793C"/>
    <w:rsid w:val="00EB7C01"/>
    <w:rsid w:val="00EC0589"/>
    <w:rsid w:val="00EC05A1"/>
    <w:rsid w:val="00EC0CBC"/>
    <w:rsid w:val="00EC0D29"/>
    <w:rsid w:val="00EC0FF1"/>
    <w:rsid w:val="00EC1A92"/>
    <w:rsid w:val="00EC25D7"/>
    <w:rsid w:val="00EC2733"/>
    <w:rsid w:val="00EC273D"/>
    <w:rsid w:val="00EC2A17"/>
    <w:rsid w:val="00EC2C8A"/>
    <w:rsid w:val="00EC341C"/>
    <w:rsid w:val="00EC381C"/>
    <w:rsid w:val="00EC3827"/>
    <w:rsid w:val="00EC3BE4"/>
    <w:rsid w:val="00EC4046"/>
    <w:rsid w:val="00EC42C8"/>
    <w:rsid w:val="00EC515F"/>
    <w:rsid w:val="00EC58CD"/>
    <w:rsid w:val="00EC60B5"/>
    <w:rsid w:val="00EC6894"/>
    <w:rsid w:val="00EC7228"/>
    <w:rsid w:val="00EC7802"/>
    <w:rsid w:val="00EC784A"/>
    <w:rsid w:val="00EC7AF3"/>
    <w:rsid w:val="00EC7BB0"/>
    <w:rsid w:val="00EC7D15"/>
    <w:rsid w:val="00ED08EF"/>
    <w:rsid w:val="00ED0BDE"/>
    <w:rsid w:val="00ED0E1C"/>
    <w:rsid w:val="00ED1657"/>
    <w:rsid w:val="00ED1C95"/>
    <w:rsid w:val="00ED1F16"/>
    <w:rsid w:val="00ED2384"/>
    <w:rsid w:val="00ED248A"/>
    <w:rsid w:val="00ED26D4"/>
    <w:rsid w:val="00ED32BE"/>
    <w:rsid w:val="00ED37A8"/>
    <w:rsid w:val="00ED388F"/>
    <w:rsid w:val="00ED3CD1"/>
    <w:rsid w:val="00ED3D0A"/>
    <w:rsid w:val="00ED41F9"/>
    <w:rsid w:val="00ED421B"/>
    <w:rsid w:val="00ED46E6"/>
    <w:rsid w:val="00ED4C71"/>
    <w:rsid w:val="00ED5637"/>
    <w:rsid w:val="00ED5A0C"/>
    <w:rsid w:val="00ED5C2F"/>
    <w:rsid w:val="00ED6618"/>
    <w:rsid w:val="00ED6739"/>
    <w:rsid w:val="00ED67F5"/>
    <w:rsid w:val="00ED757E"/>
    <w:rsid w:val="00ED7DF0"/>
    <w:rsid w:val="00EE0F7D"/>
    <w:rsid w:val="00EE0FCA"/>
    <w:rsid w:val="00EE11E6"/>
    <w:rsid w:val="00EE1955"/>
    <w:rsid w:val="00EE32E4"/>
    <w:rsid w:val="00EE3572"/>
    <w:rsid w:val="00EE3883"/>
    <w:rsid w:val="00EE393C"/>
    <w:rsid w:val="00EE396E"/>
    <w:rsid w:val="00EE3AF7"/>
    <w:rsid w:val="00EE470B"/>
    <w:rsid w:val="00EE478D"/>
    <w:rsid w:val="00EE4E3C"/>
    <w:rsid w:val="00EE5433"/>
    <w:rsid w:val="00EE5486"/>
    <w:rsid w:val="00EE624C"/>
    <w:rsid w:val="00EE6391"/>
    <w:rsid w:val="00EE6979"/>
    <w:rsid w:val="00EE6D47"/>
    <w:rsid w:val="00EE71C6"/>
    <w:rsid w:val="00EE71C9"/>
    <w:rsid w:val="00EE7852"/>
    <w:rsid w:val="00EE7972"/>
    <w:rsid w:val="00EE7E83"/>
    <w:rsid w:val="00EF03B8"/>
    <w:rsid w:val="00EF0454"/>
    <w:rsid w:val="00EF0768"/>
    <w:rsid w:val="00EF09D6"/>
    <w:rsid w:val="00EF20AA"/>
    <w:rsid w:val="00EF2541"/>
    <w:rsid w:val="00EF2888"/>
    <w:rsid w:val="00EF2D25"/>
    <w:rsid w:val="00EF352D"/>
    <w:rsid w:val="00EF3BC4"/>
    <w:rsid w:val="00EF4AEE"/>
    <w:rsid w:val="00EF54ED"/>
    <w:rsid w:val="00EF5D0E"/>
    <w:rsid w:val="00EF60AC"/>
    <w:rsid w:val="00EF6B81"/>
    <w:rsid w:val="00EF6BBC"/>
    <w:rsid w:val="00EF6E41"/>
    <w:rsid w:val="00F00024"/>
    <w:rsid w:val="00F0040F"/>
    <w:rsid w:val="00F0073A"/>
    <w:rsid w:val="00F0107A"/>
    <w:rsid w:val="00F02AED"/>
    <w:rsid w:val="00F02B5A"/>
    <w:rsid w:val="00F02C54"/>
    <w:rsid w:val="00F02FFC"/>
    <w:rsid w:val="00F032EA"/>
    <w:rsid w:val="00F03596"/>
    <w:rsid w:val="00F0374E"/>
    <w:rsid w:val="00F03F3B"/>
    <w:rsid w:val="00F0413D"/>
    <w:rsid w:val="00F04607"/>
    <w:rsid w:val="00F04B22"/>
    <w:rsid w:val="00F051C7"/>
    <w:rsid w:val="00F0573F"/>
    <w:rsid w:val="00F0664A"/>
    <w:rsid w:val="00F06EEA"/>
    <w:rsid w:val="00F071B3"/>
    <w:rsid w:val="00F0732A"/>
    <w:rsid w:val="00F07468"/>
    <w:rsid w:val="00F10410"/>
    <w:rsid w:val="00F115C1"/>
    <w:rsid w:val="00F11698"/>
    <w:rsid w:val="00F11B9D"/>
    <w:rsid w:val="00F11DDC"/>
    <w:rsid w:val="00F12B01"/>
    <w:rsid w:val="00F1302B"/>
    <w:rsid w:val="00F1332B"/>
    <w:rsid w:val="00F1337B"/>
    <w:rsid w:val="00F13F76"/>
    <w:rsid w:val="00F14659"/>
    <w:rsid w:val="00F15258"/>
    <w:rsid w:val="00F15966"/>
    <w:rsid w:val="00F15B28"/>
    <w:rsid w:val="00F16196"/>
    <w:rsid w:val="00F16454"/>
    <w:rsid w:val="00F16FD2"/>
    <w:rsid w:val="00F173F8"/>
    <w:rsid w:val="00F20605"/>
    <w:rsid w:val="00F21638"/>
    <w:rsid w:val="00F2176B"/>
    <w:rsid w:val="00F21844"/>
    <w:rsid w:val="00F219BB"/>
    <w:rsid w:val="00F21A15"/>
    <w:rsid w:val="00F21D42"/>
    <w:rsid w:val="00F21E05"/>
    <w:rsid w:val="00F22478"/>
    <w:rsid w:val="00F229E3"/>
    <w:rsid w:val="00F229E6"/>
    <w:rsid w:val="00F22D82"/>
    <w:rsid w:val="00F2320A"/>
    <w:rsid w:val="00F234B0"/>
    <w:rsid w:val="00F23934"/>
    <w:rsid w:val="00F23A8E"/>
    <w:rsid w:val="00F23DEB"/>
    <w:rsid w:val="00F2419B"/>
    <w:rsid w:val="00F244B1"/>
    <w:rsid w:val="00F24AAF"/>
    <w:rsid w:val="00F252CF"/>
    <w:rsid w:val="00F2583F"/>
    <w:rsid w:val="00F2598A"/>
    <w:rsid w:val="00F25A61"/>
    <w:rsid w:val="00F25CFB"/>
    <w:rsid w:val="00F25D84"/>
    <w:rsid w:val="00F25F04"/>
    <w:rsid w:val="00F25FDB"/>
    <w:rsid w:val="00F260CC"/>
    <w:rsid w:val="00F2627E"/>
    <w:rsid w:val="00F26CDE"/>
    <w:rsid w:val="00F26D40"/>
    <w:rsid w:val="00F26DB4"/>
    <w:rsid w:val="00F26E5C"/>
    <w:rsid w:val="00F2701F"/>
    <w:rsid w:val="00F274C3"/>
    <w:rsid w:val="00F27C9F"/>
    <w:rsid w:val="00F27D00"/>
    <w:rsid w:val="00F27D71"/>
    <w:rsid w:val="00F30649"/>
    <w:rsid w:val="00F30CFC"/>
    <w:rsid w:val="00F311D6"/>
    <w:rsid w:val="00F313D5"/>
    <w:rsid w:val="00F316D2"/>
    <w:rsid w:val="00F3186C"/>
    <w:rsid w:val="00F31AE6"/>
    <w:rsid w:val="00F33024"/>
    <w:rsid w:val="00F33865"/>
    <w:rsid w:val="00F338E0"/>
    <w:rsid w:val="00F33970"/>
    <w:rsid w:val="00F340B6"/>
    <w:rsid w:val="00F3414D"/>
    <w:rsid w:val="00F34693"/>
    <w:rsid w:val="00F347DE"/>
    <w:rsid w:val="00F348E9"/>
    <w:rsid w:val="00F353F4"/>
    <w:rsid w:val="00F35A21"/>
    <w:rsid w:val="00F35C2C"/>
    <w:rsid w:val="00F35C58"/>
    <w:rsid w:val="00F361B7"/>
    <w:rsid w:val="00F3676A"/>
    <w:rsid w:val="00F36A25"/>
    <w:rsid w:val="00F36D07"/>
    <w:rsid w:val="00F36DE6"/>
    <w:rsid w:val="00F3707A"/>
    <w:rsid w:val="00F373C7"/>
    <w:rsid w:val="00F3770C"/>
    <w:rsid w:val="00F400B9"/>
    <w:rsid w:val="00F4041B"/>
    <w:rsid w:val="00F40643"/>
    <w:rsid w:val="00F4089D"/>
    <w:rsid w:val="00F40BAE"/>
    <w:rsid w:val="00F40DA0"/>
    <w:rsid w:val="00F4148D"/>
    <w:rsid w:val="00F418C3"/>
    <w:rsid w:val="00F41BE8"/>
    <w:rsid w:val="00F41CBA"/>
    <w:rsid w:val="00F41FDC"/>
    <w:rsid w:val="00F4209D"/>
    <w:rsid w:val="00F42606"/>
    <w:rsid w:val="00F42CC3"/>
    <w:rsid w:val="00F42F0D"/>
    <w:rsid w:val="00F43047"/>
    <w:rsid w:val="00F43A30"/>
    <w:rsid w:val="00F43B04"/>
    <w:rsid w:val="00F43D94"/>
    <w:rsid w:val="00F446FB"/>
    <w:rsid w:val="00F44F04"/>
    <w:rsid w:val="00F450E0"/>
    <w:rsid w:val="00F45938"/>
    <w:rsid w:val="00F459E8"/>
    <w:rsid w:val="00F45DFE"/>
    <w:rsid w:val="00F46868"/>
    <w:rsid w:val="00F4690A"/>
    <w:rsid w:val="00F50015"/>
    <w:rsid w:val="00F508C1"/>
    <w:rsid w:val="00F51B17"/>
    <w:rsid w:val="00F51CAC"/>
    <w:rsid w:val="00F51E85"/>
    <w:rsid w:val="00F520E9"/>
    <w:rsid w:val="00F5242F"/>
    <w:rsid w:val="00F52A74"/>
    <w:rsid w:val="00F52F93"/>
    <w:rsid w:val="00F5313C"/>
    <w:rsid w:val="00F531ED"/>
    <w:rsid w:val="00F532E1"/>
    <w:rsid w:val="00F5365F"/>
    <w:rsid w:val="00F538F1"/>
    <w:rsid w:val="00F53A4D"/>
    <w:rsid w:val="00F53BAD"/>
    <w:rsid w:val="00F53EE8"/>
    <w:rsid w:val="00F53FF6"/>
    <w:rsid w:val="00F542CC"/>
    <w:rsid w:val="00F54555"/>
    <w:rsid w:val="00F54608"/>
    <w:rsid w:val="00F54763"/>
    <w:rsid w:val="00F548DA"/>
    <w:rsid w:val="00F54D23"/>
    <w:rsid w:val="00F552F2"/>
    <w:rsid w:val="00F55E52"/>
    <w:rsid w:val="00F562D2"/>
    <w:rsid w:val="00F567E8"/>
    <w:rsid w:val="00F56EA5"/>
    <w:rsid w:val="00F57758"/>
    <w:rsid w:val="00F57A2E"/>
    <w:rsid w:val="00F57DB8"/>
    <w:rsid w:val="00F57EF0"/>
    <w:rsid w:val="00F60322"/>
    <w:rsid w:val="00F606BF"/>
    <w:rsid w:val="00F608F8"/>
    <w:rsid w:val="00F609FF"/>
    <w:rsid w:val="00F60F44"/>
    <w:rsid w:val="00F60F4F"/>
    <w:rsid w:val="00F61206"/>
    <w:rsid w:val="00F61A5B"/>
    <w:rsid w:val="00F61B58"/>
    <w:rsid w:val="00F61C24"/>
    <w:rsid w:val="00F61FCB"/>
    <w:rsid w:val="00F6236A"/>
    <w:rsid w:val="00F62799"/>
    <w:rsid w:val="00F627E2"/>
    <w:rsid w:val="00F62CB6"/>
    <w:rsid w:val="00F6309C"/>
    <w:rsid w:val="00F63D83"/>
    <w:rsid w:val="00F63E03"/>
    <w:rsid w:val="00F640AC"/>
    <w:rsid w:val="00F64537"/>
    <w:rsid w:val="00F64892"/>
    <w:rsid w:val="00F64E0A"/>
    <w:rsid w:val="00F652DB"/>
    <w:rsid w:val="00F65346"/>
    <w:rsid w:val="00F653DD"/>
    <w:rsid w:val="00F6591C"/>
    <w:rsid w:val="00F65CE3"/>
    <w:rsid w:val="00F65E10"/>
    <w:rsid w:val="00F661E9"/>
    <w:rsid w:val="00F669EA"/>
    <w:rsid w:val="00F66DFC"/>
    <w:rsid w:val="00F66F77"/>
    <w:rsid w:val="00F67133"/>
    <w:rsid w:val="00F67971"/>
    <w:rsid w:val="00F67ACD"/>
    <w:rsid w:val="00F67B23"/>
    <w:rsid w:val="00F67E96"/>
    <w:rsid w:val="00F67F9D"/>
    <w:rsid w:val="00F701A2"/>
    <w:rsid w:val="00F702C2"/>
    <w:rsid w:val="00F708E9"/>
    <w:rsid w:val="00F712AB"/>
    <w:rsid w:val="00F7137D"/>
    <w:rsid w:val="00F71520"/>
    <w:rsid w:val="00F7176F"/>
    <w:rsid w:val="00F71BB1"/>
    <w:rsid w:val="00F722CA"/>
    <w:rsid w:val="00F72921"/>
    <w:rsid w:val="00F72A59"/>
    <w:rsid w:val="00F732AD"/>
    <w:rsid w:val="00F733D9"/>
    <w:rsid w:val="00F738F9"/>
    <w:rsid w:val="00F73E28"/>
    <w:rsid w:val="00F73FC9"/>
    <w:rsid w:val="00F7410B"/>
    <w:rsid w:val="00F74823"/>
    <w:rsid w:val="00F74D4F"/>
    <w:rsid w:val="00F7590F"/>
    <w:rsid w:val="00F75BCB"/>
    <w:rsid w:val="00F75FE2"/>
    <w:rsid w:val="00F76426"/>
    <w:rsid w:val="00F7663B"/>
    <w:rsid w:val="00F76761"/>
    <w:rsid w:val="00F770AA"/>
    <w:rsid w:val="00F772CC"/>
    <w:rsid w:val="00F77427"/>
    <w:rsid w:val="00F77A74"/>
    <w:rsid w:val="00F77C86"/>
    <w:rsid w:val="00F8040E"/>
    <w:rsid w:val="00F8054F"/>
    <w:rsid w:val="00F805BD"/>
    <w:rsid w:val="00F80C12"/>
    <w:rsid w:val="00F80C74"/>
    <w:rsid w:val="00F80FF3"/>
    <w:rsid w:val="00F81166"/>
    <w:rsid w:val="00F81BCB"/>
    <w:rsid w:val="00F81CF0"/>
    <w:rsid w:val="00F81D86"/>
    <w:rsid w:val="00F8256B"/>
    <w:rsid w:val="00F825AA"/>
    <w:rsid w:val="00F827BF"/>
    <w:rsid w:val="00F82811"/>
    <w:rsid w:val="00F82AF6"/>
    <w:rsid w:val="00F82CD9"/>
    <w:rsid w:val="00F82E0D"/>
    <w:rsid w:val="00F82E46"/>
    <w:rsid w:val="00F82EFA"/>
    <w:rsid w:val="00F836E3"/>
    <w:rsid w:val="00F83B72"/>
    <w:rsid w:val="00F83B9B"/>
    <w:rsid w:val="00F84186"/>
    <w:rsid w:val="00F84FAD"/>
    <w:rsid w:val="00F8569E"/>
    <w:rsid w:val="00F85A14"/>
    <w:rsid w:val="00F86C43"/>
    <w:rsid w:val="00F86EF0"/>
    <w:rsid w:val="00F874CC"/>
    <w:rsid w:val="00F87760"/>
    <w:rsid w:val="00F87F37"/>
    <w:rsid w:val="00F87FBA"/>
    <w:rsid w:val="00F90129"/>
    <w:rsid w:val="00F905FC"/>
    <w:rsid w:val="00F90912"/>
    <w:rsid w:val="00F90CD5"/>
    <w:rsid w:val="00F90EB0"/>
    <w:rsid w:val="00F91016"/>
    <w:rsid w:val="00F913C6"/>
    <w:rsid w:val="00F914C5"/>
    <w:rsid w:val="00F91722"/>
    <w:rsid w:val="00F91AD5"/>
    <w:rsid w:val="00F927AA"/>
    <w:rsid w:val="00F92820"/>
    <w:rsid w:val="00F92A35"/>
    <w:rsid w:val="00F9313E"/>
    <w:rsid w:val="00F93181"/>
    <w:rsid w:val="00F9392A"/>
    <w:rsid w:val="00F940DF"/>
    <w:rsid w:val="00F94240"/>
    <w:rsid w:val="00F94864"/>
    <w:rsid w:val="00F94BCF"/>
    <w:rsid w:val="00F94EFD"/>
    <w:rsid w:val="00F954F9"/>
    <w:rsid w:val="00F95843"/>
    <w:rsid w:val="00F95BDD"/>
    <w:rsid w:val="00F973BC"/>
    <w:rsid w:val="00F97F66"/>
    <w:rsid w:val="00FA02EE"/>
    <w:rsid w:val="00FA055E"/>
    <w:rsid w:val="00FA0723"/>
    <w:rsid w:val="00FA0D8A"/>
    <w:rsid w:val="00FA1545"/>
    <w:rsid w:val="00FA2276"/>
    <w:rsid w:val="00FA22A4"/>
    <w:rsid w:val="00FA2923"/>
    <w:rsid w:val="00FA2BEB"/>
    <w:rsid w:val="00FA2CF2"/>
    <w:rsid w:val="00FA33A6"/>
    <w:rsid w:val="00FA3405"/>
    <w:rsid w:val="00FA38C1"/>
    <w:rsid w:val="00FA41C8"/>
    <w:rsid w:val="00FA4F4E"/>
    <w:rsid w:val="00FA5F5C"/>
    <w:rsid w:val="00FA64CF"/>
    <w:rsid w:val="00FA702D"/>
    <w:rsid w:val="00FA70A6"/>
    <w:rsid w:val="00FA713E"/>
    <w:rsid w:val="00FA756F"/>
    <w:rsid w:val="00FA7659"/>
    <w:rsid w:val="00FA7684"/>
    <w:rsid w:val="00FA7ABC"/>
    <w:rsid w:val="00FB03EA"/>
    <w:rsid w:val="00FB0769"/>
    <w:rsid w:val="00FB07FC"/>
    <w:rsid w:val="00FB0B18"/>
    <w:rsid w:val="00FB0D98"/>
    <w:rsid w:val="00FB10CE"/>
    <w:rsid w:val="00FB1E96"/>
    <w:rsid w:val="00FB1EF9"/>
    <w:rsid w:val="00FB23E9"/>
    <w:rsid w:val="00FB24F3"/>
    <w:rsid w:val="00FB2600"/>
    <w:rsid w:val="00FB26EE"/>
    <w:rsid w:val="00FB2ACA"/>
    <w:rsid w:val="00FB2E58"/>
    <w:rsid w:val="00FB2EF5"/>
    <w:rsid w:val="00FB2F26"/>
    <w:rsid w:val="00FB2F5B"/>
    <w:rsid w:val="00FB306D"/>
    <w:rsid w:val="00FB318A"/>
    <w:rsid w:val="00FB3323"/>
    <w:rsid w:val="00FB38DA"/>
    <w:rsid w:val="00FB3982"/>
    <w:rsid w:val="00FB39FC"/>
    <w:rsid w:val="00FB3F84"/>
    <w:rsid w:val="00FB40AB"/>
    <w:rsid w:val="00FB4546"/>
    <w:rsid w:val="00FB4E03"/>
    <w:rsid w:val="00FB54CF"/>
    <w:rsid w:val="00FB5CCC"/>
    <w:rsid w:val="00FB6303"/>
    <w:rsid w:val="00FB673E"/>
    <w:rsid w:val="00FB6F4B"/>
    <w:rsid w:val="00FB71FC"/>
    <w:rsid w:val="00FB753B"/>
    <w:rsid w:val="00FB76A3"/>
    <w:rsid w:val="00FB7ABE"/>
    <w:rsid w:val="00FC0055"/>
    <w:rsid w:val="00FC084C"/>
    <w:rsid w:val="00FC143F"/>
    <w:rsid w:val="00FC1E20"/>
    <w:rsid w:val="00FC2270"/>
    <w:rsid w:val="00FC25DA"/>
    <w:rsid w:val="00FC309F"/>
    <w:rsid w:val="00FC311B"/>
    <w:rsid w:val="00FC3D57"/>
    <w:rsid w:val="00FC3EB4"/>
    <w:rsid w:val="00FC3F04"/>
    <w:rsid w:val="00FC40BC"/>
    <w:rsid w:val="00FC4228"/>
    <w:rsid w:val="00FC4456"/>
    <w:rsid w:val="00FC488B"/>
    <w:rsid w:val="00FC4B81"/>
    <w:rsid w:val="00FC4D71"/>
    <w:rsid w:val="00FC4F5C"/>
    <w:rsid w:val="00FC51B8"/>
    <w:rsid w:val="00FC51BC"/>
    <w:rsid w:val="00FC561B"/>
    <w:rsid w:val="00FC563E"/>
    <w:rsid w:val="00FC573E"/>
    <w:rsid w:val="00FC57A5"/>
    <w:rsid w:val="00FC5C5B"/>
    <w:rsid w:val="00FC5FD1"/>
    <w:rsid w:val="00FC60B4"/>
    <w:rsid w:val="00FC63B5"/>
    <w:rsid w:val="00FC6C2D"/>
    <w:rsid w:val="00FC6FC2"/>
    <w:rsid w:val="00FC7045"/>
    <w:rsid w:val="00FC721B"/>
    <w:rsid w:val="00FC7602"/>
    <w:rsid w:val="00FC7E76"/>
    <w:rsid w:val="00FC7E96"/>
    <w:rsid w:val="00FD0693"/>
    <w:rsid w:val="00FD0E47"/>
    <w:rsid w:val="00FD0F13"/>
    <w:rsid w:val="00FD1005"/>
    <w:rsid w:val="00FD114A"/>
    <w:rsid w:val="00FD16AB"/>
    <w:rsid w:val="00FD17AF"/>
    <w:rsid w:val="00FD17CE"/>
    <w:rsid w:val="00FD1B1F"/>
    <w:rsid w:val="00FD1B46"/>
    <w:rsid w:val="00FD25B8"/>
    <w:rsid w:val="00FD2811"/>
    <w:rsid w:val="00FD2E3A"/>
    <w:rsid w:val="00FD3118"/>
    <w:rsid w:val="00FD356B"/>
    <w:rsid w:val="00FD38DC"/>
    <w:rsid w:val="00FD3C1F"/>
    <w:rsid w:val="00FD42D8"/>
    <w:rsid w:val="00FD4BB0"/>
    <w:rsid w:val="00FD527E"/>
    <w:rsid w:val="00FD54B7"/>
    <w:rsid w:val="00FD620F"/>
    <w:rsid w:val="00FD6457"/>
    <w:rsid w:val="00FD68D9"/>
    <w:rsid w:val="00FD7068"/>
    <w:rsid w:val="00FD71C9"/>
    <w:rsid w:val="00FD726B"/>
    <w:rsid w:val="00FD7358"/>
    <w:rsid w:val="00FD74EB"/>
    <w:rsid w:val="00FD755E"/>
    <w:rsid w:val="00FD7694"/>
    <w:rsid w:val="00FD78D7"/>
    <w:rsid w:val="00FD7946"/>
    <w:rsid w:val="00FD7CD3"/>
    <w:rsid w:val="00FE0246"/>
    <w:rsid w:val="00FE076A"/>
    <w:rsid w:val="00FE08A6"/>
    <w:rsid w:val="00FE0A42"/>
    <w:rsid w:val="00FE0B46"/>
    <w:rsid w:val="00FE0D74"/>
    <w:rsid w:val="00FE0EB4"/>
    <w:rsid w:val="00FE0F35"/>
    <w:rsid w:val="00FE1277"/>
    <w:rsid w:val="00FE1548"/>
    <w:rsid w:val="00FE17BC"/>
    <w:rsid w:val="00FE2561"/>
    <w:rsid w:val="00FE2BF8"/>
    <w:rsid w:val="00FE33D8"/>
    <w:rsid w:val="00FE3909"/>
    <w:rsid w:val="00FE4227"/>
    <w:rsid w:val="00FE44C5"/>
    <w:rsid w:val="00FE499A"/>
    <w:rsid w:val="00FE4BA4"/>
    <w:rsid w:val="00FE4C26"/>
    <w:rsid w:val="00FE5249"/>
    <w:rsid w:val="00FE6F64"/>
    <w:rsid w:val="00FE733C"/>
    <w:rsid w:val="00FE74EA"/>
    <w:rsid w:val="00FE7E82"/>
    <w:rsid w:val="00FE7F44"/>
    <w:rsid w:val="00FF0B75"/>
    <w:rsid w:val="00FF1021"/>
    <w:rsid w:val="00FF106A"/>
    <w:rsid w:val="00FF141F"/>
    <w:rsid w:val="00FF2C9D"/>
    <w:rsid w:val="00FF2CBD"/>
    <w:rsid w:val="00FF36E6"/>
    <w:rsid w:val="00FF406D"/>
    <w:rsid w:val="00FF4673"/>
    <w:rsid w:val="00FF4B86"/>
    <w:rsid w:val="00FF4D7C"/>
    <w:rsid w:val="00FF4EAB"/>
    <w:rsid w:val="00FF5253"/>
    <w:rsid w:val="00FF5617"/>
    <w:rsid w:val="00FF5C53"/>
    <w:rsid w:val="00FF5CE3"/>
    <w:rsid w:val="00FF5FFE"/>
    <w:rsid w:val="00FF652B"/>
    <w:rsid w:val="00FF6B11"/>
    <w:rsid w:val="00FF6DD6"/>
    <w:rsid w:val="00FF6F34"/>
    <w:rsid w:val="00FF780E"/>
    <w:rsid w:val="00FF7D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9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A46643"/>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A46643"/>
    <w:pPr>
      <w:keepNext/>
      <w:numPr>
        <w:numId w:val="5"/>
      </w:numPr>
      <w:ind w:right="1296"/>
      <w:outlineLvl w:val="0"/>
    </w:pPr>
    <w:rPr>
      <w:u w:val="single"/>
    </w:rPr>
  </w:style>
  <w:style w:type="paragraph" w:styleId="Heading2">
    <w:name w:val="heading 2"/>
    <w:basedOn w:val="Normal"/>
    <w:next w:val="Normal"/>
    <w:uiPriority w:val="99"/>
    <w:qFormat/>
    <w:locked/>
    <w:rsid w:val="00A46643"/>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A46643"/>
    <w:pPr>
      <w:keepNext/>
      <w:numPr>
        <w:ilvl w:val="2"/>
        <w:numId w:val="5"/>
      </w:numPr>
      <w:spacing w:before="240" w:after="60"/>
      <w:outlineLvl w:val="2"/>
    </w:pPr>
    <w:rPr>
      <w:rFonts w:ascii="Arial" w:hAnsi="Arial"/>
      <w:sz w:val="24"/>
    </w:rPr>
  </w:style>
  <w:style w:type="paragraph" w:styleId="Heading5">
    <w:name w:val="heading 5"/>
    <w:basedOn w:val="Normal"/>
    <w:next w:val="Normal"/>
    <w:link w:val="Heading5Char"/>
    <w:uiPriority w:val="99"/>
    <w:semiHidden/>
    <w:qFormat/>
    <w:locked/>
    <w:rsid w:val="00CE418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AGLC Heading Level 5"/>
    <w:basedOn w:val="Heading5"/>
    <w:next w:val="NormalIndent"/>
    <w:link w:val="Heading6Char"/>
    <w:autoRedefine/>
    <w:qFormat/>
    <w:locked/>
    <w:rsid w:val="00CE4181"/>
    <w:pPr>
      <w:keepNext w:val="0"/>
      <w:keepLines w:val="0"/>
      <w:numPr>
        <w:ilvl w:val="5"/>
        <w:numId w:val="21"/>
      </w:numPr>
      <w:tabs>
        <w:tab w:val="clear" w:pos="720"/>
        <w:tab w:val="clear" w:pos="1440"/>
        <w:tab w:val="clear" w:pos="2160"/>
        <w:tab w:val="clear" w:pos="2880"/>
        <w:tab w:val="clear" w:pos="3600"/>
        <w:tab w:val="clear" w:pos="4320"/>
        <w:tab w:val="clear" w:pos="5040"/>
        <w:tab w:val="clear" w:pos="5760"/>
        <w:tab w:val="clear" w:pos="6480"/>
        <w:tab w:val="clear" w:pos="7200"/>
      </w:tabs>
      <w:spacing w:before="250" w:after="125" w:line="288" w:lineRule="auto"/>
      <w:ind w:right="0"/>
      <w:outlineLvl w:val="5"/>
    </w:pPr>
    <w:rPr>
      <w:rFonts w:ascii="Univers" w:eastAsia="Times New Roman" w:hAnsi="Univers" w:cs="Times New Roman"/>
      <w:bCs/>
      <w:color w:val="auto"/>
      <w:kern w:val="14"/>
      <w:sz w:val="20"/>
      <w:szCs w:val="20"/>
      <w:lang w:eastAsia="en-US"/>
    </w:rPr>
  </w:style>
  <w:style w:type="character" w:default="1" w:styleId="DefaultParagraphFont">
    <w:name w:val="Default Paragraph Font"/>
    <w:uiPriority w:val="1"/>
    <w:semiHidden/>
    <w:unhideWhenUsed/>
    <w:rsid w:val="00A466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6643"/>
  </w:style>
  <w:style w:type="paragraph" w:styleId="Footer">
    <w:name w:val="footer"/>
    <w:basedOn w:val="Normal"/>
    <w:link w:val="FooterChar"/>
    <w:uiPriority w:val="43"/>
    <w:locked/>
    <w:rsid w:val="00A46643"/>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A46643"/>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A46643"/>
    <w:pPr>
      <w:spacing w:before="240" w:line="240" w:lineRule="exact"/>
      <w:ind w:left="720" w:right="794" w:firstLine="0"/>
    </w:pPr>
  </w:style>
  <w:style w:type="paragraph" w:styleId="FootnoteText">
    <w:name w:val="footnote text"/>
    <w:basedOn w:val="Normal"/>
    <w:link w:val="FootnoteTextChar"/>
    <w:uiPriority w:val="53"/>
    <w:locked/>
    <w:rsid w:val="00A46643"/>
    <w:pPr>
      <w:spacing w:after="240" w:line="240" w:lineRule="exact"/>
      <w:ind w:left="510" w:hanging="510"/>
    </w:pPr>
  </w:style>
  <w:style w:type="character" w:styleId="FootnoteReference">
    <w:name w:val="footnote reference"/>
    <w:uiPriority w:val="51"/>
    <w:locked/>
    <w:rsid w:val="00A46643"/>
    <w:rPr>
      <w:b/>
      <w:sz w:val="28"/>
      <w:vertAlign w:val="superscript"/>
    </w:rPr>
  </w:style>
  <w:style w:type="paragraph" w:customStyle="1" w:styleId="FootIndAgain">
    <w:name w:val="FootIndAgain"/>
    <w:basedOn w:val="FootnoteText"/>
    <w:uiPriority w:val="47"/>
    <w:qFormat/>
    <w:locked/>
    <w:rsid w:val="00A46643"/>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A46643"/>
    <w:pPr>
      <w:ind w:firstLine="0"/>
    </w:pPr>
  </w:style>
  <w:style w:type="character" w:customStyle="1" w:styleId="Heading1Char">
    <w:name w:val="Heading 1 Char"/>
    <w:uiPriority w:val="99"/>
    <w:semiHidden/>
    <w:locked/>
    <w:rsid w:val="00A46643"/>
    <w:rPr>
      <w:rFonts w:ascii="Univers" w:hAnsi="Univers"/>
      <w:sz w:val="26"/>
      <w:u w:val="single"/>
      <w:lang w:val="en-AU"/>
    </w:rPr>
  </w:style>
  <w:style w:type="character" w:customStyle="1" w:styleId="Heading2Char">
    <w:name w:val="Heading 2 Char"/>
    <w:uiPriority w:val="99"/>
    <w:semiHidden/>
    <w:locked/>
    <w:rsid w:val="00A46643"/>
    <w:rPr>
      <w:rFonts w:ascii="Arial" w:hAnsi="Arial"/>
      <w:b/>
      <w:i/>
      <w:sz w:val="24"/>
      <w:lang w:val="en-AU"/>
    </w:rPr>
  </w:style>
  <w:style w:type="character" w:customStyle="1" w:styleId="Heading3Char">
    <w:name w:val="Heading 3 Char"/>
    <w:uiPriority w:val="99"/>
    <w:semiHidden/>
    <w:locked/>
    <w:rsid w:val="00A46643"/>
    <w:rPr>
      <w:rFonts w:ascii="Arial" w:hAnsi="Arial"/>
      <w:sz w:val="24"/>
      <w:lang w:val="en-AU"/>
    </w:rPr>
  </w:style>
  <w:style w:type="paragraph" w:customStyle="1" w:styleId="NormalHC">
    <w:name w:val="Normal HC"/>
    <w:basedOn w:val="Normal"/>
    <w:uiPriority w:val="27"/>
    <w:qFormat/>
    <w:locked/>
    <w:rsid w:val="00A46643"/>
    <w:pPr>
      <w:numPr>
        <w:numId w:val="16"/>
      </w:numPr>
      <w:spacing w:after="480"/>
      <w:ind w:left="0" w:hanging="720"/>
    </w:pPr>
  </w:style>
  <w:style w:type="paragraph" w:customStyle="1" w:styleId="HeadingFirst">
    <w:name w:val="Heading First"/>
    <w:basedOn w:val="NormalHC"/>
    <w:next w:val="HeadingV"/>
    <w:uiPriority w:val="15"/>
    <w:qFormat/>
    <w:locked/>
    <w:rsid w:val="00A46643"/>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A46643"/>
    <w:pPr>
      <w:keepNext/>
      <w:numPr>
        <w:numId w:val="0"/>
      </w:numPr>
      <w:outlineLvl w:val="2"/>
    </w:pPr>
    <w:rPr>
      <w:b/>
      <w:szCs w:val="20"/>
    </w:rPr>
  </w:style>
  <w:style w:type="paragraph" w:customStyle="1" w:styleId="HeadingL2">
    <w:name w:val="Heading L2"/>
    <w:basedOn w:val="HeadingL1"/>
    <w:next w:val="NormalHC"/>
    <w:uiPriority w:val="23"/>
    <w:qFormat/>
    <w:locked/>
    <w:rsid w:val="00A46643"/>
    <w:pPr>
      <w:outlineLvl w:val="3"/>
    </w:pPr>
    <w:rPr>
      <w:b w:val="0"/>
      <w:i/>
    </w:rPr>
  </w:style>
  <w:style w:type="paragraph" w:customStyle="1" w:styleId="HeadingMatter">
    <w:name w:val="Heading Matter"/>
    <w:basedOn w:val="NormalHC"/>
    <w:next w:val="HeadingFirst"/>
    <w:uiPriority w:val="13"/>
    <w:qFormat/>
    <w:locked/>
    <w:rsid w:val="00A46643"/>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A46643"/>
    <w:pPr>
      <w:keepNext w:val="0"/>
    </w:pPr>
  </w:style>
  <w:style w:type="paragraph" w:customStyle="1" w:styleId="HeadingV">
    <w:name w:val="Heading V"/>
    <w:basedOn w:val="HeadingFirst"/>
    <w:next w:val="HeadingSecond"/>
    <w:uiPriority w:val="17"/>
    <w:qFormat/>
    <w:locked/>
    <w:rsid w:val="00A46643"/>
    <w:rPr>
      <w:caps w:val="0"/>
      <w:u w:val="none"/>
    </w:rPr>
  </w:style>
  <w:style w:type="paragraph" w:customStyle="1" w:styleId="LeftrightafterHC">
    <w:name w:val="Leftright after HC"/>
    <w:basedOn w:val="Normal"/>
    <w:next w:val="leftright"/>
    <w:uiPriority w:val="31"/>
    <w:qFormat/>
    <w:locked/>
    <w:rsid w:val="00A46643"/>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A46643"/>
    <w:pPr>
      <w:ind w:firstLine="720"/>
    </w:pPr>
  </w:style>
  <w:style w:type="paragraph" w:customStyle="1" w:styleId="LeftrightHanging">
    <w:name w:val="LeftrightHanging"/>
    <w:basedOn w:val="NormalHC"/>
    <w:uiPriority w:val="35"/>
    <w:qFormat/>
    <w:locked/>
    <w:rsid w:val="00A46643"/>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A46643"/>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A46643"/>
    <w:pPr>
      <w:spacing w:before="200"/>
      <w:ind w:left="2160"/>
    </w:pPr>
  </w:style>
  <w:style w:type="paragraph" w:customStyle="1" w:styleId="NormalafterHd2nd">
    <w:name w:val="Normal after Hd2nd"/>
    <w:basedOn w:val="NormalHC"/>
    <w:next w:val="NormalHC"/>
    <w:uiPriority w:val="29"/>
    <w:locked/>
    <w:rsid w:val="00A46643"/>
    <w:pPr>
      <w:numPr>
        <w:numId w:val="0"/>
      </w:numPr>
      <w:spacing w:before="1000"/>
    </w:pPr>
  </w:style>
  <w:style w:type="character" w:customStyle="1" w:styleId="NormalHCChar">
    <w:name w:val="Normal HC Char"/>
    <w:uiPriority w:val="99"/>
    <w:semiHidden/>
    <w:locked/>
    <w:rsid w:val="00A46643"/>
    <w:rPr>
      <w:rFonts w:ascii="Univers" w:hAnsi="Univers"/>
      <w:sz w:val="26"/>
      <w:szCs w:val="26"/>
    </w:rPr>
  </w:style>
  <w:style w:type="character" w:customStyle="1" w:styleId="StyleFootnoteReferenceChar">
    <w:name w:val="Style Footnote Reference Char"/>
    <w:uiPriority w:val="99"/>
    <w:semiHidden/>
    <w:locked/>
    <w:rsid w:val="00A46643"/>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A46643"/>
  </w:style>
  <w:style w:type="paragraph" w:customStyle="1" w:styleId="HeadingJudgment">
    <w:name w:val="Heading Judgment"/>
    <w:basedOn w:val="Normal"/>
    <w:uiPriority w:val="59"/>
    <w:qFormat/>
    <w:locked/>
    <w:rsid w:val="00A46643"/>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A46643"/>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A46643"/>
    <w:pPr>
      <w:outlineLvl w:val="4"/>
    </w:pPr>
    <w:rPr>
      <w:b w:val="0"/>
    </w:rPr>
  </w:style>
  <w:style w:type="character" w:styleId="PageNumber">
    <w:name w:val="page number"/>
    <w:basedOn w:val="DefaultParagraphFont"/>
    <w:uiPriority w:val="57"/>
    <w:locked/>
    <w:rsid w:val="00A46643"/>
  </w:style>
  <w:style w:type="paragraph" w:styleId="BalloonText">
    <w:name w:val="Balloon Text"/>
    <w:basedOn w:val="Normal"/>
    <w:link w:val="BalloonTextChar"/>
    <w:semiHidden/>
    <w:locked/>
    <w:rsid w:val="00A46643"/>
    <w:rPr>
      <w:rFonts w:ascii="Tahoma" w:hAnsi="Tahoma" w:cs="Tahoma"/>
      <w:sz w:val="16"/>
      <w:szCs w:val="16"/>
      <w:lang w:eastAsia="en-US"/>
    </w:rPr>
  </w:style>
  <w:style w:type="character" w:customStyle="1" w:styleId="BalloonTextChar">
    <w:name w:val="Balloon Text Char"/>
    <w:basedOn w:val="DefaultParagraphFont"/>
    <w:link w:val="BalloonText"/>
    <w:semiHidden/>
    <w:rsid w:val="00A46643"/>
    <w:rPr>
      <w:rFonts w:ascii="Tahoma" w:hAnsi="Tahoma" w:cs="Tahoma"/>
      <w:sz w:val="16"/>
      <w:szCs w:val="16"/>
      <w:lang w:eastAsia="en-US"/>
    </w:rPr>
  </w:style>
  <w:style w:type="paragraph" w:customStyle="1" w:styleId="ClosingText">
    <w:name w:val="Closing Text"/>
    <w:basedOn w:val="Normal"/>
    <w:uiPriority w:val="98"/>
    <w:semiHidden/>
    <w:qFormat/>
    <w:locked/>
    <w:rsid w:val="00A46643"/>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A46643"/>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A46643"/>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A46643"/>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A46643"/>
    <w:rPr>
      <w:szCs w:val="20"/>
      <w:lang w:eastAsia="en-US"/>
    </w:rPr>
  </w:style>
  <w:style w:type="paragraph" w:customStyle="1" w:styleId="NormalBody">
    <w:name w:val="Normal Body"/>
    <w:basedOn w:val="NormalHC"/>
    <w:uiPriority w:val="28"/>
    <w:qFormat/>
    <w:locked/>
    <w:rsid w:val="00A46643"/>
    <w:pPr>
      <w:numPr>
        <w:numId w:val="0"/>
      </w:numPr>
    </w:pPr>
    <w:rPr>
      <w:lang w:eastAsia="en-US"/>
    </w:rPr>
  </w:style>
  <w:style w:type="paragraph" w:customStyle="1" w:styleId="StyleFootnoteReference">
    <w:name w:val="Style Footnote Reference"/>
    <w:basedOn w:val="Normal"/>
    <w:next w:val="Normal"/>
    <w:semiHidden/>
    <w:rsid w:val="00A46643"/>
    <w:rPr>
      <w:vertAlign w:val="superscript"/>
      <w:lang w:eastAsia="en-US"/>
    </w:rPr>
  </w:style>
  <w:style w:type="paragraph" w:styleId="ListNumber">
    <w:name w:val="List Number"/>
    <w:basedOn w:val="Normal"/>
    <w:uiPriority w:val="56"/>
    <w:locked/>
    <w:rsid w:val="00A46643"/>
    <w:pPr>
      <w:numPr>
        <w:numId w:val="11"/>
      </w:numPr>
      <w:contextualSpacing/>
    </w:pPr>
  </w:style>
  <w:style w:type="paragraph" w:customStyle="1" w:styleId="FixListStyle">
    <w:name w:val="FixListStyle"/>
    <w:basedOn w:val="Normal"/>
    <w:uiPriority w:val="99"/>
    <w:qFormat/>
    <w:rsid w:val="00A46643"/>
    <w:pPr>
      <w:numPr>
        <w:numId w:val="18"/>
      </w:numPr>
      <w:spacing w:after="480"/>
      <w:ind w:left="0" w:hanging="720"/>
    </w:pPr>
  </w:style>
  <w:style w:type="paragraph" w:customStyle="1" w:styleId="CatchwordsBold">
    <w:name w:val="Catchwords Bold"/>
    <w:basedOn w:val="Normal"/>
    <w:link w:val="CatchwordsBoldChar"/>
    <w:qFormat/>
    <w:rsid w:val="00A46643"/>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A46643"/>
    <w:rPr>
      <w:rFonts w:ascii="Times New Roman" w:hAnsi="Times New Roman"/>
      <w:b/>
      <w:szCs w:val="20"/>
    </w:rPr>
  </w:style>
  <w:style w:type="paragraph" w:customStyle="1" w:styleId="CatchwordsRight">
    <w:name w:val="Catchwords Right"/>
    <w:basedOn w:val="Normal"/>
    <w:link w:val="CatchwordsRightChar"/>
    <w:qFormat/>
    <w:rsid w:val="00A46643"/>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A46643"/>
    <w:rPr>
      <w:rFonts w:ascii="Times New Roman" w:hAnsi="Times New Roman"/>
      <w:szCs w:val="20"/>
    </w:rPr>
  </w:style>
  <w:style w:type="paragraph" w:customStyle="1" w:styleId="CatchwordsText">
    <w:name w:val="Catchwords Text"/>
    <w:basedOn w:val="Normal"/>
    <w:link w:val="CatchwordsTextChar"/>
    <w:qFormat/>
    <w:rsid w:val="00A46643"/>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A46643"/>
    <w:rPr>
      <w:rFonts w:ascii="Times New Roman" w:hAnsi="Times New Roman"/>
      <w:szCs w:val="20"/>
    </w:rPr>
  </w:style>
  <w:style w:type="paragraph" w:customStyle="1" w:styleId="CenteredBorder">
    <w:name w:val="Centered Border"/>
    <w:qFormat/>
    <w:rsid w:val="00A4664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A46643"/>
    <w:pPr>
      <w:jc w:val="center"/>
    </w:pPr>
    <w:rPr>
      <w:rFonts w:ascii="Times New Roman" w:hAnsi="Times New Roman"/>
      <w:b/>
      <w:bCs/>
      <w:szCs w:val="20"/>
      <w:lang w:val="en-GB"/>
    </w:rPr>
  </w:style>
  <w:style w:type="character" w:customStyle="1" w:styleId="OrderCentred">
    <w:name w:val="Order Centred"/>
    <w:semiHidden/>
    <w:rsid w:val="00A46643"/>
    <w:rPr>
      <w:b/>
      <w:bCs/>
      <w:sz w:val="26"/>
    </w:rPr>
  </w:style>
  <w:style w:type="paragraph" w:customStyle="1" w:styleId="OrdersTopLine">
    <w:name w:val="Orders TopLine"/>
    <w:qFormat/>
    <w:rsid w:val="00A46643"/>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A4664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A4664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A46643"/>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A4664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A46643"/>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A46643"/>
    <w:rPr>
      <w:rFonts w:ascii="Times New Roman" w:hAnsi="Times New Roman"/>
      <w:i/>
      <w:lang w:eastAsia="en-US"/>
    </w:rPr>
  </w:style>
  <w:style w:type="paragraph" w:customStyle="1" w:styleId="OrdersIndentLevel2i">
    <w:name w:val="Orders Indent Level 2 (i)"/>
    <w:basedOn w:val="Normal"/>
    <w:link w:val="OrdersIndentLevel2iChar"/>
    <w:qFormat/>
    <w:rsid w:val="00A46643"/>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A46643"/>
    <w:rPr>
      <w:rFonts w:ascii="Times New Roman" w:hAnsi="Times New Roman"/>
      <w:i/>
      <w:lang w:eastAsia="en-US"/>
    </w:rPr>
  </w:style>
  <w:style w:type="paragraph" w:customStyle="1" w:styleId="OrdersMatter">
    <w:name w:val="Orders Matter"/>
    <w:basedOn w:val="OrderCentreBold"/>
    <w:link w:val="OrdersMatterChar"/>
    <w:qFormat/>
    <w:rsid w:val="00A46643"/>
  </w:style>
  <w:style w:type="character" w:customStyle="1" w:styleId="OrdersMatterChar">
    <w:name w:val="Orders Matter Char"/>
    <w:link w:val="OrdersMatter"/>
    <w:rsid w:val="00A46643"/>
    <w:rPr>
      <w:rFonts w:ascii="Times New Roman" w:hAnsi="Times New Roman"/>
      <w:b/>
      <w:bCs/>
      <w:szCs w:val="20"/>
      <w:lang w:val="en-GB"/>
    </w:rPr>
  </w:style>
  <w:style w:type="paragraph" w:customStyle="1" w:styleId="OrdersNotice">
    <w:name w:val="Orders Notice"/>
    <w:rsid w:val="00A46643"/>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A46643"/>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A46643"/>
    <w:rPr>
      <w:rFonts w:ascii="Times New Roman" w:hAnsi="Times New Roman"/>
      <w:szCs w:val="20"/>
      <w:lang w:eastAsia="en-US"/>
    </w:rPr>
  </w:style>
  <w:style w:type="paragraph" w:customStyle="1" w:styleId="OrdersText">
    <w:name w:val="Orders Text"/>
    <w:basedOn w:val="Normal"/>
    <w:link w:val="OrdersTextChar"/>
    <w:qFormat/>
    <w:rsid w:val="00A46643"/>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A46643"/>
    <w:rPr>
      <w:rFonts w:ascii="Times New Roman" w:hAnsi="Times New Roman"/>
      <w:i/>
      <w:lang w:eastAsia="en-US"/>
    </w:rPr>
  </w:style>
  <w:style w:type="paragraph" w:customStyle="1" w:styleId="OrdersCenteredBorder">
    <w:name w:val="Orders Centered Border"/>
    <w:qFormat/>
    <w:rsid w:val="00A4664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A46643"/>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A46643"/>
    <w:rPr>
      <w:rFonts w:ascii="Times New Roman" w:hAnsi="Times New Roman"/>
      <w:szCs w:val="20"/>
    </w:rPr>
  </w:style>
  <w:style w:type="character" w:customStyle="1" w:styleId="FootnoteTextChar">
    <w:name w:val="Footnote Text Char"/>
    <w:basedOn w:val="DefaultParagraphFont"/>
    <w:link w:val="FootnoteText"/>
    <w:uiPriority w:val="53"/>
    <w:rsid w:val="0002021E"/>
  </w:style>
  <w:style w:type="paragraph" w:styleId="Revision">
    <w:name w:val="Revision"/>
    <w:hidden/>
    <w:uiPriority w:val="99"/>
    <w:semiHidden/>
    <w:rsid w:val="004A1A32"/>
  </w:style>
  <w:style w:type="character" w:styleId="Hyperlink">
    <w:name w:val="Hyperlink"/>
    <w:basedOn w:val="DefaultParagraphFont"/>
    <w:uiPriority w:val="99"/>
    <w:unhideWhenUsed/>
    <w:locked/>
    <w:rsid w:val="00CE4181"/>
    <w:rPr>
      <w:color w:val="0000FF"/>
      <w:u w:val="single"/>
    </w:rPr>
  </w:style>
  <w:style w:type="character" w:styleId="Emphasis">
    <w:name w:val="Emphasis"/>
    <w:basedOn w:val="DefaultParagraphFont"/>
    <w:uiPriority w:val="20"/>
    <w:qFormat/>
    <w:locked/>
    <w:rsid w:val="00CE4181"/>
    <w:rPr>
      <w:i/>
      <w:iCs/>
    </w:rPr>
  </w:style>
  <w:style w:type="character" w:styleId="CommentReference">
    <w:name w:val="annotation reference"/>
    <w:basedOn w:val="DefaultParagraphFont"/>
    <w:uiPriority w:val="99"/>
    <w:semiHidden/>
    <w:unhideWhenUsed/>
    <w:locked/>
    <w:rsid w:val="00CE4181"/>
    <w:rPr>
      <w:sz w:val="16"/>
      <w:szCs w:val="16"/>
    </w:rPr>
  </w:style>
  <w:style w:type="paragraph" w:styleId="CommentText">
    <w:name w:val="annotation text"/>
    <w:basedOn w:val="Normal"/>
    <w:link w:val="CommentTextChar"/>
    <w:uiPriority w:val="99"/>
    <w:unhideWhenUsed/>
    <w:locked/>
    <w:rsid w:val="00CE4181"/>
    <w:pPr>
      <w:spacing w:line="240" w:lineRule="auto"/>
    </w:pPr>
    <w:rPr>
      <w:sz w:val="20"/>
      <w:szCs w:val="20"/>
    </w:rPr>
  </w:style>
  <w:style w:type="character" w:customStyle="1" w:styleId="CommentTextChar">
    <w:name w:val="Comment Text Char"/>
    <w:basedOn w:val="DefaultParagraphFont"/>
    <w:link w:val="CommentText"/>
    <w:uiPriority w:val="99"/>
    <w:rsid w:val="00CE4181"/>
    <w:rPr>
      <w:sz w:val="20"/>
      <w:szCs w:val="20"/>
    </w:rPr>
  </w:style>
  <w:style w:type="paragraph" w:styleId="CommentSubject">
    <w:name w:val="annotation subject"/>
    <w:basedOn w:val="CommentText"/>
    <w:next w:val="CommentText"/>
    <w:link w:val="CommentSubjectChar"/>
    <w:uiPriority w:val="99"/>
    <w:semiHidden/>
    <w:unhideWhenUsed/>
    <w:locked/>
    <w:rsid w:val="00CE4181"/>
    <w:rPr>
      <w:b/>
      <w:bCs/>
    </w:rPr>
  </w:style>
  <w:style w:type="character" w:customStyle="1" w:styleId="CommentSubjectChar">
    <w:name w:val="Comment Subject Char"/>
    <w:basedOn w:val="CommentTextChar"/>
    <w:link w:val="CommentSubject"/>
    <w:uiPriority w:val="99"/>
    <w:semiHidden/>
    <w:rsid w:val="00CE4181"/>
    <w:rPr>
      <w:b/>
      <w:bCs/>
      <w:sz w:val="20"/>
      <w:szCs w:val="20"/>
    </w:rPr>
  </w:style>
  <w:style w:type="character" w:styleId="UnresolvedMention">
    <w:name w:val="Unresolved Mention"/>
    <w:basedOn w:val="DefaultParagraphFont"/>
    <w:uiPriority w:val="99"/>
    <w:semiHidden/>
    <w:unhideWhenUsed/>
    <w:rsid w:val="00CE4181"/>
    <w:rPr>
      <w:color w:val="605E5C"/>
      <w:shd w:val="clear" w:color="auto" w:fill="E1DFDD"/>
    </w:rPr>
  </w:style>
  <w:style w:type="character" w:styleId="FollowedHyperlink">
    <w:name w:val="FollowedHyperlink"/>
    <w:basedOn w:val="DefaultParagraphFont"/>
    <w:uiPriority w:val="99"/>
    <w:semiHidden/>
    <w:unhideWhenUsed/>
    <w:locked/>
    <w:rsid w:val="00CE4181"/>
    <w:rPr>
      <w:color w:val="800080" w:themeColor="followedHyperlink"/>
      <w:u w:val="single"/>
    </w:rPr>
  </w:style>
  <w:style w:type="character" w:customStyle="1" w:styleId="Heading5Char">
    <w:name w:val="Heading 5 Char"/>
    <w:basedOn w:val="DefaultParagraphFont"/>
    <w:link w:val="Heading5"/>
    <w:uiPriority w:val="99"/>
    <w:semiHidden/>
    <w:rsid w:val="00CE4181"/>
    <w:rPr>
      <w:rFonts w:asciiTheme="majorHAnsi" w:eastAsiaTheme="majorEastAsia" w:hAnsiTheme="majorHAnsi" w:cstheme="majorBidi"/>
      <w:color w:val="365F91" w:themeColor="accent1" w:themeShade="BF"/>
    </w:rPr>
  </w:style>
  <w:style w:type="character" w:customStyle="1" w:styleId="Heading6Char">
    <w:name w:val="Heading 6 Char"/>
    <w:aliases w:val="AGLC Heading Level 5 Char"/>
    <w:basedOn w:val="DefaultParagraphFont"/>
    <w:link w:val="Heading6"/>
    <w:rsid w:val="00CE4181"/>
    <w:rPr>
      <w:bCs/>
      <w:kern w:val="14"/>
      <w:sz w:val="20"/>
      <w:szCs w:val="20"/>
      <w:lang w:eastAsia="en-US"/>
    </w:rPr>
  </w:style>
  <w:style w:type="paragraph" w:customStyle="1" w:styleId="NoNorm">
    <w:name w:val="No Norm"/>
    <w:basedOn w:val="Normal"/>
    <w:qFormat/>
    <w:rsid w:val="00CE4181"/>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CE4181"/>
    <w:pPr>
      <w:tabs>
        <w:tab w:val="clear" w:pos="2160"/>
        <w:tab w:val="left" w:pos="1418"/>
      </w:tabs>
      <w:ind w:left="1418" w:hanging="709"/>
    </w:pPr>
  </w:style>
  <w:style w:type="paragraph" w:customStyle="1" w:styleId="Indentlista">
    <w:name w:val="Indent list a)"/>
    <w:basedOn w:val="Noindentnormal"/>
    <w:qFormat/>
    <w:rsid w:val="00CE4181"/>
    <w:pPr>
      <w:tabs>
        <w:tab w:val="left" w:pos="2268"/>
      </w:tabs>
      <w:spacing w:before="60"/>
      <w:ind w:left="2268" w:hanging="567"/>
    </w:pPr>
  </w:style>
  <w:style w:type="paragraph" w:customStyle="1" w:styleId="SS-Paragraph">
    <w:name w:val="SS - Paragraph"/>
    <w:basedOn w:val="NoNorm"/>
    <w:qFormat/>
    <w:rsid w:val="00CE4181"/>
  </w:style>
  <w:style w:type="paragraph" w:styleId="EndnoteText">
    <w:name w:val="endnote text"/>
    <w:basedOn w:val="Normal"/>
    <w:link w:val="EndnoteTextChar"/>
    <w:uiPriority w:val="99"/>
    <w:semiHidden/>
    <w:unhideWhenUsed/>
    <w:locked/>
    <w:rsid w:val="00CE4181"/>
    <w:pPr>
      <w:spacing w:line="240" w:lineRule="auto"/>
    </w:pPr>
    <w:rPr>
      <w:sz w:val="20"/>
      <w:szCs w:val="20"/>
    </w:rPr>
  </w:style>
  <w:style w:type="character" w:customStyle="1" w:styleId="EndnoteTextChar">
    <w:name w:val="Endnote Text Char"/>
    <w:basedOn w:val="DefaultParagraphFont"/>
    <w:link w:val="EndnoteText"/>
    <w:uiPriority w:val="99"/>
    <w:semiHidden/>
    <w:rsid w:val="00CE4181"/>
    <w:rPr>
      <w:sz w:val="20"/>
      <w:szCs w:val="20"/>
    </w:rPr>
  </w:style>
  <w:style w:type="character" w:styleId="EndnoteReference">
    <w:name w:val="endnote reference"/>
    <w:basedOn w:val="DefaultParagraphFont"/>
    <w:uiPriority w:val="99"/>
    <w:semiHidden/>
    <w:unhideWhenUsed/>
    <w:locked/>
    <w:rsid w:val="00CE4181"/>
    <w:rPr>
      <w:vertAlign w:val="superscript"/>
    </w:rPr>
  </w:style>
  <w:style w:type="paragraph" w:customStyle="1" w:styleId="Level1">
    <w:name w:val="Level 1"/>
    <w:basedOn w:val="Normal"/>
    <w:qFormat/>
    <w:rsid w:val="00CE4181"/>
    <w:pPr>
      <w:widowControl w:val="0"/>
      <w:numPr>
        <w:numId w:val="22"/>
      </w:numPr>
      <w:tabs>
        <w:tab w:val="clear" w:pos="720"/>
        <w:tab w:val="clear" w:pos="1440"/>
        <w:tab w:val="clear" w:pos="2160"/>
        <w:tab w:val="clear" w:pos="2880"/>
        <w:tab w:val="clear" w:pos="3600"/>
        <w:tab w:val="clear" w:pos="4320"/>
        <w:tab w:val="clear" w:pos="5760"/>
        <w:tab w:val="clear" w:pos="6480"/>
        <w:tab w:val="clear" w:pos="7200"/>
        <w:tab w:val="left" w:pos="20"/>
        <w:tab w:val="left" w:pos="709"/>
        <w:tab w:val="left" w:pos="1680"/>
        <w:tab w:val="left" w:pos="2240"/>
        <w:tab w:val="left" w:pos="2800"/>
        <w:tab w:val="left" w:pos="3360"/>
        <w:tab w:val="left" w:pos="3920"/>
        <w:tab w:val="left" w:pos="4480"/>
        <w:tab w:val="left" w:pos="5600"/>
        <w:tab w:val="left" w:pos="6160"/>
        <w:tab w:val="left" w:pos="6720"/>
      </w:tabs>
      <w:autoSpaceDE w:val="0"/>
      <w:autoSpaceDN w:val="0"/>
      <w:adjustRightInd w:val="0"/>
      <w:spacing w:before="250" w:after="130" w:line="300" w:lineRule="auto"/>
      <w:ind w:left="709" w:right="0" w:hanging="709"/>
    </w:pPr>
    <w:rPr>
      <w:rFonts w:eastAsia="MS Mincho"/>
      <w:b/>
      <w:sz w:val="24"/>
      <w:szCs w:val="24"/>
      <w:lang w:eastAsia="ja-JP"/>
    </w:rPr>
  </w:style>
  <w:style w:type="paragraph" w:customStyle="1" w:styleId="Level2">
    <w:name w:val="Level 2"/>
    <w:basedOn w:val="Level1"/>
    <w:qFormat/>
    <w:rsid w:val="00CE4181"/>
    <w:pPr>
      <w:widowControl/>
      <w:numPr>
        <w:ilvl w:val="1"/>
      </w:numPr>
      <w:tabs>
        <w:tab w:val="clear" w:pos="20"/>
      </w:tabs>
      <w:spacing w:before="0"/>
      <w:ind w:left="709" w:hanging="709"/>
    </w:pPr>
    <w:rPr>
      <w:b w:val="0"/>
      <w:sz w:val="20"/>
      <w:szCs w:val="20"/>
      <w:lang w:eastAsia="en-US"/>
    </w:rPr>
  </w:style>
  <w:style w:type="paragraph" w:customStyle="1" w:styleId="Quote-Indent">
    <w:name w:val="Quote - Indent"/>
    <w:basedOn w:val="Normal"/>
    <w:qFormat/>
    <w:rsid w:val="00CE4181"/>
    <w:pPr>
      <w:widowControl w:val="0"/>
      <w:tabs>
        <w:tab w:val="clear" w:pos="720"/>
        <w:tab w:val="clear" w:pos="1440"/>
        <w:tab w:val="clear" w:pos="2160"/>
        <w:tab w:val="clear" w:pos="2880"/>
        <w:tab w:val="clear" w:pos="3600"/>
        <w:tab w:val="clear" w:pos="4320"/>
        <w:tab w:val="clear" w:pos="5760"/>
        <w:tab w:val="clear" w:pos="6480"/>
        <w:tab w:val="clear" w:pos="7200"/>
        <w:tab w:val="left" w:pos="20"/>
        <w:tab w:val="left" w:pos="709"/>
        <w:tab w:val="left" w:pos="1276"/>
        <w:tab w:val="left" w:pos="2240"/>
        <w:tab w:val="left" w:pos="2800"/>
        <w:tab w:val="left" w:pos="3360"/>
        <w:tab w:val="left" w:pos="3920"/>
        <w:tab w:val="left" w:pos="4480"/>
        <w:tab w:val="left" w:pos="5600"/>
        <w:tab w:val="left" w:pos="6160"/>
        <w:tab w:val="left" w:pos="6720"/>
      </w:tabs>
      <w:autoSpaceDE w:val="0"/>
      <w:autoSpaceDN w:val="0"/>
      <w:adjustRightInd w:val="0"/>
      <w:spacing w:after="130" w:line="300" w:lineRule="auto"/>
      <w:ind w:left="1276" w:right="0" w:firstLine="0"/>
    </w:pPr>
    <w:rPr>
      <w:rFonts w:eastAsia="MS Mincho"/>
      <w:sz w:val="18"/>
      <w:szCs w:val="20"/>
      <w:lang w:eastAsia="ja-JP"/>
    </w:rPr>
  </w:style>
  <w:style w:type="paragraph" w:styleId="NormalIndent">
    <w:name w:val="Normal Indent"/>
    <w:basedOn w:val="Normal"/>
    <w:uiPriority w:val="99"/>
    <w:semiHidden/>
    <w:unhideWhenUsed/>
    <w:locked/>
    <w:rsid w:val="00CE4181"/>
    <w:pPr>
      <w:ind w:left="720"/>
    </w:pPr>
  </w:style>
  <w:style w:type="paragraph" w:styleId="ListParagraph">
    <w:name w:val="List Paragraph"/>
    <w:basedOn w:val="Normal"/>
    <w:uiPriority w:val="34"/>
    <w:qFormat/>
    <w:locked/>
    <w:rsid w:val="00CE4181"/>
    <w:pPr>
      <w:ind w:left="720"/>
      <w:contextualSpacing/>
    </w:pPr>
  </w:style>
  <w:style w:type="character" w:customStyle="1" w:styleId="ssleftalign">
    <w:name w:val="ss_leftalign"/>
    <w:basedOn w:val="DefaultParagraphFont"/>
    <w:rsid w:val="00CE4181"/>
  </w:style>
  <w:style w:type="character" w:customStyle="1" w:styleId="ssit">
    <w:name w:val="ss_it"/>
    <w:basedOn w:val="DefaultParagraphFont"/>
    <w:rsid w:val="00CE4181"/>
  </w:style>
  <w:style w:type="character" w:customStyle="1" w:styleId="sup">
    <w:name w:val="sup"/>
    <w:basedOn w:val="DefaultParagraphFont"/>
    <w:rsid w:val="00CE4181"/>
  </w:style>
  <w:style w:type="paragraph" w:customStyle="1" w:styleId="Default">
    <w:name w:val="Default"/>
    <w:rsid w:val="00CE4181"/>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locked/>
    <w:rsid w:val="00CE4181"/>
    <w:rPr>
      <w:b/>
      <w:bCs/>
    </w:rPr>
  </w:style>
  <w:style w:type="paragraph" w:styleId="PlainText">
    <w:name w:val="Plain Text"/>
    <w:basedOn w:val="Normal"/>
    <w:link w:val="PlainTextChar"/>
    <w:uiPriority w:val="99"/>
    <w:unhideWhenUsed/>
    <w:locked/>
    <w:rsid w:val="00CE418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Pr>
      <w:rFonts w:ascii="Arial" w:eastAsiaTheme="minorHAnsi" w:hAnsi="Arial" w:cs="Arial"/>
      <w:sz w:val="20"/>
      <w:szCs w:val="20"/>
      <w:lang w:eastAsia="en-US"/>
    </w:rPr>
  </w:style>
  <w:style w:type="character" w:customStyle="1" w:styleId="PlainTextChar">
    <w:name w:val="Plain Text Char"/>
    <w:basedOn w:val="DefaultParagraphFont"/>
    <w:link w:val="PlainText"/>
    <w:uiPriority w:val="99"/>
    <w:rsid w:val="00CE4181"/>
    <w:rPr>
      <w:rFonts w:ascii="Arial" w:eastAsiaTheme="minorHAnsi" w:hAnsi="Arial" w:cs="Arial"/>
      <w:sz w:val="20"/>
      <w:szCs w:val="20"/>
      <w:lang w:eastAsia="en-US"/>
    </w:rPr>
  </w:style>
  <w:style w:type="paragraph" w:customStyle="1" w:styleId="Body">
    <w:name w:val="Body"/>
    <w:basedOn w:val="Normal"/>
    <w:qFormat/>
    <w:rsid w:val="00005D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05D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05D6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05D6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05D6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05D6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41209">
      <w:bodyDiv w:val="1"/>
      <w:marLeft w:val="0"/>
      <w:marRight w:val="0"/>
      <w:marTop w:val="0"/>
      <w:marBottom w:val="0"/>
      <w:divBdr>
        <w:top w:val="none" w:sz="0" w:space="0" w:color="auto"/>
        <w:left w:val="none" w:sz="0" w:space="0" w:color="auto"/>
        <w:bottom w:val="none" w:sz="0" w:space="0" w:color="auto"/>
        <w:right w:val="none" w:sz="0" w:space="0" w:color="auto"/>
      </w:divBdr>
    </w:div>
    <w:div w:id="835614248">
      <w:bodyDiv w:val="1"/>
      <w:marLeft w:val="0"/>
      <w:marRight w:val="0"/>
      <w:marTop w:val="0"/>
      <w:marBottom w:val="0"/>
      <w:divBdr>
        <w:top w:val="none" w:sz="0" w:space="0" w:color="auto"/>
        <w:left w:val="none" w:sz="0" w:space="0" w:color="auto"/>
        <w:bottom w:val="none" w:sz="0" w:space="0" w:color="auto"/>
        <w:right w:val="none" w:sz="0" w:space="0" w:color="auto"/>
      </w:divBdr>
    </w:div>
    <w:div w:id="1093669827">
      <w:bodyDiv w:val="1"/>
      <w:marLeft w:val="0"/>
      <w:marRight w:val="0"/>
      <w:marTop w:val="0"/>
      <w:marBottom w:val="0"/>
      <w:divBdr>
        <w:top w:val="none" w:sz="0" w:space="0" w:color="auto"/>
        <w:left w:val="none" w:sz="0" w:space="0" w:color="auto"/>
        <w:bottom w:val="none" w:sz="0" w:space="0" w:color="auto"/>
        <w:right w:val="none" w:sz="0" w:space="0" w:color="auto"/>
      </w:divBdr>
    </w:div>
    <w:div w:id="213971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0934-72CB-4B79-B982-63AC8DD11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721607A2-6CCC-4CB1-928D-48D10EB3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Chambers(V8.0).dotm</Template>
  <TotalTime>0</TotalTime>
  <Pages>115</Pages>
  <Words>30440</Words>
  <Characters>173510</Characters>
  <Application>Microsoft Office Word</Application>
  <DocSecurity>0</DocSecurity>
  <Lines>1445</Lines>
  <Paragraphs>407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Matter No M112 of 2020</vt:lpstr>
      <vt:lpstr>    MINISTER FOR HOME AFFAIRS</vt:lpstr>
      <vt:lpstr>    v</vt:lpstr>
      <vt:lpstr>    ABDUL NACER BENBRIKA</vt:lpstr>
      <vt:lpstr>Matter No M112 of 2020</vt:lpstr>
      <vt:lpstr>    MINISTER FOR HOME AFFAIRS</vt:lpstr>
      <vt:lpstr>    v</vt:lpstr>
      <vt:lpstr>    ABDUL NACER BENBRIKA</vt:lpstr>
      <vt:lpstr>        Procedural history</vt:lpstr>
      <vt:lpstr>        The scheme of Div 105A of the Code</vt:lpstr>
      <vt:lpstr>        Two arguments as to judicial power</vt:lpstr>
      <vt:lpstr>        Mr Benbrika's principal argument</vt:lpstr>
      <vt:lpstr>        Lim</vt:lpstr>
      <vt:lpstr>        An unexplained aspect of acceptance of the challenge</vt:lpstr>
      <vt:lpstr>        Fardon</vt:lpstr>
      <vt:lpstr>        The Commonwealth's submission</vt:lpstr>
      <vt:lpstr>        The exceptions to Lim</vt:lpstr>
      <vt:lpstr>        Characterisation of Div 105A as punitive or non-punitive</vt:lpstr>
      <vt:lpstr>        Costs</vt:lpstr>
      <vt:lpstr>        Conclusion and orders</vt:lpstr>
    </vt:vector>
  </TitlesOfParts>
  <LinksUpToDate>false</LinksUpToDate>
  <CharactersWithSpaces>203543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2021-02-08T23:44:00Z</dcterms:created>
  <dcterms:modified xsi:type="dcterms:W3CDTF">2021-02-09T02:53:00Z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GORDON J 05</vt:lpwstr>
  </property>
  <property fmtid="{D5CDD505-2E9C-101B-9397-08002B2CF9AE}" pid="7" name="Judge06">
    <vt:lpwstr>EDELMAN J 06</vt:lpwstr>
  </property>
  <property fmtid="{D5CDD505-2E9C-101B-9397-08002B2CF9AE}" pid="8" name="Judge07">
    <vt:lpwstr>STEWARD J 07</vt:lpwstr>
  </property>
  <property fmtid="{D5CDD505-2E9C-101B-9397-08002B2CF9AE}" pid="9" name="ContentTypeId">
    <vt:lpwstr>0x0101001F32D2EC4F8DE44A8C0C478B82839881</vt:lpwstr>
  </property>
</Properties>
</file>