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4F77" w14:textId="77777777" w:rsidR="00D8043E" w:rsidRPr="00704FF8" w:rsidRDefault="00D8043E" w:rsidP="00704FF8">
      <w:pPr>
        <w:pStyle w:val="OrdersTopLine"/>
      </w:pPr>
      <w:bookmarkStart w:id="0" w:name="_GoBack"/>
      <w:bookmarkEnd w:id="0"/>
      <w:r w:rsidRPr="00704FF8">
        <w:t>HIGH COURT OF AUSTRALIA</w:t>
      </w:r>
    </w:p>
    <w:p w14:paraId="71F25182" w14:textId="77777777" w:rsidR="00D8043E" w:rsidRPr="00704FF8" w:rsidRDefault="00D8043E" w:rsidP="00704FF8">
      <w:pPr>
        <w:pStyle w:val="OrderCentre"/>
      </w:pPr>
    </w:p>
    <w:p w14:paraId="782DDACA" w14:textId="77777777" w:rsidR="00D8043E" w:rsidRPr="00704FF8" w:rsidRDefault="00D8043E" w:rsidP="00704FF8">
      <w:pPr>
        <w:pStyle w:val="OrderCentre"/>
      </w:pPr>
      <w:r w:rsidRPr="00704FF8">
        <w:t>KIEFEL CJ</w:t>
      </w:r>
      <w:r>
        <w:t>,</w:t>
      </w:r>
    </w:p>
    <w:p w14:paraId="122F6D40" w14:textId="77777777" w:rsidR="00D8043E" w:rsidRPr="00704FF8" w:rsidRDefault="00D8043E" w:rsidP="00704FF8">
      <w:pPr>
        <w:pStyle w:val="OrderCentre"/>
      </w:pPr>
      <w:r w:rsidRPr="00704FF8">
        <w:t>KEANE, GORDON</w:t>
      </w:r>
      <w:r>
        <w:t xml:space="preserve">, </w:t>
      </w:r>
      <w:r w:rsidRPr="004C496B">
        <w:t xml:space="preserve">STEWARD </w:t>
      </w:r>
      <w:r w:rsidRPr="00704FF8">
        <w:t xml:space="preserve">AND </w:t>
      </w:r>
      <w:r>
        <w:t xml:space="preserve">GLEESON </w:t>
      </w:r>
      <w:r w:rsidRPr="00704FF8">
        <w:t>JJ</w:t>
      </w:r>
    </w:p>
    <w:p w14:paraId="407ED916" w14:textId="77777777" w:rsidR="00D8043E" w:rsidRPr="00427F3A" w:rsidRDefault="00D8043E" w:rsidP="00EE5374">
      <w:pPr>
        <w:pStyle w:val="Centre"/>
        <w:rPr>
          <w:lang w:val="en-AU"/>
        </w:rPr>
      </w:pPr>
    </w:p>
    <w:p w14:paraId="5D5AFA9B" w14:textId="77777777" w:rsidR="00D8043E" w:rsidRPr="00704FF8" w:rsidRDefault="00D8043E" w:rsidP="00704FF8">
      <w:pPr>
        <w:pStyle w:val="OrdersCenteredBorder"/>
      </w:pPr>
    </w:p>
    <w:p w14:paraId="064CEF71" w14:textId="77777777" w:rsidR="00D8043E" w:rsidRPr="00704FF8" w:rsidRDefault="00D8043E" w:rsidP="0032341F">
      <w:pPr>
        <w:pStyle w:val="OrdersBodyHeading"/>
      </w:pPr>
    </w:p>
    <w:p w14:paraId="508A8170" w14:textId="77777777" w:rsidR="00D8043E" w:rsidRPr="0032341F" w:rsidRDefault="00D8043E" w:rsidP="009362E8">
      <w:pPr>
        <w:pStyle w:val="OrdersPartyName"/>
        <w:ind w:right="-1"/>
      </w:pPr>
      <w:r w:rsidRPr="003E3FA1">
        <w:t xml:space="preserve">MALCOLM LAURENCE </w:t>
      </w:r>
      <w:r w:rsidRPr="00D5507E">
        <w:t>ORREAL</w:t>
      </w:r>
      <w:r w:rsidRPr="0032341F">
        <w:tab/>
        <w:t>APPELLANT</w:t>
      </w:r>
    </w:p>
    <w:p w14:paraId="6C949926" w14:textId="77777777" w:rsidR="00D8043E" w:rsidRPr="0032341F" w:rsidRDefault="00D8043E" w:rsidP="009362E8">
      <w:pPr>
        <w:pStyle w:val="OrdersPartyName"/>
        <w:ind w:right="-1"/>
      </w:pPr>
    </w:p>
    <w:p w14:paraId="1BC4437D" w14:textId="77777777" w:rsidR="00D8043E" w:rsidRPr="0032341F" w:rsidRDefault="00D8043E" w:rsidP="009362E8">
      <w:pPr>
        <w:pStyle w:val="OrdersPartyName"/>
        <w:ind w:right="-1"/>
      </w:pPr>
      <w:r w:rsidRPr="0032341F">
        <w:t>AND</w:t>
      </w:r>
    </w:p>
    <w:p w14:paraId="535DCF7A" w14:textId="77777777" w:rsidR="00D8043E" w:rsidRPr="0032341F" w:rsidRDefault="00D8043E" w:rsidP="009362E8">
      <w:pPr>
        <w:pStyle w:val="OrdersPartyName"/>
        <w:ind w:right="-1"/>
      </w:pPr>
    </w:p>
    <w:p w14:paraId="50ED5695" w14:textId="77777777" w:rsidR="00D8043E" w:rsidRPr="0032341F" w:rsidRDefault="00D8043E" w:rsidP="009362E8">
      <w:pPr>
        <w:pStyle w:val="OrdersPartyName"/>
        <w:ind w:right="-1"/>
      </w:pPr>
      <w:r w:rsidRPr="00D5507E">
        <w:t>THE QUEEN</w:t>
      </w:r>
      <w:r w:rsidRPr="0032341F">
        <w:tab/>
        <w:t>RESPONDENT</w:t>
      </w:r>
    </w:p>
    <w:p w14:paraId="3C1F751C" w14:textId="77777777" w:rsidR="00D8043E" w:rsidRPr="00427F3A" w:rsidRDefault="00D8043E" w:rsidP="00AF0A5E">
      <w:pPr>
        <w:pStyle w:val="BodyHeading"/>
      </w:pPr>
    </w:p>
    <w:p w14:paraId="1DDC8AFE" w14:textId="77777777" w:rsidR="00D8043E" w:rsidRPr="00427F3A" w:rsidRDefault="00D8043E" w:rsidP="00BE0A6C">
      <w:pPr>
        <w:pStyle w:val="BodyHeading"/>
      </w:pPr>
    </w:p>
    <w:p w14:paraId="30CCE141" w14:textId="77777777" w:rsidR="00D8043E" w:rsidRPr="00427F3A" w:rsidRDefault="00D8043E" w:rsidP="00EE5374">
      <w:pPr>
        <w:pStyle w:val="CentreItalics"/>
      </w:pPr>
      <w:r w:rsidRPr="003E3FA1">
        <w:t>Orreal v The Queen</w:t>
      </w:r>
    </w:p>
    <w:p w14:paraId="3EEA502F" w14:textId="77777777" w:rsidR="00D8043E" w:rsidRPr="00427F3A" w:rsidRDefault="00D8043E" w:rsidP="00E90E4F">
      <w:pPr>
        <w:pStyle w:val="OrdersCentre"/>
      </w:pPr>
      <w:r>
        <w:t>[2021</w:t>
      </w:r>
      <w:r w:rsidRPr="00427F3A">
        <w:t xml:space="preserve">] HCA </w:t>
      </w:r>
      <w:r>
        <w:t>44</w:t>
      </w:r>
    </w:p>
    <w:p w14:paraId="3E12DF2F" w14:textId="77777777" w:rsidR="00D8043E" w:rsidRDefault="00D8043E" w:rsidP="00E90E4F">
      <w:pPr>
        <w:pStyle w:val="OrdersCentreItalics"/>
      </w:pPr>
      <w:r>
        <w:t xml:space="preserve">Date of Hearing: </w:t>
      </w:r>
      <w:r w:rsidRPr="003E3FA1">
        <w:t>11 November 2021</w:t>
      </w:r>
    </w:p>
    <w:p w14:paraId="7508EC2E" w14:textId="77777777" w:rsidR="00D8043E" w:rsidRPr="00427F3A" w:rsidRDefault="00D8043E" w:rsidP="00E90E4F">
      <w:pPr>
        <w:pStyle w:val="OrdersCentreItalics"/>
      </w:pPr>
      <w:r>
        <w:t>Date of Judgment: 16 December 2021</w:t>
      </w:r>
    </w:p>
    <w:p w14:paraId="7259A64E" w14:textId="77777777" w:rsidR="00D8043E" w:rsidRDefault="00D8043E" w:rsidP="00E90E4F">
      <w:pPr>
        <w:pStyle w:val="OrdersCentre"/>
      </w:pPr>
      <w:r w:rsidRPr="003E3FA1">
        <w:t>B25/2021</w:t>
      </w:r>
    </w:p>
    <w:p w14:paraId="744DF971" w14:textId="77777777" w:rsidR="00D8043E" w:rsidRPr="00427F3A" w:rsidRDefault="00D8043E" w:rsidP="00E90E4F">
      <w:pPr>
        <w:pStyle w:val="OrdersCentre"/>
      </w:pPr>
    </w:p>
    <w:p w14:paraId="6E674EAC" w14:textId="77777777" w:rsidR="00D8043E" w:rsidRPr="00BE0A6C" w:rsidRDefault="00D8043E" w:rsidP="00E90E4F">
      <w:pPr>
        <w:pStyle w:val="OrderCentreBold"/>
      </w:pPr>
      <w:r w:rsidRPr="00BE0A6C">
        <w:t>ORDER</w:t>
      </w:r>
    </w:p>
    <w:p w14:paraId="0C42089C" w14:textId="77777777" w:rsidR="00D8043E" w:rsidRPr="00427F3A" w:rsidRDefault="00D8043E" w:rsidP="00736C52">
      <w:pPr>
        <w:pStyle w:val="Centre"/>
        <w:rPr>
          <w:lang w:val="en-AU"/>
        </w:rPr>
      </w:pPr>
    </w:p>
    <w:p w14:paraId="5C510058" w14:textId="77777777" w:rsidR="00D8043E" w:rsidRDefault="00D8043E" w:rsidP="003325D0">
      <w:pPr>
        <w:pStyle w:val="OrdersText"/>
      </w:pPr>
      <w:r>
        <w:t>1.</w:t>
      </w:r>
      <w:r>
        <w:tab/>
        <w:t xml:space="preserve">Appeal allowed. </w:t>
      </w:r>
    </w:p>
    <w:p w14:paraId="2A87083C" w14:textId="77777777" w:rsidR="00D8043E" w:rsidRDefault="00D8043E" w:rsidP="003325D0">
      <w:pPr>
        <w:pStyle w:val="OrdersText"/>
      </w:pPr>
    </w:p>
    <w:p w14:paraId="1953BE97" w14:textId="77777777" w:rsidR="00D8043E" w:rsidRDefault="00D8043E" w:rsidP="003325D0">
      <w:pPr>
        <w:pStyle w:val="OrdersText"/>
      </w:pPr>
      <w:bookmarkStart w:id="1" w:name="_Hlk51841597"/>
      <w:r>
        <w:t xml:space="preserve">2. </w:t>
      </w:r>
      <w:r>
        <w:tab/>
      </w:r>
      <w:bookmarkEnd w:id="1"/>
      <w:r>
        <w:t xml:space="preserve">Set aside the order of the Court of Appeal of the Supreme Court of Queensland made </w:t>
      </w:r>
      <w:r w:rsidRPr="00FA282C">
        <w:t xml:space="preserve">on 8 May 2020 and, </w:t>
      </w:r>
      <w:r>
        <w:t>in its place</w:t>
      </w:r>
      <w:r w:rsidRPr="00FA282C">
        <w:t>, order that</w:t>
      </w:r>
      <w:r>
        <w:t>:</w:t>
      </w:r>
    </w:p>
    <w:p w14:paraId="3CC363B3" w14:textId="77777777" w:rsidR="00D8043E" w:rsidRDefault="00D8043E" w:rsidP="003325D0">
      <w:pPr>
        <w:pStyle w:val="OrdersText"/>
      </w:pPr>
    </w:p>
    <w:p w14:paraId="2ED49063" w14:textId="77777777" w:rsidR="00D8043E" w:rsidRDefault="00D8043E" w:rsidP="003325D0">
      <w:pPr>
        <w:pStyle w:val="OrdersText"/>
        <w:ind w:left="1418"/>
      </w:pPr>
      <w:r>
        <w:t>(a)</w:t>
      </w:r>
      <w:r>
        <w:tab/>
      </w:r>
      <w:r w:rsidRPr="00FA282C">
        <w:t>the appeal be allowed</w:t>
      </w:r>
      <w:r>
        <w:t xml:space="preserve">; </w:t>
      </w:r>
    </w:p>
    <w:p w14:paraId="2BB3EEF2" w14:textId="77777777" w:rsidR="00D8043E" w:rsidRDefault="00D8043E" w:rsidP="003325D0">
      <w:pPr>
        <w:pStyle w:val="OrdersText"/>
        <w:ind w:left="1418"/>
      </w:pPr>
    </w:p>
    <w:p w14:paraId="30E2909B" w14:textId="77777777" w:rsidR="00D8043E" w:rsidRDefault="00D8043E" w:rsidP="003325D0">
      <w:pPr>
        <w:pStyle w:val="OrdersText"/>
        <w:ind w:left="1418"/>
      </w:pPr>
      <w:r>
        <w:t>(b)</w:t>
      </w:r>
      <w:r>
        <w:tab/>
        <w:t xml:space="preserve">the appellant's convictions be set aside; and </w:t>
      </w:r>
    </w:p>
    <w:p w14:paraId="7ED26A37" w14:textId="77777777" w:rsidR="00D8043E" w:rsidRDefault="00D8043E" w:rsidP="003325D0">
      <w:pPr>
        <w:pStyle w:val="OrdersText"/>
        <w:ind w:left="1418"/>
      </w:pPr>
    </w:p>
    <w:p w14:paraId="6941AD00" w14:textId="77777777" w:rsidR="00D8043E" w:rsidRDefault="00D8043E" w:rsidP="003325D0">
      <w:pPr>
        <w:pStyle w:val="OrdersText"/>
        <w:ind w:left="1418"/>
      </w:pPr>
      <w:r>
        <w:t>(c)</w:t>
      </w:r>
      <w:r>
        <w:tab/>
        <w:t xml:space="preserve">a new trial be had. </w:t>
      </w:r>
    </w:p>
    <w:p w14:paraId="1796BDEE" w14:textId="77777777" w:rsidR="00D8043E" w:rsidRDefault="00D8043E" w:rsidP="00EE5374">
      <w:pPr>
        <w:pStyle w:val="Body"/>
      </w:pPr>
    </w:p>
    <w:p w14:paraId="0D0120A4" w14:textId="77777777" w:rsidR="00D8043E" w:rsidRPr="00427F3A" w:rsidRDefault="00D8043E" w:rsidP="00EE5374">
      <w:pPr>
        <w:pStyle w:val="Body"/>
      </w:pPr>
    </w:p>
    <w:p w14:paraId="7F4DEA7F" w14:textId="77777777" w:rsidR="00D8043E" w:rsidRPr="00427F3A" w:rsidRDefault="00D8043E" w:rsidP="0032341F">
      <w:pPr>
        <w:pStyle w:val="OrdersBody"/>
      </w:pPr>
      <w:r w:rsidRPr="00427F3A">
        <w:t xml:space="preserve">On appeal from the </w:t>
      </w:r>
      <w:r w:rsidRPr="003E3FA1">
        <w:t>Supreme Court of Queensland</w:t>
      </w:r>
    </w:p>
    <w:p w14:paraId="6B2A0FCE" w14:textId="77777777" w:rsidR="00D8043E" w:rsidRDefault="00D8043E" w:rsidP="00EE5374">
      <w:pPr>
        <w:pStyle w:val="Body"/>
      </w:pPr>
    </w:p>
    <w:p w14:paraId="47AD53D6" w14:textId="77777777" w:rsidR="00D8043E" w:rsidRPr="00427F3A" w:rsidRDefault="00D8043E" w:rsidP="00EE5374">
      <w:pPr>
        <w:pStyle w:val="Body"/>
      </w:pPr>
    </w:p>
    <w:p w14:paraId="5F761846" w14:textId="77777777" w:rsidR="00D8043E" w:rsidRPr="00427F3A" w:rsidRDefault="00D8043E" w:rsidP="00E90E4F">
      <w:pPr>
        <w:pStyle w:val="OrdersBodyHeading"/>
      </w:pPr>
      <w:r w:rsidRPr="00427F3A">
        <w:t>Representation</w:t>
      </w:r>
    </w:p>
    <w:p w14:paraId="508E25F9" w14:textId="77777777" w:rsidR="00D8043E" w:rsidRDefault="00D8043E" w:rsidP="00EE5374">
      <w:pPr>
        <w:pStyle w:val="Body"/>
      </w:pPr>
    </w:p>
    <w:p w14:paraId="7853948D" w14:textId="77777777" w:rsidR="00D8043E" w:rsidRPr="00A1251F" w:rsidRDefault="00D8043E" w:rsidP="00E90E4F">
      <w:pPr>
        <w:pStyle w:val="OrdersBody"/>
      </w:pPr>
      <w:r w:rsidRPr="00A1251F">
        <w:t>S J Keim SC with P F Richards for the appellant (instructed by Legal Aid Queensland)</w:t>
      </w:r>
    </w:p>
    <w:p w14:paraId="3976CFEC" w14:textId="6F04BB0E" w:rsidR="00D8043E" w:rsidRDefault="00D804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2388F46F" w14:textId="581612FA" w:rsidR="00D8043E" w:rsidRDefault="00D804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61E2D3B0" w14:textId="77777777" w:rsidR="00D8043E" w:rsidRPr="00A1251F" w:rsidRDefault="00D8043E" w:rsidP="001B3C97">
      <w:pPr>
        <w:pStyle w:val="Body"/>
      </w:pPr>
    </w:p>
    <w:p w14:paraId="1E135D63" w14:textId="77777777" w:rsidR="00D8043E" w:rsidRPr="00A1251F" w:rsidRDefault="00D8043E" w:rsidP="00E90E4F">
      <w:pPr>
        <w:pStyle w:val="OrdersBody"/>
      </w:pPr>
      <w:r w:rsidRPr="00A1251F">
        <w:t>C W Heaton QC with C W Wallis for the respondent (instructed by Office of the Director of Public Prosecutions (Qld))</w:t>
      </w:r>
    </w:p>
    <w:p w14:paraId="67F271D5" w14:textId="77777777" w:rsidR="00D8043E" w:rsidRDefault="00D8043E" w:rsidP="003E3FA1"/>
    <w:p w14:paraId="5B05F489" w14:textId="77777777" w:rsidR="00D8043E" w:rsidRDefault="00D8043E" w:rsidP="00A01277">
      <w:pPr>
        <w:pStyle w:val="Body"/>
      </w:pPr>
    </w:p>
    <w:p w14:paraId="0E8304CA" w14:textId="77777777" w:rsidR="00D8043E" w:rsidRDefault="00D8043E" w:rsidP="00EE5374">
      <w:pPr>
        <w:pStyle w:val="Body"/>
      </w:pPr>
    </w:p>
    <w:p w14:paraId="535B64C4" w14:textId="77777777" w:rsidR="00D8043E" w:rsidRDefault="00D8043E" w:rsidP="00EE5374">
      <w:pPr>
        <w:pStyle w:val="Body"/>
      </w:pPr>
    </w:p>
    <w:p w14:paraId="7435938F" w14:textId="77777777" w:rsidR="00D8043E" w:rsidRDefault="00D8043E" w:rsidP="00EE5374">
      <w:pPr>
        <w:pStyle w:val="Body"/>
      </w:pPr>
    </w:p>
    <w:p w14:paraId="466AC56B" w14:textId="77777777" w:rsidR="00D8043E" w:rsidRDefault="00D8043E" w:rsidP="00EE5374">
      <w:pPr>
        <w:pStyle w:val="Body"/>
      </w:pPr>
    </w:p>
    <w:p w14:paraId="09246614" w14:textId="77777777" w:rsidR="00D8043E" w:rsidRDefault="00D8043E" w:rsidP="00EE5374">
      <w:pPr>
        <w:pStyle w:val="Body"/>
      </w:pPr>
    </w:p>
    <w:p w14:paraId="546CB653" w14:textId="77777777" w:rsidR="00D8043E" w:rsidRDefault="00D8043E" w:rsidP="00EE5374">
      <w:pPr>
        <w:pStyle w:val="Body"/>
      </w:pPr>
    </w:p>
    <w:p w14:paraId="699B7CAB" w14:textId="77777777" w:rsidR="00D8043E" w:rsidRDefault="00D8043E" w:rsidP="00EE5374">
      <w:pPr>
        <w:pStyle w:val="Body"/>
      </w:pPr>
    </w:p>
    <w:p w14:paraId="0D0AA941" w14:textId="77777777" w:rsidR="00D8043E" w:rsidRDefault="00D8043E" w:rsidP="00EE5374">
      <w:pPr>
        <w:pStyle w:val="Body"/>
      </w:pPr>
    </w:p>
    <w:p w14:paraId="6D0BE320" w14:textId="77777777" w:rsidR="00D8043E" w:rsidRDefault="00D8043E" w:rsidP="00EE5374">
      <w:pPr>
        <w:pStyle w:val="Body"/>
      </w:pPr>
    </w:p>
    <w:p w14:paraId="7C152B85" w14:textId="77777777" w:rsidR="00D8043E" w:rsidRDefault="00D8043E" w:rsidP="00EE5374">
      <w:pPr>
        <w:pStyle w:val="Body"/>
      </w:pPr>
    </w:p>
    <w:p w14:paraId="533398E8" w14:textId="77777777" w:rsidR="00D8043E" w:rsidRDefault="00D8043E" w:rsidP="00EE5374">
      <w:pPr>
        <w:pStyle w:val="Body"/>
      </w:pPr>
    </w:p>
    <w:p w14:paraId="7D7DE567" w14:textId="77777777" w:rsidR="00D8043E" w:rsidRDefault="00D8043E" w:rsidP="00EE5374">
      <w:pPr>
        <w:pStyle w:val="Body"/>
      </w:pPr>
    </w:p>
    <w:p w14:paraId="61D69A8D" w14:textId="77777777" w:rsidR="00D8043E" w:rsidRDefault="00D8043E" w:rsidP="00EE5374">
      <w:pPr>
        <w:pStyle w:val="Body"/>
      </w:pPr>
    </w:p>
    <w:p w14:paraId="00F3F010" w14:textId="77777777" w:rsidR="00D8043E" w:rsidRDefault="00D8043E" w:rsidP="00EE5374">
      <w:pPr>
        <w:pStyle w:val="Body"/>
      </w:pPr>
    </w:p>
    <w:p w14:paraId="294D4B50" w14:textId="77777777" w:rsidR="00D8043E" w:rsidRDefault="00D8043E" w:rsidP="00EE5374">
      <w:pPr>
        <w:pStyle w:val="Body"/>
      </w:pPr>
    </w:p>
    <w:p w14:paraId="154F0A11" w14:textId="77777777" w:rsidR="00D8043E" w:rsidRDefault="00D8043E" w:rsidP="00EE5374">
      <w:pPr>
        <w:pStyle w:val="Body"/>
      </w:pPr>
    </w:p>
    <w:p w14:paraId="1441F087" w14:textId="77777777" w:rsidR="00D8043E" w:rsidRDefault="00D8043E" w:rsidP="00EE5374">
      <w:pPr>
        <w:pStyle w:val="Body"/>
      </w:pPr>
    </w:p>
    <w:p w14:paraId="40B52BAB" w14:textId="77777777" w:rsidR="00D8043E" w:rsidRDefault="00D8043E" w:rsidP="00EE5374">
      <w:pPr>
        <w:pStyle w:val="Body"/>
      </w:pPr>
    </w:p>
    <w:p w14:paraId="01591F4C" w14:textId="77777777" w:rsidR="00D8043E" w:rsidRDefault="00D8043E" w:rsidP="00EE5374">
      <w:pPr>
        <w:pStyle w:val="Body"/>
      </w:pPr>
    </w:p>
    <w:p w14:paraId="53124C13" w14:textId="77777777" w:rsidR="00D8043E" w:rsidRDefault="00D8043E" w:rsidP="00EE5374">
      <w:pPr>
        <w:pStyle w:val="Body"/>
      </w:pPr>
    </w:p>
    <w:p w14:paraId="7FFD47D8" w14:textId="77777777" w:rsidR="00D8043E" w:rsidRDefault="00D8043E" w:rsidP="00EE5374">
      <w:pPr>
        <w:pStyle w:val="Body"/>
      </w:pPr>
    </w:p>
    <w:p w14:paraId="32BA380F" w14:textId="77777777" w:rsidR="00D8043E" w:rsidRDefault="00D8043E" w:rsidP="00EE5374">
      <w:pPr>
        <w:pStyle w:val="Body"/>
      </w:pPr>
    </w:p>
    <w:p w14:paraId="2D056467" w14:textId="77777777" w:rsidR="00D8043E" w:rsidRDefault="00D8043E" w:rsidP="00EE5374">
      <w:pPr>
        <w:pStyle w:val="Body"/>
      </w:pPr>
    </w:p>
    <w:p w14:paraId="42E98BCD" w14:textId="77777777" w:rsidR="00D8043E" w:rsidRDefault="00D8043E" w:rsidP="00EE5374">
      <w:pPr>
        <w:pStyle w:val="Body"/>
      </w:pPr>
    </w:p>
    <w:p w14:paraId="14A4FCC9" w14:textId="77777777" w:rsidR="00D8043E" w:rsidRDefault="00D8043E" w:rsidP="00EE5374">
      <w:pPr>
        <w:pStyle w:val="Body"/>
      </w:pPr>
    </w:p>
    <w:p w14:paraId="18825F2C" w14:textId="77777777" w:rsidR="00D8043E" w:rsidRDefault="00D8043E" w:rsidP="00EE5374">
      <w:pPr>
        <w:pStyle w:val="Body"/>
      </w:pPr>
    </w:p>
    <w:p w14:paraId="5C89DEA5" w14:textId="77777777" w:rsidR="00D8043E" w:rsidRDefault="00D8043E" w:rsidP="00EE5374">
      <w:pPr>
        <w:pStyle w:val="Body"/>
      </w:pPr>
    </w:p>
    <w:p w14:paraId="302F3A9B" w14:textId="77777777" w:rsidR="00D8043E" w:rsidRDefault="00D8043E" w:rsidP="00EE5374">
      <w:pPr>
        <w:pStyle w:val="Body"/>
      </w:pPr>
    </w:p>
    <w:p w14:paraId="1EE81DE8" w14:textId="77777777" w:rsidR="00D8043E" w:rsidRDefault="00D8043E" w:rsidP="00EE5374">
      <w:pPr>
        <w:pStyle w:val="Body"/>
      </w:pPr>
    </w:p>
    <w:p w14:paraId="49D01FB4" w14:textId="77777777" w:rsidR="00D8043E" w:rsidRDefault="00D8043E" w:rsidP="00EE5374">
      <w:pPr>
        <w:pStyle w:val="Body"/>
      </w:pPr>
    </w:p>
    <w:p w14:paraId="505D0EBC" w14:textId="77777777" w:rsidR="00D8043E" w:rsidRDefault="00D8043E" w:rsidP="00EE5374">
      <w:pPr>
        <w:pStyle w:val="Body"/>
      </w:pPr>
    </w:p>
    <w:p w14:paraId="1D0B340A" w14:textId="77777777" w:rsidR="00D8043E" w:rsidRDefault="00D8043E" w:rsidP="00EE5374">
      <w:pPr>
        <w:pStyle w:val="Body"/>
      </w:pPr>
    </w:p>
    <w:p w14:paraId="51D83322" w14:textId="77777777" w:rsidR="00D8043E" w:rsidRDefault="00D8043E" w:rsidP="00EE5374">
      <w:pPr>
        <w:pStyle w:val="Body"/>
      </w:pPr>
    </w:p>
    <w:p w14:paraId="6E2E6E79" w14:textId="77777777" w:rsidR="00D8043E" w:rsidRPr="00427F3A" w:rsidRDefault="00D8043E" w:rsidP="00EE5374">
      <w:pPr>
        <w:pStyle w:val="Body"/>
      </w:pPr>
    </w:p>
    <w:p w14:paraId="065110F8" w14:textId="77777777" w:rsidR="00D8043E" w:rsidRPr="00427F3A" w:rsidRDefault="00D8043E" w:rsidP="00F9713B">
      <w:pPr>
        <w:pStyle w:val="Notice"/>
        <w:rPr>
          <w:lang w:val="en-AU"/>
        </w:rPr>
      </w:pPr>
      <w:r w:rsidRPr="00427F3A">
        <w:rPr>
          <w:lang w:val="en-AU"/>
        </w:rPr>
        <w:t>Notice:  This copy of the Court's Reasons for Judgment is subject to formal revision prior to publication in the Commonwealth Law Reports.</w:t>
      </w:r>
    </w:p>
    <w:p w14:paraId="244F3951" w14:textId="4FAC3150" w:rsidR="00D8043E" w:rsidRDefault="00D804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BEEFC5F" w14:textId="77777777" w:rsidR="00D8043E" w:rsidRDefault="00D804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8043E" w:rsidSect="00D8043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3E73B818" w14:textId="77777777" w:rsidR="00D8043E" w:rsidRDefault="00D8043E" w:rsidP="001649CA">
      <w:pPr>
        <w:pStyle w:val="CatchwordsBold"/>
      </w:pPr>
      <w:r w:rsidRPr="00B9489E">
        <w:t>CATCHWORDS</w:t>
      </w:r>
    </w:p>
    <w:p w14:paraId="786A3D71" w14:textId="77777777" w:rsidR="00D8043E" w:rsidRPr="00B9489E" w:rsidRDefault="00D8043E" w:rsidP="001649CA">
      <w:pPr>
        <w:pStyle w:val="CatchwordsBold"/>
      </w:pPr>
    </w:p>
    <w:p w14:paraId="1EC41841" w14:textId="77777777" w:rsidR="00D8043E" w:rsidRPr="00B9489E" w:rsidRDefault="00D8043E" w:rsidP="009502FD">
      <w:pPr>
        <w:pStyle w:val="CatchwordsBold"/>
        <w:tabs>
          <w:tab w:val="clear" w:pos="2880"/>
          <w:tab w:val="clear" w:pos="3600"/>
          <w:tab w:val="clear" w:pos="6480"/>
          <w:tab w:val="left" w:pos="6963"/>
        </w:tabs>
      </w:pPr>
      <w:r>
        <w:t>Orreal v The Queen</w:t>
      </w:r>
    </w:p>
    <w:p w14:paraId="63E3475C" w14:textId="77777777" w:rsidR="00D8043E" w:rsidRPr="00B9489E" w:rsidRDefault="00D8043E" w:rsidP="00562CAB">
      <w:pPr>
        <w:pStyle w:val="Default"/>
      </w:pPr>
    </w:p>
    <w:p w14:paraId="213574C8" w14:textId="77777777" w:rsidR="00D8043E" w:rsidRDefault="00D8043E" w:rsidP="001649CA">
      <w:pPr>
        <w:pStyle w:val="CatchwordsText"/>
      </w:pPr>
      <w:r>
        <w:t>Criminal practice – Appeal – Miscarriage of justice – Application of proviso that no substantial miscarriage of justice actually occurred – Where appellant convicted of unlawfully and indecently dealing with child under age of 16 years and rape – Where evidence admitted by consent that both appellant and complainant tested positive for herpes simplex virus type 1</w:t>
      </w:r>
      <w:r>
        <w:rPr>
          <w:szCs w:val="24"/>
        </w:rPr>
        <w:t xml:space="preserve"> ("impugned evidence") </w:t>
      </w:r>
      <w:r>
        <w:t xml:space="preserve">– Where impugned evidence irrelevant and inadmissible – Where Court of Appeal found miscarriage of justice because trial judge failed to direct jury to disregard impugned evidence in its entirety – Where Court of Appeal applied proviso because it concluded impugned evidence could not have impacted jury's assessment of reliability or credibility of complainant – Whether no substantial miscarriage of justice had actually occurred.  </w:t>
      </w:r>
    </w:p>
    <w:p w14:paraId="1ACDE6C3" w14:textId="77777777" w:rsidR="00D8043E" w:rsidRDefault="00D8043E" w:rsidP="001649CA">
      <w:pPr>
        <w:pStyle w:val="CatchwordsText"/>
      </w:pPr>
    </w:p>
    <w:p w14:paraId="681A92F7" w14:textId="77777777" w:rsidR="00D8043E" w:rsidRDefault="00D8043E" w:rsidP="001649CA">
      <w:pPr>
        <w:pStyle w:val="CatchwordsText"/>
      </w:pPr>
      <w:r w:rsidRPr="00B9489E">
        <w:t>Words and phrases –</w:t>
      </w:r>
      <w:r>
        <w:t xml:space="preserve"> "contested credibility", "jury's assessment of the reliability or credibility of the complainant", "miscarriage of justice", "natural limitations", "nature and effect of the error", "proviso", "substantial miscarriage of justice".</w:t>
      </w:r>
    </w:p>
    <w:p w14:paraId="5E84FC8C" w14:textId="77777777" w:rsidR="00D8043E" w:rsidRPr="00B9489E" w:rsidRDefault="00D8043E" w:rsidP="001649CA">
      <w:pPr>
        <w:pStyle w:val="CatchwordsText"/>
      </w:pPr>
    </w:p>
    <w:p w14:paraId="2ED97980" w14:textId="77777777" w:rsidR="00D8043E" w:rsidRPr="009657EB" w:rsidRDefault="00D8043E" w:rsidP="001649CA">
      <w:pPr>
        <w:pStyle w:val="CatchwordsText"/>
      </w:pPr>
      <w:r>
        <w:rPr>
          <w:i/>
        </w:rPr>
        <w:t xml:space="preserve">Criminal Code </w:t>
      </w:r>
      <w:r>
        <w:t>(Qld), s 668E(1A).</w:t>
      </w:r>
    </w:p>
    <w:p w14:paraId="6816F9E4" w14:textId="77777777" w:rsidR="00D8043E" w:rsidRDefault="00D8043E" w:rsidP="001649CA">
      <w:pPr>
        <w:pStyle w:val="CatchwordsText"/>
        <w:rPr>
          <w:b/>
        </w:rPr>
      </w:pPr>
    </w:p>
    <w:p w14:paraId="1BECA421" w14:textId="7A41DE02" w:rsidR="00D8043E" w:rsidRDefault="00D8043E" w:rsidP="00D804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75BFA44" w14:textId="0CE8E56C" w:rsidR="00D8043E" w:rsidRDefault="00D804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DB60E04" w14:textId="2C44889F" w:rsidR="00D8043E" w:rsidRDefault="00D804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C39F515" w14:textId="77777777" w:rsidR="00D8043E" w:rsidRDefault="00D8043E" w:rsidP="00010F64">
      <w:pPr>
        <w:pStyle w:val="FixListStyle"/>
        <w:tabs>
          <w:tab w:val="clear" w:pos="720"/>
          <w:tab w:val="left" w:pos="0"/>
        </w:tabs>
        <w:spacing w:after="260" w:line="280" w:lineRule="exact"/>
        <w:ind w:right="0"/>
        <w:jc w:val="both"/>
        <w:rPr>
          <w:rFonts w:ascii="Times New Roman" w:hAnsi="Times New Roman"/>
        </w:rPr>
        <w:sectPr w:rsidR="00D8043E" w:rsidSect="00D8043E">
          <w:pgSz w:w="11907" w:h="16839" w:code="9"/>
          <w:pgMar w:top="1440" w:right="1701" w:bottom="1984" w:left="1701" w:header="720" w:footer="720" w:gutter="0"/>
          <w:pgNumType w:start="1"/>
          <w:cols w:space="720"/>
          <w:titlePg/>
          <w:docGrid w:linePitch="354"/>
        </w:sectPr>
      </w:pPr>
    </w:p>
    <w:p w14:paraId="0C2C45F6" w14:textId="52B5D23C" w:rsidR="00A73989" w:rsidRPr="00010F64" w:rsidRDefault="00010F64" w:rsidP="00010F64">
      <w:pPr>
        <w:pStyle w:val="FixListStyle"/>
        <w:tabs>
          <w:tab w:val="clear" w:pos="720"/>
          <w:tab w:val="left" w:pos="0"/>
        </w:tabs>
        <w:spacing w:after="260" w:line="280" w:lineRule="exact"/>
        <w:ind w:right="0"/>
        <w:jc w:val="both"/>
        <w:rPr>
          <w:rFonts w:ascii="Times New Roman" w:hAnsi="Times New Roman"/>
        </w:rPr>
      </w:pPr>
      <w:r w:rsidRPr="00010F64">
        <w:rPr>
          <w:rFonts w:ascii="Times New Roman" w:hAnsi="Times New Roman"/>
        </w:rPr>
        <w:t xml:space="preserve">KIEFEL CJ AND KEANE J.   </w:t>
      </w:r>
      <w:r w:rsidR="007D28BD" w:rsidRPr="00010F64">
        <w:rPr>
          <w:rFonts w:ascii="Times New Roman" w:hAnsi="Times New Roman"/>
        </w:rPr>
        <w:t>After a trial in the District Court of Queensland</w:t>
      </w:r>
      <w:r w:rsidR="003F1D4F" w:rsidRPr="00010F64">
        <w:rPr>
          <w:rFonts w:ascii="Times New Roman" w:hAnsi="Times New Roman"/>
        </w:rPr>
        <w:t>,</w:t>
      </w:r>
      <w:r w:rsidR="007D28BD" w:rsidRPr="00010F64">
        <w:rPr>
          <w:rFonts w:ascii="Times New Roman" w:hAnsi="Times New Roman"/>
        </w:rPr>
        <w:t xml:space="preserve"> the appellant was convicted of three counts of indecent dealing </w:t>
      </w:r>
      <w:r w:rsidR="00CD0DFD" w:rsidRPr="00010F64">
        <w:rPr>
          <w:rFonts w:ascii="Times New Roman" w:hAnsi="Times New Roman"/>
        </w:rPr>
        <w:t>with a child under 16 years and two count</w:t>
      </w:r>
      <w:r w:rsidR="00055274" w:rsidRPr="00010F64">
        <w:rPr>
          <w:rFonts w:ascii="Times New Roman" w:hAnsi="Times New Roman"/>
        </w:rPr>
        <w:t>s</w:t>
      </w:r>
      <w:r w:rsidR="00CD0DFD" w:rsidRPr="00010F64">
        <w:rPr>
          <w:rFonts w:ascii="Times New Roman" w:hAnsi="Times New Roman"/>
        </w:rPr>
        <w:t xml:space="preserve"> of rape. In the course of his trial</w:t>
      </w:r>
      <w:r w:rsidR="00470A67" w:rsidRPr="00010F64">
        <w:rPr>
          <w:rFonts w:ascii="Times New Roman" w:hAnsi="Times New Roman"/>
        </w:rPr>
        <w:t>,</w:t>
      </w:r>
      <w:r w:rsidR="00CD0DFD" w:rsidRPr="00010F64">
        <w:rPr>
          <w:rFonts w:ascii="Times New Roman" w:hAnsi="Times New Roman"/>
        </w:rPr>
        <w:t xml:space="preserve"> evidence that both he and the complainant </w:t>
      </w:r>
      <w:r w:rsidR="00B278CD" w:rsidRPr="00010F64">
        <w:rPr>
          <w:rFonts w:ascii="Times New Roman" w:hAnsi="Times New Roman"/>
        </w:rPr>
        <w:t xml:space="preserve">had tested positive </w:t>
      </w:r>
      <w:r w:rsidR="00503422" w:rsidRPr="00010F64">
        <w:rPr>
          <w:rFonts w:ascii="Times New Roman" w:hAnsi="Times New Roman"/>
        </w:rPr>
        <w:t xml:space="preserve">for </w:t>
      </w:r>
      <w:r w:rsidR="00182ABA" w:rsidRPr="00010F64">
        <w:rPr>
          <w:rFonts w:ascii="Times New Roman" w:hAnsi="Times New Roman"/>
        </w:rPr>
        <w:t xml:space="preserve">the </w:t>
      </w:r>
      <w:r w:rsidR="00503422" w:rsidRPr="00010F64">
        <w:rPr>
          <w:rFonts w:ascii="Times New Roman" w:hAnsi="Times New Roman"/>
        </w:rPr>
        <w:t xml:space="preserve">presence of </w:t>
      </w:r>
      <w:r w:rsidR="00B278CD" w:rsidRPr="00010F64">
        <w:rPr>
          <w:rFonts w:ascii="Times New Roman" w:hAnsi="Times New Roman"/>
        </w:rPr>
        <w:t xml:space="preserve">the </w:t>
      </w:r>
      <w:r w:rsidR="00503422" w:rsidRPr="00010F64">
        <w:rPr>
          <w:rFonts w:ascii="Times New Roman" w:hAnsi="Times New Roman"/>
        </w:rPr>
        <w:t xml:space="preserve">herpes simplex </w:t>
      </w:r>
      <w:r w:rsidR="00B278CD" w:rsidRPr="00010F64">
        <w:rPr>
          <w:rFonts w:ascii="Times New Roman" w:hAnsi="Times New Roman"/>
        </w:rPr>
        <w:t>virus</w:t>
      </w:r>
      <w:r w:rsidR="00503422" w:rsidRPr="00010F64">
        <w:rPr>
          <w:rFonts w:ascii="Times New Roman" w:hAnsi="Times New Roman"/>
        </w:rPr>
        <w:t xml:space="preserve"> type 1 (</w:t>
      </w:r>
      <w:r w:rsidR="00BE5FB3" w:rsidRPr="00010F64">
        <w:rPr>
          <w:rFonts w:ascii="Times New Roman" w:hAnsi="Times New Roman"/>
        </w:rPr>
        <w:t>"</w:t>
      </w:r>
      <w:r w:rsidR="00503422" w:rsidRPr="00010F64">
        <w:rPr>
          <w:rFonts w:ascii="Times New Roman" w:hAnsi="Times New Roman"/>
        </w:rPr>
        <w:t>HSV-1</w:t>
      </w:r>
      <w:r w:rsidR="00BE5FB3" w:rsidRPr="00010F64">
        <w:rPr>
          <w:rFonts w:ascii="Times New Roman" w:hAnsi="Times New Roman"/>
        </w:rPr>
        <w:t>"</w:t>
      </w:r>
      <w:r w:rsidR="00503422" w:rsidRPr="00010F64">
        <w:rPr>
          <w:rFonts w:ascii="Times New Roman" w:hAnsi="Times New Roman"/>
        </w:rPr>
        <w:t>)</w:t>
      </w:r>
      <w:r w:rsidR="00B278CD" w:rsidRPr="00010F64">
        <w:rPr>
          <w:rFonts w:ascii="Times New Roman" w:hAnsi="Times New Roman"/>
        </w:rPr>
        <w:t xml:space="preserve"> was admitted</w:t>
      </w:r>
      <w:r w:rsidR="006C3DE5" w:rsidRPr="00010F64">
        <w:rPr>
          <w:rFonts w:ascii="Times New Roman" w:hAnsi="Times New Roman"/>
        </w:rPr>
        <w:t xml:space="preserve"> (</w:t>
      </w:r>
      <w:r w:rsidR="00BE5FB3" w:rsidRPr="00010F64">
        <w:rPr>
          <w:rFonts w:ascii="Times New Roman" w:hAnsi="Times New Roman"/>
        </w:rPr>
        <w:t>"</w:t>
      </w:r>
      <w:r w:rsidR="006C3DE5" w:rsidRPr="00010F64">
        <w:rPr>
          <w:rFonts w:ascii="Times New Roman" w:hAnsi="Times New Roman"/>
        </w:rPr>
        <w:t>the HSV-1 evidence</w:t>
      </w:r>
      <w:r w:rsidR="00BE5FB3" w:rsidRPr="00010F64">
        <w:rPr>
          <w:rFonts w:ascii="Times New Roman" w:hAnsi="Times New Roman"/>
        </w:rPr>
        <w:t>"</w:t>
      </w:r>
      <w:r w:rsidR="006C3DE5" w:rsidRPr="00010F64">
        <w:rPr>
          <w:rFonts w:ascii="Times New Roman" w:hAnsi="Times New Roman"/>
        </w:rPr>
        <w:t>)</w:t>
      </w:r>
      <w:r w:rsidR="00B278CD" w:rsidRPr="00010F64">
        <w:rPr>
          <w:rFonts w:ascii="Times New Roman" w:hAnsi="Times New Roman"/>
        </w:rPr>
        <w:t xml:space="preserve">. It is not now disputed that </w:t>
      </w:r>
      <w:r w:rsidR="00AC4FB9" w:rsidRPr="00010F64">
        <w:rPr>
          <w:rFonts w:ascii="Times New Roman" w:hAnsi="Times New Roman"/>
        </w:rPr>
        <w:t xml:space="preserve">the HSV-1 evidence </w:t>
      </w:r>
      <w:r w:rsidR="005720C5" w:rsidRPr="00010F64">
        <w:rPr>
          <w:rFonts w:ascii="Times New Roman" w:hAnsi="Times New Roman"/>
        </w:rPr>
        <w:t>had no prob</w:t>
      </w:r>
      <w:r w:rsidR="00A40D63" w:rsidRPr="00010F64">
        <w:rPr>
          <w:rFonts w:ascii="Times New Roman" w:hAnsi="Times New Roman"/>
        </w:rPr>
        <w:t>ative value and</w:t>
      </w:r>
      <w:r w:rsidR="0062533C" w:rsidRPr="00010F64">
        <w:rPr>
          <w:rFonts w:ascii="Times New Roman" w:hAnsi="Times New Roman"/>
        </w:rPr>
        <w:t xml:space="preserve"> was</w:t>
      </w:r>
      <w:r w:rsidR="00A40D63" w:rsidRPr="00010F64">
        <w:rPr>
          <w:rFonts w:ascii="Times New Roman" w:hAnsi="Times New Roman"/>
        </w:rPr>
        <w:t xml:space="preserve"> </w:t>
      </w:r>
      <w:r w:rsidR="00B278CD" w:rsidRPr="00010F64">
        <w:rPr>
          <w:rFonts w:ascii="Times New Roman" w:hAnsi="Times New Roman"/>
        </w:rPr>
        <w:t xml:space="preserve">inadmissible. </w:t>
      </w:r>
      <w:r w:rsidR="00A40D63" w:rsidRPr="00010F64">
        <w:rPr>
          <w:rFonts w:ascii="Times New Roman" w:hAnsi="Times New Roman"/>
        </w:rPr>
        <w:t xml:space="preserve">The </w:t>
      </w:r>
      <w:r w:rsidR="00B278CD" w:rsidRPr="00010F64">
        <w:rPr>
          <w:rFonts w:ascii="Times New Roman" w:hAnsi="Times New Roman"/>
        </w:rPr>
        <w:t xml:space="preserve">prosecutor's </w:t>
      </w:r>
      <w:r w:rsidR="008421A9" w:rsidRPr="00010F64">
        <w:rPr>
          <w:rFonts w:ascii="Times New Roman" w:hAnsi="Times New Roman"/>
        </w:rPr>
        <w:t xml:space="preserve">address and the trial judge's summing up </w:t>
      </w:r>
      <w:r w:rsidR="00A40D63" w:rsidRPr="00010F64">
        <w:rPr>
          <w:rFonts w:ascii="Times New Roman" w:hAnsi="Times New Roman"/>
        </w:rPr>
        <w:t xml:space="preserve">left </w:t>
      </w:r>
      <w:r w:rsidR="008421A9" w:rsidRPr="00010F64">
        <w:rPr>
          <w:rFonts w:ascii="Times New Roman" w:hAnsi="Times New Roman"/>
        </w:rPr>
        <w:t xml:space="preserve">the question of what use was to be made of the evidence to the jury. The trial judge did not direct the jury that it was to be </w:t>
      </w:r>
      <w:r w:rsidR="00A40D63" w:rsidRPr="00010F64">
        <w:rPr>
          <w:rFonts w:ascii="Times New Roman" w:hAnsi="Times New Roman"/>
        </w:rPr>
        <w:t>disregarded</w:t>
      </w:r>
      <w:r w:rsidR="008421A9" w:rsidRPr="00010F64">
        <w:rPr>
          <w:rFonts w:ascii="Times New Roman" w:hAnsi="Times New Roman"/>
        </w:rPr>
        <w:t>.</w:t>
      </w:r>
    </w:p>
    <w:p w14:paraId="308C8F67" w14:textId="0065B6EE" w:rsidR="008421A9" w:rsidRPr="00010F64" w:rsidRDefault="008421A9" w:rsidP="00010F64">
      <w:pPr>
        <w:pStyle w:val="FixListStyle"/>
        <w:spacing w:after="260" w:line="280" w:lineRule="exact"/>
        <w:ind w:right="0"/>
        <w:jc w:val="both"/>
        <w:rPr>
          <w:rFonts w:ascii="Times New Roman" w:hAnsi="Times New Roman"/>
        </w:rPr>
      </w:pPr>
      <w:r w:rsidRPr="00010F64">
        <w:rPr>
          <w:rFonts w:ascii="Times New Roman" w:hAnsi="Times New Roman"/>
        </w:rPr>
        <w:tab/>
      </w:r>
      <w:r w:rsidR="00C13F54" w:rsidRPr="00010F64">
        <w:rPr>
          <w:rFonts w:ascii="Times New Roman" w:hAnsi="Times New Roman"/>
        </w:rPr>
        <w:t xml:space="preserve">A majority in the Court of Appeal of the Supreme Court of Queensland (Mullins JA and Bond J, McMurdo JA dissenting) held that a miscarriage of justice had occurred but </w:t>
      </w:r>
      <w:r w:rsidR="00A40D63" w:rsidRPr="00010F64">
        <w:rPr>
          <w:rFonts w:ascii="Times New Roman" w:hAnsi="Times New Roman"/>
        </w:rPr>
        <w:t xml:space="preserve">that </w:t>
      </w:r>
      <w:r w:rsidR="008F6211" w:rsidRPr="00010F64">
        <w:rPr>
          <w:rFonts w:ascii="Times New Roman" w:hAnsi="Times New Roman"/>
        </w:rPr>
        <w:t xml:space="preserve">no substantial miscarriage of justice </w:t>
      </w:r>
      <w:r w:rsidR="00E35A43" w:rsidRPr="00010F64">
        <w:rPr>
          <w:rFonts w:ascii="Times New Roman" w:hAnsi="Times New Roman"/>
        </w:rPr>
        <w:t xml:space="preserve">had actually occurred </w:t>
      </w:r>
      <w:r w:rsidR="008F6211" w:rsidRPr="00010F64">
        <w:rPr>
          <w:rFonts w:ascii="Times New Roman" w:hAnsi="Times New Roman"/>
        </w:rPr>
        <w:t xml:space="preserve">for the purposes of s 668E(1A) of the </w:t>
      </w:r>
      <w:r w:rsidR="008F6211" w:rsidRPr="00010F64">
        <w:rPr>
          <w:rFonts w:ascii="Times New Roman" w:hAnsi="Times New Roman"/>
          <w:i/>
        </w:rPr>
        <w:t xml:space="preserve">Criminal Code </w:t>
      </w:r>
      <w:r w:rsidR="008F6211" w:rsidRPr="00010F64">
        <w:rPr>
          <w:rFonts w:ascii="Times New Roman" w:hAnsi="Times New Roman"/>
        </w:rPr>
        <w:t>(Qld) and dismissed the appeal from conviction</w:t>
      </w:r>
      <w:r w:rsidR="000E3A44" w:rsidRPr="00010F64">
        <w:rPr>
          <w:rStyle w:val="FootnoteReference"/>
          <w:rFonts w:ascii="Times New Roman" w:hAnsi="Times New Roman"/>
          <w:sz w:val="24"/>
        </w:rPr>
        <w:footnoteReference w:id="2"/>
      </w:r>
      <w:r w:rsidR="00107EC5" w:rsidRPr="00010F64">
        <w:rPr>
          <w:rFonts w:ascii="Times New Roman" w:hAnsi="Times New Roman"/>
        </w:rPr>
        <w:t>.</w:t>
      </w:r>
    </w:p>
    <w:p w14:paraId="50AD6E62" w14:textId="47E8A693" w:rsidR="00107EC5" w:rsidRPr="00010F64" w:rsidRDefault="00107EC5" w:rsidP="00010F64">
      <w:pPr>
        <w:pStyle w:val="HeadingL1"/>
        <w:spacing w:after="260" w:line="280" w:lineRule="exact"/>
        <w:ind w:right="0"/>
        <w:jc w:val="both"/>
        <w:rPr>
          <w:rFonts w:ascii="Times New Roman" w:hAnsi="Times New Roman"/>
        </w:rPr>
      </w:pPr>
      <w:r w:rsidRPr="00010F64">
        <w:rPr>
          <w:rFonts w:ascii="Times New Roman" w:hAnsi="Times New Roman"/>
        </w:rPr>
        <w:t>The prosecution evidence on the charges</w:t>
      </w:r>
    </w:p>
    <w:p w14:paraId="434B28A6" w14:textId="3E71CBC3" w:rsidR="00107EC5" w:rsidRPr="00010F64" w:rsidRDefault="00107EC5" w:rsidP="00010F64">
      <w:pPr>
        <w:pStyle w:val="FixListStyle"/>
        <w:spacing w:after="260" w:line="280" w:lineRule="exact"/>
        <w:ind w:right="0"/>
        <w:jc w:val="both"/>
        <w:rPr>
          <w:rFonts w:ascii="Times New Roman" w:hAnsi="Times New Roman"/>
        </w:rPr>
      </w:pPr>
      <w:r w:rsidRPr="00010F64">
        <w:rPr>
          <w:rFonts w:ascii="Times New Roman" w:hAnsi="Times New Roman"/>
        </w:rPr>
        <w:tab/>
        <w:t>The complainant was 12 years old at the time of the</w:t>
      </w:r>
      <w:r w:rsidR="00F70F7D" w:rsidRPr="00010F64">
        <w:rPr>
          <w:rFonts w:ascii="Times New Roman" w:hAnsi="Times New Roman"/>
        </w:rPr>
        <w:t xml:space="preserve"> alleged</w:t>
      </w:r>
      <w:r w:rsidRPr="00010F64">
        <w:rPr>
          <w:rFonts w:ascii="Times New Roman" w:hAnsi="Times New Roman"/>
        </w:rPr>
        <w:t xml:space="preserve"> offences. </w:t>
      </w:r>
      <w:r w:rsidR="006A5454" w:rsidRPr="00010F64">
        <w:rPr>
          <w:rFonts w:ascii="Times New Roman" w:hAnsi="Times New Roman"/>
        </w:rPr>
        <w:t xml:space="preserve">She and her family were staying at the appellant's house on the evening that the offences were said to have occurred. </w:t>
      </w:r>
      <w:r w:rsidR="00292603" w:rsidRPr="00010F64">
        <w:rPr>
          <w:rFonts w:ascii="Times New Roman" w:hAnsi="Times New Roman"/>
        </w:rPr>
        <w:t xml:space="preserve">She gave evidence that she had been watching a movie on television </w:t>
      </w:r>
      <w:r w:rsidR="005D2FCD" w:rsidRPr="00010F64">
        <w:rPr>
          <w:rFonts w:ascii="Times New Roman" w:hAnsi="Times New Roman"/>
        </w:rPr>
        <w:t xml:space="preserve">whilst lying on the appellant's bed. The appellant turned the television off </w:t>
      </w:r>
      <w:r w:rsidR="0000798D" w:rsidRPr="00010F64">
        <w:rPr>
          <w:rFonts w:ascii="Times New Roman" w:hAnsi="Times New Roman"/>
        </w:rPr>
        <w:t>w</w:t>
      </w:r>
      <w:r w:rsidR="005D2FCD" w:rsidRPr="00010F64">
        <w:rPr>
          <w:rFonts w:ascii="Times New Roman" w:hAnsi="Times New Roman"/>
        </w:rPr>
        <w:t xml:space="preserve">hen </w:t>
      </w:r>
      <w:r w:rsidR="00D15CA1" w:rsidRPr="00010F64">
        <w:rPr>
          <w:rFonts w:ascii="Times New Roman" w:hAnsi="Times New Roman"/>
        </w:rPr>
        <w:t xml:space="preserve">the complainant </w:t>
      </w:r>
      <w:r w:rsidR="005D2FCD" w:rsidRPr="00010F64">
        <w:rPr>
          <w:rFonts w:ascii="Times New Roman" w:hAnsi="Times New Roman"/>
        </w:rPr>
        <w:t xml:space="preserve">became tired. He then proceeded to </w:t>
      </w:r>
      <w:r w:rsidR="0000798D" w:rsidRPr="00010F64">
        <w:rPr>
          <w:rFonts w:ascii="Times New Roman" w:hAnsi="Times New Roman"/>
        </w:rPr>
        <w:t>rub and tickle her back and legs before rolling her onto her back. He touched her genitals and had her touch his erect penis</w:t>
      </w:r>
      <w:r w:rsidR="00E34223" w:rsidRPr="00010F64">
        <w:rPr>
          <w:rFonts w:ascii="Times New Roman" w:hAnsi="Times New Roman"/>
        </w:rPr>
        <w:t xml:space="preserve"> and then put his finger into her vagina. The appellant then pulled down her shorts and pushed his penis into her </w:t>
      </w:r>
      <w:r w:rsidR="00606485" w:rsidRPr="00010F64">
        <w:rPr>
          <w:rFonts w:ascii="Times New Roman" w:hAnsi="Times New Roman"/>
        </w:rPr>
        <w:t>vagina, causing her pain.</w:t>
      </w:r>
      <w:r w:rsidR="009162A3" w:rsidRPr="00010F64">
        <w:rPr>
          <w:rFonts w:ascii="Times New Roman" w:hAnsi="Times New Roman"/>
        </w:rPr>
        <w:t xml:space="preserve"> He then stopped.</w:t>
      </w:r>
      <w:r w:rsidR="00606485" w:rsidRPr="00010F64">
        <w:rPr>
          <w:rFonts w:ascii="Times New Roman" w:hAnsi="Times New Roman"/>
        </w:rPr>
        <w:t xml:space="preserve"> Whilst this was happenin</w:t>
      </w:r>
      <w:r w:rsidR="004A7418" w:rsidRPr="00010F64">
        <w:rPr>
          <w:rFonts w:ascii="Times New Roman" w:hAnsi="Times New Roman"/>
        </w:rPr>
        <w:t>g</w:t>
      </w:r>
      <w:r w:rsidR="000F2866" w:rsidRPr="00010F64">
        <w:rPr>
          <w:rFonts w:ascii="Times New Roman" w:hAnsi="Times New Roman"/>
        </w:rPr>
        <w:t>,</w:t>
      </w:r>
      <w:r w:rsidR="00606485" w:rsidRPr="00010F64">
        <w:rPr>
          <w:rFonts w:ascii="Times New Roman" w:hAnsi="Times New Roman"/>
        </w:rPr>
        <w:t xml:space="preserve"> the complainant said</w:t>
      </w:r>
      <w:r w:rsidR="000F2866" w:rsidRPr="00010F64">
        <w:rPr>
          <w:rFonts w:ascii="Times New Roman" w:hAnsi="Times New Roman"/>
        </w:rPr>
        <w:t>,</w:t>
      </w:r>
      <w:r w:rsidR="00606485" w:rsidRPr="00010F64">
        <w:rPr>
          <w:rFonts w:ascii="Times New Roman" w:hAnsi="Times New Roman"/>
        </w:rPr>
        <w:t xml:space="preserve"> she was crying and upset. He then started rubbing his fingers </w:t>
      </w:r>
      <w:r w:rsidR="00901195" w:rsidRPr="00010F64">
        <w:rPr>
          <w:rFonts w:ascii="Times New Roman" w:hAnsi="Times New Roman"/>
        </w:rPr>
        <w:t>on the outside of her vagina. He then stopped and asked her to promise not to tell anyone and went outside.</w:t>
      </w:r>
    </w:p>
    <w:p w14:paraId="608833A6" w14:textId="4B5F8B24" w:rsidR="00901195" w:rsidRPr="00010F64" w:rsidRDefault="00901195" w:rsidP="00010F64">
      <w:pPr>
        <w:pStyle w:val="FixListStyle"/>
        <w:spacing w:after="260" w:line="280" w:lineRule="exact"/>
        <w:ind w:right="0"/>
        <w:jc w:val="both"/>
        <w:rPr>
          <w:rFonts w:ascii="Times New Roman" w:hAnsi="Times New Roman"/>
        </w:rPr>
      </w:pPr>
      <w:r w:rsidRPr="00010F64">
        <w:rPr>
          <w:rFonts w:ascii="Times New Roman" w:hAnsi="Times New Roman"/>
        </w:rPr>
        <w:tab/>
      </w:r>
      <w:r w:rsidR="00376564" w:rsidRPr="00010F64">
        <w:rPr>
          <w:rFonts w:ascii="Times New Roman" w:hAnsi="Times New Roman"/>
        </w:rPr>
        <w:t>After the appellant left, t</w:t>
      </w:r>
      <w:r w:rsidRPr="00010F64">
        <w:rPr>
          <w:rFonts w:ascii="Times New Roman" w:hAnsi="Times New Roman"/>
        </w:rPr>
        <w:t xml:space="preserve">he complainant </w:t>
      </w:r>
      <w:r w:rsidR="00376564" w:rsidRPr="00010F64">
        <w:rPr>
          <w:rFonts w:ascii="Times New Roman" w:hAnsi="Times New Roman"/>
        </w:rPr>
        <w:t xml:space="preserve">went outside the </w:t>
      </w:r>
      <w:r w:rsidR="009D05F8" w:rsidRPr="00010F64">
        <w:rPr>
          <w:rFonts w:ascii="Times New Roman" w:hAnsi="Times New Roman"/>
        </w:rPr>
        <w:t xml:space="preserve">appellant's </w:t>
      </w:r>
      <w:r w:rsidR="00376564" w:rsidRPr="00010F64">
        <w:rPr>
          <w:rFonts w:ascii="Times New Roman" w:hAnsi="Times New Roman"/>
        </w:rPr>
        <w:t xml:space="preserve">bedroom and </w:t>
      </w:r>
      <w:r w:rsidR="00BF647C" w:rsidRPr="00010F64">
        <w:rPr>
          <w:rFonts w:ascii="Times New Roman" w:hAnsi="Times New Roman"/>
        </w:rPr>
        <w:t>ascertained that her mother, who was present in another room in the house, was not awake.</w:t>
      </w:r>
      <w:r w:rsidR="00F915CC" w:rsidRPr="00010F64">
        <w:rPr>
          <w:rFonts w:ascii="Times New Roman" w:hAnsi="Times New Roman"/>
        </w:rPr>
        <w:t xml:space="preserve"> </w:t>
      </w:r>
      <w:r w:rsidR="00B37C2B" w:rsidRPr="00010F64">
        <w:rPr>
          <w:rFonts w:ascii="Times New Roman" w:hAnsi="Times New Roman"/>
        </w:rPr>
        <w:t>Upon hearing</w:t>
      </w:r>
      <w:r w:rsidR="00F915CC" w:rsidRPr="00010F64">
        <w:rPr>
          <w:rFonts w:ascii="Times New Roman" w:hAnsi="Times New Roman"/>
        </w:rPr>
        <w:t xml:space="preserve"> the appellant return</w:t>
      </w:r>
      <w:r w:rsidR="00787246" w:rsidRPr="00010F64">
        <w:rPr>
          <w:rFonts w:ascii="Times New Roman" w:hAnsi="Times New Roman"/>
        </w:rPr>
        <w:t>ing</w:t>
      </w:r>
      <w:r w:rsidR="00F915CC" w:rsidRPr="00010F64">
        <w:rPr>
          <w:rFonts w:ascii="Times New Roman" w:hAnsi="Times New Roman"/>
        </w:rPr>
        <w:t>, the complainant went back into the bedroom</w:t>
      </w:r>
      <w:r w:rsidR="00CE6670" w:rsidRPr="00010F64">
        <w:rPr>
          <w:rFonts w:ascii="Times New Roman" w:hAnsi="Times New Roman"/>
        </w:rPr>
        <w:t xml:space="preserve"> and lay back down on the bed</w:t>
      </w:r>
      <w:r w:rsidR="00F915CC" w:rsidRPr="00010F64">
        <w:rPr>
          <w:rFonts w:ascii="Times New Roman" w:hAnsi="Times New Roman"/>
        </w:rPr>
        <w:t>.</w:t>
      </w:r>
      <w:r w:rsidR="00BF647C" w:rsidRPr="00010F64">
        <w:rPr>
          <w:rFonts w:ascii="Times New Roman" w:hAnsi="Times New Roman"/>
        </w:rPr>
        <w:t xml:space="preserve"> </w:t>
      </w:r>
      <w:r w:rsidR="001C41E7" w:rsidRPr="00010F64">
        <w:rPr>
          <w:rFonts w:ascii="Times New Roman" w:hAnsi="Times New Roman"/>
        </w:rPr>
        <w:t xml:space="preserve">The appellant </w:t>
      </w:r>
      <w:r w:rsidR="008A4742" w:rsidRPr="00010F64">
        <w:rPr>
          <w:rFonts w:ascii="Times New Roman" w:hAnsi="Times New Roman"/>
        </w:rPr>
        <w:t>also returned to the</w:t>
      </w:r>
      <w:r w:rsidR="001C41E7" w:rsidRPr="00010F64">
        <w:rPr>
          <w:rFonts w:ascii="Times New Roman" w:hAnsi="Times New Roman"/>
        </w:rPr>
        <w:t xml:space="preserve"> bed. </w:t>
      </w:r>
      <w:r w:rsidR="00BF647C" w:rsidRPr="00010F64">
        <w:rPr>
          <w:rFonts w:ascii="Times New Roman" w:hAnsi="Times New Roman"/>
        </w:rPr>
        <w:t xml:space="preserve">After a </w:t>
      </w:r>
      <w:r w:rsidR="00AC46B0" w:rsidRPr="00010F64">
        <w:rPr>
          <w:rFonts w:ascii="Times New Roman" w:hAnsi="Times New Roman"/>
        </w:rPr>
        <w:t xml:space="preserve">short </w:t>
      </w:r>
      <w:r w:rsidR="00BF647C" w:rsidRPr="00010F64">
        <w:rPr>
          <w:rFonts w:ascii="Times New Roman" w:hAnsi="Times New Roman"/>
        </w:rPr>
        <w:t xml:space="preserve">period of time </w:t>
      </w:r>
      <w:r w:rsidR="0010634C" w:rsidRPr="00010F64">
        <w:rPr>
          <w:rFonts w:ascii="Times New Roman" w:hAnsi="Times New Roman"/>
        </w:rPr>
        <w:t xml:space="preserve">the complainant </w:t>
      </w:r>
      <w:r w:rsidR="00BF647C" w:rsidRPr="00010F64">
        <w:rPr>
          <w:rFonts w:ascii="Times New Roman" w:hAnsi="Times New Roman"/>
        </w:rPr>
        <w:t>left the bedroom and the appellant</w:t>
      </w:r>
      <w:r w:rsidR="00F915CC" w:rsidRPr="00010F64">
        <w:rPr>
          <w:rFonts w:ascii="Times New Roman" w:hAnsi="Times New Roman"/>
        </w:rPr>
        <w:t>,</w:t>
      </w:r>
      <w:r w:rsidR="00BF647C" w:rsidRPr="00010F64">
        <w:rPr>
          <w:rFonts w:ascii="Times New Roman" w:hAnsi="Times New Roman"/>
        </w:rPr>
        <w:t xml:space="preserve"> </w:t>
      </w:r>
      <w:r w:rsidR="00D15CA1" w:rsidRPr="00010F64">
        <w:rPr>
          <w:rFonts w:ascii="Times New Roman" w:hAnsi="Times New Roman"/>
        </w:rPr>
        <w:t xml:space="preserve">and </w:t>
      </w:r>
      <w:r w:rsidR="00BF647C" w:rsidRPr="00010F64">
        <w:rPr>
          <w:rFonts w:ascii="Times New Roman" w:hAnsi="Times New Roman"/>
        </w:rPr>
        <w:t xml:space="preserve">went to sleep </w:t>
      </w:r>
      <w:r w:rsidR="003308D0" w:rsidRPr="00010F64">
        <w:rPr>
          <w:rFonts w:ascii="Times New Roman" w:hAnsi="Times New Roman"/>
        </w:rPr>
        <w:t xml:space="preserve">with </w:t>
      </w:r>
      <w:r w:rsidR="00BF647C" w:rsidRPr="00010F64">
        <w:rPr>
          <w:rFonts w:ascii="Times New Roman" w:hAnsi="Times New Roman"/>
        </w:rPr>
        <w:t>her younger sister.</w:t>
      </w:r>
      <w:r w:rsidR="003308D0" w:rsidRPr="00010F64">
        <w:rPr>
          <w:rFonts w:ascii="Times New Roman" w:hAnsi="Times New Roman"/>
        </w:rPr>
        <w:t xml:space="preserve"> </w:t>
      </w:r>
      <w:r w:rsidR="00F775BA" w:rsidRPr="00010F64">
        <w:rPr>
          <w:rFonts w:ascii="Times New Roman" w:hAnsi="Times New Roman"/>
        </w:rPr>
        <w:t>The</w:t>
      </w:r>
      <w:r w:rsidR="003308D0" w:rsidRPr="00010F64">
        <w:rPr>
          <w:rFonts w:ascii="Times New Roman" w:hAnsi="Times New Roman"/>
        </w:rPr>
        <w:t xml:space="preserve"> sister gave evidence that the complainant was crying quietly and shaking and </w:t>
      </w:r>
      <w:r w:rsidR="009F7072" w:rsidRPr="00010F64">
        <w:rPr>
          <w:rFonts w:ascii="Times New Roman" w:hAnsi="Times New Roman"/>
        </w:rPr>
        <w:t>that</w:t>
      </w:r>
      <w:r w:rsidR="003308D0" w:rsidRPr="00010F64">
        <w:rPr>
          <w:rFonts w:ascii="Times New Roman" w:hAnsi="Times New Roman"/>
        </w:rPr>
        <w:t xml:space="preserve"> she comforted </w:t>
      </w:r>
      <w:r w:rsidR="00220FB6" w:rsidRPr="00010F64">
        <w:rPr>
          <w:rFonts w:ascii="Times New Roman" w:hAnsi="Times New Roman"/>
        </w:rPr>
        <w:t>the complainant</w:t>
      </w:r>
      <w:r w:rsidR="003308D0" w:rsidRPr="00010F64">
        <w:rPr>
          <w:rFonts w:ascii="Times New Roman" w:hAnsi="Times New Roman"/>
        </w:rPr>
        <w:t>.</w:t>
      </w:r>
    </w:p>
    <w:p w14:paraId="302F685A" w14:textId="5D4BA116" w:rsidR="003308D0" w:rsidRPr="00010F64" w:rsidRDefault="003308D0"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The following </w:t>
      </w:r>
      <w:r w:rsidR="00572900" w:rsidRPr="00010F64">
        <w:rPr>
          <w:rFonts w:ascii="Times New Roman" w:hAnsi="Times New Roman"/>
        </w:rPr>
        <w:t xml:space="preserve">day </w:t>
      </w:r>
      <w:r w:rsidRPr="00010F64">
        <w:rPr>
          <w:rFonts w:ascii="Times New Roman" w:hAnsi="Times New Roman"/>
        </w:rPr>
        <w:t xml:space="preserve">the complainant </w:t>
      </w:r>
      <w:r w:rsidR="004618C4" w:rsidRPr="00010F64">
        <w:rPr>
          <w:rFonts w:ascii="Times New Roman" w:hAnsi="Times New Roman"/>
        </w:rPr>
        <w:t>told her mother what had happened. Her mother took her to the police</w:t>
      </w:r>
      <w:r w:rsidR="00CB7792" w:rsidRPr="00010F64">
        <w:rPr>
          <w:rFonts w:ascii="Times New Roman" w:hAnsi="Times New Roman"/>
        </w:rPr>
        <w:t>,</w:t>
      </w:r>
      <w:r w:rsidR="004618C4" w:rsidRPr="00010F64">
        <w:rPr>
          <w:rFonts w:ascii="Times New Roman" w:hAnsi="Times New Roman"/>
        </w:rPr>
        <w:t xml:space="preserve"> who interviewed her</w:t>
      </w:r>
      <w:r w:rsidR="003B3ED5" w:rsidRPr="00010F64">
        <w:rPr>
          <w:rFonts w:ascii="Times New Roman" w:hAnsi="Times New Roman"/>
        </w:rPr>
        <w:t xml:space="preserve">. </w:t>
      </w:r>
      <w:r w:rsidR="004618C4" w:rsidRPr="00010F64">
        <w:rPr>
          <w:rFonts w:ascii="Times New Roman" w:hAnsi="Times New Roman"/>
        </w:rPr>
        <w:t xml:space="preserve">The complainant was </w:t>
      </w:r>
      <w:r w:rsidR="004618C4" w:rsidRPr="00010F64">
        <w:rPr>
          <w:rFonts w:ascii="Times New Roman" w:hAnsi="Times New Roman"/>
        </w:rPr>
        <w:lastRenderedPageBreak/>
        <w:t>medically examined that day</w:t>
      </w:r>
      <w:r w:rsidR="00193E1E" w:rsidRPr="00010F64">
        <w:rPr>
          <w:rFonts w:ascii="Times New Roman" w:hAnsi="Times New Roman"/>
        </w:rPr>
        <w:t>, and again</w:t>
      </w:r>
      <w:r w:rsidR="00722D3E" w:rsidRPr="00010F64">
        <w:rPr>
          <w:rFonts w:ascii="Times New Roman" w:hAnsi="Times New Roman"/>
        </w:rPr>
        <w:t xml:space="preserve"> </w:t>
      </w:r>
      <w:r w:rsidR="00AD379C" w:rsidRPr="00010F64">
        <w:rPr>
          <w:rFonts w:ascii="Times New Roman" w:hAnsi="Times New Roman"/>
        </w:rPr>
        <w:t>some ten days later</w:t>
      </w:r>
      <w:r w:rsidR="004618C4" w:rsidRPr="00010F64">
        <w:rPr>
          <w:rFonts w:ascii="Times New Roman" w:hAnsi="Times New Roman"/>
        </w:rPr>
        <w:t xml:space="preserve">. The evidence at trial was that those examinations revealed </w:t>
      </w:r>
      <w:r w:rsidR="00E129CA" w:rsidRPr="00010F64">
        <w:rPr>
          <w:rFonts w:ascii="Times New Roman" w:hAnsi="Times New Roman"/>
        </w:rPr>
        <w:t xml:space="preserve">that the </w:t>
      </w:r>
      <w:r w:rsidR="004618C4" w:rsidRPr="00010F64">
        <w:rPr>
          <w:rFonts w:ascii="Times New Roman" w:hAnsi="Times New Roman"/>
        </w:rPr>
        <w:t>initial redness to her genitals</w:t>
      </w:r>
      <w:r w:rsidR="00F532A3" w:rsidRPr="00010F64">
        <w:rPr>
          <w:rFonts w:ascii="Times New Roman" w:hAnsi="Times New Roman"/>
        </w:rPr>
        <w:t>, observed at the first medical examination,</w:t>
      </w:r>
      <w:r w:rsidR="004618C4" w:rsidRPr="00010F64">
        <w:rPr>
          <w:rFonts w:ascii="Times New Roman" w:hAnsi="Times New Roman"/>
        </w:rPr>
        <w:t xml:space="preserve"> </w:t>
      </w:r>
      <w:r w:rsidR="00E129CA" w:rsidRPr="00010F64">
        <w:rPr>
          <w:rFonts w:ascii="Times New Roman" w:hAnsi="Times New Roman"/>
        </w:rPr>
        <w:t xml:space="preserve">was </w:t>
      </w:r>
      <w:r w:rsidR="004618C4" w:rsidRPr="00010F64">
        <w:rPr>
          <w:rFonts w:ascii="Times New Roman" w:hAnsi="Times New Roman"/>
        </w:rPr>
        <w:t xml:space="preserve">consistent with blunt force trauma and a traumatic </w:t>
      </w:r>
      <w:r w:rsidR="00E129CA" w:rsidRPr="00010F64">
        <w:rPr>
          <w:rFonts w:ascii="Times New Roman" w:hAnsi="Times New Roman"/>
        </w:rPr>
        <w:t>bre</w:t>
      </w:r>
      <w:r w:rsidR="00136D1A" w:rsidRPr="00010F64">
        <w:rPr>
          <w:rFonts w:ascii="Times New Roman" w:hAnsi="Times New Roman"/>
        </w:rPr>
        <w:t xml:space="preserve">ak </w:t>
      </w:r>
      <w:r w:rsidR="004618C4" w:rsidRPr="00010F64">
        <w:rPr>
          <w:rFonts w:ascii="Times New Roman" w:hAnsi="Times New Roman"/>
        </w:rPr>
        <w:t>of her hymen.</w:t>
      </w:r>
    </w:p>
    <w:p w14:paraId="43BD9342" w14:textId="67E35FD1" w:rsidR="004618C4" w:rsidRPr="00010F64" w:rsidRDefault="004618C4" w:rsidP="00010F64">
      <w:pPr>
        <w:pStyle w:val="HeadingL1"/>
        <w:spacing w:after="260" w:line="280" w:lineRule="exact"/>
        <w:ind w:right="0"/>
        <w:jc w:val="both"/>
        <w:rPr>
          <w:rFonts w:ascii="Times New Roman" w:hAnsi="Times New Roman"/>
        </w:rPr>
      </w:pPr>
      <w:r w:rsidRPr="00010F64">
        <w:rPr>
          <w:rFonts w:ascii="Times New Roman" w:hAnsi="Times New Roman"/>
        </w:rPr>
        <w:t>Evidence of other sexual activity</w:t>
      </w:r>
    </w:p>
    <w:p w14:paraId="49AFD37E" w14:textId="0A64665F" w:rsidR="004618C4" w:rsidRPr="00010F64" w:rsidRDefault="004618C4" w:rsidP="00010F64">
      <w:pPr>
        <w:pStyle w:val="FixListStyle"/>
        <w:spacing w:after="260" w:line="280" w:lineRule="exact"/>
        <w:ind w:right="0"/>
        <w:jc w:val="both"/>
        <w:rPr>
          <w:rFonts w:ascii="Times New Roman" w:hAnsi="Times New Roman"/>
        </w:rPr>
      </w:pPr>
      <w:r w:rsidRPr="00010F64">
        <w:rPr>
          <w:rFonts w:ascii="Times New Roman" w:hAnsi="Times New Roman"/>
        </w:rPr>
        <w:tab/>
      </w:r>
      <w:r w:rsidR="005F5426" w:rsidRPr="00010F64">
        <w:rPr>
          <w:rFonts w:ascii="Times New Roman" w:hAnsi="Times New Roman"/>
        </w:rPr>
        <w:t>In her evidence</w:t>
      </w:r>
      <w:r w:rsidR="006D1AE5" w:rsidRPr="00010F64">
        <w:rPr>
          <w:rFonts w:ascii="Times New Roman" w:hAnsi="Times New Roman"/>
        </w:rPr>
        <w:t>-</w:t>
      </w:r>
      <w:r w:rsidR="005F5426" w:rsidRPr="00010F64">
        <w:rPr>
          <w:rFonts w:ascii="Times New Roman" w:hAnsi="Times New Roman"/>
        </w:rPr>
        <w:t>in</w:t>
      </w:r>
      <w:r w:rsidR="006D1AE5" w:rsidRPr="00010F64">
        <w:rPr>
          <w:rFonts w:ascii="Times New Roman" w:hAnsi="Times New Roman"/>
        </w:rPr>
        <w:t>-</w:t>
      </w:r>
      <w:r w:rsidR="005F5426" w:rsidRPr="00010F64">
        <w:rPr>
          <w:rFonts w:ascii="Times New Roman" w:hAnsi="Times New Roman"/>
        </w:rPr>
        <w:t xml:space="preserve">chief the complainant was asked whether </w:t>
      </w:r>
      <w:r w:rsidR="00136D1A" w:rsidRPr="00010F64">
        <w:rPr>
          <w:rFonts w:ascii="Times New Roman" w:hAnsi="Times New Roman"/>
        </w:rPr>
        <w:t xml:space="preserve">anyone other than the appellant had touched her vagina. She said that a 15 year old boy, who had been her boyfriend, had touched her vagina </w:t>
      </w:r>
      <w:r w:rsidR="005F1B1A" w:rsidRPr="00010F64">
        <w:rPr>
          <w:rFonts w:ascii="Times New Roman" w:hAnsi="Times New Roman"/>
        </w:rPr>
        <w:t xml:space="preserve">with </w:t>
      </w:r>
      <w:r w:rsidR="00136D1A" w:rsidRPr="00010F64">
        <w:rPr>
          <w:rFonts w:ascii="Times New Roman" w:hAnsi="Times New Roman"/>
        </w:rPr>
        <w:t xml:space="preserve">his tongue. </w:t>
      </w:r>
      <w:r w:rsidR="00317253" w:rsidRPr="00010F64">
        <w:rPr>
          <w:rFonts w:ascii="Times New Roman" w:hAnsi="Times New Roman"/>
        </w:rPr>
        <w:t>It had occurred on one occasion. She was asked whether anything was inserted into her vagina in the three or four days before the night when the events concerning the appellant had taken place and she answered "no".</w:t>
      </w:r>
    </w:p>
    <w:p w14:paraId="17BF7B05" w14:textId="4F07B6EA" w:rsidR="004618C4" w:rsidRPr="00010F64" w:rsidRDefault="004618C4" w:rsidP="00010F64">
      <w:pPr>
        <w:pStyle w:val="FixListStyle"/>
        <w:spacing w:after="260" w:line="280" w:lineRule="exact"/>
        <w:ind w:right="0"/>
        <w:jc w:val="both"/>
        <w:rPr>
          <w:rFonts w:ascii="Times New Roman" w:hAnsi="Times New Roman"/>
        </w:rPr>
      </w:pPr>
      <w:r w:rsidRPr="00010F64">
        <w:rPr>
          <w:rFonts w:ascii="Times New Roman" w:hAnsi="Times New Roman"/>
        </w:rPr>
        <w:tab/>
      </w:r>
      <w:r w:rsidR="00452D1C" w:rsidRPr="00010F64">
        <w:rPr>
          <w:rFonts w:ascii="Times New Roman" w:hAnsi="Times New Roman"/>
        </w:rPr>
        <w:t>This evidence came to be led by leave</w:t>
      </w:r>
      <w:r w:rsidR="00391830" w:rsidRPr="00010F64">
        <w:rPr>
          <w:rFonts w:ascii="Times New Roman" w:hAnsi="Times New Roman"/>
        </w:rPr>
        <w:t xml:space="preserve"> </w:t>
      </w:r>
      <w:r w:rsidR="00A45047" w:rsidRPr="00010F64">
        <w:rPr>
          <w:rFonts w:ascii="Times New Roman" w:hAnsi="Times New Roman"/>
        </w:rPr>
        <w:t>sought by the Crown and</w:t>
      </w:r>
      <w:r w:rsidR="00452D1C" w:rsidRPr="00010F64">
        <w:rPr>
          <w:rFonts w:ascii="Times New Roman" w:hAnsi="Times New Roman"/>
        </w:rPr>
        <w:t xml:space="preserve"> given by the trial judge </w:t>
      </w:r>
      <w:r w:rsidR="00011BE4" w:rsidRPr="00010F64">
        <w:rPr>
          <w:rFonts w:ascii="Times New Roman" w:hAnsi="Times New Roman"/>
        </w:rPr>
        <w:t xml:space="preserve">under s 4 of the </w:t>
      </w:r>
      <w:r w:rsidR="00011BE4" w:rsidRPr="00010F64">
        <w:rPr>
          <w:rFonts w:ascii="Times New Roman" w:hAnsi="Times New Roman"/>
          <w:i/>
        </w:rPr>
        <w:t>Criminal Law (Sexual Offences) Act 1978</w:t>
      </w:r>
      <w:r w:rsidR="00011BE4" w:rsidRPr="00010F64">
        <w:rPr>
          <w:rFonts w:ascii="Times New Roman" w:hAnsi="Times New Roman"/>
        </w:rPr>
        <w:t xml:space="preserve"> (Qld) to adduce evidence </w:t>
      </w:r>
      <w:r w:rsidR="00446842" w:rsidRPr="00010F64">
        <w:rPr>
          <w:rFonts w:ascii="Times New Roman" w:hAnsi="Times New Roman"/>
        </w:rPr>
        <w:t xml:space="preserve">as to the sexual activities </w:t>
      </w:r>
      <w:r w:rsidR="00011BE4" w:rsidRPr="00010F64">
        <w:rPr>
          <w:rFonts w:ascii="Times New Roman" w:hAnsi="Times New Roman"/>
        </w:rPr>
        <w:t xml:space="preserve">of </w:t>
      </w:r>
      <w:r w:rsidR="0008091E" w:rsidRPr="00010F64">
        <w:rPr>
          <w:rFonts w:ascii="Times New Roman" w:hAnsi="Times New Roman"/>
        </w:rPr>
        <w:t xml:space="preserve">the </w:t>
      </w:r>
      <w:r w:rsidR="00011BE4" w:rsidRPr="00010F64">
        <w:rPr>
          <w:rFonts w:ascii="Times New Roman" w:hAnsi="Times New Roman"/>
        </w:rPr>
        <w:t>complainant</w:t>
      </w:r>
      <w:r w:rsidR="0093753F" w:rsidRPr="00010F64">
        <w:rPr>
          <w:rFonts w:ascii="Times New Roman" w:hAnsi="Times New Roman"/>
        </w:rPr>
        <w:t xml:space="preserve"> </w:t>
      </w:r>
      <w:r w:rsidR="00FD17B1" w:rsidRPr="00010F64">
        <w:rPr>
          <w:rFonts w:ascii="Times New Roman" w:hAnsi="Times New Roman"/>
        </w:rPr>
        <w:t>with any person</w:t>
      </w:r>
      <w:r w:rsidR="005E08C0" w:rsidRPr="00010F64">
        <w:rPr>
          <w:rFonts w:ascii="Times New Roman" w:hAnsi="Times New Roman"/>
        </w:rPr>
        <w:t>.</w:t>
      </w:r>
      <w:r w:rsidR="00011BE4" w:rsidRPr="00010F64">
        <w:rPr>
          <w:rFonts w:ascii="Times New Roman" w:hAnsi="Times New Roman"/>
        </w:rPr>
        <w:t xml:space="preserve"> </w:t>
      </w:r>
      <w:r w:rsidR="00040F4C" w:rsidRPr="00010F64">
        <w:rPr>
          <w:rFonts w:ascii="Times New Roman" w:hAnsi="Times New Roman"/>
        </w:rPr>
        <w:t xml:space="preserve">Leave was granted after discussions had taken place between the prosecutor and defence counsel. </w:t>
      </w:r>
      <w:r w:rsidR="005A64DC" w:rsidRPr="00010F64">
        <w:rPr>
          <w:rFonts w:ascii="Times New Roman" w:hAnsi="Times New Roman"/>
        </w:rPr>
        <w:t xml:space="preserve">Defence counsel did not object to leave being granted. </w:t>
      </w:r>
      <w:r w:rsidR="00040F4C" w:rsidRPr="00010F64">
        <w:rPr>
          <w:rFonts w:ascii="Times New Roman" w:hAnsi="Times New Roman"/>
        </w:rPr>
        <w:t xml:space="preserve">Leave was said to be justified because the evidence was relevant to whether there were innocent explanations for her physical condition when </w:t>
      </w:r>
      <w:r w:rsidR="00136D1A" w:rsidRPr="00010F64">
        <w:rPr>
          <w:rFonts w:ascii="Times New Roman" w:hAnsi="Times New Roman"/>
        </w:rPr>
        <w:t xml:space="preserve">she was </w:t>
      </w:r>
      <w:r w:rsidR="00040F4C" w:rsidRPr="00010F64">
        <w:rPr>
          <w:rFonts w:ascii="Times New Roman" w:hAnsi="Times New Roman"/>
        </w:rPr>
        <w:t>medically examined</w:t>
      </w:r>
      <w:r w:rsidR="003D7637" w:rsidRPr="00010F64">
        <w:rPr>
          <w:rFonts w:ascii="Times New Roman" w:hAnsi="Times New Roman"/>
        </w:rPr>
        <w:t xml:space="preserve"> after the alleged offending</w:t>
      </w:r>
      <w:r w:rsidR="00040F4C" w:rsidRPr="00010F64">
        <w:rPr>
          <w:rFonts w:ascii="Times New Roman" w:hAnsi="Times New Roman"/>
        </w:rPr>
        <w:t xml:space="preserve"> and whether there was any other explanation for the fact that the complainant and the appellant both had </w:t>
      </w:r>
      <w:r w:rsidR="001A39B3" w:rsidRPr="00010F64">
        <w:rPr>
          <w:rFonts w:ascii="Times New Roman" w:hAnsi="Times New Roman"/>
        </w:rPr>
        <w:t>HSV-1</w:t>
      </w:r>
      <w:r w:rsidR="007C35EF" w:rsidRPr="00010F64">
        <w:rPr>
          <w:rFonts w:ascii="Times New Roman" w:hAnsi="Times New Roman"/>
        </w:rPr>
        <w:t xml:space="preserve">. The complainant had been tested </w:t>
      </w:r>
      <w:r w:rsidR="00C250C7" w:rsidRPr="00010F64">
        <w:rPr>
          <w:rFonts w:ascii="Times New Roman" w:hAnsi="Times New Roman"/>
        </w:rPr>
        <w:t>for</w:t>
      </w:r>
      <w:r w:rsidR="0061605B" w:rsidRPr="00010F64">
        <w:rPr>
          <w:rFonts w:ascii="Times New Roman" w:hAnsi="Times New Roman"/>
        </w:rPr>
        <w:t xml:space="preserve"> the virus </w:t>
      </w:r>
      <w:r w:rsidR="007C35EF" w:rsidRPr="00010F64">
        <w:rPr>
          <w:rFonts w:ascii="Times New Roman" w:hAnsi="Times New Roman"/>
        </w:rPr>
        <w:t xml:space="preserve">at the time of her </w:t>
      </w:r>
      <w:r w:rsidR="007810A3" w:rsidRPr="00010F64">
        <w:rPr>
          <w:rFonts w:ascii="Times New Roman" w:hAnsi="Times New Roman"/>
        </w:rPr>
        <w:t xml:space="preserve">first </w:t>
      </w:r>
      <w:r w:rsidR="007C35EF" w:rsidRPr="00010F64">
        <w:rPr>
          <w:rFonts w:ascii="Times New Roman" w:hAnsi="Times New Roman"/>
        </w:rPr>
        <w:t xml:space="preserve">medical </w:t>
      </w:r>
      <w:r w:rsidR="00B62FC7" w:rsidRPr="00010F64">
        <w:rPr>
          <w:rFonts w:ascii="Times New Roman" w:hAnsi="Times New Roman"/>
        </w:rPr>
        <w:t>examination</w:t>
      </w:r>
      <w:r w:rsidR="00CE73C8" w:rsidRPr="00010F64">
        <w:rPr>
          <w:rFonts w:ascii="Times New Roman" w:hAnsi="Times New Roman"/>
        </w:rPr>
        <w:t xml:space="preserve"> </w:t>
      </w:r>
      <w:r w:rsidR="007C35EF" w:rsidRPr="00010F64">
        <w:rPr>
          <w:rFonts w:ascii="Times New Roman" w:hAnsi="Times New Roman"/>
        </w:rPr>
        <w:t xml:space="preserve">and the appellant </w:t>
      </w:r>
      <w:r w:rsidR="00E0057F" w:rsidRPr="00010F64">
        <w:rPr>
          <w:rFonts w:ascii="Times New Roman" w:hAnsi="Times New Roman"/>
        </w:rPr>
        <w:t>had</w:t>
      </w:r>
      <w:r w:rsidR="00DA0B4E" w:rsidRPr="00010F64">
        <w:rPr>
          <w:rFonts w:ascii="Times New Roman" w:hAnsi="Times New Roman"/>
        </w:rPr>
        <w:t xml:space="preserve"> also</w:t>
      </w:r>
      <w:r w:rsidR="00E0057F" w:rsidRPr="00010F64">
        <w:rPr>
          <w:rFonts w:ascii="Times New Roman" w:hAnsi="Times New Roman"/>
        </w:rPr>
        <w:t xml:space="preserve"> been tested</w:t>
      </w:r>
      <w:r w:rsidR="00DD391D" w:rsidRPr="00010F64">
        <w:rPr>
          <w:rFonts w:ascii="Times New Roman" w:hAnsi="Times New Roman"/>
        </w:rPr>
        <w:t xml:space="preserve"> twice</w:t>
      </w:r>
      <w:r w:rsidR="005042B6" w:rsidRPr="00010F64">
        <w:rPr>
          <w:rFonts w:ascii="Times New Roman" w:hAnsi="Times New Roman"/>
        </w:rPr>
        <w:t xml:space="preserve"> for the virus</w:t>
      </w:r>
      <w:r w:rsidR="00E0057F" w:rsidRPr="00010F64">
        <w:rPr>
          <w:rFonts w:ascii="Times New Roman" w:hAnsi="Times New Roman"/>
        </w:rPr>
        <w:t xml:space="preserve"> </w:t>
      </w:r>
      <w:r w:rsidR="00DD391D" w:rsidRPr="00010F64">
        <w:rPr>
          <w:rFonts w:ascii="Times New Roman" w:hAnsi="Times New Roman"/>
        </w:rPr>
        <w:t>a number of days after the alleged offences</w:t>
      </w:r>
      <w:r w:rsidR="007C35EF" w:rsidRPr="00010F64">
        <w:rPr>
          <w:rFonts w:ascii="Times New Roman" w:hAnsi="Times New Roman"/>
        </w:rPr>
        <w:t>.</w:t>
      </w:r>
    </w:p>
    <w:p w14:paraId="11111054" w14:textId="7086FF9D" w:rsidR="007C35EF" w:rsidRPr="00010F64" w:rsidRDefault="007C35EF" w:rsidP="00010F64">
      <w:pPr>
        <w:pStyle w:val="FixListStyle"/>
        <w:spacing w:after="260" w:line="280" w:lineRule="exact"/>
        <w:ind w:right="0"/>
        <w:jc w:val="both"/>
        <w:rPr>
          <w:rFonts w:ascii="Times New Roman" w:hAnsi="Times New Roman"/>
        </w:rPr>
      </w:pPr>
      <w:r w:rsidRPr="00010F64">
        <w:rPr>
          <w:rFonts w:ascii="Times New Roman" w:hAnsi="Times New Roman"/>
        </w:rPr>
        <w:tab/>
      </w:r>
      <w:r w:rsidR="0054030C" w:rsidRPr="00010F64">
        <w:rPr>
          <w:rFonts w:ascii="Times New Roman" w:hAnsi="Times New Roman"/>
        </w:rPr>
        <w:t>Bond J, with whom Mullins JA agreed, was to observe that</w:t>
      </w:r>
      <w:r w:rsidR="00BC0AA4" w:rsidRPr="00010F64">
        <w:rPr>
          <w:rFonts w:ascii="Times New Roman" w:hAnsi="Times New Roman"/>
        </w:rPr>
        <w:t xml:space="preserve">, objectively assessed, there was an obvious forensic </w:t>
      </w:r>
      <w:r w:rsidR="003422AA" w:rsidRPr="00010F64">
        <w:rPr>
          <w:rFonts w:ascii="Times New Roman" w:hAnsi="Times New Roman"/>
        </w:rPr>
        <w:t xml:space="preserve">advantage to the defence in having </w:t>
      </w:r>
      <w:r w:rsidR="001A70E3" w:rsidRPr="00010F64">
        <w:rPr>
          <w:rFonts w:ascii="Times New Roman" w:hAnsi="Times New Roman"/>
        </w:rPr>
        <w:t xml:space="preserve">the </w:t>
      </w:r>
      <w:r w:rsidR="00A5362C" w:rsidRPr="00010F64">
        <w:rPr>
          <w:rFonts w:ascii="Times New Roman" w:hAnsi="Times New Roman"/>
        </w:rPr>
        <w:t>HSV-1 evidence</w:t>
      </w:r>
      <w:r w:rsidR="003422AA" w:rsidRPr="00010F64">
        <w:rPr>
          <w:rFonts w:ascii="Times New Roman" w:hAnsi="Times New Roman"/>
        </w:rPr>
        <w:t xml:space="preserve"> admitted</w:t>
      </w:r>
      <w:r w:rsidR="00DF4BDE" w:rsidRPr="00010F64">
        <w:rPr>
          <w:rFonts w:ascii="Times New Roman" w:hAnsi="Times New Roman"/>
        </w:rPr>
        <w:t>. Without it</w:t>
      </w:r>
      <w:r w:rsidR="009E6E17" w:rsidRPr="00010F64">
        <w:rPr>
          <w:rFonts w:ascii="Times New Roman" w:hAnsi="Times New Roman"/>
        </w:rPr>
        <w:t>,</w:t>
      </w:r>
      <w:r w:rsidR="00DF4BDE" w:rsidRPr="00010F64">
        <w:rPr>
          <w:rFonts w:ascii="Times New Roman" w:hAnsi="Times New Roman"/>
        </w:rPr>
        <w:t xml:space="preserve"> the evidence of the complainant's sexual contact with the 15 year old boy could not have been elicited</w:t>
      </w:r>
      <w:r w:rsidR="009E6A95" w:rsidRPr="00010F64">
        <w:rPr>
          <w:rFonts w:ascii="Times New Roman" w:hAnsi="Times New Roman"/>
        </w:rPr>
        <w:t>,</w:t>
      </w:r>
      <w:r w:rsidR="00DF4BDE" w:rsidRPr="00010F64">
        <w:rPr>
          <w:rFonts w:ascii="Times New Roman" w:hAnsi="Times New Roman"/>
        </w:rPr>
        <w:t xml:space="preserve"> and that evidence provided the defence with some basis for impugning the complainant's </w:t>
      </w:r>
      <w:r w:rsidR="0070628C" w:rsidRPr="00010F64">
        <w:rPr>
          <w:rFonts w:ascii="Times New Roman" w:hAnsi="Times New Roman"/>
        </w:rPr>
        <w:t xml:space="preserve">account and her credit. </w:t>
      </w:r>
      <w:r w:rsidR="0061605B" w:rsidRPr="00010F64">
        <w:rPr>
          <w:rFonts w:ascii="Times New Roman" w:hAnsi="Times New Roman"/>
        </w:rPr>
        <w:t>It may also be observed that t</w:t>
      </w:r>
      <w:r w:rsidR="0070628C" w:rsidRPr="00010F64">
        <w:rPr>
          <w:rFonts w:ascii="Times New Roman" w:hAnsi="Times New Roman"/>
        </w:rPr>
        <w:t>he evidence carried risks for the defence</w:t>
      </w:r>
      <w:r w:rsidR="0068496D" w:rsidRPr="00010F64">
        <w:rPr>
          <w:rFonts w:ascii="Times New Roman" w:hAnsi="Times New Roman"/>
        </w:rPr>
        <w:t xml:space="preserve">, but weighing risks is part of </w:t>
      </w:r>
      <w:r w:rsidR="00500166" w:rsidRPr="00010F64">
        <w:rPr>
          <w:rFonts w:ascii="Times New Roman" w:hAnsi="Times New Roman"/>
        </w:rPr>
        <w:t xml:space="preserve">the process leading to a </w:t>
      </w:r>
      <w:r w:rsidR="0068496D" w:rsidRPr="00010F64">
        <w:rPr>
          <w:rFonts w:ascii="Times New Roman" w:hAnsi="Times New Roman"/>
        </w:rPr>
        <w:t xml:space="preserve">forensic choice </w:t>
      </w:r>
      <w:r w:rsidR="00500166" w:rsidRPr="00010F64">
        <w:rPr>
          <w:rFonts w:ascii="Times New Roman" w:hAnsi="Times New Roman"/>
        </w:rPr>
        <w:t xml:space="preserve">being </w:t>
      </w:r>
      <w:r w:rsidR="0068496D" w:rsidRPr="00010F64">
        <w:rPr>
          <w:rFonts w:ascii="Times New Roman" w:hAnsi="Times New Roman"/>
        </w:rPr>
        <w:t>made by counsel.</w:t>
      </w:r>
    </w:p>
    <w:p w14:paraId="365C76D0" w14:textId="35600F19" w:rsidR="0068496D" w:rsidRPr="00010F64" w:rsidRDefault="0068496D" w:rsidP="00010F64">
      <w:pPr>
        <w:pStyle w:val="HeadingL1"/>
        <w:spacing w:after="260" w:line="280" w:lineRule="exact"/>
        <w:ind w:right="0"/>
        <w:jc w:val="both"/>
        <w:rPr>
          <w:rFonts w:ascii="Times New Roman" w:hAnsi="Times New Roman"/>
        </w:rPr>
      </w:pPr>
      <w:r w:rsidRPr="00010F64">
        <w:rPr>
          <w:rFonts w:ascii="Times New Roman" w:hAnsi="Times New Roman"/>
        </w:rPr>
        <w:t xml:space="preserve">The evidence relating to </w:t>
      </w:r>
      <w:r w:rsidR="001043F6" w:rsidRPr="00010F64">
        <w:rPr>
          <w:rFonts w:ascii="Times New Roman" w:hAnsi="Times New Roman"/>
        </w:rPr>
        <w:t>HSV</w:t>
      </w:r>
      <w:r w:rsidR="00AD7286" w:rsidRPr="00010F64">
        <w:rPr>
          <w:rFonts w:ascii="Times New Roman" w:hAnsi="Times New Roman"/>
        </w:rPr>
        <w:t>-1</w:t>
      </w:r>
    </w:p>
    <w:p w14:paraId="1FD2FA1D" w14:textId="2B47DCCC" w:rsidR="00AD7286" w:rsidRPr="00010F64" w:rsidRDefault="00AD7286"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Before evidence relating to </w:t>
      </w:r>
      <w:r w:rsidR="001043F6" w:rsidRPr="00010F64">
        <w:rPr>
          <w:rFonts w:ascii="Times New Roman" w:hAnsi="Times New Roman"/>
        </w:rPr>
        <w:t>HSV</w:t>
      </w:r>
      <w:r w:rsidRPr="00010F64">
        <w:rPr>
          <w:rFonts w:ascii="Times New Roman" w:hAnsi="Times New Roman"/>
        </w:rPr>
        <w:t>-1 was given by a specialist paediatrician</w:t>
      </w:r>
      <w:r w:rsidR="00351D62" w:rsidRPr="00010F64">
        <w:rPr>
          <w:rFonts w:ascii="Times New Roman" w:hAnsi="Times New Roman"/>
        </w:rPr>
        <w:t xml:space="preserve">, the jury </w:t>
      </w:r>
      <w:r w:rsidR="00676B5E" w:rsidRPr="00010F64">
        <w:rPr>
          <w:rFonts w:ascii="Times New Roman" w:hAnsi="Times New Roman"/>
        </w:rPr>
        <w:t xml:space="preserve">were </w:t>
      </w:r>
      <w:r w:rsidR="00351D62" w:rsidRPr="00010F64">
        <w:rPr>
          <w:rFonts w:ascii="Times New Roman" w:hAnsi="Times New Roman"/>
        </w:rPr>
        <w:t xml:space="preserve">informed that the </w:t>
      </w:r>
      <w:r w:rsidR="005468AA" w:rsidRPr="00010F64">
        <w:rPr>
          <w:rFonts w:ascii="Times New Roman" w:hAnsi="Times New Roman"/>
        </w:rPr>
        <w:t xml:space="preserve">prosecution </w:t>
      </w:r>
      <w:r w:rsidR="00351D62" w:rsidRPr="00010F64">
        <w:rPr>
          <w:rFonts w:ascii="Times New Roman" w:hAnsi="Times New Roman"/>
        </w:rPr>
        <w:t xml:space="preserve">and the </w:t>
      </w:r>
      <w:r w:rsidR="009F0BA7" w:rsidRPr="00010F64">
        <w:rPr>
          <w:rFonts w:ascii="Times New Roman" w:hAnsi="Times New Roman"/>
        </w:rPr>
        <w:t xml:space="preserve">appellant formally </w:t>
      </w:r>
      <w:r w:rsidR="00351D62" w:rsidRPr="00010F64">
        <w:rPr>
          <w:rFonts w:ascii="Times New Roman" w:hAnsi="Times New Roman"/>
        </w:rPr>
        <w:t>admitted</w:t>
      </w:r>
      <w:r w:rsidR="00D55B94" w:rsidRPr="00010F64">
        <w:rPr>
          <w:rFonts w:ascii="Times New Roman" w:hAnsi="Times New Roman"/>
        </w:rPr>
        <w:t xml:space="preserve"> three facts: (1)</w:t>
      </w:r>
      <w:r w:rsidR="00351D62" w:rsidRPr="00010F64">
        <w:rPr>
          <w:rFonts w:ascii="Times New Roman" w:hAnsi="Times New Roman"/>
        </w:rPr>
        <w:t xml:space="preserve"> that</w:t>
      </w:r>
      <w:r w:rsidR="00BE6D74" w:rsidRPr="00010F64">
        <w:rPr>
          <w:rFonts w:ascii="Times New Roman" w:hAnsi="Times New Roman"/>
        </w:rPr>
        <w:t>,</w:t>
      </w:r>
      <w:r w:rsidR="00351D62" w:rsidRPr="00010F64">
        <w:rPr>
          <w:rFonts w:ascii="Times New Roman" w:hAnsi="Times New Roman"/>
        </w:rPr>
        <w:t xml:space="preserve"> </w:t>
      </w:r>
      <w:r w:rsidR="00BE6D74" w:rsidRPr="00010F64">
        <w:rPr>
          <w:rFonts w:ascii="Times New Roman" w:hAnsi="Times New Roman"/>
        </w:rPr>
        <w:t>just over a week</w:t>
      </w:r>
      <w:r w:rsidR="00A85583" w:rsidRPr="00010F64">
        <w:rPr>
          <w:rFonts w:ascii="Times New Roman" w:hAnsi="Times New Roman"/>
        </w:rPr>
        <w:t xml:space="preserve"> </w:t>
      </w:r>
      <w:r w:rsidR="00351D62" w:rsidRPr="00010F64">
        <w:rPr>
          <w:rFonts w:ascii="Times New Roman" w:hAnsi="Times New Roman"/>
        </w:rPr>
        <w:t>after the alleged incident</w:t>
      </w:r>
      <w:r w:rsidR="00BE6D74" w:rsidRPr="00010F64">
        <w:rPr>
          <w:rFonts w:ascii="Times New Roman" w:hAnsi="Times New Roman"/>
        </w:rPr>
        <w:t>,</w:t>
      </w:r>
      <w:r w:rsidR="00351D62" w:rsidRPr="00010F64">
        <w:rPr>
          <w:rFonts w:ascii="Times New Roman" w:hAnsi="Times New Roman"/>
        </w:rPr>
        <w:t xml:space="preserve"> a swab was taken of the appellant's urethra and </w:t>
      </w:r>
      <w:r w:rsidR="00817AA7" w:rsidRPr="00010F64">
        <w:rPr>
          <w:rFonts w:ascii="Times New Roman" w:hAnsi="Times New Roman"/>
        </w:rPr>
        <w:t xml:space="preserve">the result </w:t>
      </w:r>
      <w:r w:rsidR="00351D62" w:rsidRPr="00010F64">
        <w:rPr>
          <w:rFonts w:ascii="Times New Roman" w:hAnsi="Times New Roman"/>
        </w:rPr>
        <w:t xml:space="preserve">was negative for </w:t>
      </w:r>
      <w:r w:rsidR="001043F6" w:rsidRPr="00010F64">
        <w:rPr>
          <w:rFonts w:ascii="Times New Roman" w:hAnsi="Times New Roman"/>
        </w:rPr>
        <w:t>HSV</w:t>
      </w:r>
      <w:r w:rsidR="00351D62" w:rsidRPr="00010F64">
        <w:rPr>
          <w:rFonts w:ascii="Times New Roman" w:hAnsi="Times New Roman"/>
        </w:rPr>
        <w:t>-1</w:t>
      </w:r>
      <w:r w:rsidR="00817AA7" w:rsidRPr="00010F64">
        <w:rPr>
          <w:rFonts w:ascii="Times New Roman" w:hAnsi="Times New Roman"/>
        </w:rPr>
        <w:t>; (2)</w:t>
      </w:r>
      <w:r w:rsidR="00351D62" w:rsidRPr="00010F64">
        <w:rPr>
          <w:rFonts w:ascii="Times New Roman" w:hAnsi="Times New Roman"/>
        </w:rPr>
        <w:t xml:space="preserve"> that</w:t>
      </w:r>
      <w:r w:rsidR="00817AA7" w:rsidRPr="00010F64">
        <w:rPr>
          <w:rFonts w:ascii="Times New Roman" w:hAnsi="Times New Roman"/>
        </w:rPr>
        <w:t>,</w:t>
      </w:r>
      <w:r w:rsidR="00351D62" w:rsidRPr="00010F64">
        <w:rPr>
          <w:rFonts w:ascii="Times New Roman" w:hAnsi="Times New Roman"/>
        </w:rPr>
        <w:t xml:space="preserve"> a few days </w:t>
      </w:r>
      <w:r w:rsidR="00817AA7" w:rsidRPr="00010F64">
        <w:rPr>
          <w:rFonts w:ascii="Times New Roman" w:hAnsi="Times New Roman"/>
        </w:rPr>
        <w:t xml:space="preserve">after that swab, </w:t>
      </w:r>
      <w:r w:rsidR="00351D62" w:rsidRPr="00010F64">
        <w:rPr>
          <w:rFonts w:ascii="Times New Roman" w:hAnsi="Times New Roman"/>
        </w:rPr>
        <w:t xml:space="preserve">the appellant's blood was tested for </w:t>
      </w:r>
      <w:r w:rsidR="001043F6" w:rsidRPr="00010F64">
        <w:rPr>
          <w:rFonts w:ascii="Times New Roman" w:hAnsi="Times New Roman"/>
        </w:rPr>
        <w:t>HSV</w:t>
      </w:r>
      <w:r w:rsidR="00351D62" w:rsidRPr="00010F64">
        <w:rPr>
          <w:rFonts w:ascii="Times New Roman" w:hAnsi="Times New Roman"/>
        </w:rPr>
        <w:t xml:space="preserve">-1 and it </w:t>
      </w:r>
      <w:r w:rsidR="00251140" w:rsidRPr="00010F64">
        <w:rPr>
          <w:rFonts w:ascii="Times New Roman" w:hAnsi="Times New Roman"/>
        </w:rPr>
        <w:t>was positive</w:t>
      </w:r>
      <w:r w:rsidR="00D41F14" w:rsidRPr="00010F64">
        <w:rPr>
          <w:rFonts w:ascii="Times New Roman" w:hAnsi="Times New Roman"/>
        </w:rPr>
        <w:t>;</w:t>
      </w:r>
      <w:r w:rsidR="00251140" w:rsidRPr="00010F64">
        <w:rPr>
          <w:rFonts w:ascii="Times New Roman" w:hAnsi="Times New Roman"/>
        </w:rPr>
        <w:t xml:space="preserve"> and</w:t>
      </w:r>
      <w:r w:rsidR="00EE6697" w:rsidRPr="00010F64">
        <w:rPr>
          <w:rFonts w:ascii="Times New Roman" w:hAnsi="Times New Roman"/>
        </w:rPr>
        <w:t xml:space="preserve"> (3)</w:t>
      </w:r>
      <w:r w:rsidR="00251140" w:rsidRPr="00010F64">
        <w:rPr>
          <w:rFonts w:ascii="Times New Roman" w:hAnsi="Times New Roman"/>
        </w:rPr>
        <w:t xml:space="preserve"> that it was not known whether the male child who performed oral sex on the complainant had or has </w:t>
      </w:r>
      <w:r w:rsidR="001043F6" w:rsidRPr="00010F64">
        <w:rPr>
          <w:rFonts w:ascii="Times New Roman" w:hAnsi="Times New Roman"/>
        </w:rPr>
        <w:t>HSV</w:t>
      </w:r>
      <w:r w:rsidR="00251140" w:rsidRPr="00010F64">
        <w:rPr>
          <w:rFonts w:ascii="Times New Roman" w:hAnsi="Times New Roman"/>
        </w:rPr>
        <w:t>-1</w:t>
      </w:r>
      <w:r w:rsidR="002025A5" w:rsidRPr="00010F64">
        <w:rPr>
          <w:rFonts w:ascii="Times New Roman" w:hAnsi="Times New Roman"/>
        </w:rPr>
        <w:t>.</w:t>
      </w:r>
      <w:r w:rsidR="00B31AB8" w:rsidRPr="00010F64">
        <w:rPr>
          <w:rFonts w:ascii="Times New Roman" w:hAnsi="Times New Roman"/>
        </w:rPr>
        <w:t xml:space="preserve"> The evidence </w:t>
      </w:r>
      <w:r w:rsidR="00AF2FC3" w:rsidRPr="00010F64">
        <w:rPr>
          <w:rFonts w:ascii="Times New Roman" w:hAnsi="Times New Roman"/>
        </w:rPr>
        <w:t xml:space="preserve">that the complainant had </w:t>
      </w:r>
      <w:r w:rsidR="00B900F8" w:rsidRPr="00010F64">
        <w:rPr>
          <w:rFonts w:ascii="Times New Roman" w:hAnsi="Times New Roman"/>
        </w:rPr>
        <w:lastRenderedPageBreak/>
        <w:t xml:space="preserve">a swab taken </w:t>
      </w:r>
      <w:r w:rsidR="00F50DDC" w:rsidRPr="00010F64">
        <w:rPr>
          <w:rFonts w:ascii="Times New Roman" w:hAnsi="Times New Roman"/>
        </w:rPr>
        <w:t xml:space="preserve">during her first medical examination </w:t>
      </w:r>
      <w:r w:rsidR="00B900F8" w:rsidRPr="00010F64">
        <w:rPr>
          <w:rFonts w:ascii="Times New Roman" w:hAnsi="Times New Roman"/>
        </w:rPr>
        <w:t xml:space="preserve">and had </w:t>
      </w:r>
      <w:r w:rsidR="00AF2FC3" w:rsidRPr="00010F64">
        <w:rPr>
          <w:rFonts w:ascii="Times New Roman" w:hAnsi="Times New Roman"/>
        </w:rPr>
        <w:t>tested positive for HSV</w:t>
      </w:r>
      <w:r w:rsidR="00D53B33" w:rsidRPr="00010F64">
        <w:rPr>
          <w:rFonts w:ascii="Times New Roman" w:hAnsi="Times New Roman"/>
        </w:rPr>
        <w:noBreakHyphen/>
      </w:r>
      <w:r w:rsidR="00AF2FC3" w:rsidRPr="00010F64">
        <w:rPr>
          <w:rFonts w:ascii="Times New Roman" w:hAnsi="Times New Roman"/>
        </w:rPr>
        <w:t xml:space="preserve">1 </w:t>
      </w:r>
      <w:r w:rsidR="00B900F8" w:rsidRPr="00010F64">
        <w:rPr>
          <w:rFonts w:ascii="Times New Roman" w:hAnsi="Times New Roman"/>
        </w:rPr>
        <w:t xml:space="preserve">was then adduced during the examination-in-chief of the specialist paediatrician. </w:t>
      </w:r>
    </w:p>
    <w:p w14:paraId="4F90DD18" w14:textId="7DBF19D3" w:rsidR="002025A5" w:rsidRPr="00010F64" w:rsidRDefault="002025A5" w:rsidP="00010F64">
      <w:pPr>
        <w:pStyle w:val="FixListStyle"/>
        <w:spacing w:after="260" w:line="280" w:lineRule="exact"/>
        <w:ind w:right="0"/>
        <w:jc w:val="both"/>
        <w:rPr>
          <w:rFonts w:ascii="Times New Roman" w:hAnsi="Times New Roman"/>
        </w:rPr>
      </w:pPr>
      <w:r w:rsidRPr="00010F64">
        <w:rPr>
          <w:rFonts w:ascii="Times New Roman" w:hAnsi="Times New Roman"/>
        </w:rPr>
        <w:tab/>
        <w:t>The evidence given by the specialist</w:t>
      </w:r>
      <w:r w:rsidR="00FC3589" w:rsidRPr="00010F64">
        <w:rPr>
          <w:rFonts w:ascii="Times New Roman" w:hAnsi="Times New Roman"/>
        </w:rPr>
        <w:t xml:space="preserve"> paediatrician</w:t>
      </w:r>
      <w:r w:rsidRPr="00010F64">
        <w:rPr>
          <w:rFonts w:ascii="Times New Roman" w:hAnsi="Times New Roman"/>
        </w:rPr>
        <w:t xml:space="preserve"> included that </w:t>
      </w:r>
      <w:r w:rsidR="001043F6" w:rsidRPr="00010F64">
        <w:rPr>
          <w:rFonts w:ascii="Times New Roman" w:hAnsi="Times New Roman"/>
        </w:rPr>
        <w:t>HSV</w:t>
      </w:r>
      <w:r w:rsidRPr="00010F64">
        <w:rPr>
          <w:rFonts w:ascii="Times New Roman" w:hAnsi="Times New Roman"/>
        </w:rPr>
        <w:noBreakHyphen/>
        <w:t xml:space="preserve">1 </w:t>
      </w:r>
      <w:r w:rsidR="00300BD4" w:rsidRPr="00010F64">
        <w:rPr>
          <w:rFonts w:ascii="Times New Roman" w:hAnsi="Times New Roman"/>
        </w:rPr>
        <w:t>causes cold sores but is also commonly found as a genital infection</w:t>
      </w:r>
      <w:r w:rsidR="00A16D42" w:rsidRPr="00010F64">
        <w:rPr>
          <w:rFonts w:ascii="Times New Roman" w:hAnsi="Times New Roman"/>
        </w:rPr>
        <w:t>.</w:t>
      </w:r>
      <w:r w:rsidR="00300BD4" w:rsidRPr="00010F64">
        <w:rPr>
          <w:rFonts w:ascii="Times New Roman" w:hAnsi="Times New Roman"/>
        </w:rPr>
        <w:t xml:space="preserve"> The virus remains in the body of the infected person</w:t>
      </w:r>
      <w:r w:rsidR="00FA4D6A" w:rsidRPr="00010F64">
        <w:rPr>
          <w:rFonts w:ascii="Times New Roman" w:hAnsi="Times New Roman"/>
        </w:rPr>
        <w:t>,</w:t>
      </w:r>
      <w:r w:rsidR="00300BD4" w:rsidRPr="00010F64">
        <w:rPr>
          <w:rFonts w:ascii="Times New Roman" w:hAnsi="Times New Roman"/>
        </w:rPr>
        <w:t xml:space="preserve"> who becomes immune to it. T</w:t>
      </w:r>
      <w:r w:rsidR="00A16D42" w:rsidRPr="00010F64">
        <w:rPr>
          <w:rFonts w:ascii="Times New Roman" w:hAnsi="Times New Roman"/>
        </w:rPr>
        <w:t>h</w:t>
      </w:r>
      <w:r w:rsidR="00300BD4" w:rsidRPr="00010F64">
        <w:rPr>
          <w:rFonts w:ascii="Times New Roman" w:hAnsi="Times New Roman"/>
        </w:rPr>
        <w:t>e virus may come back at vario</w:t>
      </w:r>
      <w:r w:rsidR="00A16D42" w:rsidRPr="00010F64">
        <w:rPr>
          <w:rFonts w:ascii="Times New Roman" w:hAnsi="Times New Roman"/>
        </w:rPr>
        <w:t>u</w:t>
      </w:r>
      <w:r w:rsidR="00300BD4" w:rsidRPr="00010F64">
        <w:rPr>
          <w:rFonts w:ascii="Times New Roman" w:hAnsi="Times New Roman"/>
        </w:rPr>
        <w:t xml:space="preserve">s times during the person's life and be "shed" for a few </w:t>
      </w:r>
      <w:r w:rsidR="00A16D42" w:rsidRPr="00010F64">
        <w:rPr>
          <w:rFonts w:ascii="Times New Roman" w:hAnsi="Times New Roman"/>
        </w:rPr>
        <w:t>days, during which the person is infecti</w:t>
      </w:r>
      <w:r w:rsidR="00617539" w:rsidRPr="00010F64">
        <w:rPr>
          <w:rFonts w:ascii="Times New Roman" w:hAnsi="Times New Roman"/>
        </w:rPr>
        <w:t>ous</w:t>
      </w:r>
      <w:r w:rsidR="00A16D42" w:rsidRPr="00010F64">
        <w:rPr>
          <w:rFonts w:ascii="Times New Roman" w:hAnsi="Times New Roman"/>
        </w:rPr>
        <w:t>.</w:t>
      </w:r>
      <w:r w:rsidR="00BF5378" w:rsidRPr="00010F64">
        <w:rPr>
          <w:rFonts w:ascii="Times New Roman" w:hAnsi="Times New Roman"/>
        </w:rPr>
        <w:t xml:space="preserve"> </w:t>
      </w:r>
      <w:r w:rsidR="001043F6" w:rsidRPr="00010F64">
        <w:rPr>
          <w:rFonts w:ascii="Times New Roman" w:hAnsi="Times New Roman"/>
        </w:rPr>
        <w:t>HSV</w:t>
      </w:r>
      <w:r w:rsidR="00BF5378" w:rsidRPr="00010F64">
        <w:rPr>
          <w:rFonts w:ascii="Times New Roman" w:hAnsi="Times New Roman"/>
        </w:rPr>
        <w:noBreakHyphen/>
        <w:t>1 can be spread to the genitals by oral</w:t>
      </w:r>
      <w:r w:rsidR="00BF5378" w:rsidRPr="00010F64">
        <w:rPr>
          <w:rFonts w:ascii="Times New Roman" w:hAnsi="Times New Roman"/>
        </w:rPr>
        <w:noBreakHyphen/>
        <w:t>to</w:t>
      </w:r>
      <w:r w:rsidR="00BF5378" w:rsidRPr="00010F64">
        <w:rPr>
          <w:rFonts w:ascii="Times New Roman" w:hAnsi="Times New Roman"/>
        </w:rPr>
        <w:noBreakHyphen/>
        <w:t>genital spread and genital</w:t>
      </w:r>
      <w:r w:rsidR="00006965" w:rsidRPr="00010F64">
        <w:rPr>
          <w:rFonts w:ascii="Times New Roman" w:hAnsi="Times New Roman"/>
        </w:rPr>
        <w:t>-</w:t>
      </w:r>
      <w:r w:rsidR="00BF5378" w:rsidRPr="00010F64">
        <w:rPr>
          <w:rFonts w:ascii="Times New Roman" w:hAnsi="Times New Roman"/>
        </w:rPr>
        <w:t>to</w:t>
      </w:r>
      <w:r w:rsidR="00006965" w:rsidRPr="00010F64">
        <w:rPr>
          <w:rFonts w:ascii="Times New Roman" w:hAnsi="Times New Roman"/>
        </w:rPr>
        <w:t>-</w:t>
      </w:r>
      <w:r w:rsidR="00BF5378" w:rsidRPr="00010F64">
        <w:rPr>
          <w:rFonts w:ascii="Times New Roman" w:hAnsi="Times New Roman"/>
        </w:rPr>
        <w:t>genital spread</w:t>
      </w:r>
      <w:r w:rsidR="00B355B5" w:rsidRPr="00010F64">
        <w:rPr>
          <w:rFonts w:ascii="Times New Roman" w:hAnsi="Times New Roman"/>
        </w:rPr>
        <w:t xml:space="preserve"> from someone who is "shedding" </w:t>
      </w:r>
      <w:r w:rsidR="00322EF1" w:rsidRPr="00010F64">
        <w:rPr>
          <w:rFonts w:ascii="Times New Roman" w:hAnsi="Times New Roman"/>
        </w:rPr>
        <w:t xml:space="preserve">the virus. All that could be said about the appellant was that at some point in the past he had been infected with </w:t>
      </w:r>
      <w:r w:rsidR="001043F6" w:rsidRPr="00010F64">
        <w:rPr>
          <w:rFonts w:ascii="Times New Roman" w:hAnsi="Times New Roman"/>
        </w:rPr>
        <w:t>HSV</w:t>
      </w:r>
      <w:r w:rsidR="00322EF1" w:rsidRPr="00010F64">
        <w:rPr>
          <w:rFonts w:ascii="Times New Roman" w:hAnsi="Times New Roman"/>
        </w:rPr>
        <w:noBreakHyphen/>
        <w:t>1 and was not shedding when the swab was taken</w:t>
      </w:r>
      <w:r w:rsidR="00710633" w:rsidRPr="00010F64">
        <w:rPr>
          <w:rFonts w:ascii="Times New Roman" w:hAnsi="Times New Roman"/>
        </w:rPr>
        <w:t xml:space="preserve"> and that</w:t>
      </w:r>
      <w:r w:rsidR="00322EF1" w:rsidRPr="00010F64">
        <w:rPr>
          <w:rFonts w:ascii="Times New Roman" w:hAnsi="Times New Roman"/>
        </w:rPr>
        <w:t xml:space="preserve"> it was not possible to say when he had acquired the virus.</w:t>
      </w:r>
      <w:r w:rsidR="003868C9" w:rsidRPr="00010F64">
        <w:rPr>
          <w:rFonts w:ascii="Times New Roman" w:hAnsi="Times New Roman"/>
        </w:rPr>
        <w:t xml:space="preserve"> It was not possible to say whether he was shedding the virus when the alleged offences occurred. Likewise</w:t>
      </w:r>
      <w:r w:rsidR="000D4E12" w:rsidRPr="00010F64">
        <w:rPr>
          <w:rFonts w:ascii="Times New Roman" w:hAnsi="Times New Roman"/>
        </w:rPr>
        <w:t>,</w:t>
      </w:r>
      <w:r w:rsidR="003868C9" w:rsidRPr="00010F64">
        <w:rPr>
          <w:rFonts w:ascii="Times New Roman" w:hAnsi="Times New Roman"/>
        </w:rPr>
        <w:t xml:space="preserve"> it was not possible to say when the complainant acquired the virus or from whom she acquired it. As the virus was found in her genitals, transmission must have occurred through contact with her genitals.</w:t>
      </w:r>
    </w:p>
    <w:p w14:paraId="45455938" w14:textId="5C52FF0A" w:rsidR="003868C9" w:rsidRPr="00010F64" w:rsidRDefault="009C3142" w:rsidP="00010F64">
      <w:pPr>
        <w:pStyle w:val="HeadingL1"/>
        <w:spacing w:after="260" w:line="280" w:lineRule="exact"/>
        <w:ind w:right="0"/>
        <w:jc w:val="both"/>
        <w:rPr>
          <w:rFonts w:ascii="Times New Roman" w:hAnsi="Times New Roman"/>
        </w:rPr>
      </w:pPr>
      <w:r w:rsidRPr="00010F64">
        <w:rPr>
          <w:rFonts w:ascii="Times New Roman" w:hAnsi="Times New Roman"/>
        </w:rPr>
        <w:t>The prosecution address</w:t>
      </w:r>
    </w:p>
    <w:p w14:paraId="54D45FAA" w14:textId="530BB45F" w:rsidR="00DB5E61" w:rsidRPr="00010F64" w:rsidRDefault="009C3142"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In the course of addressing the jury about the </w:t>
      </w:r>
      <w:r w:rsidR="00B65E5D" w:rsidRPr="00010F64">
        <w:rPr>
          <w:rFonts w:ascii="Times New Roman" w:hAnsi="Times New Roman"/>
        </w:rPr>
        <w:t xml:space="preserve">HSV-1 </w:t>
      </w:r>
      <w:r w:rsidRPr="00010F64">
        <w:rPr>
          <w:rFonts w:ascii="Times New Roman" w:hAnsi="Times New Roman"/>
        </w:rPr>
        <w:t>evidence, the prosecutor said that "[t]he herpes thing is not the l</w:t>
      </w:r>
      <w:r w:rsidR="00CF4B28" w:rsidRPr="00010F64">
        <w:rPr>
          <w:rFonts w:ascii="Times New Roman" w:hAnsi="Times New Roman"/>
        </w:rPr>
        <w:t>y</w:t>
      </w:r>
      <w:r w:rsidRPr="00010F64">
        <w:rPr>
          <w:rFonts w:ascii="Times New Roman" w:hAnsi="Times New Roman"/>
        </w:rPr>
        <w:t>nchpin in this case. It's very neutral, really", and referred to the evidence of the specialist</w:t>
      </w:r>
      <w:r w:rsidR="00280D85" w:rsidRPr="00010F64">
        <w:rPr>
          <w:rFonts w:ascii="Times New Roman" w:hAnsi="Times New Roman"/>
        </w:rPr>
        <w:t xml:space="preserve"> paediatrician</w:t>
      </w:r>
      <w:r w:rsidRPr="00010F64">
        <w:rPr>
          <w:rFonts w:ascii="Times New Roman" w:hAnsi="Times New Roman"/>
        </w:rPr>
        <w:t xml:space="preserve">. It was said that </w:t>
      </w:r>
      <w:r w:rsidR="00BA7948" w:rsidRPr="00010F64">
        <w:rPr>
          <w:rFonts w:ascii="Times New Roman" w:hAnsi="Times New Roman"/>
        </w:rPr>
        <w:t xml:space="preserve">the jury </w:t>
      </w:r>
      <w:r w:rsidRPr="00010F64">
        <w:rPr>
          <w:rFonts w:ascii="Times New Roman" w:hAnsi="Times New Roman"/>
        </w:rPr>
        <w:t>might think the complainant wa</w:t>
      </w:r>
      <w:r w:rsidR="00CF4B28" w:rsidRPr="00010F64">
        <w:rPr>
          <w:rFonts w:ascii="Times New Roman" w:hAnsi="Times New Roman"/>
        </w:rPr>
        <w:t>s</w:t>
      </w:r>
      <w:r w:rsidRPr="00010F64">
        <w:rPr>
          <w:rFonts w:ascii="Times New Roman" w:hAnsi="Times New Roman"/>
        </w:rPr>
        <w:t xml:space="preserve"> </w:t>
      </w:r>
      <w:r w:rsidR="00CF4B28" w:rsidRPr="00010F64">
        <w:rPr>
          <w:rFonts w:ascii="Times New Roman" w:hAnsi="Times New Roman"/>
        </w:rPr>
        <w:t xml:space="preserve">infected by contact with her boyfriend's mouth rather than the appellant's penis. </w:t>
      </w:r>
      <w:r w:rsidR="00617539" w:rsidRPr="00010F64">
        <w:rPr>
          <w:rFonts w:ascii="Times New Roman" w:hAnsi="Times New Roman"/>
        </w:rPr>
        <w:t>Nevertheless, t</w:t>
      </w:r>
      <w:r w:rsidR="00CF4B28" w:rsidRPr="00010F64">
        <w:rPr>
          <w:rFonts w:ascii="Times New Roman" w:hAnsi="Times New Roman"/>
        </w:rPr>
        <w:t xml:space="preserve">he prosecutor </w:t>
      </w:r>
      <w:r w:rsidR="00790354" w:rsidRPr="00010F64">
        <w:rPr>
          <w:rFonts w:ascii="Times New Roman" w:hAnsi="Times New Roman"/>
        </w:rPr>
        <w:t>confirmed that "it's still a factor for you to take into account". "</w:t>
      </w:r>
      <w:r w:rsidR="00450C31" w:rsidRPr="00010F64">
        <w:rPr>
          <w:rFonts w:ascii="Times New Roman" w:hAnsi="Times New Roman"/>
        </w:rPr>
        <w:t>[</w:t>
      </w:r>
      <w:r w:rsidR="00790354" w:rsidRPr="00010F64">
        <w:rPr>
          <w:rFonts w:ascii="Times New Roman" w:hAnsi="Times New Roman"/>
        </w:rPr>
        <w:t>T</w:t>
      </w:r>
      <w:r w:rsidR="00450C31" w:rsidRPr="00010F64">
        <w:rPr>
          <w:rFonts w:ascii="Times New Roman" w:hAnsi="Times New Roman"/>
        </w:rPr>
        <w:t>]</w:t>
      </w:r>
      <w:r w:rsidR="00790354" w:rsidRPr="00010F64">
        <w:rPr>
          <w:rFonts w:ascii="Times New Roman" w:hAnsi="Times New Roman"/>
        </w:rPr>
        <w:t>he point"</w:t>
      </w:r>
      <w:r w:rsidR="00617539" w:rsidRPr="00010F64">
        <w:rPr>
          <w:rFonts w:ascii="Times New Roman" w:hAnsi="Times New Roman"/>
        </w:rPr>
        <w:t>,</w:t>
      </w:r>
      <w:r w:rsidR="00790354" w:rsidRPr="00010F64">
        <w:rPr>
          <w:rFonts w:ascii="Times New Roman" w:hAnsi="Times New Roman"/>
        </w:rPr>
        <w:t xml:space="preserve"> she said, "is that both of them do have the same virus</w:t>
      </w:r>
      <w:r w:rsidR="00BC1E86" w:rsidRPr="00010F64">
        <w:rPr>
          <w:rFonts w:ascii="Times New Roman" w:hAnsi="Times New Roman"/>
        </w:rPr>
        <w:t>.</w:t>
      </w:r>
      <w:r w:rsidR="00790354" w:rsidRPr="00010F64">
        <w:rPr>
          <w:rFonts w:ascii="Times New Roman" w:hAnsi="Times New Roman"/>
        </w:rPr>
        <w:t>" The prosecutor went on</w:t>
      </w:r>
      <w:r w:rsidR="008A22D4" w:rsidRPr="00010F64">
        <w:rPr>
          <w:rFonts w:ascii="Times New Roman" w:hAnsi="Times New Roman"/>
        </w:rPr>
        <w:t>:</w:t>
      </w:r>
      <w:r w:rsidR="00790354" w:rsidRPr="00010F64">
        <w:rPr>
          <w:rFonts w:ascii="Times New Roman" w:hAnsi="Times New Roman"/>
        </w:rPr>
        <w:t xml:space="preserve"> "It's a sexually transmissible virus</w:t>
      </w:r>
      <w:r w:rsidR="008E70D7" w:rsidRPr="00010F64">
        <w:rPr>
          <w:rFonts w:ascii="Times New Roman" w:hAnsi="Times New Roman"/>
        </w:rPr>
        <w:t>,</w:t>
      </w:r>
      <w:r w:rsidR="00790354" w:rsidRPr="00010F64">
        <w:rPr>
          <w:rFonts w:ascii="Times New Roman" w:hAnsi="Times New Roman"/>
        </w:rPr>
        <w:t xml:space="preserve"> and the allegation in here is that the defendant </w:t>
      </w:r>
      <w:r w:rsidR="00DB5E61" w:rsidRPr="00010F64">
        <w:rPr>
          <w:rFonts w:ascii="Times New Roman" w:hAnsi="Times New Roman"/>
        </w:rPr>
        <w:t>forced her to engage in sexual contact and conduct, and so it's a matter for you with your life experience what you make of that. But I don't suggest that you would</w:t>
      </w:r>
      <w:r w:rsidR="008E70D7" w:rsidRPr="00010F64">
        <w:rPr>
          <w:rFonts w:ascii="Times New Roman" w:hAnsi="Times New Roman"/>
        </w:rPr>
        <w:t xml:space="preserve"> really</w:t>
      </w:r>
      <w:r w:rsidR="00DB5E61" w:rsidRPr="00010F64">
        <w:rPr>
          <w:rFonts w:ascii="Times New Roman" w:hAnsi="Times New Roman"/>
        </w:rPr>
        <w:t xml:space="preserve"> put any weight on it</w:t>
      </w:r>
      <w:r w:rsidR="00582DD4" w:rsidRPr="00010F64">
        <w:rPr>
          <w:rFonts w:ascii="Times New Roman" w:hAnsi="Times New Roman"/>
        </w:rPr>
        <w:t>.</w:t>
      </w:r>
      <w:r w:rsidR="00DB5E61" w:rsidRPr="00010F64">
        <w:rPr>
          <w:rFonts w:ascii="Times New Roman" w:hAnsi="Times New Roman"/>
        </w:rPr>
        <w:t>"</w:t>
      </w:r>
      <w:r w:rsidR="00770C7C" w:rsidRPr="00010F64">
        <w:rPr>
          <w:rFonts w:ascii="Times New Roman" w:hAnsi="Times New Roman"/>
        </w:rPr>
        <w:t xml:space="preserve"> </w:t>
      </w:r>
    </w:p>
    <w:p w14:paraId="087F62A5" w14:textId="17D86714" w:rsidR="00DB5E61" w:rsidRPr="00010F64" w:rsidRDefault="00DB5E61" w:rsidP="00010F64">
      <w:pPr>
        <w:pStyle w:val="HeadingL1"/>
        <w:spacing w:after="260" w:line="280" w:lineRule="exact"/>
        <w:ind w:right="0"/>
        <w:jc w:val="both"/>
        <w:rPr>
          <w:rFonts w:ascii="Times New Roman" w:hAnsi="Times New Roman"/>
        </w:rPr>
      </w:pPr>
      <w:r w:rsidRPr="00010F64">
        <w:rPr>
          <w:rFonts w:ascii="Times New Roman" w:hAnsi="Times New Roman"/>
        </w:rPr>
        <w:t>The summing</w:t>
      </w:r>
      <w:r w:rsidR="00F53DC9" w:rsidRPr="00010F64">
        <w:rPr>
          <w:rFonts w:ascii="Times New Roman" w:hAnsi="Times New Roman"/>
        </w:rPr>
        <w:t xml:space="preserve"> </w:t>
      </w:r>
      <w:r w:rsidRPr="00010F64">
        <w:rPr>
          <w:rFonts w:ascii="Times New Roman" w:hAnsi="Times New Roman"/>
        </w:rPr>
        <w:t>up</w:t>
      </w:r>
    </w:p>
    <w:p w14:paraId="0E7DBF12" w14:textId="6B1AD3D4" w:rsidR="00DB5E61" w:rsidRPr="00010F64" w:rsidRDefault="00DB5E61" w:rsidP="00010F64">
      <w:pPr>
        <w:pStyle w:val="FixListStyle"/>
        <w:spacing w:after="260" w:line="280" w:lineRule="exact"/>
        <w:ind w:right="0"/>
        <w:jc w:val="both"/>
        <w:rPr>
          <w:rFonts w:ascii="Times New Roman" w:hAnsi="Times New Roman"/>
        </w:rPr>
      </w:pPr>
      <w:r w:rsidRPr="00010F64">
        <w:rPr>
          <w:rFonts w:ascii="Times New Roman" w:hAnsi="Times New Roman"/>
        </w:rPr>
        <w:tab/>
      </w:r>
      <w:r w:rsidR="007517A5" w:rsidRPr="00010F64">
        <w:rPr>
          <w:rFonts w:ascii="Times New Roman" w:hAnsi="Times New Roman"/>
        </w:rPr>
        <w:t xml:space="preserve">In </w:t>
      </w:r>
      <w:r w:rsidR="001F39B0" w:rsidRPr="00010F64">
        <w:rPr>
          <w:rFonts w:ascii="Times New Roman" w:hAnsi="Times New Roman"/>
        </w:rPr>
        <w:t xml:space="preserve">her </w:t>
      </w:r>
      <w:r w:rsidR="007517A5" w:rsidRPr="00010F64">
        <w:rPr>
          <w:rFonts w:ascii="Times New Roman" w:hAnsi="Times New Roman"/>
        </w:rPr>
        <w:t>summing</w:t>
      </w:r>
      <w:r w:rsidR="00320ECC" w:rsidRPr="00010F64">
        <w:rPr>
          <w:rFonts w:ascii="Times New Roman" w:hAnsi="Times New Roman"/>
        </w:rPr>
        <w:t xml:space="preserve"> </w:t>
      </w:r>
      <w:r w:rsidR="007517A5" w:rsidRPr="00010F64">
        <w:rPr>
          <w:rFonts w:ascii="Times New Roman" w:hAnsi="Times New Roman"/>
        </w:rPr>
        <w:t>up the trial judge reminded the jury of the admissions relating to the test results and the medical evidence about the virus. Her Honour identif</w:t>
      </w:r>
      <w:r w:rsidR="005A19E3" w:rsidRPr="00010F64">
        <w:rPr>
          <w:rFonts w:ascii="Times New Roman" w:hAnsi="Times New Roman"/>
        </w:rPr>
        <w:t>ied three aspects of the specialist</w:t>
      </w:r>
      <w:r w:rsidR="007A159D" w:rsidRPr="00010F64">
        <w:rPr>
          <w:rFonts w:ascii="Times New Roman" w:hAnsi="Times New Roman"/>
        </w:rPr>
        <w:t xml:space="preserve"> paediatrician</w:t>
      </w:r>
      <w:r w:rsidR="005A19E3" w:rsidRPr="00010F64">
        <w:rPr>
          <w:rFonts w:ascii="Times New Roman" w:hAnsi="Times New Roman"/>
        </w:rPr>
        <w:t>'s evidence as important: that i</w:t>
      </w:r>
      <w:r w:rsidR="00E65E58" w:rsidRPr="00010F64">
        <w:rPr>
          <w:rFonts w:ascii="Times New Roman" w:hAnsi="Times New Roman"/>
        </w:rPr>
        <w:t>t</w:t>
      </w:r>
      <w:r w:rsidR="005A19E3" w:rsidRPr="00010F64">
        <w:rPr>
          <w:rFonts w:ascii="Times New Roman" w:hAnsi="Times New Roman"/>
        </w:rPr>
        <w:t xml:space="preserve"> is not possible to say wi</w:t>
      </w:r>
      <w:r w:rsidR="00731DD9" w:rsidRPr="00010F64">
        <w:rPr>
          <w:rFonts w:ascii="Times New Roman" w:hAnsi="Times New Roman"/>
        </w:rPr>
        <w:t>th</w:t>
      </w:r>
      <w:r w:rsidR="005A19E3" w:rsidRPr="00010F64">
        <w:rPr>
          <w:rFonts w:ascii="Times New Roman" w:hAnsi="Times New Roman"/>
        </w:rPr>
        <w:t xml:space="preserve"> any certainty </w:t>
      </w:r>
      <w:r w:rsidR="00E65E58" w:rsidRPr="00010F64">
        <w:rPr>
          <w:rFonts w:ascii="Times New Roman" w:hAnsi="Times New Roman"/>
        </w:rPr>
        <w:t xml:space="preserve">when </w:t>
      </w:r>
      <w:r w:rsidR="00F00481" w:rsidRPr="00010F64">
        <w:rPr>
          <w:rFonts w:ascii="Times New Roman" w:hAnsi="Times New Roman"/>
        </w:rPr>
        <w:t xml:space="preserve">the complainant contracted the virus; nor when the appellant </w:t>
      </w:r>
      <w:r w:rsidR="0080555B" w:rsidRPr="00010F64">
        <w:rPr>
          <w:rFonts w:ascii="Times New Roman" w:hAnsi="Times New Roman"/>
        </w:rPr>
        <w:t>contracted it</w:t>
      </w:r>
      <w:r w:rsidR="00F00481" w:rsidRPr="00010F64">
        <w:rPr>
          <w:rFonts w:ascii="Times New Roman" w:hAnsi="Times New Roman"/>
        </w:rPr>
        <w:t>; and it is not possible to say from whom the complainant contracted it.</w:t>
      </w:r>
    </w:p>
    <w:p w14:paraId="31481890" w14:textId="30073881" w:rsidR="00A16D42" w:rsidRPr="00010F64" w:rsidRDefault="00F00481"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The trial judge then </w:t>
      </w:r>
      <w:r w:rsidR="008507AF" w:rsidRPr="00010F64">
        <w:rPr>
          <w:rFonts w:ascii="Times New Roman" w:hAnsi="Times New Roman"/>
        </w:rPr>
        <w:t>said</w:t>
      </w:r>
      <w:r w:rsidRPr="00010F64">
        <w:rPr>
          <w:rFonts w:ascii="Times New Roman" w:hAnsi="Times New Roman"/>
        </w:rPr>
        <w:t xml:space="preserve"> to the jur</w:t>
      </w:r>
      <w:r w:rsidR="008507AF" w:rsidRPr="00010F64">
        <w:rPr>
          <w:rFonts w:ascii="Times New Roman" w:hAnsi="Times New Roman"/>
        </w:rPr>
        <w:t>y</w:t>
      </w:r>
      <w:r w:rsidRPr="00010F64">
        <w:rPr>
          <w:rFonts w:ascii="Times New Roman" w:hAnsi="Times New Roman"/>
        </w:rPr>
        <w:t xml:space="preserve">: "where </w:t>
      </w:r>
      <w:r w:rsidR="008507AF" w:rsidRPr="00010F64">
        <w:rPr>
          <w:rFonts w:ascii="Times New Roman" w:hAnsi="Times New Roman"/>
        </w:rPr>
        <w:t xml:space="preserve">does </w:t>
      </w:r>
      <w:r w:rsidR="00707A34" w:rsidRPr="00010F64">
        <w:rPr>
          <w:rFonts w:ascii="Times New Roman" w:hAnsi="Times New Roman"/>
        </w:rPr>
        <w:t xml:space="preserve">that </w:t>
      </w:r>
      <w:r w:rsidR="008507AF" w:rsidRPr="00010F64">
        <w:rPr>
          <w:rFonts w:ascii="Times New Roman" w:hAnsi="Times New Roman"/>
        </w:rPr>
        <w:t xml:space="preserve">leave you? You might think that evidence does not really help you one way or the other. You are left with evidence that both the defendant and the complainant </w:t>
      </w:r>
      <w:r w:rsidR="00CF346C" w:rsidRPr="00010F64">
        <w:rPr>
          <w:rFonts w:ascii="Times New Roman" w:hAnsi="Times New Roman"/>
        </w:rPr>
        <w:t>child</w:t>
      </w:r>
      <w:r w:rsidR="008507AF" w:rsidRPr="00010F64">
        <w:rPr>
          <w:rFonts w:ascii="Times New Roman" w:hAnsi="Times New Roman"/>
        </w:rPr>
        <w:t xml:space="preserve"> both tested positive for the same herpes virus, but on the state of the evidence, you cannot know when she </w:t>
      </w:r>
      <w:r w:rsidR="008507AF" w:rsidRPr="00010F64">
        <w:rPr>
          <w:rFonts w:ascii="Times New Roman" w:hAnsi="Times New Roman"/>
        </w:rPr>
        <w:lastRenderedPageBreak/>
        <w:t>contracted it</w:t>
      </w:r>
      <w:r w:rsidR="00791F96" w:rsidRPr="00010F64">
        <w:rPr>
          <w:rFonts w:ascii="Times New Roman" w:hAnsi="Times New Roman"/>
        </w:rPr>
        <w:t>, you cannot know when the defendant contracted it and you cannot know who she contracted it from. You just take that evidence into account along with all of the other evidence</w:t>
      </w:r>
      <w:r w:rsidR="00B03D7D" w:rsidRPr="00010F64">
        <w:rPr>
          <w:rFonts w:ascii="Times New Roman" w:hAnsi="Times New Roman"/>
        </w:rPr>
        <w:t>.</w:t>
      </w:r>
      <w:r w:rsidR="00791F96" w:rsidRPr="00010F64">
        <w:rPr>
          <w:rFonts w:ascii="Times New Roman" w:hAnsi="Times New Roman"/>
        </w:rPr>
        <w:t xml:space="preserve">" </w:t>
      </w:r>
    </w:p>
    <w:p w14:paraId="5177E473" w14:textId="5735184B" w:rsidR="00791F96" w:rsidRPr="00010F64" w:rsidRDefault="008904C2" w:rsidP="00010F64">
      <w:pPr>
        <w:pStyle w:val="HeadingL1"/>
        <w:spacing w:after="260" w:line="280" w:lineRule="exact"/>
        <w:ind w:right="0"/>
        <w:jc w:val="both"/>
        <w:rPr>
          <w:rFonts w:ascii="Times New Roman" w:hAnsi="Times New Roman"/>
        </w:rPr>
      </w:pPr>
      <w:r w:rsidRPr="00010F64">
        <w:rPr>
          <w:rFonts w:ascii="Times New Roman" w:hAnsi="Times New Roman"/>
        </w:rPr>
        <w:t>A miscarriage of justice?</w:t>
      </w:r>
    </w:p>
    <w:p w14:paraId="2AF1DBAD" w14:textId="2717DE72" w:rsidR="008904C2" w:rsidRPr="00010F64" w:rsidRDefault="008904C2"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There were two grounds of appeal before the Court of Appeal. The first ground related to the conduct of the defence counsel at trial. It included an allegation that counsel had failed to object to the admissibility of the </w:t>
      </w:r>
      <w:r w:rsidR="00924F75" w:rsidRPr="00010F64">
        <w:rPr>
          <w:rFonts w:ascii="Times New Roman" w:hAnsi="Times New Roman"/>
        </w:rPr>
        <w:t>HSV-1 evidence</w:t>
      </w:r>
      <w:r w:rsidR="00FE4DA6" w:rsidRPr="00010F64">
        <w:rPr>
          <w:rFonts w:ascii="Times New Roman" w:hAnsi="Times New Roman"/>
        </w:rPr>
        <w:t>.</w:t>
      </w:r>
    </w:p>
    <w:p w14:paraId="29CBE8AD" w14:textId="06AFE5FA" w:rsidR="00FE4DA6" w:rsidRPr="00010F64" w:rsidRDefault="00FE4DA6"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The difficulty with that contention, Bond J observed, was that defence counsel decided not to object, having made </w:t>
      </w:r>
      <w:r w:rsidR="00AA5C15" w:rsidRPr="00010F64">
        <w:rPr>
          <w:rFonts w:ascii="Times New Roman" w:hAnsi="Times New Roman"/>
        </w:rPr>
        <w:t>an assessment that there was a forensic advantage for the defence in doing so. In his Honour's view the appellant should be regarded as bound by his counsel's forensic</w:t>
      </w:r>
      <w:r w:rsidR="0019758A" w:rsidRPr="00010F64">
        <w:rPr>
          <w:rFonts w:ascii="Times New Roman" w:hAnsi="Times New Roman"/>
        </w:rPr>
        <w:t xml:space="preserve"> choices. No miscarriage of justice could be said to result</w:t>
      </w:r>
      <w:r w:rsidR="00110DCB" w:rsidRPr="00010F64">
        <w:rPr>
          <w:rStyle w:val="FootnoteReference"/>
          <w:rFonts w:ascii="Times New Roman" w:hAnsi="Times New Roman"/>
          <w:sz w:val="24"/>
        </w:rPr>
        <w:footnoteReference w:id="3"/>
      </w:r>
      <w:r w:rsidR="0019758A" w:rsidRPr="00010F64">
        <w:rPr>
          <w:rFonts w:ascii="Times New Roman" w:hAnsi="Times New Roman"/>
        </w:rPr>
        <w:t>.</w:t>
      </w:r>
    </w:p>
    <w:p w14:paraId="5B075228" w14:textId="448ECA54" w:rsidR="0019758A" w:rsidRPr="00010F64" w:rsidRDefault="0019758A"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There can be </w:t>
      </w:r>
      <w:r w:rsidR="00162034" w:rsidRPr="00010F64">
        <w:rPr>
          <w:rFonts w:ascii="Times New Roman" w:hAnsi="Times New Roman"/>
        </w:rPr>
        <w:t>no doubt about the correctness of his Honour's reasoning in this regard, as is evidenced by the fact that the ground is not pressed on the appeal to this Court. Save for exce</w:t>
      </w:r>
      <w:r w:rsidR="007F120E" w:rsidRPr="00010F64">
        <w:rPr>
          <w:rFonts w:ascii="Times New Roman" w:hAnsi="Times New Roman"/>
        </w:rPr>
        <w:t>ptional cases, in our system of justice, parties are bound by the conduct of their counsel</w:t>
      </w:r>
      <w:r w:rsidR="00CA1AEA" w:rsidRPr="00010F64">
        <w:rPr>
          <w:rFonts w:ascii="Times New Roman" w:hAnsi="Times New Roman"/>
        </w:rPr>
        <w:t>,</w:t>
      </w:r>
      <w:r w:rsidR="007F120E" w:rsidRPr="00010F64">
        <w:rPr>
          <w:rFonts w:ascii="Times New Roman" w:hAnsi="Times New Roman"/>
        </w:rPr>
        <w:t xml:space="preserve"> who exercise a wide discretion in deciding matters such as what evidence to lead or have excluded</w:t>
      </w:r>
      <w:r w:rsidR="00AF7491" w:rsidRPr="00010F64">
        <w:rPr>
          <w:rStyle w:val="FootnoteReference"/>
          <w:rFonts w:ascii="Times New Roman" w:hAnsi="Times New Roman"/>
          <w:sz w:val="24"/>
        </w:rPr>
        <w:footnoteReference w:id="4"/>
      </w:r>
      <w:r w:rsidR="00AF7491" w:rsidRPr="00010F64">
        <w:rPr>
          <w:rFonts w:ascii="Times New Roman" w:hAnsi="Times New Roman"/>
        </w:rPr>
        <w:t xml:space="preserve">. </w:t>
      </w:r>
      <w:r w:rsidR="00276D62" w:rsidRPr="00010F64">
        <w:rPr>
          <w:rFonts w:ascii="Times New Roman" w:hAnsi="Times New Roman"/>
        </w:rPr>
        <w:t xml:space="preserve">It is usually only when an appellate court is persuaded that no rational forensic </w:t>
      </w:r>
      <w:r w:rsidR="00AB6ED5" w:rsidRPr="00010F64">
        <w:rPr>
          <w:rFonts w:ascii="Times New Roman" w:hAnsi="Times New Roman"/>
        </w:rPr>
        <w:t xml:space="preserve">justification can be discerned for </w:t>
      </w:r>
      <w:proofErr w:type="spellStart"/>
      <w:r w:rsidR="00AB6ED5" w:rsidRPr="00010F64">
        <w:rPr>
          <w:rFonts w:ascii="Times New Roman" w:hAnsi="Times New Roman"/>
        </w:rPr>
        <w:t>counsel's</w:t>
      </w:r>
      <w:proofErr w:type="spellEnd"/>
      <w:r w:rsidR="00AB6ED5" w:rsidRPr="00010F64">
        <w:rPr>
          <w:rFonts w:ascii="Times New Roman" w:hAnsi="Times New Roman"/>
        </w:rPr>
        <w:t xml:space="preserve"> </w:t>
      </w:r>
      <w:r w:rsidR="00950FCF" w:rsidRPr="00010F64">
        <w:rPr>
          <w:rFonts w:ascii="Times New Roman" w:hAnsi="Times New Roman"/>
        </w:rPr>
        <w:t xml:space="preserve">decision that consideration will be given to whether </w:t>
      </w:r>
      <w:r w:rsidR="009B64D7" w:rsidRPr="00010F64">
        <w:rPr>
          <w:rFonts w:ascii="Times New Roman" w:hAnsi="Times New Roman"/>
        </w:rPr>
        <w:t>it gave rise to a miscarriage of justice</w:t>
      </w:r>
      <w:r w:rsidR="009B64D7" w:rsidRPr="00010F64">
        <w:rPr>
          <w:rStyle w:val="FootnoteReference"/>
          <w:rFonts w:ascii="Times New Roman" w:hAnsi="Times New Roman"/>
          <w:sz w:val="24"/>
        </w:rPr>
        <w:footnoteReference w:id="5"/>
      </w:r>
      <w:r w:rsidR="009B64D7" w:rsidRPr="00010F64">
        <w:rPr>
          <w:rFonts w:ascii="Times New Roman" w:hAnsi="Times New Roman"/>
        </w:rPr>
        <w:t>.</w:t>
      </w:r>
    </w:p>
    <w:p w14:paraId="470C2582" w14:textId="6C8DA69B" w:rsidR="00217F1B" w:rsidRPr="00010F64" w:rsidRDefault="00217F1B"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The second </w:t>
      </w:r>
      <w:r w:rsidR="002E5EC8" w:rsidRPr="00010F64">
        <w:rPr>
          <w:rFonts w:ascii="Times New Roman" w:hAnsi="Times New Roman"/>
        </w:rPr>
        <w:t>ground of appeal was that there was a miscarr</w:t>
      </w:r>
      <w:r w:rsidR="00D0734F" w:rsidRPr="00010F64">
        <w:rPr>
          <w:rFonts w:ascii="Times New Roman" w:hAnsi="Times New Roman"/>
        </w:rPr>
        <w:t>i</w:t>
      </w:r>
      <w:r w:rsidR="002E5EC8" w:rsidRPr="00010F64">
        <w:rPr>
          <w:rFonts w:ascii="Times New Roman" w:hAnsi="Times New Roman"/>
        </w:rPr>
        <w:t xml:space="preserve">age of </w:t>
      </w:r>
      <w:r w:rsidR="00D0734F" w:rsidRPr="00010F64">
        <w:rPr>
          <w:rFonts w:ascii="Times New Roman" w:hAnsi="Times New Roman"/>
        </w:rPr>
        <w:t xml:space="preserve">justice and prejudice because of the admission of the </w:t>
      </w:r>
      <w:r w:rsidR="001043F6" w:rsidRPr="00010F64">
        <w:rPr>
          <w:rFonts w:ascii="Times New Roman" w:hAnsi="Times New Roman"/>
        </w:rPr>
        <w:t>HSV</w:t>
      </w:r>
      <w:r w:rsidR="003841ED" w:rsidRPr="00010F64">
        <w:rPr>
          <w:rFonts w:ascii="Times New Roman" w:hAnsi="Times New Roman"/>
        </w:rPr>
        <w:noBreakHyphen/>
      </w:r>
      <w:r w:rsidR="00AF7491" w:rsidRPr="00010F64">
        <w:rPr>
          <w:rFonts w:ascii="Times New Roman" w:hAnsi="Times New Roman"/>
        </w:rPr>
        <w:t>1</w:t>
      </w:r>
      <w:r w:rsidR="004628F7" w:rsidRPr="00010F64">
        <w:rPr>
          <w:rFonts w:ascii="Times New Roman" w:hAnsi="Times New Roman"/>
        </w:rPr>
        <w:t xml:space="preserve"> evidence</w:t>
      </w:r>
      <w:r w:rsidR="003841ED" w:rsidRPr="00010F64">
        <w:rPr>
          <w:rFonts w:ascii="Times New Roman" w:hAnsi="Times New Roman"/>
        </w:rPr>
        <w:t xml:space="preserve">. Bond J held that a </w:t>
      </w:r>
      <w:r w:rsidR="003841ED" w:rsidRPr="00010F64">
        <w:rPr>
          <w:rFonts w:ascii="Times New Roman" w:hAnsi="Times New Roman"/>
        </w:rPr>
        <w:lastRenderedPageBreak/>
        <w:t>miscarri</w:t>
      </w:r>
      <w:r w:rsidR="007962F2" w:rsidRPr="00010F64">
        <w:rPr>
          <w:rFonts w:ascii="Times New Roman" w:hAnsi="Times New Roman"/>
        </w:rPr>
        <w:t>a</w:t>
      </w:r>
      <w:r w:rsidR="003841ED" w:rsidRPr="00010F64">
        <w:rPr>
          <w:rFonts w:ascii="Times New Roman" w:hAnsi="Times New Roman"/>
        </w:rPr>
        <w:t xml:space="preserve">ge of justice </w:t>
      </w:r>
      <w:r w:rsidR="007962F2" w:rsidRPr="00010F64">
        <w:rPr>
          <w:rFonts w:ascii="Times New Roman" w:hAnsi="Times New Roman"/>
        </w:rPr>
        <w:t>within the third limb of s 668E(1)</w:t>
      </w:r>
      <w:r w:rsidR="00F71432" w:rsidRPr="00010F64">
        <w:rPr>
          <w:rFonts w:ascii="Times New Roman" w:hAnsi="Times New Roman"/>
        </w:rPr>
        <w:t xml:space="preserve"> of the </w:t>
      </w:r>
      <w:r w:rsidR="00F71432" w:rsidRPr="00010F64">
        <w:rPr>
          <w:rFonts w:ascii="Times New Roman" w:hAnsi="Times New Roman"/>
          <w:i/>
        </w:rPr>
        <w:t xml:space="preserve">Criminal Code </w:t>
      </w:r>
      <w:r w:rsidR="00F71432" w:rsidRPr="00010F64">
        <w:rPr>
          <w:rFonts w:ascii="Times New Roman" w:hAnsi="Times New Roman"/>
        </w:rPr>
        <w:t>(Qld)</w:t>
      </w:r>
      <w:r w:rsidR="007962F2" w:rsidRPr="00010F64">
        <w:rPr>
          <w:rStyle w:val="FootnoteReference"/>
          <w:rFonts w:ascii="Times New Roman" w:hAnsi="Times New Roman"/>
          <w:sz w:val="24"/>
        </w:rPr>
        <w:footnoteReference w:id="6"/>
      </w:r>
      <w:r w:rsidR="00F515D1" w:rsidRPr="00010F64">
        <w:rPr>
          <w:rFonts w:ascii="Times New Roman" w:hAnsi="Times New Roman"/>
        </w:rPr>
        <w:t xml:space="preserve"> was established</w:t>
      </w:r>
      <w:r w:rsidR="00F515D1" w:rsidRPr="00010F64">
        <w:rPr>
          <w:rStyle w:val="FootnoteReference"/>
          <w:rFonts w:ascii="Times New Roman" w:hAnsi="Times New Roman"/>
          <w:sz w:val="24"/>
        </w:rPr>
        <w:footnoteReference w:id="7"/>
      </w:r>
      <w:r w:rsidR="00F515D1" w:rsidRPr="00010F64">
        <w:rPr>
          <w:rFonts w:ascii="Times New Roman" w:hAnsi="Times New Roman"/>
        </w:rPr>
        <w:t>.</w:t>
      </w:r>
    </w:p>
    <w:p w14:paraId="28E19FA2" w14:textId="67140379" w:rsidR="00F515D1" w:rsidRPr="00010F64" w:rsidRDefault="00F515D1"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No doubt because of the way the grounds were framed his Honour did not consider whether the forensic choice which had </w:t>
      </w:r>
      <w:r w:rsidR="003C419B" w:rsidRPr="00010F64">
        <w:rPr>
          <w:rFonts w:ascii="Times New Roman" w:hAnsi="Times New Roman"/>
        </w:rPr>
        <w:t xml:space="preserve">prevented </w:t>
      </w:r>
      <w:r w:rsidRPr="00010F64">
        <w:rPr>
          <w:rFonts w:ascii="Times New Roman" w:hAnsi="Times New Roman"/>
        </w:rPr>
        <w:t xml:space="preserve">a finding of miscarriage of justice with respect to the first ground </w:t>
      </w:r>
      <w:r w:rsidR="00777B50" w:rsidRPr="00010F64">
        <w:rPr>
          <w:rFonts w:ascii="Times New Roman" w:hAnsi="Times New Roman"/>
        </w:rPr>
        <w:t>was also</w:t>
      </w:r>
      <w:r w:rsidRPr="00010F64">
        <w:rPr>
          <w:rFonts w:ascii="Times New Roman" w:hAnsi="Times New Roman"/>
        </w:rPr>
        <w:t xml:space="preserve"> operative with respect to the </w:t>
      </w:r>
      <w:r w:rsidR="00512066" w:rsidRPr="00010F64">
        <w:rPr>
          <w:rFonts w:ascii="Times New Roman" w:hAnsi="Times New Roman"/>
        </w:rPr>
        <w:t>second ground. Logically one would think that must be so. His Honour appears to have based his decision that there was a miscarriage of justice not only on the fact that the evidence was adduced but also on the fact that it was not corrected by the trial judge in summin</w:t>
      </w:r>
      <w:r w:rsidR="009270DC" w:rsidRPr="00010F64">
        <w:rPr>
          <w:rFonts w:ascii="Times New Roman" w:hAnsi="Times New Roman"/>
        </w:rPr>
        <w:t>g</w:t>
      </w:r>
      <w:r w:rsidR="00512066" w:rsidRPr="00010F64">
        <w:rPr>
          <w:rFonts w:ascii="Times New Roman" w:hAnsi="Times New Roman"/>
        </w:rPr>
        <w:t xml:space="preserve"> up</w:t>
      </w:r>
      <w:r w:rsidR="00512066" w:rsidRPr="00010F64">
        <w:rPr>
          <w:rStyle w:val="FootnoteReference"/>
          <w:rFonts w:ascii="Times New Roman" w:hAnsi="Times New Roman"/>
          <w:sz w:val="24"/>
        </w:rPr>
        <w:footnoteReference w:id="8"/>
      </w:r>
      <w:r w:rsidR="009270DC" w:rsidRPr="00010F64">
        <w:rPr>
          <w:rFonts w:ascii="Times New Roman" w:hAnsi="Times New Roman"/>
        </w:rPr>
        <w:t>. Arguably</w:t>
      </w:r>
      <w:r w:rsidR="00A661B2" w:rsidRPr="00010F64">
        <w:rPr>
          <w:rFonts w:ascii="Times New Roman" w:hAnsi="Times New Roman"/>
        </w:rPr>
        <w:t xml:space="preserve"> </w:t>
      </w:r>
      <w:r w:rsidR="009270DC" w:rsidRPr="00010F64">
        <w:rPr>
          <w:rFonts w:ascii="Times New Roman" w:hAnsi="Times New Roman"/>
        </w:rPr>
        <w:t xml:space="preserve">this is a matter relevant to the application of </w:t>
      </w:r>
      <w:r w:rsidR="002E3FB3" w:rsidRPr="00010F64">
        <w:rPr>
          <w:rFonts w:ascii="Times New Roman" w:hAnsi="Times New Roman"/>
        </w:rPr>
        <w:t>the proviso in s 668E(1A)</w:t>
      </w:r>
      <w:r w:rsidR="0042195E" w:rsidRPr="00010F64">
        <w:rPr>
          <w:rStyle w:val="FootnoteReference"/>
          <w:rFonts w:ascii="Times New Roman" w:hAnsi="Times New Roman"/>
          <w:sz w:val="24"/>
        </w:rPr>
        <w:footnoteReference w:id="9"/>
      </w:r>
      <w:r w:rsidR="00872B30" w:rsidRPr="00010F64">
        <w:rPr>
          <w:rFonts w:ascii="Times New Roman" w:hAnsi="Times New Roman"/>
        </w:rPr>
        <w:t xml:space="preserve">. </w:t>
      </w:r>
      <w:r w:rsidR="00494FD5" w:rsidRPr="00010F64">
        <w:rPr>
          <w:rFonts w:ascii="Times New Roman" w:hAnsi="Times New Roman"/>
        </w:rPr>
        <w:t>Ha</w:t>
      </w:r>
      <w:r w:rsidR="00866DB8" w:rsidRPr="00010F64">
        <w:rPr>
          <w:rFonts w:ascii="Times New Roman" w:hAnsi="Times New Roman"/>
        </w:rPr>
        <w:t>d</w:t>
      </w:r>
      <w:r w:rsidR="00494FD5" w:rsidRPr="00010F64">
        <w:rPr>
          <w:rFonts w:ascii="Times New Roman" w:hAnsi="Times New Roman"/>
        </w:rPr>
        <w:t xml:space="preserve"> the second ground also </w:t>
      </w:r>
      <w:r w:rsidR="00872B30" w:rsidRPr="00010F64">
        <w:rPr>
          <w:rFonts w:ascii="Times New Roman" w:hAnsi="Times New Roman"/>
        </w:rPr>
        <w:t>been dealt with on the basis of the forensic choice of defence counsel</w:t>
      </w:r>
      <w:r w:rsidR="00433F64" w:rsidRPr="00010F64">
        <w:rPr>
          <w:rFonts w:ascii="Times New Roman" w:hAnsi="Times New Roman"/>
        </w:rPr>
        <w:t xml:space="preserve"> to not object to the admission of the HSV-1 evidence,</w:t>
      </w:r>
      <w:r w:rsidR="00A967AC" w:rsidRPr="00010F64">
        <w:rPr>
          <w:rFonts w:ascii="Times New Roman" w:hAnsi="Times New Roman"/>
        </w:rPr>
        <w:t xml:space="preserve"> </w:t>
      </w:r>
      <w:r w:rsidR="00A87950" w:rsidRPr="00010F64">
        <w:rPr>
          <w:rFonts w:ascii="Times New Roman" w:hAnsi="Times New Roman"/>
        </w:rPr>
        <w:t>n</w:t>
      </w:r>
      <w:r w:rsidR="00A967AC" w:rsidRPr="00010F64">
        <w:rPr>
          <w:rFonts w:ascii="Times New Roman" w:hAnsi="Times New Roman"/>
        </w:rPr>
        <w:t>o miscarriage of justice</w:t>
      </w:r>
      <w:r w:rsidR="009D563E" w:rsidRPr="00010F64">
        <w:rPr>
          <w:rFonts w:ascii="Times New Roman" w:hAnsi="Times New Roman"/>
        </w:rPr>
        <w:t xml:space="preserve"> within s</w:t>
      </w:r>
      <w:r w:rsidR="000118E1" w:rsidRPr="00010F64">
        <w:rPr>
          <w:rFonts w:ascii="Times New Roman" w:hAnsi="Times New Roman"/>
        </w:rPr>
        <w:t> </w:t>
      </w:r>
      <w:r w:rsidR="009D563E" w:rsidRPr="00010F64">
        <w:rPr>
          <w:rFonts w:ascii="Times New Roman" w:hAnsi="Times New Roman"/>
        </w:rPr>
        <w:t>668E(1)</w:t>
      </w:r>
      <w:r w:rsidR="00A967AC" w:rsidRPr="00010F64">
        <w:rPr>
          <w:rFonts w:ascii="Times New Roman" w:hAnsi="Times New Roman"/>
        </w:rPr>
        <w:t xml:space="preserve"> could be said to have occurred. It would follow that no </w:t>
      </w:r>
      <w:r w:rsidR="00872B30" w:rsidRPr="00010F64">
        <w:rPr>
          <w:rFonts w:ascii="Times New Roman" w:hAnsi="Times New Roman"/>
        </w:rPr>
        <w:t xml:space="preserve">question of whether there had been a substantial miscarriage of justice </w:t>
      </w:r>
      <w:r w:rsidR="00F34C04" w:rsidRPr="00010F64">
        <w:rPr>
          <w:rFonts w:ascii="Times New Roman" w:hAnsi="Times New Roman"/>
        </w:rPr>
        <w:t xml:space="preserve">within s 668E(1A) </w:t>
      </w:r>
      <w:r w:rsidR="00A967AC" w:rsidRPr="00010F64">
        <w:rPr>
          <w:rFonts w:ascii="Times New Roman" w:hAnsi="Times New Roman"/>
        </w:rPr>
        <w:t>c</w:t>
      </w:r>
      <w:r w:rsidR="00872B30" w:rsidRPr="00010F64">
        <w:rPr>
          <w:rFonts w:ascii="Times New Roman" w:hAnsi="Times New Roman"/>
        </w:rPr>
        <w:t>ould arise</w:t>
      </w:r>
      <w:r w:rsidR="00A967AC" w:rsidRPr="00010F64">
        <w:rPr>
          <w:rFonts w:ascii="Times New Roman" w:hAnsi="Times New Roman"/>
        </w:rPr>
        <w:t>.</w:t>
      </w:r>
    </w:p>
    <w:p w14:paraId="3CA0D6EB" w14:textId="46FDA47E" w:rsidR="00872B30" w:rsidRPr="00010F64" w:rsidRDefault="00872B30"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That was not the course taken. </w:t>
      </w:r>
      <w:r w:rsidR="00A87950" w:rsidRPr="00010F64">
        <w:rPr>
          <w:rFonts w:ascii="Times New Roman" w:hAnsi="Times New Roman"/>
        </w:rPr>
        <w:t>In its submissions t</w:t>
      </w:r>
      <w:r w:rsidRPr="00010F64">
        <w:rPr>
          <w:rFonts w:ascii="Times New Roman" w:hAnsi="Times New Roman"/>
        </w:rPr>
        <w:t xml:space="preserve">he </w:t>
      </w:r>
      <w:r w:rsidR="00A060EE" w:rsidRPr="00010F64">
        <w:rPr>
          <w:rFonts w:ascii="Times New Roman" w:hAnsi="Times New Roman"/>
        </w:rPr>
        <w:t xml:space="preserve">respondent </w:t>
      </w:r>
      <w:r w:rsidRPr="00010F64">
        <w:rPr>
          <w:rFonts w:ascii="Times New Roman" w:hAnsi="Times New Roman"/>
        </w:rPr>
        <w:t>accept</w:t>
      </w:r>
      <w:r w:rsidR="00A87950" w:rsidRPr="00010F64">
        <w:rPr>
          <w:rFonts w:ascii="Times New Roman" w:hAnsi="Times New Roman"/>
        </w:rPr>
        <w:t>ed</w:t>
      </w:r>
      <w:r w:rsidRPr="00010F64">
        <w:rPr>
          <w:rFonts w:ascii="Times New Roman" w:hAnsi="Times New Roman"/>
        </w:rPr>
        <w:t xml:space="preserve"> that a miscarri</w:t>
      </w:r>
      <w:r w:rsidR="000D0F30" w:rsidRPr="00010F64">
        <w:rPr>
          <w:rFonts w:ascii="Times New Roman" w:hAnsi="Times New Roman"/>
        </w:rPr>
        <w:t>a</w:t>
      </w:r>
      <w:r w:rsidRPr="00010F64">
        <w:rPr>
          <w:rFonts w:ascii="Times New Roman" w:hAnsi="Times New Roman"/>
        </w:rPr>
        <w:t xml:space="preserve">ge of justice was established and properly </w:t>
      </w:r>
      <w:r w:rsidR="000D0F30" w:rsidRPr="00010F64">
        <w:rPr>
          <w:rFonts w:ascii="Times New Roman" w:hAnsi="Times New Roman"/>
        </w:rPr>
        <w:t xml:space="preserve">does not seek to </w:t>
      </w:r>
      <w:proofErr w:type="spellStart"/>
      <w:r w:rsidR="000D0F30" w:rsidRPr="00010F64">
        <w:rPr>
          <w:rFonts w:ascii="Times New Roman" w:hAnsi="Times New Roman"/>
        </w:rPr>
        <w:t>resile</w:t>
      </w:r>
      <w:proofErr w:type="spellEnd"/>
      <w:r w:rsidR="000D0F30" w:rsidRPr="00010F64">
        <w:rPr>
          <w:rFonts w:ascii="Times New Roman" w:hAnsi="Times New Roman"/>
        </w:rPr>
        <w:t xml:space="preserve"> from </w:t>
      </w:r>
      <w:r w:rsidR="0028693E" w:rsidRPr="00010F64">
        <w:rPr>
          <w:rFonts w:ascii="Times New Roman" w:hAnsi="Times New Roman"/>
        </w:rPr>
        <w:t>that concession</w:t>
      </w:r>
      <w:r w:rsidR="000D0F30" w:rsidRPr="00010F64">
        <w:rPr>
          <w:rFonts w:ascii="Times New Roman" w:hAnsi="Times New Roman"/>
        </w:rPr>
        <w:t xml:space="preserve">. Attention must therefore </w:t>
      </w:r>
      <w:r w:rsidR="009F2002" w:rsidRPr="00010F64">
        <w:rPr>
          <w:rFonts w:ascii="Times New Roman" w:hAnsi="Times New Roman"/>
        </w:rPr>
        <w:t>be directed to the application of the proviso.</w:t>
      </w:r>
    </w:p>
    <w:p w14:paraId="452D1CEF" w14:textId="0C2B480C" w:rsidR="009F2002" w:rsidRPr="00010F64" w:rsidRDefault="009F2002" w:rsidP="00010F64">
      <w:pPr>
        <w:pStyle w:val="HeadingL1"/>
        <w:spacing w:after="260" w:line="280" w:lineRule="exact"/>
        <w:ind w:right="0"/>
        <w:jc w:val="both"/>
        <w:rPr>
          <w:rFonts w:ascii="Times New Roman" w:hAnsi="Times New Roman"/>
        </w:rPr>
      </w:pPr>
      <w:r w:rsidRPr="00010F64">
        <w:rPr>
          <w:rFonts w:ascii="Times New Roman" w:hAnsi="Times New Roman"/>
        </w:rPr>
        <w:t>The proviso</w:t>
      </w:r>
      <w:r w:rsidR="0028693E" w:rsidRPr="00010F64">
        <w:rPr>
          <w:rFonts w:ascii="Times New Roman" w:hAnsi="Times New Roman"/>
        </w:rPr>
        <w:t xml:space="preserve"> and its </w:t>
      </w:r>
      <w:r w:rsidR="00A87950" w:rsidRPr="00010F64">
        <w:rPr>
          <w:rFonts w:ascii="Times New Roman" w:hAnsi="Times New Roman"/>
        </w:rPr>
        <w:t>application</w:t>
      </w:r>
    </w:p>
    <w:p w14:paraId="31201407" w14:textId="7C6C90D8" w:rsidR="0028693E" w:rsidRPr="00010F64" w:rsidRDefault="0028693E" w:rsidP="00010F64">
      <w:pPr>
        <w:pStyle w:val="FixListStyle"/>
        <w:spacing w:after="260" w:line="280" w:lineRule="exact"/>
        <w:ind w:right="0"/>
        <w:jc w:val="both"/>
        <w:rPr>
          <w:rFonts w:ascii="Times New Roman" w:hAnsi="Times New Roman"/>
        </w:rPr>
      </w:pPr>
      <w:r w:rsidRPr="00010F64">
        <w:rPr>
          <w:rFonts w:ascii="Times New Roman" w:hAnsi="Times New Roman"/>
        </w:rPr>
        <w:tab/>
      </w:r>
      <w:r w:rsidR="001D57A1" w:rsidRPr="00010F64">
        <w:rPr>
          <w:rFonts w:ascii="Times New Roman" w:hAnsi="Times New Roman"/>
        </w:rPr>
        <w:t xml:space="preserve">An appellate court must be persuaded that evidence properly admitted at trial establishes guilt to the requisite standard before it can conclude that </w:t>
      </w:r>
      <w:r w:rsidR="003C2F5B" w:rsidRPr="00010F64">
        <w:rPr>
          <w:rFonts w:ascii="Times New Roman" w:hAnsi="Times New Roman"/>
        </w:rPr>
        <w:t>no</w:t>
      </w:r>
      <w:r w:rsidR="001D57A1" w:rsidRPr="00010F64">
        <w:rPr>
          <w:rFonts w:ascii="Times New Roman" w:hAnsi="Times New Roman"/>
        </w:rPr>
        <w:t xml:space="preserve"> substantial miscarriage of just</w:t>
      </w:r>
      <w:r w:rsidR="00724735" w:rsidRPr="00010F64">
        <w:rPr>
          <w:rFonts w:ascii="Times New Roman" w:hAnsi="Times New Roman"/>
        </w:rPr>
        <w:t>i</w:t>
      </w:r>
      <w:r w:rsidR="001D57A1" w:rsidRPr="00010F64">
        <w:rPr>
          <w:rFonts w:ascii="Times New Roman" w:hAnsi="Times New Roman"/>
        </w:rPr>
        <w:t>ce</w:t>
      </w:r>
      <w:r w:rsidR="003C2F5B" w:rsidRPr="00010F64">
        <w:rPr>
          <w:rFonts w:ascii="Times New Roman" w:hAnsi="Times New Roman"/>
        </w:rPr>
        <w:t xml:space="preserve"> has actually occurred</w:t>
      </w:r>
      <w:r w:rsidR="001D57A1" w:rsidRPr="00010F64">
        <w:rPr>
          <w:rFonts w:ascii="Times New Roman" w:hAnsi="Times New Roman"/>
        </w:rPr>
        <w:t xml:space="preserve">. It must consider the whole </w:t>
      </w:r>
      <w:r w:rsidR="0098256D" w:rsidRPr="00010F64">
        <w:rPr>
          <w:rFonts w:ascii="Times New Roman" w:hAnsi="Times New Roman"/>
        </w:rPr>
        <w:t xml:space="preserve">of the </w:t>
      </w:r>
      <w:r w:rsidR="001D57A1" w:rsidRPr="00010F64">
        <w:rPr>
          <w:rFonts w:ascii="Times New Roman" w:hAnsi="Times New Roman"/>
        </w:rPr>
        <w:t xml:space="preserve">record </w:t>
      </w:r>
      <w:r w:rsidR="001F65FA" w:rsidRPr="00010F64">
        <w:rPr>
          <w:rFonts w:ascii="Times New Roman" w:hAnsi="Times New Roman"/>
        </w:rPr>
        <w:t xml:space="preserve">of the trial </w:t>
      </w:r>
      <w:r w:rsidR="001D57A1" w:rsidRPr="00010F64">
        <w:rPr>
          <w:rFonts w:ascii="Times New Roman" w:hAnsi="Times New Roman"/>
        </w:rPr>
        <w:t xml:space="preserve">and the </w:t>
      </w:r>
      <w:r w:rsidR="009D3DEA" w:rsidRPr="00010F64">
        <w:rPr>
          <w:rFonts w:ascii="Times New Roman" w:hAnsi="Times New Roman"/>
        </w:rPr>
        <w:t xml:space="preserve">nature </w:t>
      </w:r>
      <w:r w:rsidR="00062F77" w:rsidRPr="00010F64">
        <w:rPr>
          <w:rFonts w:ascii="Times New Roman" w:hAnsi="Times New Roman"/>
        </w:rPr>
        <w:t xml:space="preserve">and effect of the error which gives rise to </w:t>
      </w:r>
      <w:r w:rsidR="00062F77" w:rsidRPr="00010F64">
        <w:rPr>
          <w:rFonts w:ascii="Times New Roman" w:hAnsi="Times New Roman"/>
        </w:rPr>
        <w:lastRenderedPageBreak/>
        <w:t>the miscarriage of justice in the particular case</w:t>
      </w:r>
      <w:r w:rsidR="00F66A37" w:rsidRPr="00010F64">
        <w:rPr>
          <w:rStyle w:val="FootnoteReference"/>
          <w:rFonts w:ascii="Times New Roman" w:hAnsi="Times New Roman"/>
          <w:sz w:val="24"/>
        </w:rPr>
        <w:footnoteReference w:id="10"/>
      </w:r>
      <w:r w:rsidR="00062F77" w:rsidRPr="00010F64">
        <w:rPr>
          <w:rFonts w:ascii="Times New Roman" w:hAnsi="Times New Roman"/>
        </w:rPr>
        <w:t xml:space="preserve">. As explained in </w:t>
      </w:r>
      <w:proofErr w:type="spellStart"/>
      <w:r w:rsidR="00062F77" w:rsidRPr="00010F64">
        <w:rPr>
          <w:rFonts w:ascii="Times New Roman" w:hAnsi="Times New Roman"/>
          <w:i/>
        </w:rPr>
        <w:t>Kalbasi</w:t>
      </w:r>
      <w:proofErr w:type="spellEnd"/>
      <w:r w:rsidR="00062F77" w:rsidRPr="00010F64">
        <w:rPr>
          <w:rFonts w:ascii="Times New Roman" w:hAnsi="Times New Roman"/>
          <w:i/>
        </w:rPr>
        <w:t xml:space="preserve"> v Western Australia</w:t>
      </w:r>
      <w:r w:rsidR="00062F77" w:rsidRPr="00010F64">
        <w:rPr>
          <w:rStyle w:val="FootnoteReference"/>
          <w:rFonts w:ascii="Times New Roman" w:hAnsi="Times New Roman"/>
          <w:sz w:val="24"/>
        </w:rPr>
        <w:footnoteReference w:id="11"/>
      </w:r>
      <w:r w:rsidR="00191D7B" w:rsidRPr="00010F64">
        <w:rPr>
          <w:rFonts w:ascii="Times New Roman" w:hAnsi="Times New Roman"/>
        </w:rPr>
        <w:t xml:space="preserve">, this is because some errors will prevent the </w:t>
      </w:r>
      <w:r w:rsidR="00A56895" w:rsidRPr="00010F64">
        <w:rPr>
          <w:rFonts w:ascii="Times New Roman" w:hAnsi="Times New Roman"/>
        </w:rPr>
        <w:t xml:space="preserve">appellate court from being able to assess whether </w:t>
      </w:r>
      <w:r w:rsidR="00087D54" w:rsidRPr="00010F64">
        <w:rPr>
          <w:rFonts w:ascii="Times New Roman" w:hAnsi="Times New Roman"/>
        </w:rPr>
        <w:t xml:space="preserve">guilt </w:t>
      </w:r>
      <w:r w:rsidR="00A56895" w:rsidRPr="00010F64">
        <w:rPr>
          <w:rFonts w:ascii="Times New Roman" w:hAnsi="Times New Roman"/>
        </w:rPr>
        <w:t xml:space="preserve">was </w:t>
      </w:r>
      <w:r w:rsidR="00087D54" w:rsidRPr="00010F64">
        <w:rPr>
          <w:rFonts w:ascii="Times New Roman" w:hAnsi="Times New Roman"/>
        </w:rPr>
        <w:t xml:space="preserve">proved </w:t>
      </w:r>
      <w:r w:rsidR="00724735" w:rsidRPr="00010F64">
        <w:rPr>
          <w:rFonts w:ascii="Times New Roman" w:hAnsi="Times New Roman"/>
        </w:rPr>
        <w:t xml:space="preserve">beyond </w:t>
      </w:r>
      <w:r w:rsidR="00EF49B3" w:rsidRPr="00010F64">
        <w:rPr>
          <w:rFonts w:ascii="Times New Roman" w:hAnsi="Times New Roman"/>
        </w:rPr>
        <w:t>reasonable doubt</w:t>
      </w:r>
      <w:r w:rsidR="00087D54" w:rsidRPr="00010F64">
        <w:rPr>
          <w:rFonts w:ascii="Times New Roman" w:hAnsi="Times New Roman"/>
        </w:rPr>
        <w:t>. The examples there given include cases which turn on issues of contested credibility</w:t>
      </w:r>
      <w:r w:rsidR="00566048" w:rsidRPr="00010F64">
        <w:rPr>
          <w:rStyle w:val="FootnoteReference"/>
          <w:rFonts w:ascii="Times New Roman" w:hAnsi="Times New Roman"/>
          <w:sz w:val="24"/>
        </w:rPr>
        <w:footnoteReference w:id="12"/>
      </w:r>
      <w:r w:rsidR="00566048" w:rsidRPr="00010F64">
        <w:rPr>
          <w:rFonts w:ascii="Times New Roman" w:hAnsi="Times New Roman"/>
        </w:rPr>
        <w:t xml:space="preserve"> o</w:t>
      </w:r>
      <w:r w:rsidR="008824EA" w:rsidRPr="00010F64">
        <w:rPr>
          <w:rFonts w:ascii="Times New Roman" w:hAnsi="Times New Roman"/>
        </w:rPr>
        <w:t>r</w:t>
      </w:r>
      <w:r w:rsidR="00566048" w:rsidRPr="00010F64">
        <w:rPr>
          <w:rFonts w:ascii="Times New Roman" w:hAnsi="Times New Roman"/>
        </w:rPr>
        <w:t xml:space="preserve"> cases where there has been a wrong direction o</w:t>
      </w:r>
      <w:r w:rsidR="008824EA" w:rsidRPr="00010F64">
        <w:rPr>
          <w:rFonts w:ascii="Times New Roman" w:hAnsi="Times New Roman"/>
        </w:rPr>
        <w:t>n</w:t>
      </w:r>
      <w:r w:rsidR="00566048" w:rsidRPr="00010F64">
        <w:rPr>
          <w:rFonts w:ascii="Times New Roman" w:hAnsi="Times New Roman"/>
        </w:rPr>
        <w:t xml:space="preserve"> an element of liability</w:t>
      </w:r>
      <w:r w:rsidR="006D16F3" w:rsidRPr="00010F64">
        <w:rPr>
          <w:rFonts w:ascii="Times New Roman" w:hAnsi="Times New Roman"/>
        </w:rPr>
        <w:t xml:space="preserve"> in issue</w:t>
      </w:r>
      <w:r w:rsidR="00950BBC" w:rsidRPr="00010F64">
        <w:rPr>
          <w:rStyle w:val="FootnoteReference"/>
          <w:rFonts w:ascii="Times New Roman" w:hAnsi="Times New Roman"/>
          <w:sz w:val="24"/>
        </w:rPr>
        <w:footnoteReference w:id="13"/>
      </w:r>
      <w:r w:rsidR="00566048" w:rsidRPr="00010F64">
        <w:rPr>
          <w:rFonts w:ascii="Times New Roman" w:hAnsi="Times New Roman"/>
        </w:rPr>
        <w:t>. What they have in common is that the appellate court cannot be satisfied that guilt has been proved.</w:t>
      </w:r>
    </w:p>
    <w:p w14:paraId="0AFD07D6" w14:textId="18AA412B" w:rsidR="00566048" w:rsidRPr="00010F64" w:rsidRDefault="00566048" w:rsidP="00010F64">
      <w:pPr>
        <w:pStyle w:val="FixListStyle"/>
        <w:spacing w:after="260" w:line="280" w:lineRule="exact"/>
        <w:ind w:right="0"/>
        <w:jc w:val="both"/>
        <w:rPr>
          <w:rFonts w:ascii="Times New Roman" w:hAnsi="Times New Roman"/>
        </w:rPr>
      </w:pPr>
      <w:r w:rsidRPr="00010F64">
        <w:rPr>
          <w:rFonts w:ascii="Times New Roman" w:hAnsi="Times New Roman"/>
        </w:rPr>
        <w:tab/>
        <w:t>The appellant did not give evidence. The evidence tendered of the results of his blood test could not rationally affect the probability of</w:t>
      </w:r>
      <w:r w:rsidR="00EB1EA6" w:rsidRPr="00010F64">
        <w:rPr>
          <w:rFonts w:ascii="Times New Roman" w:hAnsi="Times New Roman"/>
        </w:rPr>
        <w:t xml:space="preserve"> the existence of</w:t>
      </w:r>
      <w:r w:rsidRPr="00010F64">
        <w:rPr>
          <w:rFonts w:ascii="Times New Roman" w:hAnsi="Times New Roman"/>
        </w:rPr>
        <w:t xml:space="preserve"> a fact in issue at his trial</w:t>
      </w:r>
      <w:r w:rsidR="00761436" w:rsidRPr="00010F64">
        <w:rPr>
          <w:rStyle w:val="FootnoteReference"/>
          <w:rFonts w:ascii="Times New Roman" w:hAnsi="Times New Roman"/>
          <w:sz w:val="24"/>
        </w:rPr>
        <w:footnoteReference w:id="14"/>
      </w:r>
      <w:r w:rsidRPr="00010F64">
        <w:rPr>
          <w:rFonts w:ascii="Times New Roman" w:hAnsi="Times New Roman"/>
        </w:rPr>
        <w:t>. Yet both the prosecutor and the trial judge told the jury that use could be made of it when they ought to have been told in unequivocal terms to disregard it. That should have o</w:t>
      </w:r>
      <w:r w:rsidR="0033751C" w:rsidRPr="00010F64">
        <w:rPr>
          <w:rFonts w:ascii="Times New Roman" w:hAnsi="Times New Roman"/>
        </w:rPr>
        <w:t>c</w:t>
      </w:r>
      <w:r w:rsidRPr="00010F64">
        <w:rPr>
          <w:rFonts w:ascii="Times New Roman" w:hAnsi="Times New Roman"/>
        </w:rPr>
        <w:t>curred because</w:t>
      </w:r>
      <w:r w:rsidR="00D148C8" w:rsidRPr="00010F64">
        <w:rPr>
          <w:rFonts w:ascii="Times New Roman" w:hAnsi="Times New Roman"/>
        </w:rPr>
        <w:t>,</w:t>
      </w:r>
      <w:r w:rsidRPr="00010F64">
        <w:rPr>
          <w:rFonts w:ascii="Times New Roman" w:hAnsi="Times New Roman"/>
        </w:rPr>
        <w:t xml:space="preserve"> not only was the evidence irrelevant and </w:t>
      </w:r>
      <w:r w:rsidR="00852550" w:rsidRPr="00010F64">
        <w:rPr>
          <w:rFonts w:ascii="Times New Roman" w:hAnsi="Times New Roman"/>
        </w:rPr>
        <w:t xml:space="preserve">therefore </w:t>
      </w:r>
      <w:r w:rsidRPr="00010F64">
        <w:rPr>
          <w:rFonts w:ascii="Times New Roman" w:hAnsi="Times New Roman"/>
        </w:rPr>
        <w:t>inadmissible</w:t>
      </w:r>
      <w:r w:rsidR="00D148C8" w:rsidRPr="00010F64">
        <w:rPr>
          <w:rFonts w:ascii="Times New Roman" w:hAnsi="Times New Roman"/>
        </w:rPr>
        <w:t>,</w:t>
      </w:r>
      <w:r w:rsidRPr="00010F64">
        <w:rPr>
          <w:rFonts w:ascii="Times New Roman" w:hAnsi="Times New Roman"/>
        </w:rPr>
        <w:t xml:space="preserve"> it was also prejudicial to the appellant. The nature of the evidence, that both the complainant and the appellant </w:t>
      </w:r>
      <w:r w:rsidR="001E7619" w:rsidRPr="00010F64">
        <w:rPr>
          <w:rFonts w:ascii="Times New Roman" w:hAnsi="Times New Roman"/>
        </w:rPr>
        <w:t xml:space="preserve">tested positive to </w:t>
      </w:r>
      <w:r w:rsidR="00293912" w:rsidRPr="00010F64">
        <w:rPr>
          <w:rFonts w:ascii="Times New Roman" w:hAnsi="Times New Roman"/>
        </w:rPr>
        <w:t>HSV</w:t>
      </w:r>
      <w:r w:rsidR="001E7619" w:rsidRPr="00010F64">
        <w:rPr>
          <w:rFonts w:ascii="Times New Roman" w:hAnsi="Times New Roman"/>
        </w:rPr>
        <w:noBreakHyphen/>
        <w:t>1, combined with the jury being told that it was able to be taken into account</w:t>
      </w:r>
      <w:r w:rsidR="00AC05EA" w:rsidRPr="00010F64">
        <w:rPr>
          <w:rFonts w:ascii="Times New Roman" w:hAnsi="Times New Roman"/>
        </w:rPr>
        <w:t>,</w:t>
      </w:r>
      <w:r w:rsidR="001E7619" w:rsidRPr="00010F64">
        <w:rPr>
          <w:rFonts w:ascii="Times New Roman" w:hAnsi="Times New Roman"/>
        </w:rPr>
        <w:t xml:space="preserve"> gave rise to a significant possibility that the evidence could be misused</w:t>
      </w:r>
      <w:r w:rsidR="00007FFA" w:rsidRPr="00010F64">
        <w:rPr>
          <w:rFonts w:ascii="Times New Roman" w:hAnsi="Times New Roman"/>
        </w:rPr>
        <w:t xml:space="preserve"> by the jury to support acceptance of the complainant's account, as McMurdo JA in dissent held</w:t>
      </w:r>
      <w:r w:rsidR="00007FFA" w:rsidRPr="00010F64">
        <w:rPr>
          <w:rStyle w:val="FootnoteReference"/>
          <w:rFonts w:ascii="Times New Roman" w:hAnsi="Times New Roman"/>
          <w:sz w:val="24"/>
        </w:rPr>
        <w:footnoteReference w:id="15"/>
      </w:r>
      <w:r w:rsidR="00007FFA" w:rsidRPr="00010F64">
        <w:rPr>
          <w:rFonts w:ascii="Times New Roman" w:hAnsi="Times New Roman"/>
        </w:rPr>
        <w:t>.</w:t>
      </w:r>
    </w:p>
    <w:p w14:paraId="673282F8" w14:textId="4E6301D3" w:rsidR="00007FFA" w:rsidRPr="00010F64" w:rsidRDefault="00007FFA" w:rsidP="00010F64">
      <w:pPr>
        <w:pStyle w:val="FixListStyle"/>
        <w:spacing w:after="260" w:line="280" w:lineRule="exact"/>
        <w:ind w:right="0"/>
        <w:jc w:val="both"/>
        <w:rPr>
          <w:rFonts w:ascii="Times New Roman" w:hAnsi="Times New Roman"/>
        </w:rPr>
      </w:pPr>
      <w:r w:rsidRPr="00010F64">
        <w:rPr>
          <w:rFonts w:ascii="Times New Roman" w:hAnsi="Times New Roman"/>
        </w:rPr>
        <w:tab/>
        <w:t xml:space="preserve">His Honour also correctly pointed out that although an appellate court </w:t>
      </w:r>
      <w:r w:rsidR="0054775A" w:rsidRPr="00010F64">
        <w:rPr>
          <w:rFonts w:ascii="Times New Roman" w:hAnsi="Times New Roman"/>
        </w:rPr>
        <w:t>has the record</w:t>
      </w:r>
      <w:r w:rsidR="009817EB" w:rsidRPr="00010F64">
        <w:rPr>
          <w:rFonts w:ascii="Times New Roman" w:hAnsi="Times New Roman"/>
        </w:rPr>
        <w:t>,</w:t>
      </w:r>
      <w:r w:rsidR="0054775A" w:rsidRPr="00010F64">
        <w:rPr>
          <w:rFonts w:ascii="Times New Roman" w:hAnsi="Times New Roman"/>
        </w:rPr>
        <w:t xml:space="preserve"> from which it may make some assessment of the prosecution's case, there are "natural limitations" when </w:t>
      </w:r>
      <w:r w:rsidR="00EA424E" w:rsidRPr="00010F64">
        <w:rPr>
          <w:rFonts w:ascii="Times New Roman" w:hAnsi="Times New Roman"/>
        </w:rPr>
        <w:t xml:space="preserve">proceeding </w:t>
      </w:r>
      <w:r w:rsidR="0054775A" w:rsidRPr="00010F64">
        <w:rPr>
          <w:rFonts w:ascii="Times New Roman" w:hAnsi="Times New Roman"/>
        </w:rPr>
        <w:t>wholly or substantially on the record</w:t>
      </w:r>
      <w:r w:rsidR="0054775A" w:rsidRPr="00010F64">
        <w:rPr>
          <w:rStyle w:val="FootnoteReference"/>
          <w:rFonts w:ascii="Times New Roman" w:hAnsi="Times New Roman"/>
          <w:sz w:val="24"/>
        </w:rPr>
        <w:footnoteReference w:id="16"/>
      </w:r>
      <w:r w:rsidR="00787CAD" w:rsidRPr="00010F64">
        <w:rPr>
          <w:rFonts w:ascii="Times New Roman" w:hAnsi="Times New Roman"/>
        </w:rPr>
        <w:t xml:space="preserve">. </w:t>
      </w:r>
      <w:r w:rsidR="006C5671" w:rsidRPr="00010F64">
        <w:rPr>
          <w:rFonts w:ascii="Times New Roman" w:hAnsi="Times New Roman"/>
        </w:rPr>
        <w:t xml:space="preserve">This is not a case like </w:t>
      </w:r>
      <w:r w:rsidR="006C5671" w:rsidRPr="00010F64">
        <w:rPr>
          <w:rFonts w:ascii="Times New Roman" w:hAnsi="Times New Roman"/>
          <w:i/>
        </w:rPr>
        <w:t>Hofer v The Queen</w:t>
      </w:r>
      <w:r w:rsidR="006C5671" w:rsidRPr="00010F64">
        <w:rPr>
          <w:rStyle w:val="FootnoteReference"/>
          <w:rFonts w:ascii="Times New Roman" w:hAnsi="Times New Roman"/>
          <w:sz w:val="24"/>
        </w:rPr>
        <w:footnoteReference w:id="17"/>
      </w:r>
      <w:r w:rsidR="006C5671" w:rsidRPr="00010F64">
        <w:rPr>
          <w:rFonts w:ascii="Times New Roman" w:hAnsi="Times New Roman"/>
        </w:rPr>
        <w:t xml:space="preserve"> where it may be apparent to an appellate court that the evidence of a witness is glaringly improbable. In such </w:t>
      </w:r>
      <w:r w:rsidR="00865DFD" w:rsidRPr="00010F64">
        <w:rPr>
          <w:rFonts w:ascii="Times New Roman" w:hAnsi="Times New Roman"/>
        </w:rPr>
        <w:t xml:space="preserve">a </w:t>
      </w:r>
      <w:r w:rsidR="00865DFD" w:rsidRPr="00010F64">
        <w:rPr>
          <w:rFonts w:ascii="Times New Roman" w:hAnsi="Times New Roman"/>
        </w:rPr>
        <w:lastRenderedPageBreak/>
        <w:t xml:space="preserve">case the court is not usurping the function of a jury in rejecting evidence that </w:t>
      </w:r>
      <w:r w:rsidR="00404509" w:rsidRPr="00010F64">
        <w:rPr>
          <w:rFonts w:ascii="Times New Roman" w:hAnsi="Times New Roman"/>
        </w:rPr>
        <w:t xml:space="preserve">is </w:t>
      </w:r>
      <w:r w:rsidR="00BA12EB" w:rsidRPr="00010F64">
        <w:rPr>
          <w:rFonts w:ascii="Times New Roman" w:hAnsi="Times New Roman"/>
        </w:rPr>
        <w:t>so improbable as to be incapable of belief. This case is one which turns on the jury's acceptance of the evidence of the complainant. In such a case the appellate court should not seek to duplicate the function of the jury</w:t>
      </w:r>
      <w:r w:rsidR="00825FB6" w:rsidRPr="00010F64">
        <w:rPr>
          <w:rFonts w:ascii="Times New Roman" w:hAnsi="Times New Roman"/>
        </w:rPr>
        <w:t xml:space="preserve">, </w:t>
      </w:r>
      <w:r w:rsidR="00E52202" w:rsidRPr="00010F64">
        <w:rPr>
          <w:rFonts w:ascii="Times New Roman" w:hAnsi="Times New Roman"/>
        </w:rPr>
        <w:t>because</w:t>
      </w:r>
      <w:r w:rsidR="00371DD2" w:rsidRPr="00010F64">
        <w:rPr>
          <w:rFonts w:ascii="Times New Roman" w:hAnsi="Times New Roman"/>
        </w:rPr>
        <w:t xml:space="preserve"> it</w:t>
      </w:r>
      <w:r w:rsidR="00E52202" w:rsidRPr="00010F64">
        <w:rPr>
          <w:rFonts w:ascii="Times New Roman" w:hAnsi="Times New Roman"/>
        </w:rPr>
        <w:t xml:space="preserve"> </w:t>
      </w:r>
      <w:r w:rsidR="00BA12EB" w:rsidRPr="00010F64">
        <w:rPr>
          <w:rFonts w:ascii="Times New Roman" w:hAnsi="Times New Roman"/>
        </w:rPr>
        <w:t xml:space="preserve">does not </w:t>
      </w:r>
      <w:r w:rsidR="00825FB6" w:rsidRPr="00010F64">
        <w:rPr>
          <w:rFonts w:ascii="Times New Roman" w:hAnsi="Times New Roman"/>
        </w:rPr>
        <w:t xml:space="preserve">perform the same function in the same way nor </w:t>
      </w:r>
      <w:r w:rsidR="00BA12EB" w:rsidRPr="00010F64">
        <w:rPr>
          <w:rFonts w:ascii="Times New Roman" w:hAnsi="Times New Roman"/>
        </w:rPr>
        <w:t xml:space="preserve">have </w:t>
      </w:r>
      <w:r w:rsidR="00671041" w:rsidRPr="00010F64">
        <w:rPr>
          <w:rFonts w:ascii="Times New Roman" w:hAnsi="Times New Roman"/>
        </w:rPr>
        <w:t xml:space="preserve">the same </w:t>
      </w:r>
      <w:r w:rsidR="00B901C0" w:rsidRPr="00010F64">
        <w:rPr>
          <w:rFonts w:ascii="Times New Roman" w:hAnsi="Times New Roman"/>
        </w:rPr>
        <w:t>advantages</w:t>
      </w:r>
      <w:r w:rsidR="00B901C0" w:rsidRPr="00010F64">
        <w:rPr>
          <w:rStyle w:val="FootnoteReference"/>
          <w:rFonts w:ascii="Times New Roman" w:hAnsi="Times New Roman"/>
          <w:sz w:val="24"/>
        </w:rPr>
        <w:footnoteReference w:id="18"/>
      </w:r>
      <w:r w:rsidR="00B901C0" w:rsidRPr="00010F64">
        <w:rPr>
          <w:rFonts w:ascii="Times New Roman" w:hAnsi="Times New Roman"/>
        </w:rPr>
        <w:t>.</w:t>
      </w:r>
    </w:p>
    <w:p w14:paraId="3602FE0A" w14:textId="3E2994EB" w:rsidR="002C5176" w:rsidRPr="00010F64" w:rsidRDefault="002C5176" w:rsidP="00010F64">
      <w:pPr>
        <w:pStyle w:val="FixListStyle"/>
        <w:spacing w:after="260" w:line="280" w:lineRule="exact"/>
        <w:ind w:right="0"/>
        <w:jc w:val="both"/>
        <w:rPr>
          <w:rFonts w:ascii="Times New Roman" w:hAnsi="Times New Roman"/>
        </w:rPr>
      </w:pPr>
      <w:r w:rsidRPr="00010F64">
        <w:rPr>
          <w:rFonts w:ascii="Times New Roman" w:hAnsi="Times New Roman"/>
        </w:rPr>
        <w:tab/>
        <w:t>The respondent submits that the impugned evidence was neutral and logically incapable of assisting the jury in</w:t>
      </w:r>
      <w:r w:rsidR="00360B82" w:rsidRPr="00010F64">
        <w:rPr>
          <w:rFonts w:ascii="Times New Roman" w:hAnsi="Times New Roman"/>
        </w:rPr>
        <w:t xml:space="preserve"> support of</w:t>
      </w:r>
      <w:r w:rsidRPr="00010F64">
        <w:rPr>
          <w:rFonts w:ascii="Times New Roman" w:hAnsi="Times New Roman"/>
        </w:rPr>
        <w:t xml:space="preserve"> </w:t>
      </w:r>
      <w:r w:rsidR="007541A1" w:rsidRPr="00010F64">
        <w:rPr>
          <w:rFonts w:ascii="Times New Roman" w:hAnsi="Times New Roman"/>
        </w:rPr>
        <w:t xml:space="preserve">their </w:t>
      </w:r>
      <w:r w:rsidRPr="00010F64">
        <w:rPr>
          <w:rFonts w:ascii="Times New Roman" w:hAnsi="Times New Roman"/>
        </w:rPr>
        <w:t>ultimate determination as to the guilt or otherwise of the appellant.</w:t>
      </w:r>
      <w:r w:rsidR="007F7376" w:rsidRPr="00010F64">
        <w:rPr>
          <w:rFonts w:ascii="Times New Roman" w:hAnsi="Times New Roman"/>
        </w:rPr>
        <w:t xml:space="preserve"> </w:t>
      </w:r>
      <w:r w:rsidR="000A76DF" w:rsidRPr="00010F64">
        <w:rPr>
          <w:rFonts w:ascii="Times New Roman" w:hAnsi="Times New Roman"/>
        </w:rPr>
        <w:t xml:space="preserve">This </w:t>
      </w:r>
      <w:r w:rsidR="008824EA" w:rsidRPr="00010F64">
        <w:rPr>
          <w:rFonts w:ascii="Times New Roman" w:hAnsi="Times New Roman"/>
        </w:rPr>
        <w:t xml:space="preserve">submission </w:t>
      </w:r>
      <w:r w:rsidR="000A76DF" w:rsidRPr="00010F64">
        <w:rPr>
          <w:rFonts w:ascii="Times New Roman" w:hAnsi="Times New Roman"/>
        </w:rPr>
        <w:t>mirrors what was said by the majority in the Court of Appeal</w:t>
      </w:r>
      <w:r w:rsidR="000A76DF" w:rsidRPr="00010F64">
        <w:rPr>
          <w:rStyle w:val="FootnoteReference"/>
          <w:rFonts w:ascii="Times New Roman" w:hAnsi="Times New Roman"/>
          <w:sz w:val="24"/>
        </w:rPr>
        <w:footnoteReference w:id="19"/>
      </w:r>
      <w:r w:rsidR="0095384A" w:rsidRPr="00010F64">
        <w:rPr>
          <w:rFonts w:ascii="Times New Roman" w:hAnsi="Times New Roman"/>
        </w:rPr>
        <w:t>. It may be accepted that</w:t>
      </w:r>
      <w:r w:rsidR="00071D5A" w:rsidRPr="00010F64">
        <w:rPr>
          <w:rFonts w:ascii="Times New Roman" w:hAnsi="Times New Roman"/>
        </w:rPr>
        <w:t>,</w:t>
      </w:r>
      <w:r w:rsidR="0095384A" w:rsidRPr="00010F64">
        <w:rPr>
          <w:rFonts w:ascii="Times New Roman" w:hAnsi="Times New Roman"/>
        </w:rPr>
        <w:t xml:space="preserve"> logically</w:t>
      </w:r>
      <w:r w:rsidR="00071D5A" w:rsidRPr="00010F64">
        <w:rPr>
          <w:rFonts w:ascii="Times New Roman" w:hAnsi="Times New Roman"/>
        </w:rPr>
        <w:t>,</w:t>
      </w:r>
      <w:r w:rsidR="0095384A" w:rsidRPr="00010F64">
        <w:rPr>
          <w:rFonts w:ascii="Times New Roman" w:hAnsi="Times New Roman"/>
        </w:rPr>
        <w:t xml:space="preserve"> the evidence could not assist the jury, but </w:t>
      </w:r>
      <w:r w:rsidR="005140CA" w:rsidRPr="00010F64">
        <w:rPr>
          <w:rFonts w:ascii="Times New Roman" w:hAnsi="Times New Roman"/>
        </w:rPr>
        <w:t xml:space="preserve">often </w:t>
      </w:r>
      <w:r w:rsidR="0095384A" w:rsidRPr="00010F64">
        <w:rPr>
          <w:rFonts w:ascii="Times New Roman" w:hAnsi="Times New Roman"/>
        </w:rPr>
        <w:t xml:space="preserve">the nature of prejudicial evidence </w:t>
      </w:r>
      <w:r w:rsidR="005140CA" w:rsidRPr="00010F64">
        <w:rPr>
          <w:rFonts w:ascii="Times New Roman" w:hAnsi="Times New Roman"/>
        </w:rPr>
        <w:t>means that it may not be rationally applied</w:t>
      </w:r>
      <w:r w:rsidR="0095384A" w:rsidRPr="00010F64">
        <w:rPr>
          <w:rFonts w:ascii="Times New Roman" w:hAnsi="Times New Roman"/>
        </w:rPr>
        <w:t xml:space="preserve">. </w:t>
      </w:r>
      <w:r w:rsidR="00A22570" w:rsidRPr="00010F64">
        <w:rPr>
          <w:rFonts w:ascii="Times New Roman" w:hAnsi="Times New Roman"/>
        </w:rPr>
        <w:t>Uninstructed by the trial judge</w:t>
      </w:r>
      <w:r w:rsidR="00E93E54" w:rsidRPr="00010F64">
        <w:rPr>
          <w:rFonts w:ascii="Times New Roman" w:hAnsi="Times New Roman"/>
        </w:rPr>
        <w:t>,</w:t>
      </w:r>
      <w:r w:rsidR="00A22570" w:rsidRPr="00010F64">
        <w:rPr>
          <w:rFonts w:ascii="Times New Roman" w:hAnsi="Times New Roman"/>
        </w:rPr>
        <w:t xml:space="preserve"> the jury may well have reasoned that the test results were no coincidence and pointed to the complainant having contracted the virus from the appellant. H</w:t>
      </w:r>
      <w:r w:rsidR="006231C6" w:rsidRPr="00010F64">
        <w:rPr>
          <w:rFonts w:ascii="Times New Roman" w:hAnsi="Times New Roman"/>
        </w:rPr>
        <w:t>ad the jury been directed to disregard the evidence</w:t>
      </w:r>
      <w:r w:rsidR="00061FCC" w:rsidRPr="00010F64">
        <w:rPr>
          <w:rFonts w:ascii="Times New Roman" w:hAnsi="Times New Roman"/>
        </w:rPr>
        <w:t>,</w:t>
      </w:r>
      <w:r w:rsidR="006231C6" w:rsidRPr="00010F64">
        <w:rPr>
          <w:rFonts w:ascii="Times New Roman" w:hAnsi="Times New Roman"/>
        </w:rPr>
        <w:t xml:space="preserve"> </w:t>
      </w:r>
      <w:r w:rsidR="006B6CDD" w:rsidRPr="00010F64">
        <w:rPr>
          <w:rFonts w:ascii="Times New Roman" w:hAnsi="Times New Roman"/>
        </w:rPr>
        <w:t xml:space="preserve">such </w:t>
      </w:r>
      <w:r w:rsidR="006231C6" w:rsidRPr="00010F64">
        <w:rPr>
          <w:rFonts w:ascii="Times New Roman" w:hAnsi="Times New Roman"/>
        </w:rPr>
        <w:t xml:space="preserve">prejudice would </w:t>
      </w:r>
      <w:r w:rsidR="006B6CDD" w:rsidRPr="00010F64">
        <w:rPr>
          <w:rFonts w:ascii="Times New Roman" w:hAnsi="Times New Roman"/>
        </w:rPr>
        <w:t>almost certainly have been overcome</w:t>
      </w:r>
      <w:r w:rsidR="006231C6" w:rsidRPr="00010F64">
        <w:rPr>
          <w:rFonts w:ascii="Times New Roman" w:hAnsi="Times New Roman"/>
        </w:rPr>
        <w:t>, but that did not occur.</w:t>
      </w:r>
    </w:p>
    <w:p w14:paraId="27EAB79A" w14:textId="3DE96CF3" w:rsidR="006231C6" w:rsidRPr="00010F64" w:rsidRDefault="006231C6" w:rsidP="00010F64">
      <w:pPr>
        <w:pStyle w:val="HeadingL1"/>
        <w:spacing w:after="260" w:line="280" w:lineRule="exact"/>
        <w:ind w:right="0"/>
        <w:jc w:val="both"/>
        <w:rPr>
          <w:rFonts w:ascii="Times New Roman" w:hAnsi="Times New Roman"/>
        </w:rPr>
      </w:pPr>
      <w:r w:rsidRPr="00010F64">
        <w:rPr>
          <w:rFonts w:ascii="Times New Roman" w:hAnsi="Times New Roman"/>
        </w:rPr>
        <w:t>Orders</w:t>
      </w:r>
    </w:p>
    <w:p w14:paraId="3C215714" w14:textId="77777777" w:rsidR="002A0FCE" w:rsidRDefault="006231C6" w:rsidP="00010F64">
      <w:pPr>
        <w:pStyle w:val="FixListStyle"/>
        <w:spacing w:after="260" w:line="280" w:lineRule="exact"/>
        <w:ind w:right="0"/>
        <w:jc w:val="both"/>
        <w:rPr>
          <w:rFonts w:ascii="Times New Roman" w:hAnsi="Times New Roman"/>
        </w:rPr>
      </w:pPr>
      <w:r w:rsidRPr="00010F64">
        <w:rPr>
          <w:rFonts w:ascii="Times New Roman" w:hAnsi="Times New Roman"/>
        </w:rPr>
        <w:tab/>
        <w:t>The appea</w:t>
      </w:r>
      <w:r w:rsidR="00EE598E" w:rsidRPr="00010F64">
        <w:rPr>
          <w:rFonts w:ascii="Times New Roman" w:hAnsi="Times New Roman"/>
        </w:rPr>
        <w:t>l</w:t>
      </w:r>
      <w:r w:rsidRPr="00010F64">
        <w:rPr>
          <w:rFonts w:ascii="Times New Roman" w:hAnsi="Times New Roman"/>
        </w:rPr>
        <w:t xml:space="preserve"> from the decision of the Court of Appeal </w:t>
      </w:r>
      <w:r w:rsidR="00EE598E" w:rsidRPr="00010F64">
        <w:rPr>
          <w:rFonts w:ascii="Times New Roman" w:hAnsi="Times New Roman"/>
        </w:rPr>
        <w:t xml:space="preserve">should </w:t>
      </w:r>
      <w:r w:rsidRPr="00010F64">
        <w:rPr>
          <w:rFonts w:ascii="Times New Roman" w:hAnsi="Times New Roman"/>
        </w:rPr>
        <w:t xml:space="preserve">be allowed and the order of that </w:t>
      </w:r>
      <w:r w:rsidR="00C11B85" w:rsidRPr="00010F64">
        <w:rPr>
          <w:rFonts w:ascii="Times New Roman" w:hAnsi="Times New Roman"/>
        </w:rPr>
        <w:t xml:space="preserve">Court </w:t>
      </w:r>
      <w:r w:rsidRPr="00010F64">
        <w:rPr>
          <w:rFonts w:ascii="Times New Roman" w:hAnsi="Times New Roman"/>
        </w:rPr>
        <w:t>dismissing the appeal should be set aside. In li</w:t>
      </w:r>
      <w:r w:rsidR="00EE598E" w:rsidRPr="00010F64">
        <w:rPr>
          <w:rFonts w:ascii="Times New Roman" w:hAnsi="Times New Roman"/>
        </w:rPr>
        <w:t>eu thereof</w:t>
      </w:r>
      <w:r w:rsidR="00000CA9" w:rsidRPr="00010F64">
        <w:rPr>
          <w:rFonts w:ascii="Times New Roman" w:hAnsi="Times New Roman"/>
        </w:rPr>
        <w:t>,</w:t>
      </w:r>
      <w:r w:rsidR="00EE598E" w:rsidRPr="00010F64">
        <w:rPr>
          <w:rFonts w:ascii="Times New Roman" w:hAnsi="Times New Roman"/>
        </w:rPr>
        <w:t xml:space="preserve"> it should be ordered that the appeal to that </w:t>
      </w:r>
      <w:r w:rsidR="00581C2E" w:rsidRPr="00010F64">
        <w:rPr>
          <w:rFonts w:ascii="Times New Roman" w:hAnsi="Times New Roman"/>
        </w:rPr>
        <w:t xml:space="preserve">Court </w:t>
      </w:r>
      <w:r w:rsidR="00EE598E" w:rsidRPr="00010F64">
        <w:rPr>
          <w:rFonts w:ascii="Times New Roman" w:hAnsi="Times New Roman"/>
        </w:rPr>
        <w:t>be allowed</w:t>
      </w:r>
      <w:r w:rsidR="00B270C5" w:rsidRPr="00010F64">
        <w:rPr>
          <w:rFonts w:ascii="Times New Roman" w:hAnsi="Times New Roman"/>
        </w:rPr>
        <w:t>,</w:t>
      </w:r>
      <w:r w:rsidR="00733E46" w:rsidRPr="00010F64">
        <w:rPr>
          <w:rFonts w:ascii="Times New Roman" w:hAnsi="Times New Roman"/>
        </w:rPr>
        <w:t xml:space="preserve"> </w:t>
      </w:r>
      <w:r w:rsidR="00EE598E" w:rsidRPr="00010F64">
        <w:rPr>
          <w:rFonts w:ascii="Times New Roman" w:hAnsi="Times New Roman"/>
        </w:rPr>
        <w:t>the verdict</w:t>
      </w:r>
      <w:r w:rsidR="0051056B" w:rsidRPr="00010F64">
        <w:rPr>
          <w:rFonts w:ascii="Times New Roman" w:hAnsi="Times New Roman"/>
        </w:rPr>
        <w:t>s</w:t>
      </w:r>
      <w:r w:rsidR="00DF58E5" w:rsidRPr="00010F64">
        <w:rPr>
          <w:rFonts w:ascii="Times New Roman" w:hAnsi="Times New Roman"/>
        </w:rPr>
        <w:t xml:space="preserve"> be</w:t>
      </w:r>
      <w:r w:rsidR="00EE598E" w:rsidRPr="00010F64">
        <w:rPr>
          <w:rFonts w:ascii="Times New Roman" w:hAnsi="Times New Roman"/>
        </w:rPr>
        <w:t xml:space="preserve"> quashed</w:t>
      </w:r>
      <w:r w:rsidR="00B270C5" w:rsidRPr="00010F64">
        <w:rPr>
          <w:rFonts w:ascii="Times New Roman" w:hAnsi="Times New Roman"/>
        </w:rPr>
        <w:t xml:space="preserve"> and</w:t>
      </w:r>
      <w:r w:rsidR="00EC0B5C" w:rsidRPr="00010F64">
        <w:rPr>
          <w:rFonts w:ascii="Times New Roman" w:hAnsi="Times New Roman"/>
        </w:rPr>
        <w:t xml:space="preserve"> </w:t>
      </w:r>
      <w:r w:rsidR="00B270C5" w:rsidRPr="00010F64">
        <w:rPr>
          <w:rFonts w:ascii="Times New Roman" w:hAnsi="Times New Roman"/>
        </w:rPr>
        <w:t>a</w:t>
      </w:r>
      <w:r w:rsidR="00EC0B5C" w:rsidRPr="00010F64">
        <w:rPr>
          <w:rFonts w:ascii="Times New Roman" w:hAnsi="Times New Roman"/>
        </w:rPr>
        <w:t xml:space="preserve"> new trial </w:t>
      </w:r>
      <w:r w:rsidR="00D45D65" w:rsidRPr="00010F64">
        <w:rPr>
          <w:rFonts w:ascii="Times New Roman" w:hAnsi="Times New Roman"/>
        </w:rPr>
        <w:t>be held</w:t>
      </w:r>
      <w:r w:rsidR="00EC0B5C" w:rsidRPr="00010F64">
        <w:rPr>
          <w:rFonts w:ascii="Times New Roman" w:hAnsi="Times New Roman"/>
        </w:rPr>
        <w:t>.</w:t>
      </w:r>
    </w:p>
    <w:p w14:paraId="5594B0AC" w14:textId="77777777" w:rsidR="002A0FCE" w:rsidRDefault="002A0FCE" w:rsidP="00010F64">
      <w:pPr>
        <w:pStyle w:val="FixListStyle"/>
        <w:spacing w:after="260" w:line="280" w:lineRule="exact"/>
        <w:ind w:right="0"/>
        <w:jc w:val="both"/>
        <w:rPr>
          <w:rFonts w:ascii="Times New Roman" w:hAnsi="Times New Roman"/>
        </w:rPr>
        <w:sectPr w:rsidR="002A0FCE" w:rsidSect="00D8043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89063B0" w14:textId="77777777" w:rsidR="002A0FCE" w:rsidRPr="00DC399F" w:rsidRDefault="002A0FCE" w:rsidP="002A0FC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DC399F">
        <w:rPr>
          <w:rFonts w:ascii="Times New Roman" w:hAnsi="Times New Roman"/>
        </w:rPr>
        <w:lastRenderedPageBreak/>
        <w:t xml:space="preserve">GORDON, STEWARD AND GLEESON JJ.   The appellant was convicted by a jury of three counts of unlawfully and indecently dealing with a child under the age of 16 years contrary to s 210(1)(a) of the </w:t>
      </w:r>
      <w:r w:rsidRPr="00DC399F">
        <w:rPr>
          <w:rFonts w:ascii="Times New Roman" w:hAnsi="Times New Roman"/>
          <w:i/>
        </w:rPr>
        <w:t xml:space="preserve">Criminal Code </w:t>
      </w:r>
      <w:r w:rsidRPr="00DC399F">
        <w:rPr>
          <w:rFonts w:ascii="Times New Roman" w:hAnsi="Times New Roman"/>
        </w:rPr>
        <w:t>(Qld) ("the Code"), and two counts of rape contrary to s 349 of the Code. The question raised by this appeal is whether the Court of Appeal of the Supreme Court of Queensland (Mullins JA and Bond J, McMurdo JA dissenting) erred by applying the proviso in s 668E(1A) of the Code to dismiss the appellant's appeal against conviction. Section 668E(1A) provides relevantly that, if the court on an appeal against conviction is of the opinion, on any ground whatsoever, that there was a miscarriage of justice, the court may dismiss the appeal if it considers that "no substantial miscarriage of justice has actually occurred".</w:t>
      </w:r>
    </w:p>
    <w:p w14:paraId="364D4349"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At the trial, evidence was admitted with the appellant's consent</w:t>
      </w:r>
      <w:r w:rsidRPr="00DC399F">
        <w:rPr>
          <w:rStyle w:val="FootnoteReference"/>
          <w:rFonts w:ascii="Times New Roman" w:hAnsi="Times New Roman"/>
          <w:sz w:val="24"/>
        </w:rPr>
        <w:footnoteReference w:id="20"/>
      </w:r>
      <w:r w:rsidRPr="00DC399F">
        <w:rPr>
          <w:rFonts w:ascii="Times New Roman" w:hAnsi="Times New Roman"/>
        </w:rPr>
        <w:t>, the substance of which was that both the complainant and the appellant had tested positive for the presence of the herpes simplex virus type 1 ("HSV</w:t>
      </w:r>
      <w:r w:rsidRPr="00DC399F">
        <w:rPr>
          <w:rFonts w:ascii="Times New Roman" w:hAnsi="Times New Roman"/>
        </w:rPr>
        <w:noBreakHyphen/>
        <w:t>1") ("the</w:t>
      </w:r>
      <w:r>
        <w:rPr>
          <w:rFonts w:ascii="Times New Roman" w:hAnsi="Times New Roman"/>
        </w:rPr>
        <w:t> </w:t>
      </w:r>
      <w:r w:rsidRPr="00DC399F">
        <w:rPr>
          <w:rFonts w:ascii="Times New Roman" w:hAnsi="Times New Roman"/>
        </w:rPr>
        <w:t>impugned evidence"). The Court of Appeal found that the impugned evidence was irrelevant and inadmissible</w:t>
      </w:r>
      <w:r w:rsidRPr="00DC399F">
        <w:rPr>
          <w:rStyle w:val="FootnoteReference"/>
          <w:rFonts w:ascii="Times New Roman" w:hAnsi="Times New Roman"/>
          <w:sz w:val="24"/>
        </w:rPr>
        <w:footnoteReference w:id="21"/>
      </w:r>
      <w:r w:rsidRPr="00DC399F">
        <w:rPr>
          <w:rFonts w:ascii="Times New Roman" w:hAnsi="Times New Roman"/>
        </w:rPr>
        <w:t>, and that there had been a miscarriage of justice because the trial judge failed to direct the jury that they were obliged to disregard the impugned evidence in its entirety</w:t>
      </w:r>
      <w:r w:rsidRPr="00DC399F">
        <w:rPr>
          <w:rStyle w:val="FootnoteReference"/>
          <w:rFonts w:ascii="Times New Roman" w:hAnsi="Times New Roman"/>
          <w:sz w:val="24"/>
        </w:rPr>
        <w:footnoteReference w:id="22"/>
      </w:r>
      <w:r w:rsidRPr="00DC399F">
        <w:rPr>
          <w:rFonts w:ascii="Times New Roman" w:hAnsi="Times New Roman"/>
        </w:rPr>
        <w:t>.</w:t>
      </w:r>
    </w:p>
    <w:p w14:paraId="4D1B1405"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For the following reasons, the Court of Appeal erred in its application of s 668E(1A) and therefore the appeal must be allowed.</w:t>
      </w:r>
    </w:p>
    <w:p w14:paraId="22DBEF1E" w14:textId="77777777" w:rsidR="002A0FCE" w:rsidRPr="00DC399F" w:rsidRDefault="002A0FCE" w:rsidP="00DC399F">
      <w:pPr>
        <w:pStyle w:val="HeadingL1"/>
        <w:spacing w:after="260" w:line="280" w:lineRule="exact"/>
        <w:ind w:right="0"/>
        <w:jc w:val="both"/>
        <w:rPr>
          <w:rFonts w:ascii="Times New Roman" w:hAnsi="Times New Roman"/>
        </w:rPr>
      </w:pPr>
      <w:r w:rsidRPr="00DC399F">
        <w:rPr>
          <w:rFonts w:ascii="Times New Roman" w:hAnsi="Times New Roman"/>
        </w:rPr>
        <w:t>Trial</w:t>
      </w:r>
    </w:p>
    <w:p w14:paraId="6A710991"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 xml:space="preserve">The alleged offences occurred on 29 January 2017, when the complainant was 12 years old. The appellant was a family friend, and the complainant, along with her mother and siblings, were staying at the appellant's home that evening. </w:t>
      </w:r>
    </w:p>
    <w:p w14:paraId="0D88FE4F"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 xml:space="preserve">At the trial, which was conducted over four days, the jury heard a recording of the complainant's police interview from 30 January 2017 and also pre-recorded evidence she gave when she was 14 years old. The complainant's evidence was that she was watching a movie on television in the appellant's bedroom, when the appellant entered the room, lay down beside her on the bed and then committed the five counts of alleged offending. Afterwards, the complainant went to the lounge room where her mother and sister were sleeping, and lay down next to her sister on the couch. The complainant's sister, who was 11 years old at the time, </w:t>
      </w:r>
      <w:r w:rsidRPr="00DC399F">
        <w:rPr>
          <w:rFonts w:ascii="Times New Roman" w:hAnsi="Times New Roman"/>
        </w:rPr>
        <w:lastRenderedPageBreak/>
        <w:t>gave evidence that the complainant was crying when she lay down beside her. The next day, the complainant reported the alleged offending to her mother. The complainant also submitted to two physical vaginal examinations, on 30 January 2017 and 9 February 2017, which revealed initial redness to her genitals consistent with blunt force trauma and a traumatic break of her hymen. A specialist paediatrician, Dr Waugh, gave evidence that the redness was unlikely to have been caused by a single finger inserted once and was more consistent with multiple fingers having been inserted, or possibly a single finger inserted multiple times. The injuries were consistent with penetration by a penis, and that penetration having been effected "a matter of days" preceding the first examination.</w:t>
      </w:r>
    </w:p>
    <w:p w14:paraId="5B90CF20"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The prosecution case rested on the evidence of the complainant and, accordingly, her reliability and credibility were central issues in the trial. The appellant's case theory at trial was that the complainant was a depressed and troubled young girl who had, at the least, a troubled relationship with her mother and who could not be regarded as a reliable narrator, and that there might be innocent explanations for the physical condition of the complainant's genitals as identified by the medical examinations.</w:t>
      </w:r>
    </w:p>
    <w:p w14:paraId="5D66E1D4"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The impugned evidence comprised several items of evidence. One was a vaginal swab taken from the complainant which detected the presence of HSV-1 in the complainant's vagina. There was evidence from Dr Waugh that the swab indicated contact in the area of the swab by a person who, at some stage, had become infected with HSV-1 and was, at the time of that contact, shedding the virus. There was also evidence of a swab of the appellant's urethra, taken on 8 February 2017, which yielded a negative result for HSV-1 and a sample of the appellant's blood, tested on 10 February 2017, which yielded a positive result for HSV-1. Additionally, Dr Waugh gave evidence, both in chief and under cross</w:t>
      </w:r>
      <w:r>
        <w:rPr>
          <w:rFonts w:ascii="Times New Roman" w:hAnsi="Times New Roman"/>
        </w:rPr>
        <w:noBreakHyphen/>
      </w:r>
      <w:r w:rsidRPr="00DC399F">
        <w:rPr>
          <w:rFonts w:ascii="Times New Roman" w:hAnsi="Times New Roman"/>
        </w:rPr>
        <w:t>examination, about HSV-1 and the implications of the positive test results.</w:t>
      </w:r>
    </w:p>
    <w:p w14:paraId="4EF26EBC"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Finally, the exhibits included a page ("exhibit 7") that recorded four facts agreed by the prosecution and the appellant</w:t>
      </w:r>
      <w:r w:rsidRPr="00DC399F">
        <w:rPr>
          <w:rStyle w:val="FootnoteReference"/>
          <w:rFonts w:ascii="Times New Roman" w:hAnsi="Times New Roman"/>
          <w:sz w:val="24"/>
        </w:rPr>
        <w:footnoteReference w:id="23"/>
      </w:r>
      <w:r w:rsidRPr="00DC399F">
        <w:rPr>
          <w:rFonts w:ascii="Times New Roman" w:hAnsi="Times New Roman"/>
        </w:rPr>
        <w:t xml:space="preserve">. Three of those four facts form part of the impugned evidence, being the results of the appellant's blood test and urethral swab respectively, and that it was unknown whether a male child who performed oral sex on the complainant had or has HSV-1. This last agreed fact concerned evidence given by the complainant of a single occasion of oral sex performed on her by a 15 year old boy. That evidence was adduced by the </w:t>
      </w:r>
      <w:r w:rsidRPr="00DC399F">
        <w:rPr>
          <w:rFonts w:ascii="Times New Roman" w:hAnsi="Times New Roman"/>
        </w:rPr>
        <w:lastRenderedPageBreak/>
        <w:t>prosecution with the trial judge's leave</w:t>
      </w:r>
      <w:r w:rsidRPr="00DC399F">
        <w:rPr>
          <w:rStyle w:val="FootnoteReference"/>
          <w:rFonts w:ascii="Times New Roman" w:hAnsi="Times New Roman"/>
          <w:sz w:val="24"/>
        </w:rPr>
        <w:footnoteReference w:id="24"/>
      </w:r>
      <w:r w:rsidRPr="00DC399F">
        <w:rPr>
          <w:rFonts w:ascii="Times New Roman" w:hAnsi="Times New Roman"/>
        </w:rPr>
        <w:t>, and without any objection from the appellant.</w:t>
      </w:r>
    </w:p>
    <w:p w14:paraId="458F11A4"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Each of the prosecutor, defence counsel and the trial judge addressed the jury about the impugned evidence. The prosecutor dealt with that evidence in the following terms in her closing address:</w:t>
      </w:r>
    </w:p>
    <w:p w14:paraId="1CA49746" w14:textId="77777777" w:rsidR="002A0FCE" w:rsidRPr="00DC399F" w:rsidRDefault="002A0FCE" w:rsidP="00DC399F">
      <w:pPr>
        <w:pStyle w:val="LRIndentafterHC"/>
        <w:spacing w:before="0" w:after="260" w:line="280" w:lineRule="exact"/>
        <w:ind w:right="0"/>
        <w:jc w:val="both"/>
        <w:rPr>
          <w:rFonts w:ascii="Times New Roman" w:hAnsi="Times New Roman"/>
        </w:rPr>
      </w:pPr>
      <w:r w:rsidRPr="00DC399F">
        <w:rPr>
          <w:rFonts w:ascii="Times New Roman" w:hAnsi="Times New Roman"/>
        </w:rPr>
        <w:t>"So then let's go to the medical evidence, and that's where the problem really lies for the [appellant]. I'm going to get to the problem in a moment, but I'll deal first with this herpes thing. The herpes thing is not the lynchpin in this case. It's very neutral, really. We know from Dr Waugh's evidence that we can't say whether the [appellant] gave [the complainant] the virus or even whether [the complainant] gave the [appellant] the virus or even if they both independently had the virus of each other.</w:t>
      </w:r>
    </w:p>
    <w:p w14:paraId="714C11F9" w14:textId="77777777" w:rsidR="002A0FCE" w:rsidRPr="00DC399F" w:rsidRDefault="002A0FCE" w:rsidP="00DC399F">
      <w:pPr>
        <w:pStyle w:val="leftright"/>
        <w:spacing w:before="0" w:after="260" w:line="280" w:lineRule="exact"/>
        <w:ind w:right="0"/>
        <w:jc w:val="both"/>
        <w:rPr>
          <w:rFonts w:ascii="Times New Roman" w:hAnsi="Times New Roman"/>
        </w:rPr>
      </w:pPr>
      <w:r w:rsidRPr="00DC399F">
        <w:rPr>
          <w:rFonts w:ascii="Times New Roman" w:hAnsi="Times New Roman"/>
        </w:rPr>
        <w:tab/>
        <w:t>We also know from [the complainant] that she'd had one instance of sexual contact before and that involved her boyfriend performing oral sex on her. That's the one sexual instance that she spoke about or the only other sexual instance that she's been involved in. And you might well think that given the evidence that we heard about herpes simplex virus type 1 generally being associated with oral herpes, you might well think that she caught it from her boyfriend's mouth rather than the [appellant's] penis.</w:t>
      </w:r>
    </w:p>
    <w:p w14:paraId="0E5A6A7B" w14:textId="77777777" w:rsidR="002A0FCE" w:rsidRDefault="002A0FCE" w:rsidP="00DC399F">
      <w:pPr>
        <w:pStyle w:val="leftright"/>
        <w:spacing w:before="0" w:after="260" w:line="280" w:lineRule="exact"/>
        <w:ind w:right="0"/>
        <w:jc w:val="both"/>
        <w:rPr>
          <w:rFonts w:ascii="Times New Roman" w:hAnsi="Times New Roman"/>
        </w:rPr>
      </w:pPr>
      <w:r w:rsidRPr="00DC399F">
        <w:rPr>
          <w:rFonts w:ascii="Times New Roman" w:hAnsi="Times New Roman"/>
        </w:rPr>
        <w:tab/>
        <w:t xml:space="preserve">There are plenty of explanations here. It's almost like a chicken and egg argument, but </w:t>
      </w:r>
      <w:r w:rsidRPr="00DC399F">
        <w:rPr>
          <w:rFonts w:ascii="Times New Roman" w:hAnsi="Times New Roman"/>
          <w:i/>
        </w:rPr>
        <w:t>it's still a factor for you to take into account because the point is that both of them do have the same virus. It's a sexually transmissible virus, and the allegation in here is that the [appellant] forced her to engage in sexual contact and conduct, and so it's a matter for you with your life experience what you make of that. But I don't suggest that you would really put any weight on it</w:t>
      </w:r>
      <w:r w:rsidRPr="00DC399F">
        <w:rPr>
          <w:rFonts w:ascii="Times New Roman" w:hAnsi="Times New Roman"/>
        </w:rPr>
        <w:t>." (emphasis added)</w:t>
      </w:r>
    </w:p>
    <w:p w14:paraId="3DB3AF40"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The transcript records the following submissions by defence counsel, including the trial judge's interjection:</w:t>
      </w:r>
    </w:p>
    <w:p w14:paraId="3156F76D" w14:textId="77777777" w:rsidR="002A0FCE" w:rsidRPr="00DC399F" w:rsidRDefault="002A0FCE" w:rsidP="00DC399F">
      <w:pPr>
        <w:pStyle w:val="LRIndentafterHC"/>
        <w:spacing w:before="0" w:after="260" w:line="280" w:lineRule="exact"/>
        <w:ind w:right="0"/>
        <w:jc w:val="both"/>
        <w:rPr>
          <w:rFonts w:ascii="Times New Roman" w:hAnsi="Times New Roman"/>
        </w:rPr>
      </w:pPr>
      <w:r w:rsidRPr="00DC399F">
        <w:rPr>
          <w:rFonts w:ascii="Times New Roman" w:hAnsi="Times New Roman"/>
        </w:rPr>
        <w:t xml:space="preserve">"[Defence counsel]: Now, just briefly in relation to the evidence regarding the herpes virus. The fact that the [appellant] and complainant have the herpes virus doesn't prove anything. You've heard how common the virus is from the expert and you've also heard how the virus can be transmitted separately, even by having oral sex which, you know, she had with her boyfriend at some point in time. There's no evidence from the prosecution how old the boy was, or that that boy was even tested, who she </w:t>
      </w:r>
      <w:r w:rsidRPr="00DC399F">
        <w:rPr>
          <w:rFonts w:ascii="Times New Roman" w:hAnsi="Times New Roman"/>
        </w:rPr>
        <w:lastRenderedPageBreak/>
        <w:t>had the oral sex with, for the virus. If you had the results for the boy and he was also positive for herpes virus, what would you think then? Then again - - -</w:t>
      </w:r>
    </w:p>
    <w:p w14:paraId="705EEDE1" w14:textId="77777777" w:rsidR="002A0FCE" w:rsidRPr="00DC399F" w:rsidRDefault="002A0FCE" w:rsidP="00DC399F">
      <w:pPr>
        <w:pStyle w:val="leftright"/>
        <w:spacing w:before="0" w:after="260" w:line="280" w:lineRule="exact"/>
        <w:ind w:right="0"/>
        <w:jc w:val="both"/>
        <w:rPr>
          <w:rFonts w:ascii="Times New Roman" w:hAnsi="Times New Roman"/>
        </w:rPr>
      </w:pPr>
      <w:r w:rsidRPr="00DC399F">
        <w:rPr>
          <w:rFonts w:ascii="Times New Roman" w:hAnsi="Times New Roman"/>
        </w:rPr>
        <w:tab/>
        <w:t>[Trial judge]: Don't invite them to speculate, [defence counsel].</w:t>
      </w:r>
    </w:p>
    <w:p w14:paraId="04D8D66A" w14:textId="77777777" w:rsidR="002A0FCE" w:rsidRDefault="002A0FCE" w:rsidP="00DC399F">
      <w:pPr>
        <w:pStyle w:val="leftright"/>
        <w:spacing w:before="0" w:after="260" w:line="280" w:lineRule="exact"/>
        <w:ind w:right="0"/>
        <w:jc w:val="both"/>
        <w:rPr>
          <w:rFonts w:ascii="Times New Roman" w:hAnsi="Times New Roman"/>
        </w:rPr>
      </w:pPr>
      <w:r w:rsidRPr="00DC399F">
        <w:rPr>
          <w:rFonts w:ascii="Times New Roman" w:hAnsi="Times New Roman"/>
        </w:rPr>
        <w:tab/>
        <w:t>[Defence counsel]: I suggest to you that the evidence of the herpes virus doesn't help you with your decision making process at all. It certainly doesn't strengthen the [prosecution] case as you don't know where – you don't know where she got it from, or how long she's even had it."</w:t>
      </w:r>
    </w:p>
    <w:p w14:paraId="0DA655C9"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In summing up, after identifying the charges, the trial judge commenced by reciting the agreed facts (three of which, as previously noted, comprised part of the impugned evidence), observing that the jury "must treat those facts as proved". The trial judge then referred to the impugned evidence in addressing the evidence of Dr Waugh, noting that he gave evidence about two issues, being the presence of the herpes virus and the injuries he observed to the complainant's genitals. The relevant passage of the summing up is as follows:</w:t>
      </w:r>
    </w:p>
    <w:p w14:paraId="4135B91D" w14:textId="77777777" w:rsidR="002A0FCE" w:rsidRPr="00DC399F" w:rsidRDefault="002A0FCE" w:rsidP="00DC399F">
      <w:pPr>
        <w:pStyle w:val="LRIndentafterHC"/>
        <w:spacing w:before="0" w:after="260" w:line="280" w:lineRule="exact"/>
        <w:ind w:right="0"/>
        <w:jc w:val="both"/>
        <w:rPr>
          <w:rFonts w:ascii="Times New Roman" w:hAnsi="Times New Roman"/>
        </w:rPr>
      </w:pPr>
      <w:r w:rsidRPr="00DC399F">
        <w:rPr>
          <w:rFonts w:ascii="Times New Roman" w:hAnsi="Times New Roman"/>
        </w:rPr>
        <w:t>"I am going to deal first with the evidence about herpes virus. Before referring to [Dr Waugh's] evidence on that issue, I will remind you of the admissions in exhibit 7. They are that the [appellant] had a swab taken of his urethra on 8 February 2017 which returned a negative result for the herpes virus, but he then had a blood test two days later on 10 February 2017 which returned a positive result for the herpes virus. There is also an admission that it is not known whether the male child who performed oral sex on the complainant ... had or has herpes virus. That is, herpes virus type 1.</w:t>
      </w:r>
    </w:p>
    <w:p w14:paraId="450B771C" w14:textId="77777777" w:rsidR="002A0FCE" w:rsidRPr="00DC399F" w:rsidRDefault="002A0FCE" w:rsidP="00DC399F">
      <w:pPr>
        <w:pStyle w:val="leftright"/>
        <w:spacing w:before="0" w:after="260" w:line="280" w:lineRule="exact"/>
        <w:ind w:right="0"/>
        <w:jc w:val="both"/>
        <w:rPr>
          <w:rFonts w:ascii="Times New Roman" w:hAnsi="Times New Roman"/>
        </w:rPr>
      </w:pPr>
      <w:r w:rsidRPr="00DC399F">
        <w:rPr>
          <w:rFonts w:ascii="Times New Roman" w:hAnsi="Times New Roman"/>
        </w:rPr>
        <w:tab/>
        <w:t>Now, what was Dr Waugh's evidence about that? He gave evidence that the complainant ... also tested positive for herpes virus 1 on a swab taken from her vagina. So that is the same herpes virus that the [appellant] returned a positive blood test for. He said that that virus, herpes virus 1, causes common cold sores around the mouth. It can also cause genital infections. He said the virus is also commonly found as a genital infection. In that case, it would normally be spread oral to genital or genital to genital. He did not see any evidence of herpes on the complainant's physical examination. He said you can have that herpes virus without knowing that you have it; that is, you can have no symptoms.</w:t>
      </w:r>
    </w:p>
    <w:p w14:paraId="63E54463" w14:textId="77777777" w:rsidR="002A0FCE" w:rsidRPr="00DC399F" w:rsidRDefault="002A0FCE" w:rsidP="00DC399F">
      <w:pPr>
        <w:pStyle w:val="leftright"/>
        <w:spacing w:before="0" w:after="260" w:line="280" w:lineRule="exact"/>
        <w:ind w:right="0"/>
        <w:jc w:val="both"/>
        <w:rPr>
          <w:rFonts w:ascii="Times New Roman" w:hAnsi="Times New Roman"/>
        </w:rPr>
      </w:pPr>
      <w:r w:rsidRPr="00DC399F">
        <w:rPr>
          <w:rFonts w:ascii="Times New Roman" w:hAnsi="Times New Roman"/>
        </w:rPr>
        <w:tab/>
        <w:t xml:space="preserve">This is probably the most important part of his evidence, and there are three parts of it. First, it is not possible to say with any certainty when ... the complainant, contracted the virus. Second, he said it is not possible to say when the [appellant] contracted the virus. Third, he said it is not </w:t>
      </w:r>
      <w:r w:rsidRPr="00DC399F">
        <w:rPr>
          <w:rFonts w:ascii="Times New Roman" w:hAnsi="Times New Roman"/>
        </w:rPr>
        <w:lastRenderedPageBreak/>
        <w:t>possible to say who the complainant ... contracted the virus from. He said for a child her age, it would be unlikely for her to have had a genital herpes virus infection for a long period beforehand. He said it does require genital contact to acquire it, but he does not know when that happened.</w:t>
      </w:r>
    </w:p>
    <w:p w14:paraId="6D7D7449" w14:textId="77777777" w:rsidR="002A0FCE" w:rsidRDefault="002A0FCE" w:rsidP="00DC399F">
      <w:pPr>
        <w:pStyle w:val="leftright"/>
        <w:spacing w:before="0" w:after="260" w:line="280" w:lineRule="exact"/>
        <w:ind w:right="0"/>
        <w:jc w:val="both"/>
        <w:rPr>
          <w:rFonts w:ascii="Times New Roman" w:hAnsi="Times New Roman"/>
          <w:b/>
        </w:rPr>
      </w:pPr>
      <w:r w:rsidRPr="00DC399F">
        <w:rPr>
          <w:rFonts w:ascii="Times New Roman" w:hAnsi="Times New Roman"/>
        </w:rPr>
        <w:tab/>
        <w:t xml:space="preserve">So where does that leave you? </w:t>
      </w:r>
      <w:r w:rsidRPr="00DC399F">
        <w:rPr>
          <w:rFonts w:ascii="Times New Roman" w:hAnsi="Times New Roman"/>
          <w:i/>
        </w:rPr>
        <w:t>You might think that evidence does not really help you one way or the other. You are left with evidence that both the [appellant] and the complainant child both tested positive for the same herpes virus, but on the state of the evidence, you cannot know when she contracted it, you cannot know when the [appellant] contracted it and you cannot know who she contracted it from. You just take that evidence into account along with all of the other evidence</w:t>
      </w:r>
      <w:r w:rsidRPr="00DC399F">
        <w:rPr>
          <w:rFonts w:ascii="Times New Roman" w:hAnsi="Times New Roman"/>
        </w:rPr>
        <w:t>." (emphasis added)</w:t>
      </w:r>
    </w:p>
    <w:p w14:paraId="00E30B0F" w14:textId="77777777" w:rsidR="002A0FCE" w:rsidRPr="00DC399F" w:rsidRDefault="002A0FCE" w:rsidP="00DC399F">
      <w:pPr>
        <w:pStyle w:val="HeadingL1"/>
        <w:spacing w:after="260" w:line="280" w:lineRule="exact"/>
        <w:ind w:right="0"/>
        <w:jc w:val="both"/>
        <w:rPr>
          <w:rFonts w:ascii="Times New Roman" w:hAnsi="Times New Roman"/>
        </w:rPr>
      </w:pPr>
      <w:r w:rsidRPr="00DC399F">
        <w:rPr>
          <w:rFonts w:ascii="Times New Roman" w:hAnsi="Times New Roman"/>
        </w:rPr>
        <w:t>Court of Appeal's reasons</w:t>
      </w:r>
    </w:p>
    <w:p w14:paraId="212BFFB7"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The majority of the Court of Appeal considered that, on an assessment of the whole of the appellate record (but making due allowance for the limitations of proceeding wholly by reference to the record) and giving weight to the jury's guilty verdicts, they were able to be persuaded that the evidence properly admitted at trial proved, beyond reasonable doubt, the appellant's guilt of the counts on which the jury returned their verdicts</w:t>
      </w:r>
      <w:r w:rsidRPr="00DC399F">
        <w:rPr>
          <w:rStyle w:val="FootnoteReference"/>
          <w:rFonts w:ascii="Times New Roman" w:hAnsi="Times New Roman"/>
          <w:sz w:val="24"/>
        </w:rPr>
        <w:footnoteReference w:id="25"/>
      </w:r>
      <w:r w:rsidRPr="00DC399F">
        <w:rPr>
          <w:rFonts w:ascii="Times New Roman" w:hAnsi="Times New Roman"/>
        </w:rPr>
        <w:t>. Critical to the analysis of Bond J, who wrote the principal reasons for the majority, was the finding that the impugned evidence did not impact upon the credibility of the complainant or the reliability of her evidence</w:t>
      </w:r>
      <w:r w:rsidRPr="00DC399F">
        <w:rPr>
          <w:rStyle w:val="FootnoteReference"/>
          <w:rFonts w:ascii="Times New Roman" w:hAnsi="Times New Roman"/>
          <w:sz w:val="24"/>
        </w:rPr>
        <w:footnoteReference w:id="26"/>
      </w:r>
      <w:r w:rsidRPr="00DC399F">
        <w:rPr>
          <w:rFonts w:ascii="Times New Roman" w:hAnsi="Times New Roman"/>
        </w:rPr>
        <w:t>. His Honour explicitly recognised that a different conclusion on the operation of the proviso would have been necessary if the impugned evidence could have impacted on the jury's assessment of the reliability or credibility of the complainant</w:t>
      </w:r>
      <w:r w:rsidRPr="00DC399F">
        <w:rPr>
          <w:rStyle w:val="FootnoteReference"/>
          <w:rFonts w:ascii="Times New Roman" w:hAnsi="Times New Roman"/>
          <w:sz w:val="24"/>
        </w:rPr>
        <w:footnoteReference w:id="27"/>
      </w:r>
      <w:r w:rsidRPr="00DC399F">
        <w:rPr>
          <w:rFonts w:ascii="Times New Roman" w:hAnsi="Times New Roman"/>
        </w:rPr>
        <w:t>. Bond J considered that there was no suggestion made by counsel in closing addresses before the jury or by the trial judge that the impugned evidence was relevant to an assessment of the reliability or credibility of the complainant's evidence and therefore concluded that "the jury, acting rationally and following the directions given to them, could not have had their view of the reliability or credibility of the complainant's evidence affected by the HSV-1 evidence"</w:t>
      </w:r>
      <w:r w:rsidRPr="00DC399F">
        <w:rPr>
          <w:rStyle w:val="FootnoteReference"/>
          <w:rFonts w:ascii="Times New Roman" w:hAnsi="Times New Roman"/>
          <w:sz w:val="24"/>
        </w:rPr>
        <w:footnoteReference w:id="28"/>
      </w:r>
      <w:r w:rsidRPr="00DC399F">
        <w:rPr>
          <w:rFonts w:ascii="Times New Roman" w:hAnsi="Times New Roman"/>
        </w:rPr>
        <w:t>.</w:t>
      </w:r>
    </w:p>
    <w:p w14:paraId="2FFDCAFA"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b/>
        </w:rPr>
        <w:lastRenderedPageBreak/>
        <w:tab/>
      </w:r>
      <w:r w:rsidRPr="00DC399F">
        <w:rPr>
          <w:rFonts w:ascii="Times New Roman" w:hAnsi="Times New Roman"/>
        </w:rPr>
        <w:t>Mullins JA, who agreed with Bond J, considered that it was patent from the content of the impugned evidence that it could not assist the prosecution case "when almost 80 per cent of the male population would test positive to HSV-1 and it was not known whether the 15 year old boy with whom the complainant had a sexual encounter had or has HSV-1"</w:t>
      </w:r>
      <w:r w:rsidRPr="00DC399F">
        <w:rPr>
          <w:rStyle w:val="FootnoteReference"/>
          <w:rFonts w:ascii="Times New Roman" w:hAnsi="Times New Roman"/>
          <w:sz w:val="24"/>
        </w:rPr>
        <w:footnoteReference w:id="29"/>
      </w:r>
      <w:r w:rsidRPr="00DC399F">
        <w:rPr>
          <w:rFonts w:ascii="Times New Roman" w:hAnsi="Times New Roman"/>
        </w:rPr>
        <w:t>. Her Honour's assessment was also that the impugned evidence "was not evidence that could have had any bearing on the jury's assessment of the reliability and credibility of the complainant's evidence"</w:t>
      </w:r>
      <w:r w:rsidRPr="00DC399F">
        <w:rPr>
          <w:rStyle w:val="FootnoteReference"/>
          <w:rFonts w:ascii="Times New Roman" w:hAnsi="Times New Roman"/>
          <w:sz w:val="24"/>
        </w:rPr>
        <w:footnoteReference w:id="30"/>
      </w:r>
      <w:r w:rsidRPr="00DC399F">
        <w:rPr>
          <w:rFonts w:ascii="Times New Roman" w:hAnsi="Times New Roman"/>
        </w:rPr>
        <w:t>. Her Honour concluded that there was no risk that the jury would use the evidence in a way that was adverse to the appellant</w:t>
      </w:r>
      <w:r w:rsidRPr="00DC399F">
        <w:rPr>
          <w:rStyle w:val="FootnoteReference"/>
          <w:rFonts w:ascii="Times New Roman" w:hAnsi="Times New Roman"/>
          <w:sz w:val="24"/>
        </w:rPr>
        <w:footnoteReference w:id="31"/>
      </w:r>
      <w:r w:rsidRPr="00DC399F">
        <w:rPr>
          <w:rFonts w:ascii="Times New Roman" w:hAnsi="Times New Roman"/>
        </w:rPr>
        <w:t>.</w:t>
      </w:r>
    </w:p>
    <w:p w14:paraId="3660A057"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In dissent, McMurdo JA found that there was a "significant possibility" that the impugned evidence assisted the prosecution to persuade the jury to accept the complainant's evidence. In those circumstances, his Honour reasoned that the jury's verdicts might have been affected by the misuse of the evidence so that the guilty verdicts which were returned could not be used in reasoning that the evidence properly admitted at trial proved, beyond reasonable doubt, the appellant's guilt</w:t>
      </w:r>
      <w:r w:rsidRPr="00DC399F">
        <w:rPr>
          <w:rStyle w:val="FootnoteReference"/>
          <w:rFonts w:ascii="Times New Roman" w:hAnsi="Times New Roman"/>
          <w:sz w:val="24"/>
        </w:rPr>
        <w:footnoteReference w:id="32"/>
      </w:r>
      <w:r w:rsidRPr="00DC399F">
        <w:rPr>
          <w:rFonts w:ascii="Times New Roman" w:hAnsi="Times New Roman"/>
        </w:rPr>
        <w:t>. McMurdo JA concluded that the nature of the error or irregularity in the trial prevented the Court of Appeal from concluding that there was no substantial miscarriage of justice because of the natural limitations that attended the Court of Appeal's task</w:t>
      </w:r>
      <w:r w:rsidRPr="00DC399F">
        <w:rPr>
          <w:rStyle w:val="FootnoteReference"/>
          <w:rFonts w:ascii="Times New Roman" w:hAnsi="Times New Roman"/>
          <w:sz w:val="24"/>
        </w:rPr>
        <w:footnoteReference w:id="33"/>
      </w:r>
      <w:r w:rsidRPr="00DC399F">
        <w:rPr>
          <w:rFonts w:ascii="Times New Roman" w:hAnsi="Times New Roman"/>
        </w:rPr>
        <w:t>.</w:t>
      </w:r>
    </w:p>
    <w:p w14:paraId="33F3FEB0" w14:textId="77777777" w:rsidR="002A0FCE" w:rsidRPr="00DC399F" w:rsidRDefault="002A0FCE" w:rsidP="00DC399F">
      <w:pPr>
        <w:pStyle w:val="HeadingL1"/>
        <w:spacing w:after="260" w:line="280" w:lineRule="exact"/>
        <w:ind w:right="0"/>
        <w:jc w:val="both"/>
        <w:rPr>
          <w:rFonts w:ascii="Times New Roman" w:hAnsi="Times New Roman"/>
        </w:rPr>
      </w:pPr>
      <w:r w:rsidRPr="00DC399F">
        <w:rPr>
          <w:rFonts w:ascii="Times New Roman" w:hAnsi="Times New Roman"/>
        </w:rPr>
        <w:t>Respondent's submissions</w:t>
      </w:r>
    </w:p>
    <w:p w14:paraId="327E7643"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 xml:space="preserve">In this Court, the respondent accepted that there had been a miscarriage of justice at the trial. The respondent submitted that the Court of Appeal was able to assess the complainant's evidence in the context of the whole of the evidence at the trial and particularly having regard to the corroborating evidence of opportunity to offend as alleged, the observations of the complainant's younger sister of the complainant's distressed condition, the timely complaint made by the complainant to her mother and the evidence of physical injuries to the complainant's vagina. The respondent submitted that, in the context of the corroborating evidence, the impugned evidence was, at best, neutral and was logically incapable of assisting the jury in their assessment of the complainant's credibility and reliability. Alternatively, the respondent submitted that any capacity for the impugned </w:t>
      </w:r>
      <w:r w:rsidRPr="00DC399F">
        <w:rPr>
          <w:rFonts w:ascii="Times New Roman" w:hAnsi="Times New Roman"/>
        </w:rPr>
        <w:lastRenderedPageBreak/>
        <w:t>evidence to have impacted upon the jury's assessment of the complainant was negligible.</w:t>
      </w:r>
    </w:p>
    <w:p w14:paraId="388BB764"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b/>
        </w:rPr>
        <w:tab/>
      </w:r>
      <w:r w:rsidRPr="00DC399F">
        <w:rPr>
          <w:rFonts w:ascii="Times New Roman" w:hAnsi="Times New Roman"/>
        </w:rPr>
        <w:t>The respondent also submitted that, even if the impugned evidence had the capacity to affect the jury's verdicts, such that the Court of Appeal was not permitted to afford significant weight to the guilty verdicts returned, the properly admitted evidence was nonetheless sufficient to enable the appellate court to be persuaded of the appellant's guilt.</w:t>
      </w:r>
    </w:p>
    <w:p w14:paraId="63074301" w14:textId="77777777" w:rsidR="002A0FCE" w:rsidRPr="00DC399F" w:rsidRDefault="002A0FCE" w:rsidP="00DC399F">
      <w:pPr>
        <w:pStyle w:val="HeadingL1"/>
        <w:spacing w:after="260" w:line="280" w:lineRule="exact"/>
        <w:ind w:right="0"/>
        <w:jc w:val="both"/>
        <w:rPr>
          <w:rFonts w:ascii="Times New Roman" w:hAnsi="Times New Roman"/>
        </w:rPr>
      </w:pPr>
      <w:r w:rsidRPr="00DC399F">
        <w:rPr>
          <w:rFonts w:ascii="Times New Roman" w:hAnsi="Times New Roman"/>
        </w:rPr>
        <w:t>Whether no substantial miscarriage of justice actually occurred</w:t>
      </w:r>
    </w:p>
    <w:p w14:paraId="28A268BD"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While there is no single universally applicable description of what constitutes "no substantial miscarriage of justice", an appellate court is precluded from concluding that no substantial miscarriage of justice actually occurred unless the court itself is persuaded that the evidence properly admitted at trial established guilt beyond reasonable doubt</w:t>
      </w:r>
      <w:r w:rsidRPr="00DC399F">
        <w:rPr>
          <w:rStyle w:val="FootnoteReference"/>
          <w:rFonts w:ascii="Times New Roman" w:hAnsi="Times New Roman"/>
          <w:sz w:val="24"/>
        </w:rPr>
        <w:footnoteReference w:id="34"/>
      </w:r>
      <w:r w:rsidRPr="00DC399F">
        <w:rPr>
          <w:rFonts w:ascii="Times New Roman" w:hAnsi="Times New Roman"/>
        </w:rPr>
        <w:t>. In addressing that question, it is necessary to consider the nature and effect of the error</w:t>
      </w:r>
      <w:r w:rsidRPr="00DC399F">
        <w:rPr>
          <w:rStyle w:val="FootnoteReference"/>
          <w:rFonts w:ascii="Times New Roman" w:hAnsi="Times New Roman"/>
          <w:sz w:val="24"/>
        </w:rPr>
        <w:footnoteReference w:id="35"/>
      </w:r>
      <w:r w:rsidRPr="00DC399F">
        <w:rPr>
          <w:rFonts w:ascii="Times New Roman" w:hAnsi="Times New Roman"/>
        </w:rPr>
        <w:t>. In cases which turn on contested credibility, the nature and effect of the error may render an appellate court unable to assess whether guilt was proved beyond reasonable doubt due to the "'natural limitations' that exist in the case of any appellate court proceeding wholly or substantially on the record"</w:t>
      </w:r>
      <w:r w:rsidRPr="00DC399F">
        <w:rPr>
          <w:rStyle w:val="FootnoteReference"/>
          <w:rFonts w:ascii="Times New Roman" w:hAnsi="Times New Roman"/>
          <w:sz w:val="24"/>
        </w:rPr>
        <w:footnoteReference w:id="36"/>
      </w:r>
      <w:r w:rsidRPr="00DC399F">
        <w:rPr>
          <w:rFonts w:ascii="Times New Roman" w:hAnsi="Times New Roman"/>
        </w:rPr>
        <w:t xml:space="preserve">. Further, as explained in </w:t>
      </w:r>
      <w:r w:rsidRPr="00DC399F">
        <w:rPr>
          <w:rFonts w:ascii="Times New Roman" w:hAnsi="Times New Roman"/>
          <w:i/>
        </w:rPr>
        <w:t>Pell v The Queen</w:t>
      </w:r>
      <w:r w:rsidRPr="00DC399F">
        <w:rPr>
          <w:rStyle w:val="FootnoteReference"/>
          <w:rFonts w:ascii="Times New Roman" w:hAnsi="Times New Roman"/>
          <w:sz w:val="24"/>
        </w:rPr>
        <w:footnoteReference w:id="37"/>
      </w:r>
      <w:r w:rsidRPr="00DC399F">
        <w:rPr>
          <w:rFonts w:ascii="Times New Roman" w:hAnsi="Times New Roman"/>
        </w:rPr>
        <w:t>:</w:t>
      </w:r>
    </w:p>
    <w:p w14:paraId="7998D94C" w14:textId="77777777" w:rsidR="002A0FCE" w:rsidRPr="00DC399F" w:rsidRDefault="002A0FCE" w:rsidP="00DC399F">
      <w:pPr>
        <w:pStyle w:val="LeftrightafterHC"/>
        <w:spacing w:before="0" w:after="260" w:line="280" w:lineRule="exact"/>
        <w:ind w:right="0"/>
        <w:jc w:val="both"/>
        <w:rPr>
          <w:rFonts w:ascii="Times New Roman" w:hAnsi="Times New Roman"/>
        </w:rPr>
      </w:pPr>
      <w:r w:rsidRPr="00DC399F">
        <w:rPr>
          <w:rFonts w:ascii="Times New Roman" w:hAnsi="Times New Roman"/>
        </w:rPr>
        <w:t xml:space="preserve">"[T]he assessment of the credibility of a witness by the jury on the basis of what it has seen and heard of a witness in the context of the trial is within the province of the jury as representative of the community. Just as the </w:t>
      </w:r>
      <w:r w:rsidRPr="00DC399F">
        <w:rPr>
          <w:rFonts w:ascii="Times New Roman" w:hAnsi="Times New Roman"/>
        </w:rPr>
        <w:lastRenderedPageBreak/>
        <w:t>performance by a court of criminal appeal of its functions does not involve the substitution of trial by an appeal court for trial by a jury, so, generally speaking, the appeal court should not seek to duplicate the function of the jury in its assessment of the credibility of the witnesses where that assessment is dependent upon the evaluation of the witnesses in the witness-box. The jury performs its function on the basis that its decisions are made unanimously, and after the benefit of sharing the jurors' subjective assessments of the witnesses. Judges of courts of criminal appeal do not perform the same function in the same way as the jury, or with the same advantages that the jury brings to the discharge of its function.</w:t>
      </w:r>
    </w:p>
    <w:p w14:paraId="77D5331D" w14:textId="77777777" w:rsidR="002A0FCE" w:rsidRDefault="002A0FCE" w:rsidP="00DC399F">
      <w:pPr>
        <w:pStyle w:val="LRIndent"/>
        <w:spacing w:before="0" w:after="260" w:line="280" w:lineRule="exact"/>
        <w:ind w:right="0"/>
        <w:jc w:val="both"/>
        <w:rPr>
          <w:rFonts w:ascii="Times New Roman" w:hAnsi="Times New Roman"/>
        </w:rPr>
      </w:pPr>
      <w:r w:rsidRPr="00DC399F">
        <w:rPr>
          <w:rFonts w:ascii="Times New Roman" w:hAnsi="Times New Roman"/>
        </w:rPr>
        <w:t>... The assessment of the weight to be accorded to a witness' evidence by reference to the manner in which it was given by the witness has always been, and remains, the province of the jury." (footnote omitted)</w:t>
      </w:r>
    </w:p>
    <w:p w14:paraId="4916DF23"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Where proof of guilt is wholly dependent on acceptance of the complainant's evidence, and a misdirection may have affected that acceptance, the appellate court cannot accord the weight to the verdict of guilty which it otherwise might</w:t>
      </w:r>
      <w:r w:rsidRPr="00DC399F">
        <w:rPr>
          <w:rStyle w:val="FootnoteReference"/>
          <w:rFonts w:ascii="Times New Roman" w:hAnsi="Times New Roman"/>
          <w:sz w:val="24"/>
        </w:rPr>
        <w:footnoteReference w:id="38"/>
      </w:r>
      <w:r w:rsidRPr="00DC399F">
        <w:rPr>
          <w:rFonts w:ascii="Times New Roman" w:hAnsi="Times New Roman"/>
        </w:rPr>
        <w:t>. The majority of the Court of Appeal erred in placing weight on the verdicts because, as McMurdo JA observed, th</w:t>
      </w:r>
      <w:r>
        <w:rPr>
          <w:rFonts w:ascii="Times New Roman" w:hAnsi="Times New Roman"/>
        </w:rPr>
        <w:t>ose</w:t>
      </w:r>
      <w:r w:rsidRPr="00DC399F">
        <w:rPr>
          <w:rFonts w:ascii="Times New Roman" w:hAnsi="Times New Roman"/>
        </w:rPr>
        <w:t xml:space="preserve"> verdicts might have been affected by the misuse of the impugned evidence in the absence of a direction to disregard that evidence.</w:t>
      </w:r>
    </w:p>
    <w:p w14:paraId="0D7B2872"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The majority of the Court of Appeal's assessment that the impugned evidence did not impact upon the credibility or reliability of the complainant's evidence ignored the significantly prejudicial nature and effect of that evidence, as do the respondent's submissions that the evidence was "neutral" and "incapable" of affecting the jury's assessment. It could only have been the potentially prejudicial effect of the impugned evidence that made it a miscarriage of justice for the trial judge to have failed to direct the jury to ignore that evidence.</w:t>
      </w:r>
    </w:p>
    <w:p w14:paraId="48CB5203"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 xml:space="preserve">When regard is had to the young age of the complainant and the evidence of her previous single experience of oral sex, it is not difficult to envisage one or more jurors using "life experience", in accordance with the prosecutor's invitation, to conclude that the impugned evidence supported the complainant's version of events, or that it dispelled doubts that they might otherwise have held about her version of events. For example, one or more jurors may have applied what they considered to be "life experience" about the relative likelihood of possible explanations for the complainant's positive test for HSV-1. The prospect that one or more jurors relied upon the impugned evidence is enhanced by the volume of </w:t>
      </w:r>
      <w:r w:rsidRPr="00DC399F">
        <w:rPr>
          <w:rFonts w:ascii="Times New Roman" w:hAnsi="Times New Roman"/>
        </w:rPr>
        <w:lastRenderedPageBreak/>
        <w:t>that evidence and the attention that was given to the impugned evidence over the course of the trial.</w:t>
      </w:r>
    </w:p>
    <w:p w14:paraId="3B162A90"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Further, and contrary to the majority's reasoning, the absence of any clear direction from the trial judge to the jury to disregard the impugned evidence left the jury free to "make of that" what they would with the benefit of their "life experience", as the prosecutor had suggested the jury might do. In effect, the jury were invited to employ the impugned evidence as they saw fit. In those circumstances, it was not possible for the Court of Appeal to assess whether guilt was proved beyond reasonable doubt at trial.</w:t>
      </w:r>
    </w:p>
    <w:p w14:paraId="5C6B983F" w14:textId="77777777" w:rsidR="002A0FCE" w:rsidRPr="00DC399F" w:rsidRDefault="002A0FCE" w:rsidP="00DC399F">
      <w:pPr>
        <w:pStyle w:val="HeadingL1"/>
        <w:spacing w:after="260" w:line="280" w:lineRule="exact"/>
        <w:ind w:right="0"/>
        <w:jc w:val="both"/>
        <w:rPr>
          <w:rFonts w:ascii="Times New Roman" w:hAnsi="Times New Roman"/>
        </w:rPr>
      </w:pPr>
      <w:r w:rsidRPr="00DC399F">
        <w:rPr>
          <w:rFonts w:ascii="Times New Roman" w:hAnsi="Times New Roman"/>
        </w:rPr>
        <w:t>Conclusion</w:t>
      </w:r>
    </w:p>
    <w:p w14:paraId="26BCA319" w14:textId="77777777" w:rsidR="002A0FCE" w:rsidRPr="00DC399F" w:rsidRDefault="002A0FCE" w:rsidP="002A0FCE">
      <w:pPr>
        <w:pStyle w:val="FixListStyle"/>
        <w:numPr>
          <w:ilvl w:val="0"/>
          <w:numId w:val="18"/>
        </w:numPr>
        <w:spacing w:after="260" w:line="280" w:lineRule="exact"/>
        <w:ind w:left="0" w:right="0" w:hanging="720"/>
        <w:jc w:val="both"/>
        <w:rPr>
          <w:rFonts w:ascii="Times New Roman" w:hAnsi="Times New Roman"/>
        </w:rPr>
      </w:pPr>
      <w:r w:rsidRPr="00DC399F">
        <w:rPr>
          <w:rFonts w:ascii="Times New Roman" w:hAnsi="Times New Roman"/>
        </w:rPr>
        <w:tab/>
        <w:t>The appeal must be allowed. The order of the Court of Appeal dated 8 May 2020 dismissing the appeal must be set aside and, in lieu thereof, there will be an order that the appellant's appeal to that Court be allowed, the appellant's convictions be set aside and a new trial be had.</w:t>
      </w:r>
    </w:p>
    <w:p w14:paraId="57CA82CB" w14:textId="77777777" w:rsidR="002A0FCE" w:rsidRDefault="002A0FCE" w:rsidP="002A0FCE">
      <w:pPr>
        <w:pStyle w:val="FixListStyle"/>
        <w:numPr>
          <w:ilvl w:val="0"/>
          <w:numId w:val="0"/>
        </w:numPr>
        <w:spacing w:after="260" w:line="280" w:lineRule="exact"/>
        <w:ind w:right="0"/>
        <w:jc w:val="both"/>
        <w:rPr>
          <w:rFonts w:ascii="Times New Roman" w:hAnsi="Times New Roman"/>
        </w:rPr>
        <w:sectPr w:rsidR="002A0FCE" w:rsidSect="002A0FC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F05764D" w14:textId="6C8224CB" w:rsidR="006231C6" w:rsidRPr="00010F64" w:rsidRDefault="006231C6" w:rsidP="002A0FCE">
      <w:pPr>
        <w:pStyle w:val="FixListStyle"/>
        <w:numPr>
          <w:ilvl w:val="0"/>
          <w:numId w:val="0"/>
        </w:numPr>
        <w:spacing w:after="260" w:line="280" w:lineRule="exact"/>
        <w:ind w:right="0"/>
        <w:jc w:val="both"/>
        <w:rPr>
          <w:rFonts w:ascii="Times New Roman" w:hAnsi="Times New Roman"/>
        </w:rPr>
      </w:pPr>
    </w:p>
    <w:sectPr w:rsidR="006231C6" w:rsidRPr="00010F64" w:rsidSect="002A0FCE">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18FAC" w14:textId="77777777" w:rsidR="00A16ECF" w:rsidRDefault="00A16ECF">
      <w:pPr>
        <w:spacing w:line="240" w:lineRule="auto"/>
      </w:pPr>
      <w:r>
        <w:separator/>
      </w:r>
    </w:p>
  </w:endnote>
  <w:endnote w:type="continuationSeparator" w:id="0">
    <w:p w14:paraId="14B6CAF8" w14:textId="77777777" w:rsidR="00A16ECF" w:rsidRDefault="00A16ECF">
      <w:pPr>
        <w:spacing w:line="240" w:lineRule="auto"/>
      </w:pPr>
      <w:r>
        <w:continuationSeparator/>
      </w:r>
    </w:p>
  </w:endnote>
  <w:endnote w:type="continuationNotice" w:id="1">
    <w:p w14:paraId="51B43EB1" w14:textId="77777777" w:rsidR="00A16ECF" w:rsidRDefault="00A16E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024E" w14:textId="77777777" w:rsidR="00D8043E" w:rsidRDefault="00D80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3261" w14:textId="77777777" w:rsidR="00D8043E" w:rsidRDefault="00D80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F1F9" w14:textId="77777777" w:rsidR="00D8043E" w:rsidRDefault="00D804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A68C" w14:textId="77777777" w:rsidR="00D8043E" w:rsidRDefault="00D804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D2461" w14:textId="77777777" w:rsidR="00D8043E" w:rsidRDefault="00D80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CFF5" w14:textId="77777777" w:rsidR="00D8043E" w:rsidRDefault="00D8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28113" w14:textId="77777777" w:rsidR="00A16ECF" w:rsidRPr="00010F64" w:rsidRDefault="00A16ECF" w:rsidP="00010F64">
      <w:pPr>
        <w:pStyle w:val="Footer"/>
        <w:spacing w:before="120" w:after="20"/>
        <w:ind w:right="0"/>
        <w:rPr>
          <w:rFonts w:ascii="Times New Roman" w:hAnsi="Times New Roman"/>
        </w:rPr>
      </w:pPr>
      <w:r>
        <w:continuationSeparator/>
      </w:r>
    </w:p>
  </w:footnote>
  <w:footnote w:type="continuationSeparator" w:id="0">
    <w:p w14:paraId="4BFA3250" w14:textId="77777777" w:rsidR="00A16ECF" w:rsidRPr="00010F64" w:rsidRDefault="00A16ECF" w:rsidP="00010F64">
      <w:pPr>
        <w:pStyle w:val="Footer"/>
        <w:spacing w:before="120" w:after="20"/>
        <w:ind w:right="0"/>
        <w:rPr>
          <w:rFonts w:ascii="Times New Roman" w:hAnsi="Times New Roman"/>
        </w:rPr>
      </w:pPr>
      <w:r w:rsidRPr="00010F64">
        <w:rPr>
          <w:rFonts w:ascii="Times New Roman" w:hAnsi="Times New Roman"/>
        </w:rPr>
        <w:continuationSeparator/>
      </w:r>
    </w:p>
  </w:footnote>
  <w:footnote w:type="continuationNotice" w:id="1">
    <w:p w14:paraId="52680C27" w14:textId="77777777" w:rsidR="00A16ECF" w:rsidRPr="002A0FCE" w:rsidRDefault="00A16ECF">
      <w:pPr>
        <w:jc w:val="right"/>
        <w:rPr>
          <w:rFonts w:ascii="Times New Roman" w:hAnsi="Times New Roman"/>
          <w:sz w:val="24"/>
        </w:rPr>
      </w:pPr>
    </w:p>
  </w:footnote>
  <w:footnote w:id="2">
    <w:p w14:paraId="6CFBE44B" w14:textId="71939A97" w:rsidR="000E3A44" w:rsidRPr="00010F64" w:rsidRDefault="000E3A44"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Pr="00010F64">
        <w:rPr>
          <w:rFonts w:ascii="Times New Roman" w:hAnsi="Times New Roman"/>
          <w:i/>
          <w:sz w:val="24"/>
        </w:rPr>
        <w:t>R v Orreal</w:t>
      </w:r>
      <w:r w:rsidRPr="00010F64">
        <w:rPr>
          <w:rFonts w:ascii="Times New Roman" w:hAnsi="Times New Roman"/>
          <w:sz w:val="24"/>
        </w:rPr>
        <w:t xml:space="preserve"> </w:t>
      </w:r>
      <w:r w:rsidR="00A25329" w:rsidRPr="00010F64">
        <w:rPr>
          <w:rFonts w:ascii="Times New Roman" w:hAnsi="Times New Roman"/>
          <w:sz w:val="24"/>
        </w:rPr>
        <w:t>[</w:t>
      </w:r>
      <w:r w:rsidRPr="00010F64">
        <w:rPr>
          <w:rFonts w:ascii="Times New Roman" w:hAnsi="Times New Roman"/>
          <w:sz w:val="24"/>
        </w:rPr>
        <w:t>2020</w:t>
      </w:r>
      <w:r w:rsidR="00A25329" w:rsidRPr="00010F64">
        <w:rPr>
          <w:rFonts w:ascii="Times New Roman" w:hAnsi="Times New Roman"/>
          <w:sz w:val="24"/>
        </w:rPr>
        <w:t>]</w:t>
      </w:r>
      <w:r w:rsidRPr="00010F64">
        <w:rPr>
          <w:rFonts w:ascii="Times New Roman" w:hAnsi="Times New Roman"/>
          <w:sz w:val="24"/>
        </w:rPr>
        <w:t xml:space="preserve"> QCA 95</w:t>
      </w:r>
      <w:r w:rsidR="005E23B5" w:rsidRPr="00010F64">
        <w:rPr>
          <w:rFonts w:ascii="Times New Roman" w:hAnsi="Times New Roman"/>
          <w:sz w:val="24"/>
        </w:rPr>
        <w:t xml:space="preserve"> at [29] per Mullins JA, [104] per Bond J</w:t>
      </w:r>
      <w:r w:rsidRPr="00010F64">
        <w:rPr>
          <w:rFonts w:ascii="Times New Roman" w:hAnsi="Times New Roman"/>
          <w:sz w:val="24"/>
        </w:rPr>
        <w:t>.</w:t>
      </w:r>
    </w:p>
  </w:footnote>
  <w:footnote w:id="3">
    <w:p w14:paraId="3E96CE18" w14:textId="77777777" w:rsidR="00110DCB" w:rsidRPr="00010F64" w:rsidRDefault="00110DCB"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Pr="00010F64">
        <w:rPr>
          <w:rFonts w:ascii="Times New Roman" w:hAnsi="Times New Roman"/>
          <w:i/>
          <w:sz w:val="24"/>
        </w:rPr>
        <w:t xml:space="preserve">R v Orreal </w:t>
      </w:r>
      <w:r w:rsidRPr="00010F64">
        <w:rPr>
          <w:rFonts w:ascii="Times New Roman" w:hAnsi="Times New Roman"/>
          <w:sz w:val="24"/>
        </w:rPr>
        <w:t xml:space="preserve">[2020] QCA 95 at [91]-[92]. </w:t>
      </w:r>
    </w:p>
  </w:footnote>
  <w:footnote w:id="4">
    <w:p w14:paraId="430B48C7" w14:textId="5C38A3B2" w:rsidR="00AF7491" w:rsidRPr="00010F64" w:rsidRDefault="00AF7491"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proofErr w:type="spellStart"/>
      <w:r w:rsidRPr="00010F64">
        <w:rPr>
          <w:rFonts w:ascii="Times New Roman" w:hAnsi="Times New Roman"/>
          <w:i/>
          <w:sz w:val="24"/>
        </w:rPr>
        <w:t>Nudd</w:t>
      </w:r>
      <w:proofErr w:type="spellEnd"/>
      <w:r w:rsidRPr="00010F64">
        <w:rPr>
          <w:rFonts w:ascii="Times New Roman" w:hAnsi="Times New Roman"/>
          <w:i/>
          <w:sz w:val="24"/>
        </w:rPr>
        <w:t xml:space="preserve"> v The Queen</w:t>
      </w:r>
      <w:r w:rsidRPr="00010F64">
        <w:rPr>
          <w:rFonts w:ascii="Times New Roman" w:hAnsi="Times New Roman"/>
          <w:sz w:val="24"/>
        </w:rPr>
        <w:t xml:space="preserve"> (2006) 80 ALJR 614</w:t>
      </w:r>
      <w:r w:rsidR="00EB4655" w:rsidRPr="00010F64">
        <w:rPr>
          <w:rFonts w:ascii="Times New Roman" w:hAnsi="Times New Roman"/>
          <w:sz w:val="24"/>
        </w:rPr>
        <w:t xml:space="preserve"> at</w:t>
      </w:r>
      <w:r w:rsidRPr="00010F64">
        <w:rPr>
          <w:rFonts w:ascii="Times New Roman" w:hAnsi="Times New Roman"/>
          <w:sz w:val="24"/>
        </w:rPr>
        <w:t xml:space="preserve"> 618 [9]; </w:t>
      </w:r>
      <w:r w:rsidR="007C636C" w:rsidRPr="00010F64">
        <w:rPr>
          <w:rFonts w:ascii="Times New Roman" w:hAnsi="Times New Roman"/>
          <w:sz w:val="24"/>
        </w:rPr>
        <w:t>225 ALR 161</w:t>
      </w:r>
      <w:r w:rsidRPr="00010F64">
        <w:rPr>
          <w:rFonts w:ascii="Times New Roman" w:hAnsi="Times New Roman"/>
          <w:sz w:val="24"/>
        </w:rPr>
        <w:t xml:space="preserve"> </w:t>
      </w:r>
      <w:r w:rsidR="00650681" w:rsidRPr="00010F64">
        <w:rPr>
          <w:rFonts w:ascii="Times New Roman" w:hAnsi="Times New Roman"/>
          <w:sz w:val="24"/>
        </w:rPr>
        <w:t>at 164;</w:t>
      </w:r>
      <w:r w:rsidRPr="00010F64">
        <w:rPr>
          <w:rFonts w:ascii="Times New Roman" w:hAnsi="Times New Roman"/>
          <w:sz w:val="24"/>
        </w:rPr>
        <w:t xml:space="preserve"> </w:t>
      </w:r>
      <w:r w:rsidRPr="00010F64">
        <w:rPr>
          <w:rFonts w:ascii="Times New Roman" w:hAnsi="Times New Roman"/>
          <w:i/>
          <w:sz w:val="24"/>
        </w:rPr>
        <w:t>R v Baden</w:t>
      </w:r>
      <w:r w:rsidRPr="00010F64">
        <w:rPr>
          <w:rFonts w:ascii="Times New Roman" w:hAnsi="Times New Roman"/>
          <w:i/>
          <w:sz w:val="24"/>
        </w:rPr>
        <w:noBreakHyphen/>
        <w:t>Clay</w:t>
      </w:r>
      <w:r w:rsidRPr="00010F64">
        <w:rPr>
          <w:rFonts w:ascii="Times New Roman" w:hAnsi="Times New Roman"/>
          <w:sz w:val="24"/>
        </w:rPr>
        <w:t xml:space="preserve"> (2016) 258 CLR 308 at 324 [48]; </w:t>
      </w:r>
      <w:r w:rsidRPr="00010F64">
        <w:rPr>
          <w:rFonts w:ascii="Times New Roman" w:hAnsi="Times New Roman"/>
          <w:i/>
          <w:sz w:val="24"/>
        </w:rPr>
        <w:t xml:space="preserve">Hamilton </w:t>
      </w:r>
      <w:r w:rsidR="003D202A" w:rsidRPr="00010F64">
        <w:rPr>
          <w:rFonts w:ascii="Times New Roman" w:hAnsi="Times New Roman"/>
          <w:i/>
          <w:sz w:val="24"/>
        </w:rPr>
        <w:t>(</w:t>
      </w:r>
      <w:r w:rsidR="00AF444F" w:rsidRPr="00010F64">
        <w:rPr>
          <w:rFonts w:ascii="Times New Roman" w:hAnsi="Times New Roman"/>
          <w:i/>
          <w:sz w:val="24"/>
        </w:rPr>
        <w:t>a</w:t>
      </w:r>
      <w:r w:rsidR="003D202A" w:rsidRPr="00010F64">
        <w:rPr>
          <w:rFonts w:ascii="Times New Roman" w:hAnsi="Times New Roman"/>
          <w:i/>
          <w:sz w:val="24"/>
        </w:rPr>
        <w:t xml:space="preserve"> </w:t>
      </w:r>
      <w:r w:rsidR="00AF444F" w:rsidRPr="00010F64">
        <w:rPr>
          <w:rFonts w:ascii="Times New Roman" w:hAnsi="Times New Roman"/>
          <w:i/>
          <w:sz w:val="24"/>
        </w:rPr>
        <w:t>p</w:t>
      </w:r>
      <w:r w:rsidR="003D202A" w:rsidRPr="00010F64">
        <w:rPr>
          <w:rFonts w:ascii="Times New Roman" w:hAnsi="Times New Roman"/>
          <w:i/>
          <w:sz w:val="24"/>
        </w:rPr>
        <w:t xml:space="preserve">seudonym) </w:t>
      </w:r>
      <w:r w:rsidRPr="00010F64">
        <w:rPr>
          <w:rFonts w:ascii="Times New Roman" w:hAnsi="Times New Roman"/>
          <w:i/>
          <w:sz w:val="24"/>
        </w:rPr>
        <w:t>v The Queen</w:t>
      </w:r>
      <w:r w:rsidRPr="00010F64">
        <w:rPr>
          <w:rFonts w:ascii="Times New Roman" w:hAnsi="Times New Roman"/>
          <w:sz w:val="24"/>
        </w:rPr>
        <w:t xml:space="preserve"> </w:t>
      </w:r>
      <w:r w:rsidR="00573299" w:rsidRPr="00010F64">
        <w:rPr>
          <w:rFonts w:ascii="Times New Roman" w:hAnsi="Times New Roman"/>
          <w:sz w:val="24"/>
        </w:rPr>
        <w:t xml:space="preserve">(2021) </w:t>
      </w:r>
      <w:r w:rsidR="003357F3" w:rsidRPr="00010F64">
        <w:rPr>
          <w:rFonts w:ascii="Times New Roman" w:hAnsi="Times New Roman"/>
          <w:sz w:val="24"/>
        </w:rPr>
        <w:t>95 ALJR 894 at 906 [54]; 394 ALR 194 at 207-20</w:t>
      </w:r>
      <w:r w:rsidR="0039173F" w:rsidRPr="00010F64">
        <w:rPr>
          <w:rFonts w:ascii="Times New Roman" w:hAnsi="Times New Roman"/>
          <w:sz w:val="24"/>
        </w:rPr>
        <w:t>8</w:t>
      </w:r>
      <w:r w:rsidRPr="00010F64">
        <w:rPr>
          <w:rFonts w:ascii="Times New Roman" w:hAnsi="Times New Roman"/>
          <w:sz w:val="24"/>
        </w:rPr>
        <w:t>.</w:t>
      </w:r>
    </w:p>
  </w:footnote>
  <w:footnote w:id="5">
    <w:p w14:paraId="6A8E9730" w14:textId="3B3A650D" w:rsidR="009B64D7" w:rsidRPr="00010F64" w:rsidRDefault="009B64D7"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Pr="00010F64">
        <w:rPr>
          <w:rFonts w:ascii="Times New Roman" w:hAnsi="Times New Roman"/>
          <w:i/>
          <w:sz w:val="24"/>
        </w:rPr>
        <w:t>Craig v The Queen</w:t>
      </w:r>
      <w:r w:rsidRPr="00010F64">
        <w:rPr>
          <w:rFonts w:ascii="Times New Roman" w:hAnsi="Times New Roman"/>
          <w:sz w:val="24"/>
        </w:rPr>
        <w:t xml:space="preserve"> (2018) 264 CLR 202 at </w:t>
      </w:r>
      <w:r w:rsidR="009F5112" w:rsidRPr="00010F64">
        <w:rPr>
          <w:rFonts w:ascii="Times New Roman" w:hAnsi="Times New Roman"/>
          <w:sz w:val="24"/>
        </w:rPr>
        <w:t>211-</w:t>
      </w:r>
      <w:r w:rsidRPr="00010F64">
        <w:rPr>
          <w:rFonts w:ascii="Times New Roman" w:hAnsi="Times New Roman"/>
          <w:sz w:val="24"/>
        </w:rPr>
        <w:t>212 [23].</w:t>
      </w:r>
    </w:p>
  </w:footnote>
  <w:footnote w:id="6">
    <w:p w14:paraId="0B60CFFC" w14:textId="2EEC2FFB" w:rsidR="007962F2" w:rsidRPr="00010F64" w:rsidRDefault="007962F2"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9F7A87" w:rsidRPr="00010F64">
        <w:rPr>
          <w:rFonts w:ascii="Times New Roman" w:hAnsi="Times New Roman"/>
          <w:sz w:val="24"/>
        </w:rPr>
        <w:t xml:space="preserve">That </w:t>
      </w:r>
      <w:r w:rsidR="00A25C2E" w:rsidRPr="00010F64">
        <w:rPr>
          <w:rFonts w:ascii="Times New Roman" w:hAnsi="Times New Roman"/>
          <w:sz w:val="24"/>
        </w:rPr>
        <w:t>sub-</w:t>
      </w:r>
      <w:r w:rsidR="009F7A87" w:rsidRPr="00010F64">
        <w:rPr>
          <w:rFonts w:ascii="Times New Roman" w:hAnsi="Times New Roman"/>
          <w:sz w:val="24"/>
        </w:rPr>
        <w:t xml:space="preserve">section provides: </w:t>
      </w:r>
      <w:r w:rsidR="00FA1706" w:rsidRPr="00010F64">
        <w:rPr>
          <w:rFonts w:ascii="Times New Roman" w:hAnsi="Times New Roman"/>
          <w:sz w:val="24"/>
        </w:rPr>
        <w:t>"</w:t>
      </w:r>
      <w:r w:rsidR="006709D1" w:rsidRPr="00010F64">
        <w:rPr>
          <w:rFonts w:ascii="Times New Roman" w:hAnsi="Times New Roman"/>
          <w:sz w:val="24"/>
        </w:rPr>
        <w:t xml:space="preserve">The Court on any such appeal against conviction shall allow the appeal if it is of opinion that the verdict of the jury should be set aside on the ground that it is unreasonable, or </w:t>
      </w:r>
      <w:proofErr w:type="spellStart"/>
      <w:r w:rsidR="006709D1" w:rsidRPr="00010F64">
        <w:rPr>
          <w:rFonts w:ascii="Times New Roman" w:hAnsi="Times New Roman"/>
          <w:sz w:val="24"/>
        </w:rPr>
        <w:t>can not</w:t>
      </w:r>
      <w:proofErr w:type="spellEnd"/>
      <w:r w:rsidR="006709D1" w:rsidRPr="00010F64">
        <w:rPr>
          <w:rFonts w:ascii="Times New Roman" w:hAnsi="Times New Roman"/>
          <w:sz w:val="24"/>
        </w:rPr>
        <w:t xml:space="preserve"> be supported having regard to the evidence, or that the judgment of the court of trial should be set aside on the ground of the wrong decision of any question of law, or that on any ground whatsoever there was a miscarriage of justice, and in any other case shall dismiss the appeal.</w:t>
      </w:r>
      <w:r w:rsidR="00FA1706" w:rsidRPr="00010F64">
        <w:rPr>
          <w:rFonts w:ascii="Times New Roman" w:hAnsi="Times New Roman"/>
          <w:sz w:val="24"/>
        </w:rPr>
        <w:t>"</w:t>
      </w:r>
    </w:p>
  </w:footnote>
  <w:footnote w:id="7">
    <w:p w14:paraId="6A9EB890" w14:textId="2692A4E0" w:rsidR="00F515D1" w:rsidRPr="00010F64" w:rsidRDefault="00F515D1"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96428C" w:rsidRPr="00010F64">
        <w:rPr>
          <w:rFonts w:ascii="Times New Roman" w:hAnsi="Times New Roman"/>
          <w:i/>
          <w:sz w:val="24"/>
        </w:rPr>
        <w:t xml:space="preserve">R v Orreal </w:t>
      </w:r>
      <w:r w:rsidR="0096428C" w:rsidRPr="00010F64">
        <w:rPr>
          <w:rFonts w:ascii="Times New Roman" w:hAnsi="Times New Roman"/>
          <w:sz w:val="24"/>
        </w:rPr>
        <w:t xml:space="preserve">[2020] QCA 95 </w:t>
      </w:r>
      <w:r w:rsidRPr="00010F64">
        <w:rPr>
          <w:rFonts w:ascii="Times New Roman" w:hAnsi="Times New Roman"/>
          <w:sz w:val="24"/>
        </w:rPr>
        <w:t>at [94].</w:t>
      </w:r>
    </w:p>
  </w:footnote>
  <w:footnote w:id="8">
    <w:p w14:paraId="6BB36E8C" w14:textId="08207A8E" w:rsidR="00512066" w:rsidRPr="00010F64" w:rsidRDefault="00512066"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4B73F0" w:rsidRPr="00010F64">
        <w:rPr>
          <w:rFonts w:ascii="Times New Roman" w:hAnsi="Times New Roman"/>
          <w:i/>
          <w:sz w:val="24"/>
        </w:rPr>
        <w:t xml:space="preserve">R v Orreal </w:t>
      </w:r>
      <w:r w:rsidR="004B73F0" w:rsidRPr="00010F64">
        <w:rPr>
          <w:rFonts w:ascii="Times New Roman" w:hAnsi="Times New Roman"/>
          <w:sz w:val="24"/>
        </w:rPr>
        <w:t xml:space="preserve">[2020] QCA 95 </w:t>
      </w:r>
      <w:r w:rsidR="009270DC" w:rsidRPr="00010F64">
        <w:rPr>
          <w:rFonts w:ascii="Times New Roman" w:hAnsi="Times New Roman"/>
          <w:sz w:val="24"/>
        </w:rPr>
        <w:t>at [94].</w:t>
      </w:r>
    </w:p>
  </w:footnote>
  <w:footnote w:id="9">
    <w:p w14:paraId="7B0FF8FB" w14:textId="35F9817B" w:rsidR="0042195E" w:rsidRPr="00010F64" w:rsidRDefault="0042195E"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945213" w:rsidRPr="00010F64">
        <w:rPr>
          <w:rFonts w:ascii="Times New Roman" w:hAnsi="Times New Roman"/>
          <w:sz w:val="24"/>
        </w:rPr>
        <w:t xml:space="preserve">That </w:t>
      </w:r>
      <w:r w:rsidR="00A25C2E" w:rsidRPr="00010F64">
        <w:rPr>
          <w:rFonts w:ascii="Times New Roman" w:hAnsi="Times New Roman"/>
          <w:sz w:val="24"/>
        </w:rPr>
        <w:t>sub-</w:t>
      </w:r>
      <w:r w:rsidR="00945213" w:rsidRPr="00010F64">
        <w:rPr>
          <w:rFonts w:ascii="Times New Roman" w:hAnsi="Times New Roman"/>
          <w:sz w:val="24"/>
        </w:rPr>
        <w:t xml:space="preserve">section provides: </w:t>
      </w:r>
      <w:r w:rsidR="000C4B27" w:rsidRPr="00010F64">
        <w:rPr>
          <w:rFonts w:ascii="Times New Roman" w:hAnsi="Times New Roman"/>
          <w:sz w:val="24"/>
        </w:rPr>
        <w:t>"</w:t>
      </w:r>
      <w:r w:rsidR="00C02AF8" w:rsidRPr="00010F64">
        <w:rPr>
          <w:rFonts w:ascii="Times New Roman" w:hAnsi="Times New Roman"/>
          <w:sz w:val="24"/>
        </w:rPr>
        <w:t>However, the Court may, notwithstanding that it is of the opinion that the point or points raised by the appeal might be decided in favour of the appellant, dismiss the appeal if it considers that no substantial miscarriage of justice has actually occurred</w:t>
      </w:r>
      <w:r w:rsidR="00D34F7B" w:rsidRPr="00010F64">
        <w:rPr>
          <w:rFonts w:ascii="Times New Roman" w:hAnsi="Times New Roman"/>
          <w:sz w:val="24"/>
        </w:rPr>
        <w:t>.</w:t>
      </w:r>
      <w:r w:rsidR="000C4B27" w:rsidRPr="00010F64">
        <w:rPr>
          <w:rFonts w:ascii="Times New Roman" w:hAnsi="Times New Roman"/>
          <w:sz w:val="24"/>
        </w:rPr>
        <w:t>"</w:t>
      </w:r>
    </w:p>
  </w:footnote>
  <w:footnote w:id="10">
    <w:p w14:paraId="49A2CF40" w14:textId="22F6F250" w:rsidR="00F66A37" w:rsidRPr="00010F64" w:rsidRDefault="00F66A37"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Pr="00010F64">
        <w:rPr>
          <w:rFonts w:ascii="Times New Roman" w:hAnsi="Times New Roman"/>
          <w:i/>
          <w:sz w:val="24"/>
        </w:rPr>
        <w:t>Weiss v The Queen</w:t>
      </w:r>
      <w:r w:rsidRPr="00010F64">
        <w:rPr>
          <w:rFonts w:ascii="Times New Roman" w:hAnsi="Times New Roman"/>
          <w:sz w:val="24"/>
        </w:rPr>
        <w:t xml:space="preserve"> (2005) 224 CLR 300 at 317 </w:t>
      </w:r>
      <w:r w:rsidR="00102B9E" w:rsidRPr="00010F64">
        <w:rPr>
          <w:rFonts w:ascii="Times New Roman" w:hAnsi="Times New Roman"/>
          <w:sz w:val="24"/>
        </w:rPr>
        <w:t>[43]-</w:t>
      </w:r>
      <w:r w:rsidRPr="00010F64">
        <w:rPr>
          <w:rFonts w:ascii="Times New Roman" w:hAnsi="Times New Roman"/>
          <w:sz w:val="24"/>
        </w:rPr>
        <w:t>[44].</w:t>
      </w:r>
      <w:r w:rsidR="0096563F" w:rsidRPr="00010F64">
        <w:rPr>
          <w:rFonts w:ascii="Times New Roman" w:hAnsi="Times New Roman"/>
          <w:sz w:val="24"/>
        </w:rPr>
        <w:t xml:space="preserve"> See </w:t>
      </w:r>
      <w:proofErr w:type="spellStart"/>
      <w:r w:rsidR="0096563F" w:rsidRPr="00010F64">
        <w:rPr>
          <w:rFonts w:ascii="Times New Roman" w:hAnsi="Times New Roman"/>
          <w:i/>
          <w:sz w:val="24"/>
        </w:rPr>
        <w:t>Kalbasi</w:t>
      </w:r>
      <w:proofErr w:type="spellEnd"/>
      <w:r w:rsidR="0096563F" w:rsidRPr="00010F64">
        <w:rPr>
          <w:rFonts w:ascii="Times New Roman" w:hAnsi="Times New Roman"/>
          <w:i/>
          <w:sz w:val="24"/>
        </w:rPr>
        <w:t xml:space="preserve"> v Western Australia </w:t>
      </w:r>
      <w:r w:rsidR="0096563F" w:rsidRPr="00010F64">
        <w:rPr>
          <w:rFonts w:ascii="Times New Roman" w:hAnsi="Times New Roman"/>
          <w:sz w:val="24"/>
        </w:rPr>
        <w:t xml:space="preserve">(2018) 264 CLR 62 at 71 [15]. </w:t>
      </w:r>
    </w:p>
  </w:footnote>
  <w:footnote w:id="11">
    <w:p w14:paraId="5970A354" w14:textId="4F339648" w:rsidR="00062F77" w:rsidRPr="00010F64" w:rsidRDefault="00062F77"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191D7B" w:rsidRPr="00010F64">
        <w:rPr>
          <w:rFonts w:ascii="Times New Roman" w:hAnsi="Times New Roman"/>
          <w:sz w:val="24"/>
        </w:rPr>
        <w:t>(2018) 264 CLR 6</w:t>
      </w:r>
      <w:r w:rsidR="00345A0C" w:rsidRPr="00010F64">
        <w:rPr>
          <w:rFonts w:ascii="Times New Roman" w:hAnsi="Times New Roman"/>
          <w:sz w:val="24"/>
        </w:rPr>
        <w:t>2</w:t>
      </w:r>
      <w:r w:rsidR="00191D7B" w:rsidRPr="00010F64">
        <w:rPr>
          <w:rFonts w:ascii="Times New Roman" w:hAnsi="Times New Roman"/>
          <w:sz w:val="24"/>
        </w:rPr>
        <w:t xml:space="preserve"> at 71 [15].</w:t>
      </w:r>
    </w:p>
  </w:footnote>
  <w:footnote w:id="12">
    <w:p w14:paraId="54C92BBE" w14:textId="26673ADE" w:rsidR="00566048" w:rsidRPr="00010F64" w:rsidRDefault="00566048"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04433A" w:rsidRPr="00010F64">
        <w:rPr>
          <w:rFonts w:ascii="Times New Roman" w:hAnsi="Times New Roman"/>
          <w:sz w:val="24"/>
        </w:rPr>
        <w:t xml:space="preserve">See </w:t>
      </w:r>
      <w:r w:rsidRPr="00010F64">
        <w:rPr>
          <w:rFonts w:ascii="Times New Roman" w:hAnsi="Times New Roman"/>
          <w:i/>
          <w:sz w:val="24"/>
        </w:rPr>
        <w:t>Castle v The Queen</w:t>
      </w:r>
      <w:r w:rsidRPr="00010F64">
        <w:rPr>
          <w:rFonts w:ascii="Times New Roman" w:hAnsi="Times New Roman"/>
          <w:sz w:val="24"/>
        </w:rPr>
        <w:t xml:space="preserve"> (2016) 259 CLR 449.</w:t>
      </w:r>
    </w:p>
  </w:footnote>
  <w:footnote w:id="13">
    <w:p w14:paraId="08DB735A" w14:textId="6EC91619" w:rsidR="00950BBC" w:rsidRPr="00010F64" w:rsidRDefault="00950BBC"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04433A" w:rsidRPr="00010F64">
        <w:rPr>
          <w:rFonts w:ascii="Times New Roman" w:hAnsi="Times New Roman"/>
          <w:sz w:val="24"/>
        </w:rPr>
        <w:t xml:space="preserve">See </w:t>
      </w:r>
      <w:r w:rsidRPr="00010F64">
        <w:rPr>
          <w:rFonts w:ascii="Times New Roman" w:hAnsi="Times New Roman"/>
          <w:i/>
          <w:sz w:val="24"/>
        </w:rPr>
        <w:t xml:space="preserve">Pollock v The Queen </w:t>
      </w:r>
      <w:r w:rsidRPr="00010F64">
        <w:rPr>
          <w:rFonts w:ascii="Times New Roman" w:hAnsi="Times New Roman"/>
          <w:sz w:val="24"/>
        </w:rPr>
        <w:t xml:space="preserve">(2010) 242 CLR 233. </w:t>
      </w:r>
    </w:p>
  </w:footnote>
  <w:footnote w:id="14">
    <w:p w14:paraId="11F3B534" w14:textId="35BCDACF" w:rsidR="00761436" w:rsidRPr="00010F64" w:rsidRDefault="00761436"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A62EC9" w:rsidRPr="00010F64">
        <w:rPr>
          <w:rFonts w:ascii="Times New Roman" w:hAnsi="Times New Roman"/>
          <w:i/>
          <w:sz w:val="24"/>
        </w:rPr>
        <w:t xml:space="preserve">Goldsmith v Sandilands </w:t>
      </w:r>
      <w:r w:rsidR="00A62EC9" w:rsidRPr="00010F64">
        <w:rPr>
          <w:rFonts w:ascii="Times New Roman" w:hAnsi="Times New Roman"/>
          <w:sz w:val="24"/>
        </w:rPr>
        <w:t xml:space="preserve">(2002) 76 ALJR 1024 at </w:t>
      </w:r>
      <w:r w:rsidR="00601147" w:rsidRPr="00010F64">
        <w:rPr>
          <w:rFonts w:ascii="Times New Roman" w:hAnsi="Times New Roman"/>
          <w:sz w:val="24"/>
        </w:rPr>
        <w:t xml:space="preserve">1025 [2]; </w:t>
      </w:r>
      <w:r w:rsidR="0048584D" w:rsidRPr="00010F64">
        <w:rPr>
          <w:rFonts w:ascii="Times New Roman" w:hAnsi="Times New Roman"/>
          <w:sz w:val="24"/>
        </w:rPr>
        <w:t xml:space="preserve">190 ALR 370 </w:t>
      </w:r>
      <w:r w:rsidR="00CF6AB3" w:rsidRPr="00010F64">
        <w:rPr>
          <w:rFonts w:ascii="Times New Roman" w:hAnsi="Times New Roman"/>
          <w:sz w:val="24"/>
        </w:rPr>
        <w:t xml:space="preserve">at 371. </w:t>
      </w:r>
    </w:p>
  </w:footnote>
  <w:footnote w:id="15">
    <w:p w14:paraId="31703468" w14:textId="0919249F" w:rsidR="00007FFA" w:rsidRPr="00010F64" w:rsidRDefault="00007FFA"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682BE6" w:rsidRPr="00010F64">
        <w:rPr>
          <w:rFonts w:ascii="Times New Roman" w:hAnsi="Times New Roman"/>
          <w:i/>
          <w:sz w:val="24"/>
        </w:rPr>
        <w:t xml:space="preserve">R v Orreal </w:t>
      </w:r>
      <w:r w:rsidR="00682BE6" w:rsidRPr="00010F64">
        <w:rPr>
          <w:rFonts w:ascii="Times New Roman" w:hAnsi="Times New Roman"/>
          <w:sz w:val="24"/>
        </w:rPr>
        <w:t xml:space="preserve">[2020] QCA 95 </w:t>
      </w:r>
      <w:r w:rsidRPr="00010F64">
        <w:rPr>
          <w:rFonts w:ascii="Times New Roman" w:hAnsi="Times New Roman"/>
          <w:sz w:val="24"/>
        </w:rPr>
        <w:t>at [10]</w:t>
      </w:r>
      <w:r w:rsidR="00402371" w:rsidRPr="00010F64">
        <w:rPr>
          <w:rFonts w:ascii="Times New Roman" w:hAnsi="Times New Roman"/>
          <w:sz w:val="24"/>
        </w:rPr>
        <w:t>-</w:t>
      </w:r>
      <w:r w:rsidRPr="00010F64">
        <w:rPr>
          <w:rFonts w:ascii="Times New Roman" w:hAnsi="Times New Roman"/>
          <w:sz w:val="24"/>
        </w:rPr>
        <w:t>[12].</w:t>
      </w:r>
    </w:p>
  </w:footnote>
  <w:footnote w:id="16">
    <w:p w14:paraId="29CFD97C" w14:textId="07A96BE1" w:rsidR="0054775A" w:rsidRPr="00010F64" w:rsidRDefault="0054775A"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EA424E" w:rsidRPr="00010F64">
        <w:rPr>
          <w:rFonts w:ascii="Times New Roman" w:hAnsi="Times New Roman"/>
          <w:i/>
          <w:sz w:val="24"/>
        </w:rPr>
        <w:t xml:space="preserve">R v Orreal </w:t>
      </w:r>
      <w:r w:rsidR="00EA424E" w:rsidRPr="00010F64">
        <w:rPr>
          <w:rFonts w:ascii="Times New Roman" w:hAnsi="Times New Roman"/>
          <w:sz w:val="24"/>
        </w:rPr>
        <w:t xml:space="preserve">[2020] QCA 95 </w:t>
      </w:r>
      <w:r w:rsidR="00787CAD" w:rsidRPr="00010F64">
        <w:rPr>
          <w:rFonts w:ascii="Times New Roman" w:hAnsi="Times New Roman"/>
          <w:sz w:val="24"/>
        </w:rPr>
        <w:t xml:space="preserve">at [13], referring to </w:t>
      </w:r>
      <w:r w:rsidR="00787CAD" w:rsidRPr="00010F64">
        <w:rPr>
          <w:rFonts w:ascii="Times New Roman" w:hAnsi="Times New Roman"/>
          <w:i/>
          <w:sz w:val="24"/>
        </w:rPr>
        <w:t xml:space="preserve">Weiss v The Queen </w:t>
      </w:r>
      <w:r w:rsidR="00FF3562" w:rsidRPr="00010F64">
        <w:rPr>
          <w:rFonts w:ascii="Times New Roman" w:hAnsi="Times New Roman"/>
          <w:sz w:val="24"/>
        </w:rPr>
        <w:t>(2005) 224 CLR 300</w:t>
      </w:r>
      <w:r w:rsidR="00787CAD" w:rsidRPr="00010F64">
        <w:rPr>
          <w:rFonts w:ascii="Times New Roman" w:hAnsi="Times New Roman"/>
          <w:sz w:val="24"/>
        </w:rPr>
        <w:t xml:space="preserve"> at </w:t>
      </w:r>
      <w:r w:rsidR="007C452C" w:rsidRPr="00010F64">
        <w:rPr>
          <w:rFonts w:ascii="Times New Roman" w:hAnsi="Times New Roman"/>
          <w:sz w:val="24"/>
        </w:rPr>
        <w:t xml:space="preserve">315-316 </w:t>
      </w:r>
      <w:r w:rsidR="00EF5DD1" w:rsidRPr="00010F64">
        <w:rPr>
          <w:rFonts w:ascii="Times New Roman" w:hAnsi="Times New Roman"/>
          <w:sz w:val="24"/>
        </w:rPr>
        <w:t xml:space="preserve">[40] </w:t>
      </w:r>
      <w:r w:rsidR="00FF3562" w:rsidRPr="00010F64">
        <w:rPr>
          <w:rFonts w:ascii="Times New Roman" w:hAnsi="Times New Roman"/>
          <w:sz w:val="24"/>
        </w:rPr>
        <w:t xml:space="preserve">citing </w:t>
      </w:r>
      <w:r w:rsidR="00FF3562" w:rsidRPr="00010F64">
        <w:rPr>
          <w:rFonts w:ascii="Times New Roman" w:hAnsi="Times New Roman"/>
          <w:i/>
          <w:sz w:val="24"/>
        </w:rPr>
        <w:t xml:space="preserve">Fox v Percy </w:t>
      </w:r>
      <w:r w:rsidR="00FF3562" w:rsidRPr="00010F64">
        <w:rPr>
          <w:rFonts w:ascii="Times New Roman" w:hAnsi="Times New Roman"/>
          <w:sz w:val="24"/>
        </w:rPr>
        <w:t>(2003) 214 CLR 118 at</w:t>
      </w:r>
      <w:r w:rsidR="00EF5DD1" w:rsidRPr="00010F64">
        <w:rPr>
          <w:rFonts w:ascii="Times New Roman" w:hAnsi="Times New Roman"/>
          <w:sz w:val="24"/>
        </w:rPr>
        <w:t xml:space="preserve"> </w:t>
      </w:r>
      <w:r w:rsidR="00787CAD" w:rsidRPr="00010F64">
        <w:rPr>
          <w:rFonts w:ascii="Times New Roman" w:hAnsi="Times New Roman"/>
          <w:sz w:val="24"/>
        </w:rPr>
        <w:t>125-126 [23].</w:t>
      </w:r>
    </w:p>
  </w:footnote>
  <w:footnote w:id="17">
    <w:p w14:paraId="66B0DB72" w14:textId="6AD7E69A" w:rsidR="006C5671" w:rsidRPr="00010F64" w:rsidRDefault="006C5671"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3965C4" w:rsidRPr="00010F64">
        <w:rPr>
          <w:rFonts w:ascii="Times New Roman" w:hAnsi="Times New Roman"/>
          <w:sz w:val="24"/>
        </w:rPr>
        <w:t xml:space="preserve">(2021) </w:t>
      </w:r>
      <w:r w:rsidR="001C5425" w:rsidRPr="00010F64">
        <w:rPr>
          <w:rFonts w:ascii="Times New Roman" w:hAnsi="Times New Roman"/>
          <w:sz w:val="24"/>
        </w:rPr>
        <w:t>95 ALJR 937 at 952 [61]</w:t>
      </w:r>
      <w:r w:rsidRPr="00010F64">
        <w:rPr>
          <w:rFonts w:ascii="Times New Roman" w:hAnsi="Times New Roman"/>
          <w:sz w:val="24"/>
        </w:rPr>
        <w:t>.</w:t>
      </w:r>
    </w:p>
  </w:footnote>
  <w:footnote w:id="18">
    <w:p w14:paraId="33E6011F" w14:textId="1E84E8CC" w:rsidR="00B901C0" w:rsidRPr="00010F64" w:rsidRDefault="00B901C0"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Pr="00010F64">
        <w:rPr>
          <w:rFonts w:ascii="Times New Roman" w:hAnsi="Times New Roman"/>
          <w:i/>
          <w:sz w:val="24"/>
        </w:rPr>
        <w:t>Pell v The Queen</w:t>
      </w:r>
      <w:r w:rsidRPr="00010F64">
        <w:rPr>
          <w:rFonts w:ascii="Times New Roman" w:hAnsi="Times New Roman"/>
          <w:sz w:val="24"/>
        </w:rPr>
        <w:t xml:space="preserve"> (</w:t>
      </w:r>
      <w:r w:rsidR="007214DA" w:rsidRPr="00010F64">
        <w:rPr>
          <w:rFonts w:ascii="Times New Roman" w:hAnsi="Times New Roman"/>
          <w:sz w:val="24"/>
        </w:rPr>
        <w:t>2020</w:t>
      </w:r>
      <w:r w:rsidRPr="00010F64">
        <w:rPr>
          <w:rFonts w:ascii="Times New Roman" w:hAnsi="Times New Roman"/>
          <w:sz w:val="24"/>
        </w:rPr>
        <w:t>)</w:t>
      </w:r>
      <w:r w:rsidR="00E91D31" w:rsidRPr="00010F64">
        <w:rPr>
          <w:rFonts w:ascii="Times New Roman" w:hAnsi="Times New Roman"/>
          <w:sz w:val="24"/>
        </w:rPr>
        <w:t xml:space="preserve"> 268 </w:t>
      </w:r>
      <w:r w:rsidR="00F350A4" w:rsidRPr="00010F64">
        <w:rPr>
          <w:rFonts w:ascii="Times New Roman" w:hAnsi="Times New Roman"/>
          <w:sz w:val="24"/>
        </w:rPr>
        <w:t>CLR 123 at 144-145</w:t>
      </w:r>
      <w:r w:rsidR="00F40D34" w:rsidRPr="00010F64">
        <w:rPr>
          <w:rFonts w:ascii="Times New Roman" w:hAnsi="Times New Roman"/>
          <w:sz w:val="24"/>
        </w:rPr>
        <w:t xml:space="preserve"> </w:t>
      </w:r>
      <w:r w:rsidRPr="00010F64">
        <w:rPr>
          <w:rFonts w:ascii="Times New Roman" w:hAnsi="Times New Roman"/>
          <w:sz w:val="24"/>
        </w:rPr>
        <w:t>[37].</w:t>
      </w:r>
    </w:p>
  </w:footnote>
  <w:footnote w:id="19">
    <w:p w14:paraId="630552DD" w14:textId="4923AFA8" w:rsidR="000A76DF" w:rsidRPr="00010F64" w:rsidRDefault="000A76DF" w:rsidP="00010F64">
      <w:pPr>
        <w:pStyle w:val="FootnoteText"/>
        <w:spacing w:line="280" w:lineRule="exact"/>
        <w:ind w:right="0"/>
        <w:jc w:val="both"/>
        <w:rPr>
          <w:rFonts w:ascii="Times New Roman" w:hAnsi="Times New Roman"/>
          <w:sz w:val="24"/>
        </w:rPr>
      </w:pPr>
      <w:r w:rsidRPr="00010F64">
        <w:rPr>
          <w:rStyle w:val="FootnoteReference"/>
          <w:rFonts w:ascii="Times New Roman" w:hAnsi="Times New Roman"/>
          <w:sz w:val="22"/>
          <w:vertAlign w:val="baseline"/>
        </w:rPr>
        <w:footnoteRef/>
      </w:r>
      <w:r w:rsidRPr="00010F64">
        <w:rPr>
          <w:rFonts w:ascii="Times New Roman" w:hAnsi="Times New Roman"/>
          <w:sz w:val="24"/>
        </w:rPr>
        <w:t xml:space="preserve"> </w:t>
      </w:r>
      <w:r w:rsidRPr="00010F64">
        <w:rPr>
          <w:rFonts w:ascii="Times New Roman" w:hAnsi="Times New Roman"/>
          <w:sz w:val="24"/>
        </w:rPr>
        <w:tab/>
      </w:r>
      <w:r w:rsidR="001137A9" w:rsidRPr="00010F64">
        <w:rPr>
          <w:rFonts w:ascii="Times New Roman" w:hAnsi="Times New Roman"/>
          <w:i/>
          <w:sz w:val="24"/>
        </w:rPr>
        <w:t xml:space="preserve">R v Orreal </w:t>
      </w:r>
      <w:r w:rsidR="001137A9" w:rsidRPr="00010F64">
        <w:rPr>
          <w:rFonts w:ascii="Times New Roman" w:hAnsi="Times New Roman"/>
          <w:sz w:val="24"/>
        </w:rPr>
        <w:t xml:space="preserve">[2020] QCA 95 </w:t>
      </w:r>
      <w:r w:rsidRPr="00010F64">
        <w:rPr>
          <w:rFonts w:ascii="Times New Roman" w:hAnsi="Times New Roman"/>
          <w:sz w:val="24"/>
        </w:rPr>
        <w:t>at [27] per Mullins JA</w:t>
      </w:r>
      <w:r w:rsidR="00055C08" w:rsidRPr="00010F64">
        <w:rPr>
          <w:rFonts w:ascii="Times New Roman" w:hAnsi="Times New Roman"/>
          <w:sz w:val="24"/>
        </w:rPr>
        <w:t>,</w:t>
      </w:r>
      <w:r w:rsidR="005512F1" w:rsidRPr="00010F64">
        <w:rPr>
          <w:rFonts w:ascii="Times New Roman" w:hAnsi="Times New Roman"/>
          <w:sz w:val="24"/>
        </w:rPr>
        <w:t xml:space="preserve"> </w:t>
      </w:r>
      <w:r w:rsidRPr="00010F64">
        <w:rPr>
          <w:rFonts w:ascii="Times New Roman" w:hAnsi="Times New Roman"/>
          <w:sz w:val="24"/>
        </w:rPr>
        <w:t>[102] per Bond J.</w:t>
      </w:r>
    </w:p>
  </w:footnote>
  <w:footnote w:id="20">
    <w:p w14:paraId="2DC9B360"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 at [20].</w:t>
      </w:r>
    </w:p>
  </w:footnote>
  <w:footnote w:id="21">
    <w:p w14:paraId="2DF333AE"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 at [22], [24].</w:t>
      </w:r>
    </w:p>
  </w:footnote>
  <w:footnote w:id="22">
    <w:p w14:paraId="661270D3"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w:t>
      </w:r>
      <w:r w:rsidRPr="00DC399F" w:rsidDel="00EA4F62">
        <w:rPr>
          <w:rFonts w:ascii="Times New Roman" w:hAnsi="Times New Roman"/>
          <w:sz w:val="24"/>
        </w:rPr>
        <w:t xml:space="preserve"> </w:t>
      </w:r>
      <w:r w:rsidRPr="00DC399F">
        <w:rPr>
          <w:rFonts w:ascii="Times New Roman" w:hAnsi="Times New Roman"/>
          <w:sz w:val="24"/>
        </w:rPr>
        <w:t>at [10], [29], [94].</w:t>
      </w:r>
    </w:p>
  </w:footnote>
  <w:footnote w:id="23">
    <w:p w14:paraId="6C7F4DF4"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w:t>
      </w:r>
      <w:r w:rsidRPr="00DC399F" w:rsidDel="00EA4F62">
        <w:rPr>
          <w:rFonts w:ascii="Times New Roman" w:hAnsi="Times New Roman"/>
          <w:sz w:val="24"/>
        </w:rPr>
        <w:t xml:space="preserve"> </w:t>
      </w:r>
      <w:r w:rsidRPr="00DC399F">
        <w:rPr>
          <w:rFonts w:ascii="Times New Roman" w:hAnsi="Times New Roman"/>
          <w:sz w:val="24"/>
        </w:rPr>
        <w:t>at [56].</w:t>
      </w:r>
    </w:p>
  </w:footnote>
  <w:footnote w:id="24">
    <w:p w14:paraId="6ADE7AC8"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t xml:space="preserve">See </w:t>
      </w:r>
      <w:r w:rsidRPr="00DC399F">
        <w:rPr>
          <w:rFonts w:ascii="Times New Roman" w:hAnsi="Times New Roman"/>
          <w:i/>
          <w:sz w:val="24"/>
        </w:rPr>
        <w:t>Criminal Law (Sexual Offences) Act 1978 </w:t>
      </w:r>
      <w:r w:rsidRPr="00DC399F">
        <w:rPr>
          <w:rFonts w:ascii="Times New Roman" w:hAnsi="Times New Roman"/>
          <w:sz w:val="24"/>
        </w:rPr>
        <w:t>(Qld), s 4.</w:t>
      </w:r>
    </w:p>
  </w:footnote>
  <w:footnote w:id="25">
    <w:p w14:paraId="74192F48"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w:t>
      </w:r>
      <w:r w:rsidRPr="00DC399F" w:rsidDel="00A62D2D">
        <w:rPr>
          <w:rFonts w:ascii="Times New Roman" w:hAnsi="Times New Roman"/>
          <w:sz w:val="24"/>
        </w:rPr>
        <w:t xml:space="preserve"> </w:t>
      </w:r>
      <w:r w:rsidRPr="00DC399F">
        <w:rPr>
          <w:rFonts w:ascii="Times New Roman" w:hAnsi="Times New Roman"/>
          <w:sz w:val="24"/>
        </w:rPr>
        <w:t>at [18], [29], [99], [102].</w:t>
      </w:r>
    </w:p>
  </w:footnote>
  <w:footnote w:id="26">
    <w:p w14:paraId="0537DB44"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w:t>
      </w:r>
      <w:r w:rsidRPr="00DC399F" w:rsidDel="00585ECA">
        <w:rPr>
          <w:rFonts w:ascii="Times New Roman" w:hAnsi="Times New Roman"/>
          <w:sz w:val="24"/>
        </w:rPr>
        <w:t xml:space="preserve"> </w:t>
      </w:r>
      <w:r w:rsidRPr="00DC399F">
        <w:rPr>
          <w:rFonts w:ascii="Times New Roman" w:hAnsi="Times New Roman"/>
          <w:sz w:val="24"/>
        </w:rPr>
        <w:t>at [99].</w:t>
      </w:r>
    </w:p>
  </w:footnote>
  <w:footnote w:id="27">
    <w:p w14:paraId="4AE367CA"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w:t>
      </w:r>
      <w:r w:rsidRPr="00DC399F" w:rsidDel="004A047D">
        <w:rPr>
          <w:rFonts w:ascii="Times New Roman" w:hAnsi="Times New Roman"/>
          <w:sz w:val="24"/>
        </w:rPr>
        <w:t xml:space="preserve"> </w:t>
      </w:r>
      <w:r w:rsidRPr="00DC399F">
        <w:rPr>
          <w:rFonts w:ascii="Times New Roman" w:hAnsi="Times New Roman"/>
          <w:sz w:val="24"/>
        </w:rPr>
        <w:t>at [100].</w:t>
      </w:r>
    </w:p>
  </w:footnote>
  <w:footnote w:id="28">
    <w:p w14:paraId="1111910B"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 at [102].</w:t>
      </w:r>
    </w:p>
  </w:footnote>
  <w:footnote w:id="29">
    <w:p w14:paraId="69F6129C"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 at [27].</w:t>
      </w:r>
    </w:p>
  </w:footnote>
  <w:footnote w:id="30">
    <w:p w14:paraId="2034CCAE"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w:t>
      </w:r>
      <w:r w:rsidRPr="00DC399F" w:rsidDel="008C7579">
        <w:rPr>
          <w:rFonts w:ascii="Times New Roman" w:hAnsi="Times New Roman"/>
          <w:sz w:val="24"/>
        </w:rPr>
        <w:t xml:space="preserve"> </w:t>
      </w:r>
      <w:r w:rsidRPr="00DC399F">
        <w:rPr>
          <w:rFonts w:ascii="Times New Roman" w:hAnsi="Times New Roman"/>
          <w:sz w:val="24"/>
        </w:rPr>
        <w:t>at [27].</w:t>
      </w:r>
    </w:p>
  </w:footnote>
  <w:footnote w:id="31">
    <w:p w14:paraId="249CF92B"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w:t>
      </w:r>
      <w:r w:rsidRPr="00DC399F" w:rsidDel="00C572D2">
        <w:rPr>
          <w:rFonts w:ascii="Times New Roman" w:hAnsi="Times New Roman"/>
          <w:sz w:val="24"/>
        </w:rPr>
        <w:t xml:space="preserve"> </w:t>
      </w:r>
      <w:r w:rsidRPr="00DC399F">
        <w:rPr>
          <w:rFonts w:ascii="Times New Roman" w:hAnsi="Times New Roman"/>
          <w:sz w:val="24"/>
        </w:rPr>
        <w:t>at [28].</w:t>
      </w:r>
    </w:p>
  </w:footnote>
  <w:footnote w:id="32">
    <w:p w14:paraId="350FA4D0"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w:t>
      </w:r>
      <w:r w:rsidRPr="00DC399F" w:rsidDel="00C572D2">
        <w:rPr>
          <w:rFonts w:ascii="Times New Roman" w:hAnsi="Times New Roman"/>
          <w:sz w:val="24"/>
        </w:rPr>
        <w:t xml:space="preserve"> </w:t>
      </w:r>
      <w:r w:rsidRPr="00DC399F">
        <w:rPr>
          <w:rFonts w:ascii="Times New Roman" w:hAnsi="Times New Roman"/>
          <w:sz w:val="24"/>
        </w:rPr>
        <w:t>at [12].</w:t>
      </w:r>
    </w:p>
  </w:footnote>
  <w:footnote w:id="33">
    <w:p w14:paraId="34329043"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R v Orreal </w:t>
      </w:r>
      <w:r w:rsidRPr="00DC399F">
        <w:rPr>
          <w:rFonts w:ascii="Times New Roman" w:hAnsi="Times New Roman"/>
          <w:sz w:val="24"/>
        </w:rPr>
        <w:t>[2020] QCA 95</w:t>
      </w:r>
      <w:r w:rsidRPr="00DC399F" w:rsidDel="00C572D2">
        <w:rPr>
          <w:rFonts w:ascii="Times New Roman" w:hAnsi="Times New Roman"/>
          <w:sz w:val="24"/>
        </w:rPr>
        <w:t xml:space="preserve"> </w:t>
      </w:r>
      <w:r w:rsidRPr="00DC399F">
        <w:rPr>
          <w:rFonts w:ascii="Times New Roman" w:hAnsi="Times New Roman"/>
          <w:sz w:val="24"/>
        </w:rPr>
        <w:t>at [16].</w:t>
      </w:r>
    </w:p>
  </w:footnote>
  <w:footnote w:id="34">
    <w:p w14:paraId="12D525DF"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Weiss v The Queen</w:t>
      </w:r>
      <w:r w:rsidRPr="00DC399F">
        <w:rPr>
          <w:rFonts w:ascii="Times New Roman" w:hAnsi="Times New Roman"/>
          <w:sz w:val="24"/>
        </w:rPr>
        <w:t xml:space="preserve"> (2005) 224 CLR 300 at 317 [44]-[45]; </w:t>
      </w:r>
      <w:r w:rsidRPr="00DC399F">
        <w:rPr>
          <w:rFonts w:ascii="Times New Roman" w:hAnsi="Times New Roman"/>
          <w:i/>
          <w:sz w:val="24"/>
        </w:rPr>
        <w:t>Baiada Poultry Pty Ltd v The Queen</w:t>
      </w:r>
      <w:r w:rsidRPr="00DC399F">
        <w:rPr>
          <w:rFonts w:ascii="Times New Roman" w:hAnsi="Times New Roman"/>
          <w:sz w:val="24"/>
        </w:rPr>
        <w:t xml:space="preserve"> (2012) 246 CLR 92 at 104 [29]; </w:t>
      </w:r>
      <w:proofErr w:type="spellStart"/>
      <w:r w:rsidRPr="00DC399F">
        <w:rPr>
          <w:rFonts w:ascii="Times New Roman" w:hAnsi="Times New Roman"/>
          <w:i/>
          <w:sz w:val="24"/>
        </w:rPr>
        <w:t>Kalbasi</w:t>
      </w:r>
      <w:proofErr w:type="spellEnd"/>
      <w:r w:rsidRPr="00DC399F">
        <w:rPr>
          <w:rFonts w:ascii="Times New Roman" w:hAnsi="Times New Roman"/>
          <w:i/>
          <w:sz w:val="24"/>
        </w:rPr>
        <w:t xml:space="preserve"> v Western Australia</w:t>
      </w:r>
      <w:r w:rsidRPr="00DC399F">
        <w:rPr>
          <w:rFonts w:ascii="Times New Roman" w:hAnsi="Times New Roman"/>
          <w:sz w:val="24"/>
        </w:rPr>
        <w:t xml:space="preserve"> (2018) 264</w:t>
      </w:r>
      <w:r>
        <w:rPr>
          <w:rFonts w:ascii="Times New Roman" w:hAnsi="Times New Roman"/>
          <w:sz w:val="24"/>
        </w:rPr>
        <w:t> </w:t>
      </w:r>
      <w:r w:rsidRPr="00DC399F">
        <w:rPr>
          <w:rFonts w:ascii="Times New Roman" w:hAnsi="Times New Roman"/>
          <w:sz w:val="24"/>
        </w:rPr>
        <w:t xml:space="preserve">CLR 62 at 69-70 [12]-[13]; </w:t>
      </w:r>
      <w:r w:rsidRPr="00DC399F">
        <w:rPr>
          <w:rFonts w:ascii="Times New Roman" w:hAnsi="Times New Roman"/>
          <w:i/>
          <w:sz w:val="24"/>
        </w:rPr>
        <w:t>Lane v The Queen</w:t>
      </w:r>
      <w:r w:rsidRPr="00DC399F">
        <w:rPr>
          <w:rFonts w:ascii="Times New Roman" w:hAnsi="Times New Roman"/>
          <w:sz w:val="24"/>
        </w:rPr>
        <w:t xml:space="preserve"> (2018) 265 CLR 196 at 206-207 [38]; </w:t>
      </w:r>
      <w:r w:rsidRPr="00DC399F">
        <w:rPr>
          <w:rFonts w:ascii="Times New Roman" w:hAnsi="Times New Roman"/>
          <w:i/>
          <w:sz w:val="24"/>
        </w:rPr>
        <w:t>Hofer v The Queen</w:t>
      </w:r>
      <w:r w:rsidRPr="00DC399F">
        <w:rPr>
          <w:rFonts w:ascii="Times New Roman" w:hAnsi="Times New Roman"/>
          <w:sz w:val="24"/>
        </w:rPr>
        <w:t xml:space="preserve"> (2021) 95 ALJR 937 at 951 [59], 955-956 [84], 965 [131]</w:t>
      </w:r>
      <w:r>
        <w:rPr>
          <w:rFonts w:ascii="Times New Roman" w:hAnsi="Times New Roman"/>
          <w:sz w:val="24"/>
        </w:rPr>
        <w:noBreakHyphen/>
      </w:r>
      <w:r w:rsidRPr="00DC399F">
        <w:rPr>
          <w:rFonts w:ascii="Times New Roman" w:hAnsi="Times New Roman"/>
          <w:sz w:val="24"/>
        </w:rPr>
        <w:t>[132].</w:t>
      </w:r>
    </w:p>
  </w:footnote>
  <w:footnote w:id="35">
    <w:p w14:paraId="161A9316"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proofErr w:type="spellStart"/>
      <w:r w:rsidRPr="00DC399F">
        <w:rPr>
          <w:rFonts w:ascii="Times New Roman" w:hAnsi="Times New Roman"/>
          <w:i/>
          <w:sz w:val="24"/>
        </w:rPr>
        <w:t>Kalbasi</w:t>
      </w:r>
      <w:proofErr w:type="spellEnd"/>
      <w:r w:rsidRPr="00DC399F">
        <w:rPr>
          <w:rFonts w:ascii="Times New Roman" w:hAnsi="Times New Roman"/>
          <w:sz w:val="24"/>
        </w:rPr>
        <w:t xml:space="preserve"> </w:t>
      </w:r>
      <w:r w:rsidRPr="00DC399F">
        <w:rPr>
          <w:rFonts w:ascii="Times New Roman" w:hAnsi="Times New Roman"/>
          <w:i/>
          <w:sz w:val="24"/>
        </w:rPr>
        <w:t>v Western Australia</w:t>
      </w:r>
      <w:r w:rsidRPr="00DC399F">
        <w:rPr>
          <w:rFonts w:ascii="Times New Roman" w:hAnsi="Times New Roman"/>
          <w:sz w:val="24"/>
        </w:rPr>
        <w:t xml:space="preserve"> (2018) 264 CLR 62 at 71 [15]; </w:t>
      </w:r>
      <w:r w:rsidRPr="00DC399F">
        <w:rPr>
          <w:rFonts w:ascii="Times New Roman" w:hAnsi="Times New Roman"/>
          <w:i/>
          <w:sz w:val="24"/>
        </w:rPr>
        <w:t>Lane v The Queen</w:t>
      </w:r>
      <w:r w:rsidRPr="00DC399F">
        <w:rPr>
          <w:rFonts w:ascii="Times New Roman" w:hAnsi="Times New Roman"/>
          <w:sz w:val="24"/>
        </w:rPr>
        <w:t xml:space="preserve"> (2018) 265 CLR 196 at 206-207 [38]-[39]; </w:t>
      </w:r>
      <w:r w:rsidRPr="00DC399F">
        <w:rPr>
          <w:rFonts w:ascii="Times New Roman" w:hAnsi="Times New Roman"/>
          <w:i/>
          <w:sz w:val="24"/>
        </w:rPr>
        <w:t>Hofer v The Queen</w:t>
      </w:r>
      <w:r w:rsidRPr="00DC399F">
        <w:rPr>
          <w:rFonts w:ascii="Times New Roman" w:hAnsi="Times New Roman"/>
          <w:sz w:val="24"/>
        </w:rPr>
        <w:t xml:space="preserve"> (2021) 95 ALJR 937 at 951-952 [60], 965-966 [133].</w:t>
      </w:r>
    </w:p>
  </w:footnote>
  <w:footnote w:id="36">
    <w:p w14:paraId="148979E1"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 xml:space="preserve">Fox v Percy </w:t>
      </w:r>
      <w:r w:rsidRPr="00DC399F">
        <w:rPr>
          <w:rFonts w:ascii="Times New Roman" w:hAnsi="Times New Roman"/>
          <w:sz w:val="24"/>
        </w:rPr>
        <w:t xml:space="preserve">(2003) 214 CLR 118 at 125-126 [23]; </w:t>
      </w:r>
      <w:r w:rsidRPr="00DC399F">
        <w:rPr>
          <w:rFonts w:ascii="Times New Roman" w:hAnsi="Times New Roman"/>
          <w:i/>
          <w:sz w:val="24"/>
        </w:rPr>
        <w:t>Weiss v The Queen</w:t>
      </w:r>
      <w:r w:rsidRPr="00DC399F">
        <w:rPr>
          <w:rFonts w:ascii="Times New Roman" w:hAnsi="Times New Roman"/>
          <w:sz w:val="24"/>
        </w:rPr>
        <w:t xml:space="preserve"> (2005) 224 CLR 300 at 316 [41]; </w:t>
      </w:r>
      <w:r w:rsidRPr="00DC399F">
        <w:rPr>
          <w:rFonts w:ascii="Times New Roman" w:hAnsi="Times New Roman"/>
          <w:i/>
          <w:sz w:val="24"/>
        </w:rPr>
        <w:t>Castle v The Queen</w:t>
      </w:r>
      <w:r w:rsidRPr="00DC399F">
        <w:rPr>
          <w:rFonts w:ascii="Times New Roman" w:hAnsi="Times New Roman"/>
          <w:sz w:val="24"/>
        </w:rPr>
        <w:t xml:space="preserve"> (2016) 259 CLR 449 at 472-473 [65]</w:t>
      </w:r>
      <w:r>
        <w:rPr>
          <w:rFonts w:ascii="Times New Roman" w:hAnsi="Times New Roman"/>
          <w:sz w:val="24"/>
        </w:rPr>
        <w:noBreakHyphen/>
      </w:r>
      <w:r w:rsidRPr="00DC399F">
        <w:rPr>
          <w:rFonts w:ascii="Times New Roman" w:hAnsi="Times New Roman"/>
          <w:sz w:val="24"/>
        </w:rPr>
        <w:t xml:space="preserve">[68]; </w:t>
      </w:r>
      <w:proofErr w:type="spellStart"/>
      <w:r w:rsidRPr="00DC399F">
        <w:rPr>
          <w:rFonts w:ascii="Times New Roman" w:hAnsi="Times New Roman"/>
          <w:i/>
          <w:sz w:val="24"/>
        </w:rPr>
        <w:t>Kalbasi</w:t>
      </w:r>
      <w:proofErr w:type="spellEnd"/>
      <w:r w:rsidRPr="00DC399F">
        <w:rPr>
          <w:rFonts w:ascii="Times New Roman" w:hAnsi="Times New Roman"/>
          <w:i/>
          <w:sz w:val="24"/>
        </w:rPr>
        <w:t xml:space="preserve"> v Western Australia</w:t>
      </w:r>
      <w:r w:rsidRPr="00DC399F">
        <w:rPr>
          <w:rFonts w:ascii="Times New Roman" w:hAnsi="Times New Roman"/>
          <w:sz w:val="24"/>
        </w:rPr>
        <w:t xml:space="preserve"> (2018) 264 CLR 62 at 71 [15]; </w:t>
      </w:r>
      <w:r w:rsidRPr="00DC399F">
        <w:rPr>
          <w:rFonts w:ascii="Times New Roman" w:hAnsi="Times New Roman"/>
          <w:i/>
          <w:sz w:val="24"/>
        </w:rPr>
        <w:t>Hofer v The Queen</w:t>
      </w:r>
      <w:r w:rsidRPr="00DC399F">
        <w:rPr>
          <w:rFonts w:ascii="Times New Roman" w:hAnsi="Times New Roman"/>
          <w:sz w:val="24"/>
        </w:rPr>
        <w:t xml:space="preserve"> (2021) 95 ALJR 937 at 957-958 [91]-[93], 965-966 [133].</w:t>
      </w:r>
    </w:p>
  </w:footnote>
  <w:footnote w:id="37">
    <w:p w14:paraId="791559C4"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t>(2020) 268 CLR 123 at 144-145 [37]-[38].</w:t>
      </w:r>
    </w:p>
  </w:footnote>
  <w:footnote w:id="38">
    <w:p w14:paraId="4321BAC6" w14:textId="77777777" w:rsidR="002A0FCE" w:rsidRPr="00DC399F" w:rsidRDefault="002A0FCE" w:rsidP="00DC399F">
      <w:pPr>
        <w:pStyle w:val="FootnoteText"/>
        <w:spacing w:line="280" w:lineRule="exact"/>
        <w:ind w:right="0"/>
        <w:jc w:val="both"/>
        <w:rPr>
          <w:rFonts w:ascii="Times New Roman" w:hAnsi="Times New Roman"/>
          <w:sz w:val="24"/>
        </w:rPr>
      </w:pPr>
      <w:r w:rsidRPr="00DC399F">
        <w:rPr>
          <w:rStyle w:val="FootnoteReference"/>
          <w:rFonts w:ascii="Times New Roman" w:hAnsi="Times New Roman"/>
          <w:sz w:val="22"/>
          <w:vertAlign w:val="baseline"/>
        </w:rPr>
        <w:footnoteRef/>
      </w:r>
      <w:r w:rsidRPr="00DC399F">
        <w:rPr>
          <w:rFonts w:ascii="Times New Roman" w:hAnsi="Times New Roman"/>
          <w:sz w:val="24"/>
        </w:rPr>
        <w:t xml:space="preserve"> </w:t>
      </w:r>
      <w:r w:rsidRPr="00DC399F">
        <w:rPr>
          <w:rFonts w:ascii="Times New Roman" w:hAnsi="Times New Roman"/>
          <w:sz w:val="24"/>
        </w:rPr>
        <w:tab/>
      </w:r>
      <w:r w:rsidRPr="00DC399F">
        <w:rPr>
          <w:rFonts w:ascii="Times New Roman" w:hAnsi="Times New Roman"/>
          <w:i/>
          <w:sz w:val="24"/>
        </w:rPr>
        <w:t>Collins</w:t>
      </w:r>
      <w:r w:rsidRPr="00DC399F">
        <w:rPr>
          <w:rFonts w:ascii="Times New Roman" w:hAnsi="Times New Roman"/>
          <w:sz w:val="24"/>
        </w:rPr>
        <w:t xml:space="preserve"> </w:t>
      </w:r>
      <w:r w:rsidRPr="00DC399F">
        <w:rPr>
          <w:rFonts w:ascii="Times New Roman" w:hAnsi="Times New Roman"/>
          <w:i/>
          <w:sz w:val="24"/>
        </w:rPr>
        <w:t>v The Queen</w:t>
      </w:r>
      <w:r w:rsidRPr="00DC399F">
        <w:rPr>
          <w:rFonts w:ascii="Times New Roman" w:hAnsi="Times New Roman"/>
          <w:sz w:val="24"/>
        </w:rPr>
        <w:t xml:space="preserve"> (2018) 265 CLR 178 at 191-192 [36]; </w:t>
      </w:r>
      <w:r w:rsidRPr="00DC399F">
        <w:rPr>
          <w:rFonts w:ascii="Times New Roman" w:hAnsi="Times New Roman"/>
          <w:i/>
          <w:sz w:val="24"/>
        </w:rPr>
        <w:t>Hofer v The Queen</w:t>
      </w:r>
      <w:r w:rsidRPr="00DC399F">
        <w:rPr>
          <w:rFonts w:ascii="Times New Roman" w:hAnsi="Times New Roman"/>
          <w:sz w:val="24"/>
        </w:rPr>
        <w:t xml:space="preserve"> (2021) 95 ALJR 937 at 951-952 [60], 965-966 [133].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F406" w14:textId="77777777" w:rsidR="00010F64" w:rsidRPr="00D8043E" w:rsidRDefault="00010F64" w:rsidP="00D804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7AC46" w14:textId="77777777" w:rsidR="002A0FCE" w:rsidRPr="00DC399F" w:rsidRDefault="002A0FCE" w:rsidP="00DC399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370B" w14:textId="2B889772" w:rsidR="00010F64" w:rsidRPr="00D8043E" w:rsidRDefault="00D8043E" w:rsidP="00D8043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E6DB" w14:textId="7A0A3BBF" w:rsidR="008933C7" w:rsidRPr="00D8043E" w:rsidRDefault="008933C7" w:rsidP="00D80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7BB2" w14:textId="77777777" w:rsidR="00D8043E" w:rsidRPr="00010F64" w:rsidRDefault="00D8043E" w:rsidP="00010F64">
    <w:pPr>
      <w:pStyle w:val="Header"/>
      <w:tabs>
        <w:tab w:val="clear" w:pos="4153"/>
        <w:tab w:val="clear" w:pos="8306"/>
        <w:tab w:val="right" w:pos="1304"/>
      </w:tabs>
      <w:spacing w:line="280" w:lineRule="exact"/>
      <w:ind w:firstLine="0"/>
      <w:rPr>
        <w:rFonts w:ascii="Times New Roman" w:hAnsi="Times New Roman"/>
        <w:i/>
        <w:sz w:val="22"/>
      </w:rPr>
    </w:pPr>
    <w:r w:rsidRPr="00010F64">
      <w:rPr>
        <w:rFonts w:ascii="Times New Roman" w:hAnsi="Times New Roman"/>
        <w:i/>
        <w:sz w:val="22"/>
      </w:rPr>
      <w:t>Kiefel</w:t>
    </w:r>
    <w:r w:rsidRPr="00010F64">
      <w:rPr>
        <w:rFonts w:ascii="Times New Roman" w:hAnsi="Times New Roman"/>
        <w:i/>
        <w:sz w:val="22"/>
      </w:rPr>
      <w:tab/>
      <w:t>CJ</w:t>
    </w:r>
  </w:p>
  <w:p w14:paraId="3A7A2578" w14:textId="77777777" w:rsidR="00D8043E" w:rsidRDefault="00D8043E" w:rsidP="00010F6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7AFC4335" w14:textId="77777777" w:rsidR="00D8043E" w:rsidRDefault="00D8043E" w:rsidP="00010F64">
    <w:pPr>
      <w:pStyle w:val="Header"/>
      <w:tabs>
        <w:tab w:val="clear" w:pos="4153"/>
        <w:tab w:val="clear" w:pos="8306"/>
        <w:tab w:val="right" w:pos="1304"/>
      </w:tabs>
      <w:spacing w:line="280" w:lineRule="exact"/>
      <w:ind w:firstLine="0"/>
      <w:rPr>
        <w:rFonts w:ascii="Times New Roman" w:hAnsi="Times New Roman"/>
        <w:i/>
        <w:sz w:val="22"/>
      </w:rPr>
    </w:pPr>
  </w:p>
  <w:p w14:paraId="3AAB478F" w14:textId="77777777" w:rsidR="00D8043E" w:rsidRDefault="00D8043E" w:rsidP="00010F6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7E503CD" w14:textId="77777777" w:rsidR="00D8043E" w:rsidRPr="00010F64" w:rsidRDefault="00D8043E" w:rsidP="00010F6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F56E" w14:textId="77777777" w:rsidR="00D8043E" w:rsidRPr="00010F64" w:rsidRDefault="00D8043E" w:rsidP="00010F64">
    <w:pPr>
      <w:pStyle w:val="Header"/>
      <w:tabs>
        <w:tab w:val="clear" w:pos="4153"/>
        <w:tab w:val="clear" w:pos="8306"/>
        <w:tab w:val="left" w:pos="7200"/>
        <w:tab w:val="right" w:pos="8504"/>
      </w:tabs>
      <w:spacing w:line="280" w:lineRule="exact"/>
      <w:jc w:val="right"/>
      <w:rPr>
        <w:rFonts w:ascii="Times New Roman" w:hAnsi="Times New Roman"/>
        <w:i/>
        <w:sz w:val="22"/>
      </w:rPr>
    </w:pPr>
    <w:r w:rsidRPr="00010F64">
      <w:rPr>
        <w:rFonts w:ascii="Times New Roman" w:hAnsi="Times New Roman"/>
        <w:i/>
        <w:sz w:val="22"/>
      </w:rPr>
      <w:tab/>
      <w:t>Kiefel</w:t>
    </w:r>
    <w:r w:rsidRPr="00010F64">
      <w:rPr>
        <w:rFonts w:ascii="Times New Roman" w:hAnsi="Times New Roman"/>
        <w:i/>
        <w:sz w:val="22"/>
      </w:rPr>
      <w:tab/>
      <w:t>CJ</w:t>
    </w:r>
  </w:p>
  <w:p w14:paraId="729F5DD7" w14:textId="77777777" w:rsidR="00D8043E" w:rsidRDefault="00D8043E" w:rsidP="00010F6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66DFFBFC" w14:textId="77777777" w:rsidR="00D8043E" w:rsidRDefault="00D8043E" w:rsidP="00010F64">
    <w:pPr>
      <w:pStyle w:val="Header"/>
      <w:tabs>
        <w:tab w:val="clear" w:pos="4153"/>
        <w:tab w:val="clear" w:pos="8306"/>
        <w:tab w:val="left" w:pos="7200"/>
        <w:tab w:val="right" w:pos="8504"/>
      </w:tabs>
      <w:spacing w:line="280" w:lineRule="exact"/>
      <w:jc w:val="right"/>
      <w:rPr>
        <w:rFonts w:ascii="Times New Roman" w:hAnsi="Times New Roman"/>
        <w:i/>
        <w:sz w:val="22"/>
      </w:rPr>
    </w:pPr>
  </w:p>
  <w:p w14:paraId="39D2EE8E" w14:textId="77777777" w:rsidR="00D8043E" w:rsidRDefault="00D8043E" w:rsidP="00010F6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C1688A9" w14:textId="77777777" w:rsidR="00D8043E" w:rsidRPr="00010F64" w:rsidRDefault="00D8043E" w:rsidP="00010F6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D771" w14:textId="77777777" w:rsidR="00D8043E" w:rsidRDefault="00D8043E" w:rsidP="00010F64">
    <w:pPr>
      <w:pStyle w:val="Header"/>
      <w:tabs>
        <w:tab w:val="clear" w:pos="4153"/>
        <w:tab w:val="clear" w:pos="8306"/>
        <w:tab w:val="center" w:pos="1134"/>
      </w:tabs>
      <w:spacing w:line="280" w:lineRule="exact"/>
      <w:ind w:firstLine="0"/>
      <w:rPr>
        <w:rFonts w:ascii="Times New Roman" w:hAnsi="Times New Roman"/>
        <w:i/>
        <w:sz w:val="22"/>
      </w:rPr>
    </w:pPr>
  </w:p>
  <w:p w14:paraId="0ED2F1FB" w14:textId="77777777" w:rsidR="00D8043E" w:rsidRDefault="00D8043E" w:rsidP="00010F64">
    <w:pPr>
      <w:pStyle w:val="Header"/>
      <w:tabs>
        <w:tab w:val="clear" w:pos="4153"/>
        <w:tab w:val="clear" w:pos="8306"/>
        <w:tab w:val="center" w:pos="1134"/>
      </w:tabs>
      <w:spacing w:line="280" w:lineRule="exact"/>
      <w:ind w:firstLine="0"/>
      <w:rPr>
        <w:rFonts w:ascii="Times New Roman" w:hAnsi="Times New Roman"/>
        <w:i/>
        <w:sz w:val="22"/>
      </w:rPr>
    </w:pPr>
  </w:p>
  <w:p w14:paraId="4D99DB30" w14:textId="77777777" w:rsidR="00D8043E" w:rsidRDefault="00D8043E" w:rsidP="00010F64">
    <w:pPr>
      <w:pStyle w:val="Header"/>
      <w:tabs>
        <w:tab w:val="clear" w:pos="4153"/>
        <w:tab w:val="clear" w:pos="8306"/>
        <w:tab w:val="center" w:pos="1134"/>
      </w:tabs>
      <w:spacing w:line="280" w:lineRule="exact"/>
      <w:ind w:firstLine="0"/>
      <w:rPr>
        <w:rFonts w:ascii="Times New Roman" w:hAnsi="Times New Roman"/>
        <w:i/>
        <w:sz w:val="22"/>
      </w:rPr>
    </w:pPr>
  </w:p>
  <w:p w14:paraId="227A9256" w14:textId="77777777" w:rsidR="00D8043E" w:rsidRDefault="00D8043E" w:rsidP="00010F64">
    <w:pPr>
      <w:pStyle w:val="Header"/>
      <w:tabs>
        <w:tab w:val="clear" w:pos="4153"/>
        <w:tab w:val="clear" w:pos="8306"/>
        <w:tab w:val="center" w:pos="1134"/>
      </w:tabs>
      <w:spacing w:line="280" w:lineRule="exact"/>
      <w:ind w:firstLine="0"/>
      <w:rPr>
        <w:rFonts w:ascii="Times New Roman" w:hAnsi="Times New Roman"/>
        <w:i/>
        <w:sz w:val="22"/>
      </w:rPr>
    </w:pPr>
  </w:p>
  <w:p w14:paraId="534CB52C" w14:textId="77777777" w:rsidR="00D8043E" w:rsidRPr="00010F64" w:rsidRDefault="00D8043E" w:rsidP="00010F6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2077" w14:textId="77777777" w:rsidR="00DC399F" w:rsidRPr="00DC399F" w:rsidRDefault="002A0FCE" w:rsidP="00DC399F">
    <w:pPr>
      <w:pStyle w:val="Header"/>
      <w:tabs>
        <w:tab w:val="clear" w:pos="4153"/>
        <w:tab w:val="clear" w:pos="8306"/>
        <w:tab w:val="right" w:pos="1304"/>
      </w:tabs>
      <w:spacing w:line="280" w:lineRule="exact"/>
      <w:ind w:firstLine="0"/>
      <w:rPr>
        <w:rFonts w:ascii="Times New Roman" w:hAnsi="Times New Roman"/>
        <w:i/>
        <w:sz w:val="22"/>
      </w:rPr>
    </w:pPr>
    <w:r w:rsidRPr="00DC399F">
      <w:rPr>
        <w:rFonts w:ascii="Times New Roman" w:hAnsi="Times New Roman"/>
        <w:i/>
        <w:sz w:val="22"/>
      </w:rPr>
      <w:t>Gordon</w:t>
    </w:r>
    <w:r w:rsidRPr="00DC399F">
      <w:rPr>
        <w:rFonts w:ascii="Times New Roman" w:hAnsi="Times New Roman"/>
        <w:i/>
        <w:sz w:val="22"/>
      </w:rPr>
      <w:tab/>
      <w:t>J</w:t>
    </w:r>
  </w:p>
  <w:p w14:paraId="2C75233D" w14:textId="77777777" w:rsidR="00DC399F" w:rsidRPr="00DC399F" w:rsidRDefault="002A0FCE" w:rsidP="00DC399F">
    <w:pPr>
      <w:pStyle w:val="Header"/>
      <w:tabs>
        <w:tab w:val="clear" w:pos="4153"/>
        <w:tab w:val="clear" w:pos="8306"/>
        <w:tab w:val="right" w:pos="1304"/>
      </w:tabs>
      <w:spacing w:line="280" w:lineRule="exact"/>
      <w:ind w:firstLine="0"/>
      <w:rPr>
        <w:rFonts w:ascii="Times New Roman" w:hAnsi="Times New Roman"/>
        <w:i/>
        <w:sz w:val="22"/>
      </w:rPr>
    </w:pPr>
    <w:r w:rsidRPr="00DC399F">
      <w:rPr>
        <w:rFonts w:ascii="Times New Roman" w:hAnsi="Times New Roman"/>
        <w:i/>
        <w:sz w:val="22"/>
      </w:rPr>
      <w:t>Steward</w:t>
    </w:r>
    <w:r w:rsidRPr="00DC399F">
      <w:rPr>
        <w:rFonts w:ascii="Times New Roman" w:hAnsi="Times New Roman"/>
        <w:i/>
        <w:sz w:val="22"/>
      </w:rPr>
      <w:tab/>
      <w:t>J</w:t>
    </w:r>
  </w:p>
  <w:p w14:paraId="24D5A2DF" w14:textId="77777777" w:rsidR="00DC399F" w:rsidRDefault="002A0FCE" w:rsidP="00DC399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2D5FF9B" w14:textId="77777777" w:rsidR="00DC399F" w:rsidRDefault="00D8043E" w:rsidP="00DC399F">
    <w:pPr>
      <w:pStyle w:val="Header"/>
      <w:tabs>
        <w:tab w:val="clear" w:pos="4153"/>
        <w:tab w:val="clear" w:pos="8306"/>
        <w:tab w:val="right" w:pos="1304"/>
      </w:tabs>
      <w:spacing w:line="280" w:lineRule="exact"/>
      <w:ind w:firstLine="0"/>
      <w:rPr>
        <w:rFonts w:ascii="Times New Roman" w:hAnsi="Times New Roman"/>
        <w:i/>
        <w:sz w:val="22"/>
      </w:rPr>
    </w:pPr>
  </w:p>
  <w:p w14:paraId="56BBB8CC" w14:textId="77777777" w:rsidR="00DC399F" w:rsidRDefault="002A0FCE" w:rsidP="00DC399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AAD3BA1" w14:textId="77777777" w:rsidR="00DC399F" w:rsidRPr="00DC399F" w:rsidRDefault="00D8043E" w:rsidP="00DC399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63E1" w14:textId="77777777" w:rsidR="00DC399F" w:rsidRPr="00DC399F" w:rsidRDefault="002A0FCE" w:rsidP="00DC399F">
    <w:pPr>
      <w:pStyle w:val="Header"/>
      <w:tabs>
        <w:tab w:val="clear" w:pos="4153"/>
        <w:tab w:val="clear" w:pos="8306"/>
        <w:tab w:val="left" w:pos="7200"/>
        <w:tab w:val="right" w:pos="8504"/>
      </w:tabs>
      <w:spacing w:line="280" w:lineRule="exact"/>
      <w:jc w:val="right"/>
      <w:rPr>
        <w:rFonts w:ascii="Times New Roman" w:hAnsi="Times New Roman"/>
        <w:i/>
        <w:sz w:val="22"/>
      </w:rPr>
    </w:pPr>
    <w:r w:rsidRPr="00DC399F">
      <w:rPr>
        <w:rFonts w:ascii="Times New Roman" w:hAnsi="Times New Roman"/>
        <w:i/>
        <w:sz w:val="22"/>
      </w:rPr>
      <w:tab/>
      <w:t>Gordon</w:t>
    </w:r>
    <w:r w:rsidRPr="00DC399F">
      <w:rPr>
        <w:rFonts w:ascii="Times New Roman" w:hAnsi="Times New Roman"/>
        <w:i/>
        <w:sz w:val="22"/>
      </w:rPr>
      <w:tab/>
      <w:t>J</w:t>
    </w:r>
  </w:p>
  <w:p w14:paraId="0FDA80B7" w14:textId="77777777" w:rsidR="00DC399F" w:rsidRPr="00DC399F" w:rsidRDefault="002A0FCE" w:rsidP="00DC399F">
    <w:pPr>
      <w:pStyle w:val="Header"/>
      <w:tabs>
        <w:tab w:val="clear" w:pos="4153"/>
        <w:tab w:val="clear" w:pos="8306"/>
        <w:tab w:val="left" w:pos="7200"/>
        <w:tab w:val="right" w:pos="8504"/>
      </w:tabs>
      <w:spacing w:line="280" w:lineRule="exact"/>
      <w:jc w:val="right"/>
      <w:rPr>
        <w:rFonts w:ascii="Times New Roman" w:hAnsi="Times New Roman"/>
        <w:i/>
        <w:sz w:val="22"/>
      </w:rPr>
    </w:pPr>
    <w:r w:rsidRPr="00DC399F">
      <w:rPr>
        <w:rFonts w:ascii="Times New Roman" w:hAnsi="Times New Roman"/>
        <w:i/>
        <w:sz w:val="22"/>
      </w:rPr>
      <w:tab/>
      <w:t>Steward</w:t>
    </w:r>
    <w:r w:rsidRPr="00DC399F">
      <w:rPr>
        <w:rFonts w:ascii="Times New Roman" w:hAnsi="Times New Roman"/>
        <w:i/>
        <w:sz w:val="22"/>
      </w:rPr>
      <w:tab/>
      <w:t>J</w:t>
    </w:r>
  </w:p>
  <w:p w14:paraId="4C889504" w14:textId="77777777" w:rsidR="00DC399F" w:rsidRDefault="002A0FCE" w:rsidP="00DC399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EC99E8F" w14:textId="77777777" w:rsidR="00DC399F" w:rsidRDefault="00D8043E" w:rsidP="00DC399F">
    <w:pPr>
      <w:pStyle w:val="Header"/>
      <w:tabs>
        <w:tab w:val="clear" w:pos="4153"/>
        <w:tab w:val="clear" w:pos="8306"/>
        <w:tab w:val="left" w:pos="7200"/>
        <w:tab w:val="right" w:pos="8504"/>
      </w:tabs>
      <w:spacing w:line="280" w:lineRule="exact"/>
      <w:jc w:val="right"/>
      <w:rPr>
        <w:rFonts w:ascii="Times New Roman" w:hAnsi="Times New Roman"/>
        <w:i/>
        <w:sz w:val="22"/>
      </w:rPr>
    </w:pPr>
  </w:p>
  <w:p w14:paraId="07D4A134" w14:textId="77777777" w:rsidR="00DC399F" w:rsidRDefault="002A0FCE" w:rsidP="00DC399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33905C9" w14:textId="77777777" w:rsidR="00DC399F" w:rsidRPr="00DC399F" w:rsidRDefault="00D8043E" w:rsidP="00DC399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CE7C" w14:textId="77777777" w:rsidR="00DC399F" w:rsidRDefault="00D8043E" w:rsidP="00DC399F">
    <w:pPr>
      <w:pStyle w:val="Header"/>
      <w:tabs>
        <w:tab w:val="clear" w:pos="4153"/>
        <w:tab w:val="clear" w:pos="8306"/>
        <w:tab w:val="center" w:pos="1134"/>
      </w:tabs>
      <w:spacing w:line="280" w:lineRule="exact"/>
      <w:ind w:firstLine="0"/>
      <w:rPr>
        <w:rFonts w:ascii="Times New Roman" w:hAnsi="Times New Roman"/>
        <w:i/>
        <w:sz w:val="22"/>
      </w:rPr>
    </w:pPr>
  </w:p>
  <w:p w14:paraId="4B9537A0" w14:textId="77777777" w:rsidR="00DC399F" w:rsidRDefault="00D8043E" w:rsidP="00DC399F">
    <w:pPr>
      <w:pStyle w:val="Header"/>
      <w:tabs>
        <w:tab w:val="clear" w:pos="4153"/>
        <w:tab w:val="clear" w:pos="8306"/>
        <w:tab w:val="center" w:pos="1134"/>
      </w:tabs>
      <w:spacing w:line="280" w:lineRule="exact"/>
      <w:ind w:firstLine="0"/>
      <w:rPr>
        <w:rFonts w:ascii="Times New Roman" w:hAnsi="Times New Roman"/>
        <w:i/>
        <w:sz w:val="22"/>
      </w:rPr>
    </w:pPr>
  </w:p>
  <w:p w14:paraId="3683C107" w14:textId="77777777" w:rsidR="00DC399F" w:rsidRDefault="00D8043E" w:rsidP="00DC399F">
    <w:pPr>
      <w:pStyle w:val="Header"/>
      <w:tabs>
        <w:tab w:val="clear" w:pos="4153"/>
        <w:tab w:val="clear" w:pos="8306"/>
        <w:tab w:val="center" w:pos="1134"/>
      </w:tabs>
      <w:spacing w:line="280" w:lineRule="exact"/>
      <w:ind w:firstLine="0"/>
      <w:rPr>
        <w:rFonts w:ascii="Times New Roman" w:hAnsi="Times New Roman"/>
        <w:i/>
        <w:sz w:val="22"/>
      </w:rPr>
    </w:pPr>
  </w:p>
  <w:p w14:paraId="77910374" w14:textId="77777777" w:rsidR="00DC399F" w:rsidRDefault="00D8043E" w:rsidP="00DC399F">
    <w:pPr>
      <w:pStyle w:val="Header"/>
      <w:tabs>
        <w:tab w:val="clear" w:pos="4153"/>
        <w:tab w:val="clear" w:pos="8306"/>
        <w:tab w:val="center" w:pos="1134"/>
      </w:tabs>
      <w:spacing w:line="280" w:lineRule="exact"/>
      <w:ind w:firstLine="0"/>
      <w:rPr>
        <w:rFonts w:ascii="Times New Roman" w:hAnsi="Times New Roman"/>
        <w:i/>
        <w:sz w:val="22"/>
      </w:rPr>
    </w:pPr>
  </w:p>
  <w:p w14:paraId="113E7826" w14:textId="77777777" w:rsidR="00DC399F" w:rsidRDefault="00D8043E" w:rsidP="00DC399F">
    <w:pPr>
      <w:pStyle w:val="Header"/>
      <w:tabs>
        <w:tab w:val="clear" w:pos="4153"/>
        <w:tab w:val="clear" w:pos="8306"/>
        <w:tab w:val="center" w:pos="1134"/>
      </w:tabs>
      <w:spacing w:line="280" w:lineRule="exact"/>
      <w:ind w:firstLine="0"/>
      <w:rPr>
        <w:rFonts w:ascii="Times New Roman" w:hAnsi="Times New Roman"/>
        <w:i/>
        <w:sz w:val="22"/>
      </w:rPr>
    </w:pPr>
  </w:p>
  <w:p w14:paraId="2493F8C9" w14:textId="77777777" w:rsidR="00705DCC" w:rsidRPr="00DC399F" w:rsidRDefault="00D8043E" w:rsidP="00DC399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73"/>
    <w:rsid w:val="00000CA9"/>
    <w:rsid w:val="00000FBE"/>
    <w:rsid w:val="00002069"/>
    <w:rsid w:val="00002CE6"/>
    <w:rsid w:val="0000316A"/>
    <w:rsid w:val="000049B7"/>
    <w:rsid w:val="00006965"/>
    <w:rsid w:val="0000798D"/>
    <w:rsid w:val="00007FFA"/>
    <w:rsid w:val="00010202"/>
    <w:rsid w:val="000105B3"/>
    <w:rsid w:val="00010F64"/>
    <w:rsid w:val="000118E1"/>
    <w:rsid w:val="00011BE4"/>
    <w:rsid w:val="000139C4"/>
    <w:rsid w:val="00014B34"/>
    <w:rsid w:val="000168C9"/>
    <w:rsid w:val="00016C20"/>
    <w:rsid w:val="00016DBB"/>
    <w:rsid w:val="00017144"/>
    <w:rsid w:val="00017410"/>
    <w:rsid w:val="00024CF5"/>
    <w:rsid w:val="000250AF"/>
    <w:rsid w:val="00025490"/>
    <w:rsid w:val="0002559C"/>
    <w:rsid w:val="0002561E"/>
    <w:rsid w:val="00025AEE"/>
    <w:rsid w:val="000268E1"/>
    <w:rsid w:val="00026AF8"/>
    <w:rsid w:val="0002700B"/>
    <w:rsid w:val="00030682"/>
    <w:rsid w:val="00032DD0"/>
    <w:rsid w:val="0003575A"/>
    <w:rsid w:val="000360EB"/>
    <w:rsid w:val="000360F4"/>
    <w:rsid w:val="00037561"/>
    <w:rsid w:val="00037A5F"/>
    <w:rsid w:val="00037D87"/>
    <w:rsid w:val="00040F4C"/>
    <w:rsid w:val="00043D2C"/>
    <w:rsid w:val="00043D94"/>
    <w:rsid w:val="0004433A"/>
    <w:rsid w:val="000451CB"/>
    <w:rsid w:val="00046812"/>
    <w:rsid w:val="000470B6"/>
    <w:rsid w:val="0005034E"/>
    <w:rsid w:val="00050FC9"/>
    <w:rsid w:val="00055274"/>
    <w:rsid w:val="000553B8"/>
    <w:rsid w:val="00055ACD"/>
    <w:rsid w:val="00055C08"/>
    <w:rsid w:val="00056F27"/>
    <w:rsid w:val="000573AF"/>
    <w:rsid w:val="00060E11"/>
    <w:rsid w:val="0006169E"/>
    <w:rsid w:val="00061FCC"/>
    <w:rsid w:val="000626FD"/>
    <w:rsid w:val="00062F77"/>
    <w:rsid w:val="00063CA4"/>
    <w:rsid w:val="0006432B"/>
    <w:rsid w:val="00064B70"/>
    <w:rsid w:val="000653D4"/>
    <w:rsid w:val="00066427"/>
    <w:rsid w:val="000706BA"/>
    <w:rsid w:val="00070D64"/>
    <w:rsid w:val="00071307"/>
    <w:rsid w:val="00071C35"/>
    <w:rsid w:val="00071D5A"/>
    <w:rsid w:val="00075F50"/>
    <w:rsid w:val="00080668"/>
    <w:rsid w:val="0008091E"/>
    <w:rsid w:val="00080D77"/>
    <w:rsid w:val="0008435D"/>
    <w:rsid w:val="0008558C"/>
    <w:rsid w:val="00085F13"/>
    <w:rsid w:val="000865AC"/>
    <w:rsid w:val="00087D54"/>
    <w:rsid w:val="000906F8"/>
    <w:rsid w:val="00091D85"/>
    <w:rsid w:val="000941B2"/>
    <w:rsid w:val="000A0977"/>
    <w:rsid w:val="000A0C2D"/>
    <w:rsid w:val="000A0FB0"/>
    <w:rsid w:val="000A1C23"/>
    <w:rsid w:val="000A28D4"/>
    <w:rsid w:val="000A2EB4"/>
    <w:rsid w:val="000A3DA3"/>
    <w:rsid w:val="000A63C6"/>
    <w:rsid w:val="000A76DF"/>
    <w:rsid w:val="000B06C7"/>
    <w:rsid w:val="000B1C6C"/>
    <w:rsid w:val="000B4630"/>
    <w:rsid w:val="000B497F"/>
    <w:rsid w:val="000B710D"/>
    <w:rsid w:val="000B7558"/>
    <w:rsid w:val="000C04DC"/>
    <w:rsid w:val="000C0D98"/>
    <w:rsid w:val="000C4A9A"/>
    <w:rsid w:val="000C4B27"/>
    <w:rsid w:val="000C504A"/>
    <w:rsid w:val="000D038C"/>
    <w:rsid w:val="000D0F30"/>
    <w:rsid w:val="000D25E6"/>
    <w:rsid w:val="000D38C7"/>
    <w:rsid w:val="000D4E12"/>
    <w:rsid w:val="000D559E"/>
    <w:rsid w:val="000E0515"/>
    <w:rsid w:val="000E0938"/>
    <w:rsid w:val="000E3A44"/>
    <w:rsid w:val="000E5BD4"/>
    <w:rsid w:val="000E65F7"/>
    <w:rsid w:val="000E6E80"/>
    <w:rsid w:val="000F1345"/>
    <w:rsid w:val="000F26E5"/>
    <w:rsid w:val="000F2866"/>
    <w:rsid w:val="000F2871"/>
    <w:rsid w:val="000F29BA"/>
    <w:rsid w:val="000F5881"/>
    <w:rsid w:val="001001B9"/>
    <w:rsid w:val="00101300"/>
    <w:rsid w:val="00102254"/>
    <w:rsid w:val="00102B9E"/>
    <w:rsid w:val="00102E0E"/>
    <w:rsid w:val="001043F6"/>
    <w:rsid w:val="0010634C"/>
    <w:rsid w:val="001064DA"/>
    <w:rsid w:val="0010702C"/>
    <w:rsid w:val="00107899"/>
    <w:rsid w:val="00107EC5"/>
    <w:rsid w:val="00110970"/>
    <w:rsid w:val="00110DCB"/>
    <w:rsid w:val="00111568"/>
    <w:rsid w:val="001120C0"/>
    <w:rsid w:val="00112E69"/>
    <w:rsid w:val="001137A9"/>
    <w:rsid w:val="001150BF"/>
    <w:rsid w:val="00115E01"/>
    <w:rsid w:val="00115EB0"/>
    <w:rsid w:val="00116390"/>
    <w:rsid w:val="001168F2"/>
    <w:rsid w:val="00116D0D"/>
    <w:rsid w:val="00116D18"/>
    <w:rsid w:val="001178C1"/>
    <w:rsid w:val="00117F2B"/>
    <w:rsid w:val="00120207"/>
    <w:rsid w:val="00121419"/>
    <w:rsid w:val="00123C1B"/>
    <w:rsid w:val="00125E3C"/>
    <w:rsid w:val="0012729E"/>
    <w:rsid w:val="001309F9"/>
    <w:rsid w:val="00131BFC"/>
    <w:rsid w:val="00133E7E"/>
    <w:rsid w:val="0013449F"/>
    <w:rsid w:val="0013456F"/>
    <w:rsid w:val="00136D1A"/>
    <w:rsid w:val="00142072"/>
    <w:rsid w:val="0014357A"/>
    <w:rsid w:val="001435A0"/>
    <w:rsid w:val="00143FCB"/>
    <w:rsid w:val="00145627"/>
    <w:rsid w:val="00146A41"/>
    <w:rsid w:val="0015108E"/>
    <w:rsid w:val="00151679"/>
    <w:rsid w:val="0015318E"/>
    <w:rsid w:val="00153B22"/>
    <w:rsid w:val="00153B2D"/>
    <w:rsid w:val="00155CE5"/>
    <w:rsid w:val="001570CB"/>
    <w:rsid w:val="00157241"/>
    <w:rsid w:val="00162034"/>
    <w:rsid w:val="00163D92"/>
    <w:rsid w:val="00164144"/>
    <w:rsid w:val="001650B6"/>
    <w:rsid w:val="00172ADE"/>
    <w:rsid w:val="00173247"/>
    <w:rsid w:val="00173ED4"/>
    <w:rsid w:val="00175703"/>
    <w:rsid w:val="001758DE"/>
    <w:rsid w:val="00176D25"/>
    <w:rsid w:val="00182ABA"/>
    <w:rsid w:val="001830CB"/>
    <w:rsid w:val="0018342E"/>
    <w:rsid w:val="00183A9E"/>
    <w:rsid w:val="001840C2"/>
    <w:rsid w:val="00184B46"/>
    <w:rsid w:val="001858A0"/>
    <w:rsid w:val="00185939"/>
    <w:rsid w:val="001876F6"/>
    <w:rsid w:val="00187BBF"/>
    <w:rsid w:val="00190D4E"/>
    <w:rsid w:val="00191825"/>
    <w:rsid w:val="00191D7B"/>
    <w:rsid w:val="00191E23"/>
    <w:rsid w:val="00193CD0"/>
    <w:rsid w:val="00193E1E"/>
    <w:rsid w:val="001953B1"/>
    <w:rsid w:val="0019585A"/>
    <w:rsid w:val="001963C0"/>
    <w:rsid w:val="0019758A"/>
    <w:rsid w:val="00197956"/>
    <w:rsid w:val="001A39B3"/>
    <w:rsid w:val="001A446E"/>
    <w:rsid w:val="001A5B4B"/>
    <w:rsid w:val="001A6E10"/>
    <w:rsid w:val="001A70E3"/>
    <w:rsid w:val="001B17A8"/>
    <w:rsid w:val="001B3B09"/>
    <w:rsid w:val="001B63C6"/>
    <w:rsid w:val="001B69A9"/>
    <w:rsid w:val="001B7540"/>
    <w:rsid w:val="001C0A5C"/>
    <w:rsid w:val="001C41E7"/>
    <w:rsid w:val="001C42DE"/>
    <w:rsid w:val="001C48D4"/>
    <w:rsid w:val="001C5425"/>
    <w:rsid w:val="001C7AF2"/>
    <w:rsid w:val="001C7C93"/>
    <w:rsid w:val="001D079F"/>
    <w:rsid w:val="001D1067"/>
    <w:rsid w:val="001D36CD"/>
    <w:rsid w:val="001D4144"/>
    <w:rsid w:val="001D4F49"/>
    <w:rsid w:val="001D57A1"/>
    <w:rsid w:val="001D74C3"/>
    <w:rsid w:val="001D7982"/>
    <w:rsid w:val="001E1D3D"/>
    <w:rsid w:val="001E2379"/>
    <w:rsid w:val="001E2902"/>
    <w:rsid w:val="001E44CA"/>
    <w:rsid w:val="001E47D1"/>
    <w:rsid w:val="001E6A64"/>
    <w:rsid w:val="001E75C5"/>
    <w:rsid w:val="001E7619"/>
    <w:rsid w:val="001F07DB"/>
    <w:rsid w:val="001F20B4"/>
    <w:rsid w:val="001F39B0"/>
    <w:rsid w:val="001F3F2A"/>
    <w:rsid w:val="001F4831"/>
    <w:rsid w:val="001F65FA"/>
    <w:rsid w:val="001F69C2"/>
    <w:rsid w:val="0020102C"/>
    <w:rsid w:val="002015E3"/>
    <w:rsid w:val="002025A5"/>
    <w:rsid w:val="00202F2F"/>
    <w:rsid w:val="00203067"/>
    <w:rsid w:val="002048D1"/>
    <w:rsid w:val="002048D9"/>
    <w:rsid w:val="00205026"/>
    <w:rsid w:val="00207341"/>
    <w:rsid w:val="002079CB"/>
    <w:rsid w:val="0021096E"/>
    <w:rsid w:val="00210DE8"/>
    <w:rsid w:val="002112C2"/>
    <w:rsid w:val="00211D73"/>
    <w:rsid w:val="00212A3E"/>
    <w:rsid w:val="00214BF2"/>
    <w:rsid w:val="00215A7F"/>
    <w:rsid w:val="00216522"/>
    <w:rsid w:val="00217F1B"/>
    <w:rsid w:val="00220FB6"/>
    <w:rsid w:val="00221D19"/>
    <w:rsid w:val="002249B9"/>
    <w:rsid w:val="0022666B"/>
    <w:rsid w:val="0022734D"/>
    <w:rsid w:val="002312DA"/>
    <w:rsid w:val="00232813"/>
    <w:rsid w:val="0023447F"/>
    <w:rsid w:val="002350B3"/>
    <w:rsid w:val="0023798E"/>
    <w:rsid w:val="00237D46"/>
    <w:rsid w:val="00242EE4"/>
    <w:rsid w:val="0024462E"/>
    <w:rsid w:val="00245FC5"/>
    <w:rsid w:val="002474FA"/>
    <w:rsid w:val="00251140"/>
    <w:rsid w:val="00253493"/>
    <w:rsid w:val="00254817"/>
    <w:rsid w:val="00257AFB"/>
    <w:rsid w:val="0026293D"/>
    <w:rsid w:val="00262951"/>
    <w:rsid w:val="00263A32"/>
    <w:rsid w:val="00265982"/>
    <w:rsid w:val="00265D43"/>
    <w:rsid w:val="00267356"/>
    <w:rsid w:val="00270154"/>
    <w:rsid w:val="00271F70"/>
    <w:rsid w:val="002723D6"/>
    <w:rsid w:val="0027408B"/>
    <w:rsid w:val="00276B56"/>
    <w:rsid w:val="00276D62"/>
    <w:rsid w:val="00276F53"/>
    <w:rsid w:val="00277663"/>
    <w:rsid w:val="00280C75"/>
    <w:rsid w:val="00280CE6"/>
    <w:rsid w:val="00280D85"/>
    <w:rsid w:val="00280F46"/>
    <w:rsid w:val="002819FD"/>
    <w:rsid w:val="0028583A"/>
    <w:rsid w:val="0028693E"/>
    <w:rsid w:val="00287368"/>
    <w:rsid w:val="00287873"/>
    <w:rsid w:val="00287EBB"/>
    <w:rsid w:val="00290F45"/>
    <w:rsid w:val="002916CC"/>
    <w:rsid w:val="00292603"/>
    <w:rsid w:val="0029278C"/>
    <w:rsid w:val="00292E65"/>
    <w:rsid w:val="00293912"/>
    <w:rsid w:val="00293EDE"/>
    <w:rsid w:val="0029697C"/>
    <w:rsid w:val="00297311"/>
    <w:rsid w:val="002979F1"/>
    <w:rsid w:val="00297EB6"/>
    <w:rsid w:val="002A0FCE"/>
    <w:rsid w:val="002A13E1"/>
    <w:rsid w:val="002A1F85"/>
    <w:rsid w:val="002A3248"/>
    <w:rsid w:val="002A480F"/>
    <w:rsid w:val="002A4F3F"/>
    <w:rsid w:val="002A6DA7"/>
    <w:rsid w:val="002B0846"/>
    <w:rsid w:val="002B1304"/>
    <w:rsid w:val="002B356E"/>
    <w:rsid w:val="002B726F"/>
    <w:rsid w:val="002B75FF"/>
    <w:rsid w:val="002B7601"/>
    <w:rsid w:val="002B78F7"/>
    <w:rsid w:val="002B7BA8"/>
    <w:rsid w:val="002C1866"/>
    <w:rsid w:val="002C194C"/>
    <w:rsid w:val="002C4C5B"/>
    <w:rsid w:val="002C5176"/>
    <w:rsid w:val="002C5981"/>
    <w:rsid w:val="002D0410"/>
    <w:rsid w:val="002D0899"/>
    <w:rsid w:val="002D1448"/>
    <w:rsid w:val="002D1707"/>
    <w:rsid w:val="002D17E2"/>
    <w:rsid w:val="002D27FB"/>
    <w:rsid w:val="002D3030"/>
    <w:rsid w:val="002D3F5B"/>
    <w:rsid w:val="002D5CE6"/>
    <w:rsid w:val="002D6BB1"/>
    <w:rsid w:val="002E0943"/>
    <w:rsid w:val="002E0EC8"/>
    <w:rsid w:val="002E278F"/>
    <w:rsid w:val="002E3B4D"/>
    <w:rsid w:val="002E3FB3"/>
    <w:rsid w:val="002E5EC8"/>
    <w:rsid w:val="002E7145"/>
    <w:rsid w:val="002E7693"/>
    <w:rsid w:val="002F04C0"/>
    <w:rsid w:val="002F0522"/>
    <w:rsid w:val="002F0734"/>
    <w:rsid w:val="002F29DC"/>
    <w:rsid w:val="002F41D1"/>
    <w:rsid w:val="003001EB"/>
    <w:rsid w:val="00300BD4"/>
    <w:rsid w:val="0030175C"/>
    <w:rsid w:val="00301975"/>
    <w:rsid w:val="0030542C"/>
    <w:rsid w:val="00305546"/>
    <w:rsid w:val="003063A9"/>
    <w:rsid w:val="00307D16"/>
    <w:rsid w:val="00310418"/>
    <w:rsid w:val="00312FFC"/>
    <w:rsid w:val="00314BF6"/>
    <w:rsid w:val="003150BF"/>
    <w:rsid w:val="003150CE"/>
    <w:rsid w:val="003151B3"/>
    <w:rsid w:val="00315E92"/>
    <w:rsid w:val="00317253"/>
    <w:rsid w:val="00320ECC"/>
    <w:rsid w:val="00322EF1"/>
    <w:rsid w:val="003230AA"/>
    <w:rsid w:val="00323B9E"/>
    <w:rsid w:val="003243E5"/>
    <w:rsid w:val="0032476C"/>
    <w:rsid w:val="00325BB9"/>
    <w:rsid w:val="0032678A"/>
    <w:rsid w:val="00326CBE"/>
    <w:rsid w:val="003278A9"/>
    <w:rsid w:val="00330804"/>
    <w:rsid w:val="003308D0"/>
    <w:rsid w:val="0033151A"/>
    <w:rsid w:val="0033164E"/>
    <w:rsid w:val="00334A6B"/>
    <w:rsid w:val="003357F3"/>
    <w:rsid w:val="003366B2"/>
    <w:rsid w:val="0033685F"/>
    <w:rsid w:val="0033751C"/>
    <w:rsid w:val="00340066"/>
    <w:rsid w:val="00341EF6"/>
    <w:rsid w:val="003422AA"/>
    <w:rsid w:val="0034288B"/>
    <w:rsid w:val="0034332B"/>
    <w:rsid w:val="0034594B"/>
    <w:rsid w:val="00345A0C"/>
    <w:rsid w:val="00345C90"/>
    <w:rsid w:val="0034681C"/>
    <w:rsid w:val="003473FB"/>
    <w:rsid w:val="00347BCA"/>
    <w:rsid w:val="003512FC"/>
    <w:rsid w:val="003515C9"/>
    <w:rsid w:val="003518A3"/>
    <w:rsid w:val="00351D62"/>
    <w:rsid w:val="003600A8"/>
    <w:rsid w:val="00360B82"/>
    <w:rsid w:val="00364922"/>
    <w:rsid w:val="00366524"/>
    <w:rsid w:val="003718A5"/>
    <w:rsid w:val="00371DD2"/>
    <w:rsid w:val="00373E58"/>
    <w:rsid w:val="00376073"/>
    <w:rsid w:val="0037608D"/>
    <w:rsid w:val="00376564"/>
    <w:rsid w:val="00377452"/>
    <w:rsid w:val="00381223"/>
    <w:rsid w:val="00381849"/>
    <w:rsid w:val="00381F23"/>
    <w:rsid w:val="003823A0"/>
    <w:rsid w:val="003829AE"/>
    <w:rsid w:val="0038313A"/>
    <w:rsid w:val="00383B71"/>
    <w:rsid w:val="003841ED"/>
    <w:rsid w:val="003849C3"/>
    <w:rsid w:val="00384F36"/>
    <w:rsid w:val="00385271"/>
    <w:rsid w:val="003868C9"/>
    <w:rsid w:val="0039173F"/>
    <w:rsid w:val="00391830"/>
    <w:rsid w:val="0039226E"/>
    <w:rsid w:val="00392CC8"/>
    <w:rsid w:val="0039486C"/>
    <w:rsid w:val="00394CEB"/>
    <w:rsid w:val="003965C4"/>
    <w:rsid w:val="003A2017"/>
    <w:rsid w:val="003A2B07"/>
    <w:rsid w:val="003A48CC"/>
    <w:rsid w:val="003A72EF"/>
    <w:rsid w:val="003B3ED5"/>
    <w:rsid w:val="003B4EE3"/>
    <w:rsid w:val="003B4EED"/>
    <w:rsid w:val="003B6B2C"/>
    <w:rsid w:val="003C1EAD"/>
    <w:rsid w:val="003C266A"/>
    <w:rsid w:val="003C2F5B"/>
    <w:rsid w:val="003C419B"/>
    <w:rsid w:val="003C43C0"/>
    <w:rsid w:val="003C602A"/>
    <w:rsid w:val="003D1759"/>
    <w:rsid w:val="003D1896"/>
    <w:rsid w:val="003D202A"/>
    <w:rsid w:val="003D37F9"/>
    <w:rsid w:val="003D3B14"/>
    <w:rsid w:val="003D4606"/>
    <w:rsid w:val="003D62F7"/>
    <w:rsid w:val="003D7637"/>
    <w:rsid w:val="003E1035"/>
    <w:rsid w:val="003E17F2"/>
    <w:rsid w:val="003E19F7"/>
    <w:rsid w:val="003E1A91"/>
    <w:rsid w:val="003E1EB2"/>
    <w:rsid w:val="003E492C"/>
    <w:rsid w:val="003E710D"/>
    <w:rsid w:val="003E7427"/>
    <w:rsid w:val="003E7A9C"/>
    <w:rsid w:val="003F1D4F"/>
    <w:rsid w:val="003F328F"/>
    <w:rsid w:val="003F531A"/>
    <w:rsid w:val="003F665D"/>
    <w:rsid w:val="003F7C9E"/>
    <w:rsid w:val="00401430"/>
    <w:rsid w:val="00401BF1"/>
    <w:rsid w:val="00402371"/>
    <w:rsid w:val="004025E8"/>
    <w:rsid w:val="00402768"/>
    <w:rsid w:val="00402909"/>
    <w:rsid w:val="00404509"/>
    <w:rsid w:val="00404B38"/>
    <w:rsid w:val="00404C36"/>
    <w:rsid w:val="004050B8"/>
    <w:rsid w:val="0040536F"/>
    <w:rsid w:val="00406834"/>
    <w:rsid w:val="00406F38"/>
    <w:rsid w:val="004107CA"/>
    <w:rsid w:val="004111BC"/>
    <w:rsid w:val="004114CB"/>
    <w:rsid w:val="004125F4"/>
    <w:rsid w:val="004126D4"/>
    <w:rsid w:val="00414703"/>
    <w:rsid w:val="00415D2B"/>
    <w:rsid w:val="00416C0A"/>
    <w:rsid w:val="0042003C"/>
    <w:rsid w:val="00421941"/>
    <w:rsid w:val="0042195E"/>
    <w:rsid w:val="00422882"/>
    <w:rsid w:val="00424DE2"/>
    <w:rsid w:val="004279A0"/>
    <w:rsid w:val="004300C2"/>
    <w:rsid w:val="00432528"/>
    <w:rsid w:val="00432836"/>
    <w:rsid w:val="00433F64"/>
    <w:rsid w:val="004373D1"/>
    <w:rsid w:val="0043778D"/>
    <w:rsid w:val="00442D5E"/>
    <w:rsid w:val="004454C2"/>
    <w:rsid w:val="00446842"/>
    <w:rsid w:val="00446CD8"/>
    <w:rsid w:val="00447347"/>
    <w:rsid w:val="00447F33"/>
    <w:rsid w:val="00450A27"/>
    <w:rsid w:val="00450C31"/>
    <w:rsid w:val="0045165B"/>
    <w:rsid w:val="00451C66"/>
    <w:rsid w:val="00451D8D"/>
    <w:rsid w:val="00451EC2"/>
    <w:rsid w:val="00452D1C"/>
    <w:rsid w:val="00454123"/>
    <w:rsid w:val="00457A74"/>
    <w:rsid w:val="004618C4"/>
    <w:rsid w:val="004628F7"/>
    <w:rsid w:val="00463357"/>
    <w:rsid w:val="00463A04"/>
    <w:rsid w:val="00463BFF"/>
    <w:rsid w:val="00465255"/>
    <w:rsid w:val="00470A67"/>
    <w:rsid w:val="00473718"/>
    <w:rsid w:val="00473869"/>
    <w:rsid w:val="0047410E"/>
    <w:rsid w:val="00474233"/>
    <w:rsid w:val="004746D5"/>
    <w:rsid w:val="00480221"/>
    <w:rsid w:val="0048054A"/>
    <w:rsid w:val="004818E8"/>
    <w:rsid w:val="00482F67"/>
    <w:rsid w:val="00483006"/>
    <w:rsid w:val="00483C8B"/>
    <w:rsid w:val="00484915"/>
    <w:rsid w:val="00485146"/>
    <w:rsid w:val="0048584D"/>
    <w:rsid w:val="00485961"/>
    <w:rsid w:val="00487387"/>
    <w:rsid w:val="004919FD"/>
    <w:rsid w:val="00494FD5"/>
    <w:rsid w:val="004A10A0"/>
    <w:rsid w:val="004A132C"/>
    <w:rsid w:val="004A2309"/>
    <w:rsid w:val="004A7418"/>
    <w:rsid w:val="004B26D9"/>
    <w:rsid w:val="004B2C5E"/>
    <w:rsid w:val="004B6CE0"/>
    <w:rsid w:val="004B73F0"/>
    <w:rsid w:val="004B774B"/>
    <w:rsid w:val="004B7F23"/>
    <w:rsid w:val="004C09DC"/>
    <w:rsid w:val="004C4629"/>
    <w:rsid w:val="004C4B71"/>
    <w:rsid w:val="004D087E"/>
    <w:rsid w:val="004D08B6"/>
    <w:rsid w:val="004D19DB"/>
    <w:rsid w:val="004D1E88"/>
    <w:rsid w:val="004D2C91"/>
    <w:rsid w:val="004D3CD7"/>
    <w:rsid w:val="004D58DE"/>
    <w:rsid w:val="004D63E2"/>
    <w:rsid w:val="004D75E8"/>
    <w:rsid w:val="004D7B05"/>
    <w:rsid w:val="004E3F30"/>
    <w:rsid w:val="004E46F8"/>
    <w:rsid w:val="004E50C8"/>
    <w:rsid w:val="004E5679"/>
    <w:rsid w:val="004E653E"/>
    <w:rsid w:val="004E65F5"/>
    <w:rsid w:val="004E793D"/>
    <w:rsid w:val="004F2D77"/>
    <w:rsid w:val="004F3E28"/>
    <w:rsid w:val="004F621F"/>
    <w:rsid w:val="004F66F3"/>
    <w:rsid w:val="00500166"/>
    <w:rsid w:val="00502EAE"/>
    <w:rsid w:val="00503422"/>
    <w:rsid w:val="00503A1B"/>
    <w:rsid w:val="005042B6"/>
    <w:rsid w:val="0050500F"/>
    <w:rsid w:val="00505279"/>
    <w:rsid w:val="0050597C"/>
    <w:rsid w:val="00506322"/>
    <w:rsid w:val="005063E1"/>
    <w:rsid w:val="00506778"/>
    <w:rsid w:val="00507A2E"/>
    <w:rsid w:val="00507CC5"/>
    <w:rsid w:val="0051056B"/>
    <w:rsid w:val="00512066"/>
    <w:rsid w:val="005140CA"/>
    <w:rsid w:val="00516388"/>
    <w:rsid w:val="00516BBB"/>
    <w:rsid w:val="00523E83"/>
    <w:rsid w:val="005248BB"/>
    <w:rsid w:val="0052527A"/>
    <w:rsid w:val="005308A5"/>
    <w:rsid w:val="0053107F"/>
    <w:rsid w:val="005310EC"/>
    <w:rsid w:val="005314E9"/>
    <w:rsid w:val="00531723"/>
    <w:rsid w:val="0053275E"/>
    <w:rsid w:val="0053324F"/>
    <w:rsid w:val="0054030C"/>
    <w:rsid w:val="00540BAC"/>
    <w:rsid w:val="00541EF9"/>
    <w:rsid w:val="005431CF"/>
    <w:rsid w:val="00543476"/>
    <w:rsid w:val="00543D0A"/>
    <w:rsid w:val="005442A8"/>
    <w:rsid w:val="005454F3"/>
    <w:rsid w:val="005455E5"/>
    <w:rsid w:val="0054681B"/>
    <w:rsid w:val="005468AA"/>
    <w:rsid w:val="00547738"/>
    <w:rsid w:val="0054775A"/>
    <w:rsid w:val="0054779A"/>
    <w:rsid w:val="00547BA1"/>
    <w:rsid w:val="00550703"/>
    <w:rsid w:val="005512F1"/>
    <w:rsid w:val="00552796"/>
    <w:rsid w:val="005555C4"/>
    <w:rsid w:val="00556101"/>
    <w:rsid w:val="0055668D"/>
    <w:rsid w:val="00557CB1"/>
    <w:rsid w:val="0056091E"/>
    <w:rsid w:val="00560E67"/>
    <w:rsid w:val="00561371"/>
    <w:rsid w:val="0056172D"/>
    <w:rsid w:val="005635F3"/>
    <w:rsid w:val="0056411C"/>
    <w:rsid w:val="00565B4C"/>
    <w:rsid w:val="00565C4A"/>
    <w:rsid w:val="00566048"/>
    <w:rsid w:val="005663FF"/>
    <w:rsid w:val="00567159"/>
    <w:rsid w:val="005677E5"/>
    <w:rsid w:val="00570D24"/>
    <w:rsid w:val="0057141B"/>
    <w:rsid w:val="005720C5"/>
    <w:rsid w:val="00572900"/>
    <w:rsid w:val="00573291"/>
    <w:rsid w:val="00573299"/>
    <w:rsid w:val="00573923"/>
    <w:rsid w:val="00574C1A"/>
    <w:rsid w:val="00577DC9"/>
    <w:rsid w:val="0058036D"/>
    <w:rsid w:val="00580EEB"/>
    <w:rsid w:val="00580FCF"/>
    <w:rsid w:val="00581C2E"/>
    <w:rsid w:val="0058210A"/>
    <w:rsid w:val="00582DD4"/>
    <w:rsid w:val="00583089"/>
    <w:rsid w:val="00583673"/>
    <w:rsid w:val="00583D08"/>
    <w:rsid w:val="00585889"/>
    <w:rsid w:val="00587BE7"/>
    <w:rsid w:val="00587CBC"/>
    <w:rsid w:val="005908AA"/>
    <w:rsid w:val="00592F17"/>
    <w:rsid w:val="00593680"/>
    <w:rsid w:val="00594CA4"/>
    <w:rsid w:val="00595DF1"/>
    <w:rsid w:val="00595EB4"/>
    <w:rsid w:val="00596524"/>
    <w:rsid w:val="00597D35"/>
    <w:rsid w:val="005A19E3"/>
    <w:rsid w:val="005A303D"/>
    <w:rsid w:val="005A4A36"/>
    <w:rsid w:val="005A5774"/>
    <w:rsid w:val="005A64DC"/>
    <w:rsid w:val="005A6D6D"/>
    <w:rsid w:val="005A6E0C"/>
    <w:rsid w:val="005A6FA4"/>
    <w:rsid w:val="005A7264"/>
    <w:rsid w:val="005B021D"/>
    <w:rsid w:val="005B0E3A"/>
    <w:rsid w:val="005B1601"/>
    <w:rsid w:val="005B21E6"/>
    <w:rsid w:val="005B4CFC"/>
    <w:rsid w:val="005B58B0"/>
    <w:rsid w:val="005C0298"/>
    <w:rsid w:val="005C0769"/>
    <w:rsid w:val="005C360A"/>
    <w:rsid w:val="005C41A9"/>
    <w:rsid w:val="005C6A5C"/>
    <w:rsid w:val="005C7C92"/>
    <w:rsid w:val="005D221C"/>
    <w:rsid w:val="005D2A43"/>
    <w:rsid w:val="005D2FCD"/>
    <w:rsid w:val="005D5CFD"/>
    <w:rsid w:val="005D6EA0"/>
    <w:rsid w:val="005E08C0"/>
    <w:rsid w:val="005E23B5"/>
    <w:rsid w:val="005E64E2"/>
    <w:rsid w:val="005E6ABC"/>
    <w:rsid w:val="005E7B36"/>
    <w:rsid w:val="005E7B4E"/>
    <w:rsid w:val="005F02E6"/>
    <w:rsid w:val="005F10F1"/>
    <w:rsid w:val="005F1911"/>
    <w:rsid w:val="005F1B1A"/>
    <w:rsid w:val="005F2CBA"/>
    <w:rsid w:val="005F3216"/>
    <w:rsid w:val="005F4DFE"/>
    <w:rsid w:val="005F4ECB"/>
    <w:rsid w:val="005F4EF9"/>
    <w:rsid w:val="005F5426"/>
    <w:rsid w:val="005F67F4"/>
    <w:rsid w:val="005F7143"/>
    <w:rsid w:val="005F7767"/>
    <w:rsid w:val="00601147"/>
    <w:rsid w:val="006015AE"/>
    <w:rsid w:val="006017B1"/>
    <w:rsid w:val="00603F88"/>
    <w:rsid w:val="00604F75"/>
    <w:rsid w:val="00606485"/>
    <w:rsid w:val="0060685F"/>
    <w:rsid w:val="00607066"/>
    <w:rsid w:val="00607197"/>
    <w:rsid w:val="006072B4"/>
    <w:rsid w:val="00607A16"/>
    <w:rsid w:val="006109F8"/>
    <w:rsid w:val="00611C6C"/>
    <w:rsid w:val="006147EA"/>
    <w:rsid w:val="0061605B"/>
    <w:rsid w:val="00617330"/>
    <w:rsid w:val="00617539"/>
    <w:rsid w:val="00623075"/>
    <w:rsid w:val="006231C6"/>
    <w:rsid w:val="00623910"/>
    <w:rsid w:val="00623E62"/>
    <w:rsid w:val="00624A27"/>
    <w:rsid w:val="00624D74"/>
    <w:rsid w:val="0062533C"/>
    <w:rsid w:val="00625550"/>
    <w:rsid w:val="00626A21"/>
    <w:rsid w:val="0062716D"/>
    <w:rsid w:val="00627AF2"/>
    <w:rsid w:val="00632F94"/>
    <w:rsid w:val="0063473B"/>
    <w:rsid w:val="00634EFC"/>
    <w:rsid w:val="006354BB"/>
    <w:rsid w:val="00635C27"/>
    <w:rsid w:val="00635E56"/>
    <w:rsid w:val="0063612E"/>
    <w:rsid w:val="0063632F"/>
    <w:rsid w:val="00641FF0"/>
    <w:rsid w:val="00645A8D"/>
    <w:rsid w:val="00645FF2"/>
    <w:rsid w:val="00650681"/>
    <w:rsid w:val="00650C56"/>
    <w:rsid w:val="00652858"/>
    <w:rsid w:val="006558DC"/>
    <w:rsid w:val="00656B27"/>
    <w:rsid w:val="00657F8B"/>
    <w:rsid w:val="00660401"/>
    <w:rsid w:val="00661526"/>
    <w:rsid w:val="006618FC"/>
    <w:rsid w:val="00663D00"/>
    <w:rsid w:val="00663E86"/>
    <w:rsid w:val="0066560C"/>
    <w:rsid w:val="006656A0"/>
    <w:rsid w:val="00666BB4"/>
    <w:rsid w:val="006709D1"/>
    <w:rsid w:val="00671041"/>
    <w:rsid w:val="00671B7E"/>
    <w:rsid w:val="006767BC"/>
    <w:rsid w:val="00676884"/>
    <w:rsid w:val="00676B5E"/>
    <w:rsid w:val="006817F5"/>
    <w:rsid w:val="00681D75"/>
    <w:rsid w:val="0068242E"/>
    <w:rsid w:val="00682BE6"/>
    <w:rsid w:val="00684438"/>
    <w:rsid w:val="0068496D"/>
    <w:rsid w:val="00684A48"/>
    <w:rsid w:val="00684BAF"/>
    <w:rsid w:val="00685075"/>
    <w:rsid w:val="0068759B"/>
    <w:rsid w:val="006909B0"/>
    <w:rsid w:val="00693CEE"/>
    <w:rsid w:val="00693FE7"/>
    <w:rsid w:val="00696820"/>
    <w:rsid w:val="00696EBB"/>
    <w:rsid w:val="006A1F10"/>
    <w:rsid w:val="006A4D4E"/>
    <w:rsid w:val="006A5454"/>
    <w:rsid w:val="006A62B8"/>
    <w:rsid w:val="006A707D"/>
    <w:rsid w:val="006B45B2"/>
    <w:rsid w:val="006B630A"/>
    <w:rsid w:val="006B6CDD"/>
    <w:rsid w:val="006C1577"/>
    <w:rsid w:val="006C335D"/>
    <w:rsid w:val="006C3804"/>
    <w:rsid w:val="006C3DE5"/>
    <w:rsid w:val="006C5671"/>
    <w:rsid w:val="006C5ACD"/>
    <w:rsid w:val="006C6060"/>
    <w:rsid w:val="006C6300"/>
    <w:rsid w:val="006C6DFE"/>
    <w:rsid w:val="006D1544"/>
    <w:rsid w:val="006D16F3"/>
    <w:rsid w:val="006D1AE5"/>
    <w:rsid w:val="006D36B7"/>
    <w:rsid w:val="006D3A49"/>
    <w:rsid w:val="006D6E4B"/>
    <w:rsid w:val="006E16F1"/>
    <w:rsid w:val="006E359B"/>
    <w:rsid w:val="006E377E"/>
    <w:rsid w:val="006E75BF"/>
    <w:rsid w:val="006F083F"/>
    <w:rsid w:val="006F09B5"/>
    <w:rsid w:val="006F1349"/>
    <w:rsid w:val="006F201F"/>
    <w:rsid w:val="006F2C03"/>
    <w:rsid w:val="006F48B3"/>
    <w:rsid w:val="006F48B8"/>
    <w:rsid w:val="006F553C"/>
    <w:rsid w:val="006F5924"/>
    <w:rsid w:val="006F6258"/>
    <w:rsid w:val="006F6313"/>
    <w:rsid w:val="006F65E1"/>
    <w:rsid w:val="006F7E68"/>
    <w:rsid w:val="006F7F8E"/>
    <w:rsid w:val="0070141E"/>
    <w:rsid w:val="00701552"/>
    <w:rsid w:val="00701CCA"/>
    <w:rsid w:val="00704FDE"/>
    <w:rsid w:val="00705448"/>
    <w:rsid w:val="0070606A"/>
    <w:rsid w:val="0070628C"/>
    <w:rsid w:val="00707A34"/>
    <w:rsid w:val="00710633"/>
    <w:rsid w:val="007122EC"/>
    <w:rsid w:val="007142DA"/>
    <w:rsid w:val="00714504"/>
    <w:rsid w:val="0071742A"/>
    <w:rsid w:val="00720ED8"/>
    <w:rsid w:val="007214DA"/>
    <w:rsid w:val="00722D3E"/>
    <w:rsid w:val="00724735"/>
    <w:rsid w:val="007307FF"/>
    <w:rsid w:val="00730800"/>
    <w:rsid w:val="00730DDE"/>
    <w:rsid w:val="00730E8F"/>
    <w:rsid w:val="00731D48"/>
    <w:rsid w:val="00731DD9"/>
    <w:rsid w:val="00733E46"/>
    <w:rsid w:val="00734484"/>
    <w:rsid w:val="00737288"/>
    <w:rsid w:val="00740C46"/>
    <w:rsid w:val="00742076"/>
    <w:rsid w:val="007439E7"/>
    <w:rsid w:val="00745136"/>
    <w:rsid w:val="00745A15"/>
    <w:rsid w:val="00745DD2"/>
    <w:rsid w:val="0074659D"/>
    <w:rsid w:val="00746B22"/>
    <w:rsid w:val="00751354"/>
    <w:rsid w:val="007517A5"/>
    <w:rsid w:val="00751A94"/>
    <w:rsid w:val="007541A1"/>
    <w:rsid w:val="00756909"/>
    <w:rsid w:val="00760D10"/>
    <w:rsid w:val="00761436"/>
    <w:rsid w:val="00762108"/>
    <w:rsid w:val="00770C7C"/>
    <w:rsid w:val="00770E38"/>
    <w:rsid w:val="007715C0"/>
    <w:rsid w:val="0077195E"/>
    <w:rsid w:val="007751DE"/>
    <w:rsid w:val="00777B50"/>
    <w:rsid w:val="007810A3"/>
    <w:rsid w:val="0078133D"/>
    <w:rsid w:val="00781E34"/>
    <w:rsid w:val="007825EA"/>
    <w:rsid w:val="00782A3C"/>
    <w:rsid w:val="00785785"/>
    <w:rsid w:val="00786CFC"/>
    <w:rsid w:val="00787246"/>
    <w:rsid w:val="00787CAD"/>
    <w:rsid w:val="00790354"/>
    <w:rsid w:val="00791DED"/>
    <w:rsid w:val="00791F96"/>
    <w:rsid w:val="007926C9"/>
    <w:rsid w:val="00792AA8"/>
    <w:rsid w:val="007936FC"/>
    <w:rsid w:val="00793AAE"/>
    <w:rsid w:val="00794972"/>
    <w:rsid w:val="007962F2"/>
    <w:rsid w:val="00796561"/>
    <w:rsid w:val="00796EE7"/>
    <w:rsid w:val="00797022"/>
    <w:rsid w:val="007A159D"/>
    <w:rsid w:val="007A3ABE"/>
    <w:rsid w:val="007A4878"/>
    <w:rsid w:val="007A4CB0"/>
    <w:rsid w:val="007A5B52"/>
    <w:rsid w:val="007A62C3"/>
    <w:rsid w:val="007A6869"/>
    <w:rsid w:val="007A725A"/>
    <w:rsid w:val="007B3F0B"/>
    <w:rsid w:val="007B4102"/>
    <w:rsid w:val="007B651A"/>
    <w:rsid w:val="007B659C"/>
    <w:rsid w:val="007B6648"/>
    <w:rsid w:val="007B6669"/>
    <w:rsid w:val="007C14A1"/>
    <w:rsid w:val="007C246B"/>
    <w:rsid w:val="007C3005"/>
    <w:rsid w:val="007C311B"/>
    <w:rsid w:val="007C35EF"/>
    <w:rsid w:val="007C42C5"/>
    <w:rsid w:val="007C452C"/>
    <w:rsid w:val="007C506B"/>
    <w:rsid w:val="007C636C"/>
    <w:rsid w:val="007D0315"/>
    <w:rsid w:val="007D0986"/>
    <w:rsid w:val="007D252A"/>
    <w:rsid w:val="007D28BD"/>
    <w:rsid w:val="007D5045"/>
    <w:rsid w:val="007D59A7"/>
    <w:rsid w:val="007D5AEA"/>
    <w:rsid w:val="007D698B"/>
    <w:rsid w:val="007D7BB6"/>
    <w:rsid w:val="007E22D0"/>
    <w:rsid w:val="007E5D35"/>
    <w:rsid w:val="007E67C8"/>
    <w:rsid w:val="007F0206"/>
    <w:rsid w:val="007F120E"/>
    <w:rsid w:val="007F4D28"/>
    <w:rsid w:val="007F52A6"/>
    <w:rsid w:val="007F5713"/>
    <w:rsid w:val="007F5789"/>
    <w:rsid w:val="007F68DA"/>
    <w:rsid w:val="007F7376"/>
    <w:rsid w:val="008004E7"/>
    <w:rsid w:val="00800E15"/>
    <w:rsid w:val="0080276C"/>
    <w:rsid w:val="0080555B"/>
    <w:rsid w:val="008060C8"/>
    <w:rsid w:val="00810F5C"/>
    <w:rsid w:val="008124F0"/>
    <w:rsid w:val="00812723"/>
    <w:rsid w:val="00814A6A"/>
    <w:rsid w:val="00814ED4"/>
    <w:rsid w:val="008152E3"/>
    <w:rsid w:val="0081557C"/>
    <w:rsid w:val="008159B1"/>
    <w:rsid w:val="008160E7"/>
    <w:rsid w:val="00817AA7"/>
    <w:rsid w:val="00820282"/>
    <w:rsid w:val="0082117F"/>
    <w:rsid w:val="00821515"/>
    <w:rsid w:val="00822630"/>
    <w:rsid w:val="00825FB6"/>
    <w:rsid w:val="0082619C"/>
    <w:rsid w:val="00831A0D"/>
    <w:rsid w:val="008330F4"/>
    <w:rsid w:val="00836AD2"/>
    <w:rsid w:val="008375CC"/>
    <w:rsid w:val="008415CC"/>
    <w:rsid w:val="0084203F"/>
    <w:rsid w:val="008421A9"/>
    <w:rsid w:val="00842862"/>
    <w:rsid w:val="00844612"/>
    <w:rsid w:val="00845199"/>
    <w:rsid w:val="00845535"/>
    <w:rsid w:val="00847DFE"/>
    <w:rsid w:val="008507AF"/>
    <w:rsid w:val="00851111"/>
    <w:rsid w:val="00852550"/>
    <w:rsid w:val="008525CF"/>
    <w:rsid w:val="0085361B"/>
    <w:rsid w:val="008542CC"/>
    <w:rsid w:val="00854B52"/>
    <w:rsid w:val="008557CB"/>
    <w:rsid w:val="0085720A"/>
    <w:rsid w:val="00860973"/>
    <w:rsid w:val="00860B77"/>
    <w:rsid w:val="0086183E"/>
    <w:rsid w:val="00862C50"/>
    <w:rsid w:val="008648B5"/>
    <w:rsid w:val="00865DFD"/>
    <w:rsid w:val="0086641A"/>
    <w:rsid w:val="00866DB8"/>
    <w:rsid w:val="00867F68"/>
    <w:rsid w:val="00870558"/>
    <w:rsid w:val="0087287F"/>
    <w:rsid w:val="00872B30"/>
    <w:rsid w:val="008737D3"/>
    <w:rsid w:val="00876C29"/>
    <w:rsid w:val="00877CBF"/>
    <w:rsid w:val="008824EA"/>
    <w:rsid w:val="00882D53"/>
    <w:rsid w:val="00883291"/>
    <w:rsid w:val="00883437"/>
    <w:rsid w:val="008834C5"/>
    <w:rsid w:val="00883C24"/>
    <w:rsid w:val="008853F8"/>
    <w:rsid w:val="008869ED"/>
    <w:rsid w:val="008904C2"/>
    <w:rsid w:val="008930A4"/>
    <w:rsid w:val="008933C7"/>
    <w:rsid w:val="008935A4"/>
    <w:rsid w:val="008950FA"/>
    <w:rsid w:val="008953BD"/>
    <w:rsid w:val="008A0C77"/>
    <w:rsid w:val="008A22D4"/>
    <w:rsid w:val="008A38DF"/>
    <w:rsid w:val="008A4628"/>
    <w:rsid w:val="008A4742"/>
    <w:rsid w:val="008A47BD"/>
    <w:rsid w:val="008A54D3"/>
    <w:rsid w:val="008A5CD8"/>
    <w:rsid w:val="008A601C"/>
    <w:rsid w:val="008A6F3A"/>
    <w:rsid w:val="008A7865"/>
    <w:rsid w:val="008B2760"/>
    <w:rsid w:val="008B47CB"/>
    <w:rsid w:val="008B6A6C"/>
    <w:rsid w:val="008C15BB"/>
    <w:rsid w:val="008C1E03"/>
    <w:rsid w:val="008C28E5"/>
    <w:rsid w:val="008C3055"/>
    <w:rsid w:val="008C4E5F"/>
    <w:rsid w:val="008C62B2"/>
    <w:rsid w:val="008C6C82"/>
    <w:rsid w:val="008D0483"/>
    <w:rsid w:val="008D15F7"/>
    <w:rsid w:val="008D1FDE"/>
    <w:rsid w:val="008D209B"/>
    <w:rsid w:val="008D351D"/>
    <w:rsid w:val="008D3C7E"/>
    <w:rsid w:val="008E1240"/>
    <w:rsid w:val="008E1C45"/>
    <w:rsid w:val="008E242E"/>
    <w:rsid w:val="008E57D6"/>
    <w:rsid w:val="008E647B"/>
    <w:rsid w:val="008E65D4"/>
    <w:rsid w:val="008E65DF"/>
    <w:rsid w:val="008E70D7"/>
    <w:rsid w:val="008E7B61"/>
    <w:rsid w:val="008F3AE2"/>
    <w:rsid w:val="008F6211"/>
    <w:rsid w:val="008F6221"/>
    <w:rsid w:val="008F722B"/>
    <w:rsid w:val="008F777B"/>
    <w:rsid w:val="008F7CCE"/>
    <w:rsid w:val="00901195"/>
    <w:rsid w:val="009064E2"/>
    <w:rsid w:val="009077C7"/>
    <w:rsid w:val="0091220E"/>
    <w:rsid w:val="0091309C"/>
    <w:rsid w:val="0091465A"/>
    <w:rsid w:val="009162A3"/>
    <w:rsid w:val="00920216"/>
    <w:rsid w:val="00920463"/>
    <w:rsid w:val="009209ED"/>
    <w:rsid w:val="0092240D"/>
    <w:rsid w:val="0092259A"/>
    <w:rsid w:val="009231E5"/>
    <w:rsid w:val="009238C7"/>
    <w:rsid w:val="00923D68"/>
    <w:rsid w:val="009245CA"/>
    <w:rsid w:val="00924F75"/>
    <w:rsid w:val="00926E4D"/>
    <w:rsid w:val="009270DC"/>
    <w:rsid w:val="009273DA"/>
    <w:rsid w:val="00927ABE"/>
    <w:rsid w:val="00927B07"/>
    <w:rsid w:val="0093279A"/>
    <w:rsid w:val="0093352D"/>
    <w:rsid w:val="0093753F"/>
    <w:rsid w:val="009376FF"/>
    <w:rsid w:val="009377FC"/>
    <w:rsid w:val="00937F77"/>
    <w:rsid w:val="00940185"/>
    <w:rsid w:val="00940BCD"/>
    <w:rsid w:val="00941279"/>
    <w:rsid w:val="00945213"/>
    <w:rsid w:val="009462D5"/>
    <w:rsid w:val="009475BF"/>
    <w:rsid w:val="00950022"/>
    <w:rsid w:val="00950BBC"/>
    <w:rsid w:val="00950FCF"/>
    <w:rsid w:val="0095384A"/>
    <w:rsid w:val="0095411C"/>
    <w:rsid w:val="0095456C"/>
    <w:rsid w:val="009547B3"/>
    <w:rsid w:val="00956905"/>
    <w:rsid w:val="0095745D"/>
    <w:rsid w:val="009614C6"/>
    <w:rsid w:val="00962BFB"/>
    <w:rsid w:val="00962E1C"/>
    <w:rsid w:val="00962F40"/>
    <w:rsid w:val="0096349D"/>
    <w:rsid w:val="0096428C"/>
    <w:rsid w:val="00964954"/>
    <w:rsid w:val="0096563F"/>
    <w:rsid w:val="0096615B"/>
    <w:rsid w:val="00966DEC"/>
    <w:rsid w:val="00972DEB"/>
    <w:rsid w:val="009755EE"/>
    <w:rsid w:val="0097673B"/>
    <w:rsid w:val="009817EB"/>
    <w:rsid w:val="00981E2B"/>
    <w:rsid w:val="0098256D"/>
    <w:rsid w:val="00985A98"/>
    <w:rsid w:val="00987C7D"/>
    <w:rsid w:val="009902B9"/>
    <w:rsid w:val="00990380"/>
    <w:rsid w:val="009908C8"/>
    <w:rsid w:val="00991F3B"/>
    <w:rsid w:val="009921DB"/>
    <w:rsid w:val="009940EF"/>
    <w:rsid w:val="00994A8D"/>
    <w:rsid w:val="00994D06"/>
    <w:rsid w:val="00997CF0"/>
    <w:rsid w:val="009A0BBC"/>
    <w:rsid w:val="009A5AFD"/>
    <w:rsid w:val="009A6EFD"/>
    <w:rsid w:val="009B1A57"/>
    <w:rsid w:val="009B39DC"/>
    <w:rsid w:val="009B4FE0"/>
    <w:rsid w:val="009B5F5D"/>
    <w:rsid w:val="009B61E7"/>
    <w:rsid w:val="009B64D7"/>
    <w:rsid w:val="009B7148"/>
    <w:rsid w:val="009C28D4"/>
    <w:rsid w:val="009C3142"/>
    <w:rsid w:val="009C3598"/>
    <w:rsid w:val="009C3B80"/>
    <w:rsid w:val="009C4567"/>
    <w:rsid w:val="009C4FFF"/>
    <w:rsid w:val="009C5FA8"/>
    <w:rsid w:val="009C6E72"/>
    <w:rsid w:val="009D05F8"/>
    <w:rsid w:val="009D1B5F"/>
    <w:rsid w:val="009D359D"/>
    <w:rsid w:val="009D3C3F"/>
    <w:rsid w:val="009D3DEA"/>
    <w:rsid w:val="009D4D67"/>
    <w:rsid w:val="009D563E"/>
    <w:rsid w:val="009D635B"/>
    <w:rsid w:val="009D66DC"/>
    <w:rsid w:val="009D7F6F"/>
    <w:rsid w:val="009E0393"/>
    <w:rsid w:val="009E07D3"/>
    <w:rsid w:val="009E5E6C"/>
    <w:rsid w:val="009E6A95"/>
    <w:rsid w:val="009E6E17"/>
    <w:rsid w:val="009F04D6"/>
    <w:rsid w:val="009F06F2"/>
    <w:rsid w:val="009F0BA7"/>
    <w:rsid w:val="009F2002"/>
    <w:rsid w:val="009F5112"/>
    <w:rsid w:val="009F611A"/>
    <w:rsid w:val="009F635E"/>
    <w:rsid w:val="009F7072"/>
    <w:rsid w:val="009F7A87"/>
    <w:rsid w:val="00A02C5D"/>
    <w:rsid w:val="00A060EE"/>
    <w:rsid w:val="00A100C8"/>
    <w:rsid w:val="00A10995"/>
    <w:rsid w:val="00A140D3"/>
    <w:rsid w:val="00A1446B"/>
    <w:rsid w:val="00A15909"/>
    <w:rsid w:val="00A167F2"/>
    <w:rsid w:val="00A16D42"/>
    <w:rsid w:val="00A16D88"/>
    <w:rsid w:val="00A16ECF"/>
    <w:rsid w:val="00A17EFE"/>
    <w:rsid w:val="00A207AA"/>
    <w:rsid w:val="00A20818"/>
    <w:rsid w:val="00A20C78"/>
    <w:rsid w:val="00A20CD1"/>
    <w:rsid w:val="00A22570"/>
    <w:rsid w:val="00A2312E"/>
    <w:rsid w:val="00A24323"/>
    <w:rsid w:val="00A2512C"/>
    <w:rsid w:val="00A2515B"/>
    <w:rsid w:val="00A25329"/>
    <w:rsid w:val="00A2588E"/>
    <w:rsid w:val="00A25C2E"/>
    <w:rsid w:val="00A26EDF"/>
    <w:rsid w:val="00A34789"/>
    <w:rsid w:val="00A35E5F"/>
    <w:rsid w:val="00A3630E"/>
    <w:rsid w:val="00A37BB8"/>
    <w:rsid w:val="00A40D63"/>
    <w:rsid w:val="00A41FF8"/>
    <w:rsid w:val="00A42D87"/>
    <w:rsid w:val="00A44BD3"/>
    <w:rsid w:val="00A45047"/>
    <w:rsid w:val="00A4521D"/>
    <w:rsid w:val="00A46960"/>
    <w:rsid w:val="00A46D6F"/>
    <w:rsid w:val="00A51F0A"/>
    <w:rsid w:val="00A53565"/>
    <w:rsid w:val="00A5362C"/>
    <w:rsid w:val="00A53FE2"/>
    <w:rsid w:val="00A54EF2"/>
    <w:rsid w:val="00A55D48"/>
    <w:rsid w:val="00A56895"/>
    <w:rsid w:val="00A57BEB"/>
    <w:rsid w:val="00A61673"/>
    <w:rsid w:val="00A62EC9"/>
    <w:rsid w:val="00A64926"/>
    <w:rsid w:val="00A661B2"/>
    <w:rsid w:val="00A665CF"/>
    <w:rsid w:val="00A67640"/>
    <w:rsid w:val="00A67BBC"/>
    <w:rsid w:val="00A67CA7"/>
    <w:rsid w:val="00A7200B"/>
    <w:rsid w:val="00A72B06"/>
    <w:rsid w:val="00A73989"/>
    <w:rsid w:val="00A7750D"/>
    <w:rsid w:val="00A7752F"/>
    <w:rsid w:val="00A77659"/>
    <w:rsid w:val="00A802A1"/>
    <w:rsid w:val="00A811AB"/>
    <w:rsid w:val="00A85338"/>
    <w:rsid w:val="00A85583"/>
    <w:rsid w:val="00A85C35"/>
    <w:rsid w:val="00A87950"/>
    <w:rsid w:val="00A907F7"/>
    <w:rsid w:val="00A92061"/>
    <w:rsid w:val="00A933AC"/>
    <w:rsid w:val="00A94249"/>
    <w:rsid w:val="00A94BC9"/>
    <w:rsid w:val="00A959BC"/>
    <w:rsid w:val="00A967AC"/>
    <w:rsid w:val="00A96976"/>
    <w:rsid w:val="00A9740A"/>
    <w:rsid w:val="00AA3C60"/>
    <w:rsid w:val="00AA5C15"/>
    <w:rsid w:val="00AB2FF4"/>
    <w:rsid w:val="00AB5F9C"/>
    <w:rsid w:val="00AB63DE"/>
    <w:rsid w:val="00AB6400"/>
    <w:rsid w:val="00AB6ED5"/>
    <w:rsid w:val="00AB72A7"/>
    <w:rsid w:val="00AC05EA"/>
    <w:rsid w:val="00AC1214"/>
    <w:rsid w:val="00AC1AD6"/>
    <w:rsid w:val="00AC37DC"/>
    <w:rsid w:val="00AC46B0"/>
    <w:rsid w:val="00AC4FB9"/>
    <w:rsid w:val="00AC57DB"/>
    <w:rsid w:val="00AC676D"/>
    <w:rsid w:val="00AC7EC8"/>
    <w:rsid w:val="00AD379C"/>
    <w:rsid w:val="00AD4206"/>
    <w:rsid w:val="00AD6121"/>
    <w:rsid w:val="00AD64DF"/>
    <w:rsid w:val="00AD7286"/>
    <w:rsid w:val="00AD77CA"/>
    <w:rsid w:val="00AE1025"/>
    <w:rsid w:val="00AE152E"/>
    <w:rsid w:val="00AE340B"/>
    <w:rsid w:val="00AE3F03"/>
    <w:rsid w:val="00AE64F0"/>
    <w:rsid w:val="00AF23C8"/>
    <w:rsid w:val="00AF2AE2"/>
    <w:rsid w:val="00AF2FC3"/>
    <w:rsid w:val="00AF444F"/>
    <w:rsid w:val="00AF7491"/>
    <w:rsid w:val="00B0377E"/>
    <w:rsid w:val="00B03893"/>
    <w:rsid w:val="00B03D7D"/>
    <w:rsid w:val="00B07BA9"/>
    <w:rsid w:val="00B10055"/>
    <w:rsid w:val="00B1141E"/>
    <w:rsid w:val="00B121F6"/>
    <w:rsid w:val="00B1278B"/>
    <w:rsid w:val="00B128F6"/>
    <w:rsid w:val="00B13FB6"/>
    <w:rsid w:val="00B154E7"/>
    <w:rsid w:val="00B17295"/>
    <w:rsid w:val="00B1774A"/>
    <w:rsid w:val="00B215F5"/>
    <w:rsid w:val="00B21C1E"/>
    <w:rsid w:val="00B270C5"/>
    <w:rsid w:val="00B277CD"/>
    <w:rsid w:val="00B278CD"/>
    <w:rsid w:val="00B27A54"/>
    <w:rsid w:val="00B30783"/>
    <w:rsid w:val="00B31AB8"/>
    <w:rsid w:val="00B321C0"/>
    <w:rsid w:val="00B355B5"/>
    <w:rsid w:val="00B37C2B"/>
    <w:rsid w:val="00B37E9F"/>
    <w:rsid w:val="00B41F0F"/>
    <w:rsid w:val="00B41F64"/>
    <w:rsid w:val="00B42560"/>
    <w:rsid w:val="00B430F5"/>
    <w:rsid w:val="00B43448"/>
    <w:rsid w:val="00B455AA"/>
    <w:rsid w:val="00B45778"/>
    <w:rsid w:val="00B457A1"/>
    <w:rsid w:val="00B4630F"/>
    <w:rsid w:val="00B464B1"/>
    <w:rsid w:val="00B47A4A"/>
    <w:rsid w:val="00B47B99"/>
    <w:rsid w:val="00B50012"/>
    <w:rsid w:val="00B506F2"/>
    <w:rsid w:val="00B510E3"/>
    <w:rsid w:val="00B521AC"/>
    <w:rsid w:val="00B52702"/>
    <w:rsid w:val="00B5498D"/>
    <w:rsid w:val="00B5501D"/>
    <w:rsid w:val="00B56907"/>
    <w:rsid w:val="00B57014"/>
    <w:rsid w:val="00B6151E"/>
    <w:rsid w:val="00B62FC7"/>
    <w:rsid w:val="00B62FCD"/>
    <w:rsid w:val="00B64962"/>
    <w:rsid w:val="00B65E5D"/>
    <w:rsid w:val="00B6699E"/>
    <w:rsid w:val="00B676EC"/>
    <w:rsid w:val="00B7016C"/>
    <w:rsid w:val="00B7039B"/>
    <w:rsid w:val="00B70788"/>
    <w:rsid w:val="00B71149"/>
    <w:rsid w:val="00B712DF"/>
    <w:rsid w:val="00B73885"/>
    <w:rsid w:val="00B74D1E"/>
    <w:rsid w:val="00B74FB0"/>
    <w:rsid w:val="00B75EDC"/>
    <w:rsid w:val="00B76A18"/>
    <w:rsid w:val="00B773FA"/>
    <w:rsid w:val="00B8280F"/>
    <w:rsid w:val="00B8382A"/>
    <w:rsid w:val="00B842A2"/>
    <w:rsid w:val="00B84C6C"/>
    <w:rsid w:val="00B87AAB"/>
    <w:rsid w:val="00B900F8"/>
    <w:rsid w:val="00B901C0"/>
    <w:rsid w:val="00B912BC"/>
    <w:rsid w:val="00B92687"/>
    <w:rsid w:val="00B94248"/>
    <w:rsid w:val="00B942A1"/>
    <w:rsid w:val="00B94B4F"/>
    <w:rsid w:val="00B9752D"/>
    <w:rsid w:val="00B976F6"/>
    <w:rsid w:val="00BA12EB"/>
    <w:rsid w:val="00BA1E08"/>
    <w:rsid w:val="00BA5F41"/>
    <w:rsid w:val="00BA6673"/>
    <w:rsid w:val="00BA7385"/>
    <w:rsid w:val="00BA7948"/>
    <w:rsid w:val="00BA7F34"/>
    <w:rsid w:val="00BB187C"/>
    <w:rsid w:val="00BB296B"/>
    <w:rsid w:val="00BB3622"/>
    <w:rsid w:val="00BB5090"/>
    <w:rsid w:val="00BB5E4A"/>
    <w:rsid w:val="00BB682C"/>
    <w:rsid w:val="00BB7CA9"/>
    <w:rsid w:val="00BB7CD4"/>
    <w:rsid w:val="00BC037A"/>
    <w:rsid w:val="00BC0AA4"/>
    <w:rsid w:val="00BC1E86"/>
    <w:rsid w:val="00BC236B"/>
    <w:rsid w:val="00BC2BB4"/>
    <w:rsid w:val="00BC65D9"/>
    <w:rsid w:val="00BC7C52"/>
    <w:rsid w:val="00BC7C88"/>
    <w:rsid w:val="00BD0CF6"/>
    <w:rsid w:val="00BD1471"/>
    <w:rsid w:val="00BD14C5"/>
    <w:rsid w:val="00BD196A"/>
    <w:rsid w:val="00BD2081"/>
    <w:rsid w:val="00BD2311"/>
    <w:rsid w:val="00BD270E"/>
    <w:rsid w:val="00BD28AC"/>
    <w:rsid w:val="00BD568B"/>
    <w:rsid w:val="00BD6262"/>
    <w:rsid w:val="00BD66C5"/>
    <w:rsid w:val="00BD6E3D"/>
    <w:rsid w:val="00BE143B"/>
    <w:rsid w:val="00BE1CC0"/>
    <w:rsid w:val="00BE1CE0"/>
    <w:rsid w:val="00BE20FF"/>
    <w:rsid w:val="00BE44A4"/>
    <w:rsid w:val="00BE4C48"/>
    <w:rsid w:val="00BE5FB3"/>
    <w:rsid w:val="00BE6057"/>
    <w:rsid w:val="00BE61C1"/>
    <w:rsid w:val="00BE64AF"/>
    <w:rsid w:val="00BE6717"/>
    <w:rsid w:val="00BE6D74"/>
    <w:rsid w:val="00BF0381"/>
    <w:rsid w:val="00BF2078"/>
    <w:rsid w:val="00BF38AF"/>
    <w:rsid w:val="00BF4C03"/>
    <w:rsid w:val="00BF5378"/>
    <w:rsid w:val="00BF647C"/>
    <w:rsid w:val="00BF6E7B"/>
    <w:rsid w:val="00C01021"/>
    <w:rsid w:val="00C0141F"/>
    <w:rsid w:val="00C02AF8"/>
    <w:rsid w:val="00C048AF"/>
    <w:rsid w:val="00C077E0"/>
    <w:rsid w:val="00C07DE6"/>
    <w:rsid w:val="00C11B85"/>
    <w:rsid w:val="00C12E96"/>
    <w:rsid w:val="00C13F54"/>
    <w:rsid w:val="00C14849"/>
    <w:rsid w:val="00C150B4"/>
    <w:rsid w:val="00C154B5"/>
    <w:rsid w:val="00C17872"/>
    <w:rsid w:val="00C205E9"/>
    <w:rsid w:val="00C212FC"/>
    <w:rsid w:val="00C23F48"/>
    <w:rsid w:val="00C250C7"/>
    <w:rsid w:val="00C262BD"/>
    <w:rsid w:val="00C30B65"/>
    <w:rsid w:val="00C310C2"/>
    <w:rsid w:val="00C36525"/>
    <w:rsid w:val="00C3718D"/>
    <w:rsid w:val="00C40DFA"/>
    <w:rsid w:val="00C40EB3"/>
    <w:rsid w:val="00C41BD9"/>
    <w:rsid w:val="00C42AAB"/>
    <w:rsid w:val="00C434FB"/>
    <w:rsid w:val="00C434FD"/>
    <w:rsid w:val="00C43B40"/>
    <w:rsid w:val="00C454C7"/>
    <w:rsid w:val="00C45AD6"/>
    <w:rsid w:val="00C46A9D"/>
    <w:rsid w:val="00C47AC7"/>
    <w:rsid w:val="00C5192E"/>
    <w:rsid w:val="00C52DE6"/>
    <w:rsid w:val="00C550AC"/>
    <w:rsid w:val="00C55821"/>
    <w:rsid w:val="00C56D50"/>
    <w:rsid w:val="00C5745B"/>
    <w:rsid w:val="00C6016B"/>
    <w:rsid w:val="00C62731"/>
    <w:rsid w:val="00C634A7"/>
    <w:rsid w:val="00C638D7"/>
    <w:rsid w:val="00C638DF"/>
    <w:rsid w:val="00C64720"/>
    <w:rsid w:val="00C64ED6"/>
    <w:rsid w:val="00C6517F"/>
    <w:rsid w:val="00C67BA6"/>
    <w:rsid w:val="00C70DA3"/>
    <w:rsid w:val="00C71920"/>
    <w:rsid w:val="00C721D6"/>
    <w:rsid w:val="00C72827"/>
    <w:rsid w:val="00C72A63"/>
    <w:rsid w:val="00C73C14"/>
    <w:rsid w:val="00C73E10"/>
    <w:rsid w:val="00C73EF5"/>
    <w:rsid w:val="00C76AFB"/>
    <w:rsid w:val="00C7795F"/>
    <w:rsid w:val="00C80AE4"/>
    <w:rsid w:val="00C857F1"/>
    <w:rsid w:val="00C871C4"/>
    <w:rsid w:val="00C90EB3"/>
    <w:rsid w:val="00CA1130"/>
    <w:rsid w:val="00CA1AEA"/>
    <w:rsid w:val="00CA415F"/>
    <w:rsid w:val="00CA5EA7"/>
    <w:rsid w:val="00CA73A2"/>
    <w:rsid w:val="00CB026C"/>
    <w:rsid w:val="00CB0BCE"/>
    <w:rsid w:val="00CB2C14"/>
    <w:rsid w:val="00CB4430"/>
    <w:rsid w:val="00CB4CDC"/>
    <w:rsid w:val="00CB5081"/>
    <w:rsid w:val="00CB5A49"/>
    <w:rsid w:val="00CB5C15"/>
    <w:rsid w:val="00CB678B"/>
    <w:rsid w:val="00CB7792"/>
    <w:rsid w:val="00CC1228"/>
    <w:rsid w:val="00CC1A21"/>
    <w:rsid w:val="00CC3F6C"/>
    <w:rsid w:val="00CC66DE"/>
    <w:rsid w:val="00CC6CDA"/>
    <w:rsid w:val="00CC7C0C"/>
    <w:rsid w:val="00CD0DFD"/>
    <w:rsid w:val="00CD1992"/>
    <w:rsid w:val="00CD34BD"/>
    <w:rsid w:val="00CD3852"/>
    <w:rsid w:val="00CD45F1"/>
    <w:rsid w:val="00CD60E2"/>
    <w:rsid w:val="00CD6398"/>
    <w:rsid w:val="00CD75E3"/>
    <w:rsid w:val="00CE02AD"/>
    <w:rsid w:val="00CE0CC8"/>
    <w:rsid w:val="00CE1248"/>
    <w:rsid w:val="00CE2627"/>
    <w:rsid w:val="00CE2D5D"/>
    <w:rsid w:val="00CE2EB2"/>
    <w:rsid w:val="00CE413A"/>
    <w:rsid w:val="00CE525D"/>
    <w:rsid w:val="00CE5C99"/>
    <w:rsid w:val="00CE6670"/>
    <w:rsid w:val="00CE6E99"/>
    <w:rsid w:val="00CE727C"/>
    <w:rsid w:val="00CE7353"/>
    <w:rsid w:val="00CE73C8"/>
    <w:rsid w:val="00CF038B"/>
    <w:rsid w:val="00CF23EE"/>
    <w:rsid w:val="00CF2A3A"/>
    <w:rsid w:val="00CF346C"/>
    <w:rsid w:val="00CF4B28"/>
    <w:rsid w:val="00CF6AB3"/>
    <w:rsid w:val="00D05A6A"/>
    <w:rsid w:val="00D0734F"/>
    <w:rsid w:val="00D079FE"/>
    <w:rsid w:val="00D10627"/>
    <w:rsid w:val="00D11357"/>
    <w:rsid w:val="00D1161F"/>
    <w:rsid w:val="00D11B3B"/>
    <w:rsid w:val="00D12186"/>
    <w:rsid w:val="00D126F7"/>
    <w:rsid w:val="00D129F5"/>
    <w:rsid w:val="00D12ED9"/>
    <w:rsid w:val="00D141DD"/>
    <w:rsid w:val="00D1449B"/>
    <w:rsid w:val="00D147E2"/>
    <w:rsid w:val="00D148C8"/>
    <w:rsid w:val="00D1494A"/>
    <w:rsid w:val="00D15CA1"/>
    <w:rsid w:val="00D178B6"/>
    <w:rsid w:val="00D17ECD"/>
    <w:rsid w:val="00D206CC"/>
    <w:rsid w:val="00D216A6"/>
    <w:rsid w:val="00D21887"/>
    <w:rsid w:val="00D21C48"/>
    <w:rsid w:val="00D22BC5"/>
    <w:rsid w:val="00D2578E"/>
    <w:rsid w:val="00D266DE"/>
    <w:rsid w:val="00D27CC5"/>
    <w:rsid w:val="00D31689"/>
    <w:rsid w:val="00D34F7B"/>
    <w:rsid w:val="00D355E8"/>
    <w:rsid w:val="00D41F14"/>
    <w:rsid w:val="00D43DD6"/>
    <w:rsid w:val="00D4572D"/>
    <w:rsid w:val="00D45D65"/>
    <w:rsid w:val="00D51C2C"/>
    <w:rsid w:val="00D5291E"/>
    <w:rsid w:val="00D53B33"/>
    <w:rsid w:val="00D55A36"/>
    <w:rsid w:val="00D55B94"/>
    <w:rsid w:val="00D5689A"/>
    <w:rsid w:val="00D56D3E"/>
    <w:rsid w:val="00D56DD2"/>
    <w:rsid w:val="00D57072"/>
    <w:rsid w:val="00D61249"/>
    <w:rsid w:val="00D61AE5"/>
    <w:rsid w:val="00D62646"/>
    <w:rsid w:val="00D6394C"/>
    <w:rsid w:val="00D64636"/>
    <w:rsid w:val="00D668E4"/>
    <w:rsid w:val="00D67466"/>
    <w:rsid w:val="00D7047B"/>
    <w:rsid w:val="00D729A9"/>
    <w:rsid w:val="00D741F4"/>
    <w:rsid w:val="00D74FEC"/>
    <w:rsid w:val="00D75505"/>
    <w:rsid w:val="00D76695"/>
    <w:rsid w:val="00D77DAB"/>
    <w:rsid w:val="00D8043E"/>
    <w:rsid w:val="00D82146"/>
    <w:rsid w:val="00D8228F"/>
    <w:rsid w:val="00D83CB1"/>
    <w:rsid w:val="00D862DA"/>
    <w:rsid w:val="00D8640C"/>
    <w:rsid w:val="00D86456"/>
    <w:rsid w:val="00D870BD"/>
    <w:rsid w:val="00D87CEE"/>
    <w:rsid w:val="00D90148"/>
    <w:rsid w:val="00D90ED8"/>
    <w:rsid w:val="00D9170C"/>
    <w:rsid w:val="00DA0B4E"/>
    <w:rsid w:val="00DA376C"/>
    <w:rsid w:val="00DA3D7B"/>
    <w:rsid w:val="00DA42CA"/>
    <w:rsid w:val="00DA6721"/>
    <w:rsid w:val="00DA7189"/>
    <w:rsid w:val="00DA7370"/>
    <w:rsid w:val="00DB075C"/>
    <w:rsid w:val="00DB1190"/>
    <w:rsid w:val="00DB2EF2"/>
    <w:rsid w:val="00DB3F22"/>
    <w:rsid w:val="00DB4594"/>
    <w:rsid w:val="00DB4AA3"/>
    <w:rsid w:val="00DB5E61"/>
    <w:rsid w:val="00DB6128"/>
    <w:rsid w:val="00DB68FF"/>
    <w:rsid w:val="00DB7230"/>
    <w:rsid w:val="00DC2191"/>
    <w:rsid w:val="00DC32BA"/>
    <w:rsid w:val="00DC5FD8"/>
    <w:rsid w:val="00DC74F2"/>
    <w:rsid w:val="00DD15AA"/>
    <w:rsid w:val="00DD38BA"/>
    <w:rsid w:val="00DD391D"/>
    <w:rsid w:val="00DD6537"/>
    <w:rsid w:val="00DD6667"/>
    <w:rsid w:val="00DD74A2"/>
    <w:rsid w:val="00DE383B"/>
    <w:rsid w:val="00DE4466"/>
    <w:rsid w:val="00DE49BE"/>
    <w:rsid w:val="00DE5588"/>
    <w:rsid w:val="00DE6576"/>
    <w:rsid w:val="00DF0383"/>
    <w:rsid w:val="00DF2468"/>
    <w:rsid w:val="00DF4614"/>
    <w:rsid w:val="00DF4BDE"/>
    <w:rsid w:val="00DF58E5"/>
    <w:rsid w:val="00DF6D10"/>
    <w:rsid w:val="00DF6F23"/>
    <w:rsid w:val="00DF78D4"/>
    <w:rsid w:val="00DF7B25"/>
    <w:rsid w:val="00E0057F"/>
    <w:rsid w:val="00E00B67"/>
    <w:rsid w:val="00E01129"/>
    <w:rsid w:val="00E018EE"/>
    <w:rsid w:val="00E03E2A"/>
    <w:rsid w:val="00E0663A"/>
    <w:rsid w:val="00E129CA"/>
    <w:rsid w:val="00E135A1"/>
    <w:rsid w:val="00E1496E"/>
    <w:rsid w:val="00E16EF1"/>
    <w:rsid w:val="00E177A0"/>
    <w:rsid w:val="00E17D72"/>
    <w:rsid w:val="00E17F63"/>
    <w:rsid w:val="00E23A36"/>
    <w:rsid w:val="00E2702E"/>
    <w:rsid w:val="00E275D5"/>
    <w:rsid w:val="00E31653"/>
    <w:rsid w:val="00E34223"/>
    <w:rsid w:val="00E35A43"/>
    <w:rsid w:val="00E367BA"/>
    <w:rsid w:val="00E438AC"/>
    <w:rsid w:val="00E43C06"/>
    <w:rsid w:val="00E449B1"/>
    <w:rsid w:val="00E47B31"/>
    <w:rsid w:val="00E47C48"/>
    <w:rsid w:val="00E501F7"/>
    <w:rsid w:val="00E5082D"/>
    <w:rsid w:val="00E52202"/>
    <w:rsid w:val="00E574A9"/>
    <w:rsid w:val="00E61355"/>
    <w:rsid w:val="00E613BC"/>
    <w:rsid w:val="00E61F0C"/>
    <w:rsid w:val="00E61F1E"/>
    <w:rsid w:val="00E628BC"/>
    <w:rsid w:val="00E62AE1"/>
    <w:rsid w:val="00E62E7D"/>
    <w:rsid w:val="00E63ADB"/>
    <w:rsid w:val="00E65371"/>
    <w:rsid w:val="00E65E58"/>
    <w:rsid w:val="00E66861"/>
    <w:rsid w:val="00E66E21"/>
    <w:rsid w:val="00E67063"/>
    <w:rsid w:val="00E70590"/>
    <w:rsid w:val="00E70F38"/>
    <w:rsid w:val="00E710FC"/>
    <w:rsid w:val="00E71915"/>
    <w:rsid w:val="00E74124"/>
    <w:rsid w:val="00E75819"/>
    <w:rsid w:val="00E80916"/>
    <w:rsid w:val="00E80CCD"/>
    <w:rsid w:val="00E840DF"/>
    <w:rsid w:val="00E8560F"/>
    <w:rsid w:val="00E8780A"/>
    <w:rsid w:val="00E90AAD"/>
    <w:rsid w:val="00E91377"/>
    <w:rsid w:val="00E914B8"/>
    <w:rsid w:val="00E9154D"/>
    <w:rsid w:val="00E91D31"/>
    <w:rsid w:val="00E93C7A"/>
    <w:rsid w:val="00E93E54"/>
    <w:rsid w:val="00E957FC"/>
    <w:rsid w:val="00E96979"/>
    <w:rsid w:val="00E9797B"/>
    <w:rsid w:val="00EA0289"/>
    <w:rsid w:val="00EA17EA"/>
    <w:rsid w:val="00EA3188"/>
    <w:rsid w:val="00EA424E"/>
    <w:rsid w:val="00EA68C3"/>
    <w:rsid w:val="00EA7B1C"/>
    <w:rsid w:val="00EB039C"/>
    <w:rsid w:val="00EB063D"/>
    <w:rsid w:val="00EB11D1"/>
    <w:rsid w:val="00EB181B"/>
    <w:rsid w:val="00EB1CA4"/>
    <w:rsid w:val="00EB1EA6"/>
    <w:rsid w:val="00EB2DEA"/>
    <w:rsid w:val="00EB4655"/>
    <w:rsid w:val="00EB4B83"/>
    <w:rsid w:val="00EB6B1D"/>
    <w:rsid w:val="00EB7127"/>
    <w:rsid w:val="00EC0B5C"/>
    <w:rsid w:val="00EC181B"/>
    <w:rsid w:val="00EC223F"/>
    <w:rsid w:val="00EC341C"/>
    <w:rsid w:val="00EC4AF9"/>
    <w:rsid w:val="00EC6020"/>
    <w:rsid w:val="00ED088F"/>
    <w:rsid w:val="00ED1657"/>
    <w:rsid w:val="00ED2CB8"/>
    <w:rsid w:val="00ED2E8A"/>
    <w:rsid w:val="00ED4819"/>
    <w:rsid w:val="00ED5637"/>
    <w:rsid w:val="00ED6618"/>
    <w:rsid w:val="00EE197E"/>
    <w:rsid w:val="00EE1A0F"/>
    <w:rsid w:val="00EE2B39"/>
    <w:rsid w:val="00EE3B2B"/>
    <w:rsid w:val="00EE598E"/>
    <w:rsid w:val="00EE6697"/>
    <w:rsid w:val="00EE71C9"/>
    <w:rsid w:val="00EE7F67"/>
    <w:rsid w:val="00EF0225"/>
    <w:rsid w:val="00EF1EBD"/>
    <w:rsid w:val="00EF352D"/>
    <w:rsid w:val="00EF49B3"/>
    <w:rsid w:val="00EF4AEE"/>
    <w:rsid w:val="00EF5A5E"/>
    <w:rsid w:val="00EF5DD1"/>
    <w:rsid w:val="00EF5E9F"/>
    <w:rsid w:val="00EF6CC5"/>
    <w:rsid w:val="00EF6E41"/>
    <w:rsid w:val="00EF7EAC"/>
    <w:rsid w:val="00F00481"/>
    <w:rsid w:val="00F03F3B"/>
    <w:rsid w:val="00F058C3"/>
    <w:rsid w:val="00F07217"/>
    <w:rsid w:val="00F07468"/>
    <w:rsid w:val="00F07548"/>
    <w:rsid w:val="00F11DDC"/>
    <w:rsid w:val="00F12BF6"/>
    <w:rsid w:val="00F1302B"/>
    <w:rsid w:val="00F13F76"/>
    <w:rsid w:val="00F17C41"/>
    <w:rsid w:val="00F200AC"/>
    <w:rsid w:val="00F20D10"/>
    <w:rsid w:val="00F2176B"/>
    <w:rsid w:val="00F22365"/>
    <w:rsid w:val="00F22D82"/>
    <w:rsid w:val="00F232CB"/>
    <w:rsid w:val="00F23A8E"/>
    <w:rsid w:val="00F256EE"/>
    <w:rsid w:val="00F265A6"/>
    <w:rsid w:val="00F26D40"/>
    <w:rsid w:val="00F34016"/>
    <w:rsid w:val="00F340B6"/>
    <w:rsid w:val="00F34775"/>
    <w:rsid w:val="00F34C04"/>
    <w:rsid w:val="00F350A4"/>
    <w:rsid w:val="00F361B7"/>
    <w:rsid w:val="00F40BAE"/>
    <w:rsid w:val="00F40D34"/>
    <w:rsid w:val="00F42A75"/>
    <w:rsid w:val="00F440D4"/>
    <w:rsid w:val="00F45C9B"/>
    <w:rsid w:val="00F46FB5"/>
    <w:rsid w:val="00F50C6E"/>
    <w:rsid w:val="00F50DDC"/>
    <w:rsid w:val="00F515D1"/>
    <w:rsid w:val="00F52F93"/>
    <w:rsid w:val="00F531ED"/>
    <w:rsid w:val="00F532A3"/>
    <w:rsid w:val="00F53DC9"/>
    <w:rsid w:val="00F54608"/>
    <w:rsid w:val="00F552F2"/>
    <w:rsid w:val="00F55E52"/>
    <w:rsid w:val="00F57EF0"/>
    <w:rsid w:val="00F627E2"/>
    <w:rsid w:val="00F62F96"/>
    <w:rsid w:val="00F63CC4"/>
    <w:rsid w:val="00F66A37"/>
    <w:rsid w:val="00F66DFC"/>
    <w:rsid w:val="00F678DE"/>
    <w:rsid w:val="00F70412"/>
    <w:rsid w:val="00F70F7D"/>
    <w:rsid w:val="00F71432"/>
    <w:rsid w:val="00F71520"/>
    <w:rsid w:val="00F72D2B"/>
    <w:rsid w:val="00F75377"/>
    <w:rsid w:val="00F753FB"/>
    <w:rsid w:val="00F75464"/>
    <w:rsid w:val="00F7590F"/>
    <w:rsid w:val="00F75FE2"/>
    <w:rsid w:val="00F76845"/>
    <w:rsid w:val="00F772CC"/>
    <w:rsid w:val="00F775BA"/>
    <w:rsid w:val="00F80056"/>
    <w:rsid w:val="00F80B5C"/>
    <w:rsid w:val="00F81625"/>
    <w:rsid w:val="00F83AAB"/>
    <w:rsid w:val="00F8569E"/>
    <w:rsid w:val="00F85A14"/>
    <w:rsid w:val="00F90EB0"/>
    <w:rsid w:val="00F913C6"/>
    <w:rsid w:val="00F915CC"/>
    <w:rsid w:val="00F93456"/>
    <w:rsid w:val="00F94540"/>
    <w:rsid w:val="00F94864"/>
    <w:rsid w:val="00F95331"/>
    <w:rsid w:val="00F95BDD"/>
    <w:rsid w:val="00FA02EE"/>
    <w:rsid w:val="00FA1706"/>
    <w:rsid w:val="00FA33A6"/>
    <w:rsid w:val="00FA4D6A"/>
    <w:rsid w:val="00FA7B80"/>
    <w:rsid w:val="00FB0B18"/>
    <w:rsid w:val="00FB2ACA"/>
    <w:rsid w:val="00FB5ECE"/>
    <w:rsid w:val="00FB653B"/>
    <w:rsid w:val="00FB673E"/>
    <w:rsid w:val="00FB753B"/>
    <w:rsid w:val="00FC3589"/>
    <w:rsid w:val="00FC3C5E"/>
    <w:rsid w:val="00FC3D57"/>
    <w:rsid w:val="00FC3EB4"/>
    <w:rsid w:val="00FC51B8"/>
    <w:rsid w:val="00FC5FD1"/>
    <w:rsid w:val="00FC6C2D"/>
    <w:rsid w:val="00FD16AB"/>
    <w:rsid w:val="00FD17B1"/>
    <w:rsid w:val="00FD26CC"/>
    <w:rsid w:val="00FD2E3A"/>
    <w:rsid w:val="00FD38DC"/>
    <w:rsid w:val="00FD6457"/>
    <w:rsid w:val="00FD755E"/>
    <w:rsid w:val="00FD75BE"/>
    <w:rsid w:val="00FD7CD3"/>
    <w:rsid w:val="00FE1713"/>
    <w:rsid w:val="00FE44C5"/>
    <w:rsid w:val="00FE4DA6"/>
    <w:rsid w:val="00FE6089"/>
    <w:rsid w:val="00FF1021"/>
    <w:rsid w:val="00FF141F"/>
    <w:rsid w:val="00FF3562"/>
    <w:rsid w:val="00FF406D"/>
    <w:rsid w:val="00FF5CE3"/>
    <w:rsid w:val="00FF7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F793F9"/>
  <w15:docId w15:val="{4ACDF7AC-0850-4C6B-A735-9E372CD2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267356"/>
    <w:rPr>
      <w:sz w:val="16"/>
      <w:szCs w:val="16"/>
    </w:rPr>
  </w:style>
  <w:style w:type="paragraph" w:styleId="CommentText">
    <w:name w:val="annotation text"/>
    <w:basedOn w:val="Normal"/>
    <w:link w:val="CommentTextChar"/>
    <w:uiPriority w:val="99"/>
    <w:unhideWhenUsed/>
    <w:locked/>
    <w:rsid w:val="00267356"/>
    <w:pPr>
      <w:spacing w:line="240" w:lineRule="auto"/>
    </w:pPr>
    <w:rPr>
      <w:sz w:val="20"/>
      <w:szCs w:val="20"/>
    </w:rPr>
  </w:style>
  <w:style w:type="character" w:customStyle="1" w:styleId="CommentTextChar">
    <w:name w:val="Comment Text Char"/>
    <w:basedOn w:val="DefaultParagraphFont"/>
    <w:link w:val="CommentText"/>
    <w:uiPriority w:val="99"/>
    <w:rsid w:val="00267356"/>
    <w:rPr>
      <w:sz w:val="20"/>
      <w:szCs w:val="20"/>
    </w:rPr>
  </w:style>
  <w:style w:type="paragraph" w:styleId="CommentSubject">
    <w:name w:val="annotation subject"/>
    <w:basedOn w:val="CommentText"/>
    <w:next w:val="CommentText"/>
    <w:link w:val="CommentSubjectChar"/>
    <w:uiPriority w:val="99"/>
    <w:semiHidden/>
    <w:unhideWhenUsed/>
    <w:locked/>
    <w:rsid w:val="00267356"/>
    <w:rPr>
      <w:b/>
      <w:bCs/>
    </w:rPr>
  </w:style>
  <w:style w:type="character" w:customStyle="1" w:styleId="CommentSubjectChar">
    <w:name w:val="Comment Subject Char"/>
    <w:basedOn w:val="CommentTextChar"/>
    <w:link w:val="CommentSubject"/>
    <w:uiPriority w:val="99"/>
    <w:semiHidden/>
    <w:rsid w:val="00267356"/>
    <w:rPr>
      <w:b/>
      <w:bCs/>
      <w:sz w:val="20"/>
      <w:szCs w:val="20"/>
    </w:rPr>
  </w:style>
  <w:style w:type="paragraph" w:styleId="Revision">
    <w:name w:val="Revision"/>
    <w:hidden/>
    <w:uiPriority w:val="99"/>
    <w:semiHidden/>
    <w:rsid w:val="00297311"/>
  </w:style>
  <w:style w:type="paragraph" w:customStyle="1" w:styleId="Body">
    <w:name w:val="Body"/>
    <w:basedOn w:val="Normal"/>
    <w:qFormat/>
    <w:rsid w:val="00D8043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8043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8043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8043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8043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8043E"/>
    <w:pPr>
      <w:jc w:val="center"/>
    </w:pPr>
    <w:rPr>
      <w:rFonts w:ascii="Times New Roman" w:hAnsi="Times New Roman"/>
      <w:bCs/>
      <w:szCs w:val="20"/>
      <w:lang w:val="en-GB"/>
    </w:rPr>
  </w:style>
  <w:style w:type="paragraph" w:customStyle="1" w:styleId="Default">
    <w:name w:val="Default"/>
    <w:rsid w:val="00D8043E"/>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C3A5-BC8E-489C-BD76-259DA463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cbc5b7fd-636f-49ec-b8cc-eb8a3f2ba19e"/>
    <ds:schemaRef ds:uri="http://schemas.microsoft.com/office/2006/metadata/properties"/>
    <ds:schemaRef ds:uri="http://schemas.microsoft.com/office/infopath/2007/PartnerControls"/>
    <ds:schemaRef ds:uri="3cc3f26d-d9cc-46f3-89c7-f1482de8c8f1"/>
    <ds:schemaRef ds:uri="http://purl.org/dc/terms/"/>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D8CE4545-53C5-4D62-A180-3F46CFBF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2</TotalTime>
  <Pages>23</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High Court of Australia</Company>
  <LinksUpToDate>false</LinksUpToDate>
  <CharactersWithSpaces>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Court of Australia</dc:creator>
  <cp:keywords/>
  <cp:lastModifiedBy>Johanna McGann</cp:lastModifiedBy>
  <cp:revision>2</cp:revision>
  <dcterms:created xsi:type="dcterms:W3CDTF">2021-12-14T00:11:00Z</dcterms:created>
  <dcterms:modified xsi:type="dcterms:W3CDTF">2021-12-14T00:11:00Z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