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6.xml" ContentType="application/vnd.openxmlformats-officedocument.wordprocessingml.header+xml"/>
  <Override PartName="/word/header8.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248F0" w14:textId="77777777" w:rsidR="00CA61AF" w:rsidRPr="00704FF8" w:rsidRDefault="00CA61AF" w:rsidP="00704FF8">
      <w:pPr>
        <w:pStyle w:val="OrdersTopLine"/>
      </w:pPr>
      <w:bookmarkStart w:id="0" w:name="_GoBack"/>
      <w:bookmarkEnd w:id="0"/>
      <w:r w:rsidRPr="00704FF8">
        <w:t>HIGH COURT OF AUSTRALIA</w:t>
      </w:r>
    </w:p>
    <w:p w14:paraId="47A51C78" w14:textId="77777777" w:rsidR="00CA61AF" w:rsidRPr="00704FF8" w:rsidRDefault="00CA61AF" w:rsidP="00704FF8">
      <w:pPr>
        <w:pStyle w:val="OrderCentre"/>
      </w:pPr>
    </w:p>
    <w:p w14:paraId="2441F60C" w14:textId="77777777" w:rsidR="00CA61AF" w:rsidRPr="00704FF8" w:rsidRDefault="00CA61AF" w:rsidP="00704FF8">
      <w:pPr>
        <w:pStyle w:val="OrderCentre"/>
      </w:pPr>
      <w:r w:rsidRPr="00704FF8">
        <w:t>KIEFEL CJ</w:t>
      </w:r>
      <w:r>
        <w:t>,</w:t>
      </w:r>
    </w:p>
    <w:p w14:paraId="1188E4A8" w14:textId="77777777" w:rsidR="00CA61AF" w:rsidRPr="00704FF8" w:rsidRDefault="00CA61AF" w:rsidP="00704FF8">
      <w:pPr>
        <w:pStyle w:val="OrderCentre"/>
      </w:pPr>
      <w:r w:rsidRPr="00704FF8">
        <w:t>GAGELER, KEANE, GORDON AND EDELMAN JJ</w:t>
      </w:r>
    </w:p>
    <w:p w14:paraId="4BB8C0A5" w14:textId="77777777" w:rsidR="00CA61AF" w:rsidRPr="00427F3A" w:rsidRDefault="00CA61AF" w:rsidP="00EE5374">
      <w:pPr>
        <w:pStyle w:val="Centre"/>
        <w:rPr>
          <w:lang w:val="en-AU"/>
        </w:rPr>
      </w:pPr>
    </w:p>
    <w:p w14:paraId="09C35BF4" w14:textId="77777777" w:rsidR="00CA61AF" w:rsidRPr="00704FF8" w:rsidRDefault="00CA61AF" w:rsidP="00704FF8">
      <w:pPr>
        <w:pStyle w:val="OrdersCenteredBorder"/>
      </w:pPr>
    </w:p>
    <w:p w14:paraId="26AB433C" w14:textId="77777777" w:rsidR="00CA61AF" w:rsidRPr="00704FF8" w:rsidRDefault="00CA61AF" w:rsidP="0032341F">
      <w:pPr>
        <w:pStyle w:val="OrdersBodyHeading"/>
      </w:pPr>
    </w:p>
    <w:p w14:paraId="133F12FE" w14:textId="77777777" w:rsidR="00CA61AF" w:rsidRPr="0032341F" w:rsidRDefault="00CA61AF" w:rsidP="009362E8">
      <w:pPr>
        <w:pStyle w:val="OrdersPartyName"/>
        <w:ind w:right="-1"/>
      </w:pPr>
      <w:r w:rsidRPr="00DA60C3">
        <w:t>CLIVE FREDERICK PALMER &amp; ANOR</w:t>
      </w:r>
      <w:r w:rsidRPr="0032341F">
        <w:tab/>
      </w:r>
      <w:r w:rsidRPr="00DA60C3">
        <w:t>PLAINTIFF</w:t>
      </w:r>
      <w:r>
        <w:t>S</w:t>
      </w:r>
    </w:p>
    <w:p w14:paraId="75C8449B" w14:textId="77777777" w:rsidR="00CA61AF" w:rsidRPr="0032341F" w:rsidRDefault="00CA61AF" w:rsidP="009362E8">
      <w:pPr>
        <w:pStyle w:val="OrdersPartyName"/>
        <w:ind w:right="-1"/>
      </w:pPr>
    </w:p>
    <w:p w14:paraId="1EFCE034" w14:textId="77777777" w:rsidR="00CA61AF" w:rsidRPr="0032341F" w:rsidRDefault="00CA61AF" w:rsidP="009362E8">
      <w:pPr>
        <w:pStyle w:val="OrdersPartyName"/>
        <w:ind w:right="-1"/>
      </w:pPr>
      <w:r w:rsidRPr="0032341F">
        <w:t>AND</w:t>
      </w:r>
    </w:p>
    <w:p w14:paraId="6631E1F6" w14:textId="77777777" w:rsidR="00CA61AF" w:rsidRPr="0032341F" w:rsidRDefault="00CA61AF" w:rsidP="009362E8">
      <w:pPr>
        <w:pStyle w:val="OrdersPartyName"/>
        <w:ind w:right="-1"/>
      </w:pPr>
    </w:p>
    <w:p w14:paraId="22B6879D" w14:textId="77777777" w:rsidR="00CA61AF" w:rsidRPr="0032341F" w:rsidRDefault="00CA61AF" w:rsidP="009362E8">
      <w:pPr>
        <w:pStyle w:val="OrdersPartyName"/>
        <w:ind w:right="-1"/>
      </w:pPr>
      <w:r w:rsidRPr="00DA60C3">
        <w:t>THE STATE OF WESTERN AUSTRALIA &amp; ANOR</w:t>
      </w:r>
      <w:r w:rsidRPr="0032341F">
        <w:tab/>
      </w:r>
      <w:r w:rsidRPr="00DA60C3">
        <w:t>DEFENDANT</w:t>
      </w:r>
      <w:r>
        <w:t>S</w:t>
      </w:r>
    </w:p>
    <w:p w14:paraId="4F7D656E" w14:textId="77777777" w:rsidR="00CA61AF" w:rsidRDefault="00CA61AF" w:rsidP="00BE0A6C">
      <w:pPr>
        <w:pStyle w:val="BodyHeading"/>
      </w:pPr>
    </w:p>
    <w:p w14:paraId="18A90D2C" w14:textId="77777777" w:rsidR="00CA61AF" w:rsidRPr="00427F3A" w:rsidRDefault="00CA61AF" w:rsidP="00BE0A6C">
      <w:pPr>
        <w:pStyle w:val="BodyHeading"/>
      </w:pPr>
    </w:p>
    <w:p w14:paraId="286B0D27" w14:textId="77777777" w:rsidR="00CA61AF" w:rsidRPr="00427F3A" w:rsidRDefault="00CA61AF" w:rsidP="00EE5374">
      <w:pPr>
        <w:pStyle w:val="CentreItalics"/>
      </w:pPr>
      <w:r w:rsidRPr="00DA60C3">
        <w:t>Palmer v Western Australia</w:t>
      </w:r>
    </w:p>
    <w:p w14:paraId="2DE4658A" w14:textId="77777777" w:rsidR="00CA61AF" w:rsidRPr="00427F3A" w:rsidRDefault="00CA61AF" w:rsidP="00E90E4F">
      <w:pPr>
        <w:pStyle w:val="OrdersCentre"/>
      </w:pPr>
      <w:r>
        <w:t>[2021</w:t>
      </w:r>
      <w:r w:rsidRPr="00427F3A">
        <w:t xml:space="preserve">] HCA </w:t>
      </w:r>
      <w:r>
        <w:t>5</w:t>
      </w:r>
    </w:p>
    <w:p w14:paraId="2E1826D7" w14:textId="77777777" w:rsidR="00CA61AF" w:rsidRDefault="00CA61AF" w:rsidP="00E90E4F">
      <w:pPr>
        <w:pStyle w:val="OrdersCentreItalics"/>
      </w:pPr>
      <w:r>
        <w:t>Date of Hearing: 3 &amp; 4 November 2020</w:t>
      </w:r>
    </w:p>
    <w:p w14:paraId="6F96D96C" w14:textId="77777777" w:rsidR="00CA61AF" w:rsidRDefault="00CA61AF" w:rsidP="00DA60C3">
      <w:pPr>
        <w:pStyle w:val="OrdersCentreItalics"/>
      </w:pPr>
      <w:r>
        <w:t>Date of Order: 6 November 2020</w:t>
      </w:r>
    </w:p>
    <w:p w14:paraId="092003D7" w14:textId="77777777" w:rsidR="00CA61AF" w:rsidRPr="00427F3A" w:rsidRDefault="00CA61AF" w:rsidP="00DA60C3">
      <w:pPr>
        <w:pStyle w:val="OrdersCentreItalics"/>
      </w:pPr>
      <w:r>
        <w:t>Date of Publication of Reasons: 24 February 2021</w:t>
      </w:r>
    </w:p>
    <w:p w14:paraId="2C400F78" w14:textId="77777777" w:rsidR="00CA61AF" w:rsidRDefault="00CA61AF" w:rsidP="00E90E4F">
      <w:pPr>
        <w:pStyle w:val="OrdersCentre"/>
      </w:pPr>
      <w:r>
        <w:t>B26/2020</w:t>
      </w:r>
    </w:p>
    <w:p w14:paraId="309E498F" w14:textId="77777777" w:rsidR="00CA61AF" w:rsidRDefault="00CA61AF" w:rsidP="00E90E4F">
      <w:pPr>
        <w:pStyle w:val="OrdersCentre"/>
      </w:pPr>
    </w:p>
    <w:p w14:paraId="4378BA0E" w14:textId="77777777" w:rsidR="00CA61AF" w:rsidRPr="00427F3A" w:rsidRDefault="00CA61AF" w:rsidP="00E90E4F">
      <w:pPr>
        <w:pStyle w:val="OrdersCentre"/>
      </w:pPr>
    </w:p>
    <w:p w14:paraId="09869364" w14:textId="77777777" w:rsidR="00CA61AF" w:rsidRPr="00BE0A6C" w:rsidRDefault="00CA61AF" w:rsidP="00E90E4F">
      <w:pPr>
        <w:pStyle w:val="OrderCentreBold"/>
      </w:pPr>
      <w:r w:rsidRPr="00BE0A6C">
        <w:t>ORDER</w:t>
      </w:r>
    </w:p>
    <w:p w14:paraId="0AD110D0" w14:textId="77777777" w:rsidR="00CA61AF" w:rsidRPr="00427F3A" w:rsidRDefault="00CA61AF" w:rsidP="00736C52">
      <w:pPr>
        <w:pStyle w:val="Centre"/>
        <w:rPr>
          <w:lang w:val="en-AU"/>
        </w:rPr>
      </w:pPr>
    </w:p>
    <w:p w14:paraId="117EB8DB" w14:textId="77777777" w:rsidR="00CA61AF" w:rsidRDefault="00CA61AF" w:rsidP="00305623">
      <w:pPr>
        <w:pStyle w:val="OrdersText"/>
        <w:ind w:left="0" w:firstLine="0"/>
      </w:pPr>
      <w:r>
        <w:t xml:space="preserve">The questions stated for the opinion of the Full Court in the special case filed on 22 September 2020 be answered as follows: </w:t>
      </w:r>
    </w:p>
    <w:p w14:paraId="4586735D" w14:textId="77777777" w:rsidR="00CA61AF" w:rsidRDefault="00CA61AF" w:rsidP="00B2774F">
      <w:pPr>
        <w:pStyle w:val="OrdersText"/>
      </w:pPr>
    </w:p>
    <w:p w14:paraId="52048D67" w14:textId="77777777" w:rsidR="00CA61AF" w:rsidRDefault="00CA61AF" w:rsidP="00B2774F">
      <w:pPr>
        <w:pStyle w:val="OrdersText"/>
      </w:pPr>
      <w:r>
        <w:t>(a)</w:t>
      </w:r>
      <w:r>
        <w:tab/>
        <w:t xml:space="preserve">Are the </w:t>
      </w:r>
      <w:r w:rsidRPr="000428D3">
        <w:rPr>
          <w:i w:val="0"/>
        </w:rPr>
        <w:t>Quarantine (Closing the Border) Directions</w:t>
      </w:r>
      <w:r>
        <w:t xml:space="preserve"> (WA) and/or the authorising </w:t>
      </w:r>
      <w:r w:rsidRPr="000428D3">
        <w:rPr>
          <w:i w:val="0"/>
        </w:rPr>
        <w:t>Emergency Management Act 2005</w:t>
      </w:r>
      <w:r>
        <w:t xml:space="preserve"> (WA) invalid (in whole or in part, and if in part, to what extent) because they impermissibly infringe s 92 of the </w:t>
      </w:r>
      <w:r w:rsidRPr="000428D3">
        <w:rPr>
          <w:i w:val="0"/>
        </w:rPr>
        <w:t>Constitution</w:t>
      </w:r>
      <w:r>
        <w:t xml:space="preserve">? </w:t>
      </w:r>
    </w:p>
    <w:p w14:paraId="13B1815C" w14:textId="77777777" w:rsidR="00CA61AF" w:rsidRDefault="00CA61AF" w:rsidP="00B2774F">
      <w:pPr>
        <w:pStyle w:val="OrdersText"/>
      </w:pPr>
    </w:p>
    <w:p w14:paraId="1BBC7134" w14:textId="77777777" w:rsidR="00CA61AF" w:rsidRPr="00D026DF" w:rsidRDefault="00CA61AF" w:rsidP="00F00099">
      <w:pPr>
        <w:pStyle w:val="OrdersText"/>
        <w:ind w:left="1418"/>
        <w:rPr>
          <w:b/>
        </w:rPr>
      </w:pPr>
      <w:r w:rsidRPr="00D026DF">
        <w:rPr>
          <w:b/>
        </w:rPr>
        <w:t xml:space="preserve">Answer: </w:t>
      </w:r>
    </w:p>
    <w:p w14:paraId="274F9602" w14:textId="77777777" w:rsidR="00CA61AF" w:rsidRPr="00536B46" w:rsidRDefault="00CA61AF" w:rsidP="00B2774F">
      <w:pPr>
        <w:pStyle w:val="OrdersText"/>
      </w:pPr>
    </w:p>
    <w:p w14:paraId="333A9475" w14:textId="77777777" w:rsidR="00CA61AF" w:rsidRPr="00994DE3" w:rsidRDefault="00CA61AF" w:rsidP="00F00099">
      <w:pPr>
        <w:pStyle w:val="OrdersText"/>
        <w:ind w:left="720" w:hanging="11"/>
        <w:rPr>
          <w:b/>
        </w:rPr>
      </w:pPr>
      <w:r>
        <w:t xml:space="preserve">On their proper construction, ss 56 and 67 of the </w:t>
      </w:r>
      <w:r w:rsidRPr="00F00099">
        <w:rPr>
          <w:i w:val="0"/>
        </w:rPr>
        <w:t xml:space="preserve">Emergency Management Act 2005 </w:t>
      </w:r>
      <w:r>
        <w:t xml:space="preserve">(WA) in their application to an emergency constituted by the occurrence of a hazard in the nature of a plague or epidemic comply with the constitutional limitation of s 92 of the </w:t>
      </w:r>
      <w:r w:rsidRPr="00816E72">
        <w:rPr>
          <w:i w:val="0"/>
        </w:rPr>
        <w:t>Constitution</w:t>
      </w:r>
      <w:r>
        <w:t xml:space="preserve"> in each of its limbs. </w:t>
      </w:r>
    </w:p>
    <w:p w14:paraId="695E1C27" w14:textId="5298D776" w:rsidR="00CA61AF" w:rsidRDefault="00CA61A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4C8EBA09" w14:textId="7EB251B0" w:rsidR="00CA61AF" w:rsidRDefault="00CA61A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19F4C2F4" w14:textId="77777777" w:rsidR="00CA61AF" w:rsidRDefault="00CA61AF" w:rsidP="00F00099">
      <w:pPr>
        <w:pStyle w:val="OrdersText"/>
        <w:ind w:left="720" w:hanging="11"/>
      </w:pPr>
    </w:p>
    <w:p w14:paraId="5A6AE13A" w14:textId="77777777" w:rsidR="00CA61AF" w:rsidRDefault="00CA61AF" w:rsidP="00A632E6">
      <w:pPr>
        <w:pStyle w:val="OrdersText"/>
        <w:keepNext/>
        <w:ind w:left="720" w:hanging="11"/>
      </w:pPr>
      <w:r>
        <w:t xml:space="preserve">The exercise of the power given by those provisions to make paras 4 and 5 of the </w:t>
      </w:r>
      <w:r w:rsidRPr="00816E72">
        <w:rPr>
          <w:i w:val="0"/>
        </w:rPr>
        <w:t>Quarantine (Closing the Border) Directions</w:t>
      </w:r>
      <w:r>
        <w:t xml:space="preserve"> (WA) does not raise a constitutional question. </w:t>
      </w:r>
    </w:p>
    <w:p w14:paraId="514F5ED6" w14:textId="77777777" w:rsidR="00CA61AF" w:rsidRDefault="00CA61AF" w:rsidP="00F00099">
      <w:pPr>
        <w:pStyle w:val="OrdersText"/>
        <w:ind w:left="720" w:hanging="11"/>
      </w:pPr>
    </w:p>
    <w:p w14:paraId="6CF61FBE" w14:textId="77777777" w:rsidR="00CA61AF" w:rsidRPr="00252472" w:rsidRDefault="00CA61AF" w:rsidP="00F00099">
      <w:pPr>
        <w:pStyle w:val="OrdersText"/>
        <w:ind w:left="720" w:hanging="11"/>
      </w:pPr>
      <w:r>
        <w:t xml:space="preserve">No issue is taken as to whether the </w:t>
      </w:r>
      <w:r w:rsidRPr="00816E72">
        <w:rPr>
          <w:i w:val="0"/>
        </w:rPr>
        <w:t xml:space="preserve">Quarantine (Closing the Border) Directions </w:t>
      </w:r>
      <w:r>
        <w:t xml:space="preserve">(WA) were validly authorised by the statutory provisions so that no other question remains for determination by a court. </w:t>
      </w:r>
    </w:p>
    <w:p w14:paraId="392C9A5C" w14:textId="77777777" w:rsidR="00CA61AF" w:rsidRDefault="00CA61AF" w:rsidP="00B2774F">
      <w:pPr>
        <w:pStyle w:val="OrdersText"/>
      </w:pPr>
    </w:p>
    <w:p w14:paraId="7F2A8945" w14:textId="77777777" w:rsidR="00CA61AF" w:rsidRDefault="00CA61AF" w:rsidP="00B2774F">
      <w:pPr>
        <w:pStyle w:val="OrdersText"/>
      </w:pPr>
      <w:r>
        <w:t>(b)</w:t>
      </w:r>
      <w:r>
        <w:tab/>
        <w:t xml:space="preserve">Who should pay the costs of the special case? </w:t>
      </w:r>
    </w:p>
    <w:p w14:paraId="1DE111B5" w14:textId="77777777" w:rsidR="00CA61AF" w:rsidRDefault="00CA61AF" w:rsidP="00B2774F">
      <w:pPr>
        <w:pStyle w:val="OrdersText"/>
      </w:pPr>
    </w:p>
    <w:p w14:paraId="5E71071F" w14:textId="77777777" w:rsidR="00CA61AF" w:rsidRPr="00D026DF" w:rsidRDefault="00CA61AF" w:rsidP="0080418E">
      <w:pPr>
        <w:pStyle w:val="OrdersText"/>
        <w:ind w:left="1418"/>
        <w:rPr>
          <w:b/>
        </w:rPr>
      </w:pPr>
      <w:r w:rsidRPr="00D026DF">
        <w:rPr>
          <w:b/>
        </w:rPr>
        <w:t xml:space="preserve">Answer: </w:t>
      </w:r>
    </w:p>
    <w:p w14:paraId="312B1D35" w14:textId="77777777" w:rsidR="00CA61AF" w:rsidRDefault="00CA61AF" w:rsidP="0080418E">
      <w:pPr>
        <w:pStyle w:val="OrdersText"/>
        <w:ind w:left="1418"/>
        <w:rPr>
          <w:b/>
        </w:rPr>
      </w:pPr>
    </w:p>
    <w:p w14:paraId="5E0C5823" w14:textId="77777777" w:rsidR="00CA61AF" w:rsidRPr="00994DE3" w:rsidRDefault="00CA61AF" w:rsidP="0080418E">
      <w:pPr>
        <w:pStyle w:val="OrdersText"/>
        <w:ind w:left="1418"/>
        <w:rPr>
          <w:b/>
        </w:rPr>
      </w:pPr>
      <w:r>
        <w:t xml:space="preserve">The plaintiffs. </w:t>
      </w:r>
    </w:p>
    <w:p w14:paraId="1A9E2769" w14:textId="77777777" w:rsidR="00CA61AF" w:rsidRDefault="00CA61AF" w:rsidP="00EE5374">
      <w:pPr>
        <w:pStyle w:val="Body"/>
      </w:pPr>
    </w:p>
    <w:p w14:paraId="405AA1D0" w14:textId="77777777" w:rsidR="00CA61AF" w:rsidRPr="00427F3A" w:rsidRDefault="00CA61AF" w:rsidP="00EE5374">
      <w:pPr>
        <w:pStyle w:val="Body"/>
      </w:pPr>
    </w:p>
    <w:p w14:paraId="6FFE8B04" w14:textId="77777777" w:rsidR="00CA61AF" w:rsidRPr="006F7274" w:rsidRDefault="00CA61AF" w:rsidP="00E90E4F">
      <w:pPr>
        <w:pStyle w:val="OrdersBodyHeading"/>
      </w:pPr>
      <w:r w:rsidRPr="006F7274">
        <w:t>Representation</w:t>
      </w:r>
    </w:p>
    <w:p w14:paraId="13280C38" w14:textId="77777777" w:rsidR="00CA61AF" w:rsidRPr="006F7274" w:rsidRDefault="00CA61AF" w:rsidP="00EE5374">
      <w:pPr>
        <w:pStyle w:val="Body"/>
      </w:pPr>
    </w:p>
    <w:p w14:paraId="02698C40" w14:textId="77777777" w:rsidR="00CA61AF" w:rsidRPr="006F7274" w:rsidRDefault="00CA61AF" w:rsidP="00E90E4F">
      <w:pPr>
        <w:pStyle w:val="OrdersBody"/>
      </w:pPr>
      <w:r w:rsidRPr="006F7274">
        <w:t>P J Dunning QC with R Scheelings and P J Ward for the plaintiffs (instructed by Jonathan Shaw)</w:t>
      </w:r>
    </w:p>
    <w:p w14:paraId="263626CD" w14:textId="77777777" w:rsidR="00CA61AF" w:rsidRPr="006F7274" w:rsidRDefault="00CA61AF" w:rsidP="001B3C97">
      <w:pPr>
        <w:pStyle w:val="Body"/>
      </w:pPr>
    </w:p>
    <w:p w14:paraId="067B5F1E" w14:textId="77777777" w:rsidR="00CA61AF" w:rsidRPr="006F7274" w:rsidRDefault="00CA61AF" w:rsidP="00E90E4F">
      <w:pPr>
        <w:pStyle w:val="OrdersBody"/>
      </w:pPr>
      <w:r w:rsidRPr="006F7274">
        <w:t>J A Thomson SC, Solicitor-General for the State of Western Australia, with J D Berson for the defendants (instructed by State Solicitor</w:t>
      </w:r>
      <w:r>
        <w:t>'</w:t>
      </w:r>
      <w:r w:rsidRPr="006F7274">
        <w:t>s Office (WA))</w:t>
      </w:r>
    </w:p>
    <w:p w14:paraId="45FCC7CE" w14:textId="77777777" w:rsidR="00CA61AF" w:rsidRPr="006F7274" w:rsidRDefault="00CA61AF" w:rsidP="00E90E4F">
      <w:pPr>
        <w:pStyle w:val="OrdersBody"/>
      </w:pPr>
    </w:p>
    <w:p w14:paraId="0D8A15BC" w14:textId="77777777" w:rsidR="00CA61AF" w:rsidRPr="006F7274" w:rsidRDefault="00CA61AF" w:rsidP="00DA60C3">
      <w:pPr>
        <w:pStyle w:val="OrdersBody"/>
      </w:pPr>
      <w:r w:rsidRPr="006F7274">
        <w:t>P J F Garrisson SC, Solicitor-General for the Australian Capital Territory, with H Younan SC and A M Hammond for the Attorney-General for the Australian Capital Territory, intervening (instructed by ACT Government Solicitor)</w:t>
      </w:r>
    </w:p>
    <w:p w14:paraId="0570965B" w14:textId="77777777" w:rsidR="00CA61AF" w:rsidRPr="006F7274" w:rsidRDefault="00CA61AF" w:rsidP="00DA60C3">
      <w:pPr>
        <w:pStyle w:val="OrdersBody"/>
      </w:pPr>
    </w:p>
    <w:p w14:paraId="4B44D85B" w14:textId="77777777" w:rsidR="00CA61AF" w:rsidRPr="006F7274" w:rsidRDefault="00CA61AF" w:rsidP="00DA60C3">
      <w:pPr>
        <w:pStyle w:val="OrdersBody"/>
      </w:pPr>
      <w:r w:rsidRPr="006F7274">
        <w:t>M E O</w:t>
      </w:r>
      <w:r>
        <w:t>'</w:t>
      </w:r>
      <w:r w:rsidRPr="006F7274">
        <w:t>Farrell SC, Solicitor-General for the State of Tasmania, with S K Kay for the Attorney-General for the State of Tasmania, intervening (instructed by Solicitor-General of Tasmania)</w:t>
      </w:r>
    </w:p>
    <w:p w14:paraId="2B2CF6D9" w14:textId="77777777" w:rsidR="00CA61AF" w:rsidRPr="006F7274" w:rsidRDefault="00CA61AF" w:rsidP="00DA60C3">
      <w:pPr>
        <w:pStyle w:val="OrdersBody"/>
      </w:pPr>
    </w:p>
    <w:p w14:paraId="7706A9DC" w14:textId="77777777" w:rsidR="00CA61AF" w:rsidRPr="006F7274" w:rsidRDefault="00CA61AF" w:rsidP="00DA60C3">
      <w:pPr>
        <w:pStyle w:val="OrdersBody"/>
      </w:pPr>
      <w:r w:rsidRPr="006F7274">
        <w:t>G A Thompson QC, Solicitor-General of the State of Queensland, with F J Nagorcka and K J E Blore for the Attorney-General of the State of Queensland, intervening (instructed by Crown Law (Qld))</w:t>
      </w:r>
    </w:p>
    <w:p w14:paraId="55AF649E" w14:textId="77777777" w:rsidR="00CA61AF" w:rsidRPr="006F7274" w:rsidRDefault="00CA61AF" w:rsidP="00DA60C3">
      <w:pPr>
        <w:pStyle w:val="OrdersBody"/>
      </w:pPr>
    </w:p>
    <w:p w14:paraId="44B3D970" w14:textId="77777777" w:rsidR="00CA61AF" w:rsidRPr="006F7274" w:rsidRDefault="00CA61AF" w:rsidP="00DA60C3">
      <w:pPr>
        <w:pStyle w:val="OrdersBody"/>
      </w:pPr>
      <w:r w:rsidRPr="006F7274">
        <w:t>M J Wait SC, Solicitor-General for the State of South Australia, with F J McDonald for the Attorney-General for the State of South Australia, intervening (instructed by Crown Solicitor</w:t>
      </w:r>
      <w:r>
        <w:t>'</w:t>
      </w:r>
      <w:r w:rsidRPr="006F7274">
        <w:t>s Office (SA))</w:t>
      </w:r>
    </w:p>
    <w:p w14:paraId="42A987F0" w14:textId="77777777" w:rsidR="00CA61AF" w:rsidRPr="006F7274" w:rsidRDefault="00CA61AF" w:rsidP="00DA60C3">
      <w:pPr>
        <w:pStyle w:val="OrdersBody"/>
      </w:pPr>
    </w:p>
    <w:p w14:paraId="447C7EA9" w14:textId="77777777" w:rsidR="00CA61AF" w:rsidRDefault="00CA61A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642A6163" w14:textId="77777777" w:rsidR="00CA61AF" w:rsidRDefault="00CA61A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7CD0CB64" w14:textId="6ACA0B8F" w:rsidR="00CA61AF" w:rsidRPr="006F7274" w:rsidRDefault="00CA61AF" w:rsidP="00DA60C3">
      <w:pPr>
        <w:pStyle w:val="OrdersBody"/>
      </w:pPr>
      <w:r w:rsidRPr="006F7274">
        <w:lastRenderedPageBreak/>
        <w:t>P J Hanks QC with P P Thiagarajan and T M Wood for the Attorney-General for the State of Victoria, intervening (instructed by Victorian Government Solicitor</w:t>
      </w:r>
      <w:r>
        <w:t>'</w:t>
      </w:r>
      <w:r w:rsidRPr="006F7274">
        <w:t>s Office)</w:t>
      </w:r>
    </w:p>
    <w:p w14:paraId="7117A6EC" w14:textId="77777777" w:rsidR="00CA61AF" w:rsidRPr="006F7274" w:rsidRDefault="00CA61AF" w:rsidP="00DA60C3">
      <w:pPr>
        <w:pStyle w:val="OrdersBody"/>
      </w:pPr>
    </w:p>
    <w:p w14:paraId="336BA5A5" w14:textId="77777777" w:rsidR="00CA61AF" w:rsidRPr="00733CAD" w:rsidRDefault="00CA61AF" w:rsidP="00EB2770">
      <w:pPr>
        <w:pStyle w:val="OrdersBody"/>
        <w:rPr>
          <w:highlight w:val="yellow"/>
        </w:rPr>
      </w:pPr>
      <w:r w:rsidRPr="006F7274">
        <w:t>T J Moses with L S Peattie for the Attorney-General for the Northern Territory, intervening (instructed by Solicitor for the Northern Territory)</w:t>
      </w:r>
    </w:p>
    <w:p w14:paraId="43BE72CC" w14:textId="77777777" w:rsidR="00CA61AF" w:rsidRDefault="00CA61AF" w:rsidP="00A01277">
      <w:pPr>
        <w:pStyle w:val="Body"/>
      </w:pPr>
    </w:p>
    <w:p w14:paraId="7C46DD5D" w14:textId="77777777" w:rsidR="00CA61AF" w:rsidRDefault="00CA61AF" w:rsidP="00EE5374">
      <w:pPr>
        <w:pStyle w:val="Body"/>
      </w:pPr>
    </w:p>
    <w:p w14:paraId="45A73025" w14:textId="77777777" w:rsidR="00CA61AF" w:rsidRDefault="00CA61AF" w:rsidP="00EE5374">
      <w:pPr>
        <w:pStyle w:val="Body"/>
      </w:pPr>
    </w:p>
    <w:p w14:paraId="39EEE2EB" w14:textId="77777777" w:rsidR="00CA61AF" w:rsidRDefault="00CA61AF" w:rsidP="00EE5374">
      <w:pPr>
        <w:pStyle w:val="Body"/>
      </w:pPr>
    </w:p>
    <w:p w14:paraId="1C84254B" w14:textId="77777777" w:rsidR="00CA61AF" w:rsidRDefault="00CA61AF" w:rsidP="00EE5374">
      <w:pPr>
        <w:pStyle w:val="Body"/>
      </w:pPr>
    </w:p>
    <w:p w14:paraId="14977282" w14:textId="77777777" w:rsidR="00CA61AF" w:rsidRDefault="00CA61AF" w:rsidP="00EE5374">
      <w:pPr>
        <w:pStyle w:val="Body"/>
      </w:pPr>
    </w:p>
    <w:p w14:paraId="1110AAEA" w14:textId="77777777" w:rsidR="00CA61AF" w:rsidRDefault="00CA61AF" w:rsidP="00EE5374">
      <w:pPr>
        <w:pStyle w:val="Body"/>
      </w:pPr>
    </w:p>
    <w:p w14:paraId="477983A3" w14:textId="77777777" w:rsidR="00CA61AF" w:rsidRDefault="00CA61AF" w:rsidP="00EE5374">
      <w:pPr>
        <w:pStyle w:val="Body"/>
      </w:pPr>
    </w:p>
    <w:p w14:paraId="1BBBD9A3" w14:textId="77777777" w:rsidR="00CA61AF" w:rsidRDefault="00CA61AF" w:rsidP="00EE5374">
      <w:pPr>
        <w:pStyle w:val="Body"/>
      </w:pPr>
    </w:p>
    <w:p w14:paraId="1098F864" w14:textId="77777777" w:rsidR="00CA61AF" w:rsidRDefault="00CA61AF" w:rsidP="00EE5374">
      <w:pPr>
        <w:pStyle w:val="Body"/>
      </w:pPr>
    </w:p>
    <w:p w14:paraId="577DD451" w14:textId="77777777" w:rsidR="00CA61AF" w:rsidRDefault="00CA61AF" w:rsidP="00EE5374">
      <w:pPr>
        <w:pStyle w:val="Body"/>
      </w:pPr>
    </w:p>
    <w:p w14:paraId="114705EA" w14:textId="77777777" w:rsidR="00CA61AF" w:rsidRDefault="00CA61AF" w:rsidP="00EE5374">
      <w:pPr>
        <w:pStyle w:val="Body"/>
      </w:pPr>
    </w:p>
    <w:p w14:paraId="6CBA975B" w14:textId="77777777" w:rsidR="00CA61AF" w:rsidRDefault="00CA61AF" w:rsidP="00EE5374">
      <w:pPr>
        <w:pStyle w:val="Body"/>
      </w:pPr>
    </w:p>
    <w:p w14:paraId="4D4D647C" w14:textId="77777777" w:rsidR="00CA61AF" w:rsidRDefault="00CA61AF" w:rsidP="00EE5374">
      <w:pPr>
        <w:pStyle w:val="Body"/>
      </w:pPr>
    </w:p>
    <w:p w14:paraId="2D14CE94" w14:textId="77777777" w:rsidR="00CA61AF" w:rsidRDefault="00CA61AF" w:rsidP="00EE5374">
      <w:pPr>
        <w:pStyle w:val="Body"/>
      </w:pPr>
    </w:p>
    <w:p w14:paraId="1245BBF7" w14:textId="77777777" w:rsidR="00CA61AF" w:rsidRDefault="00CA61AF" w:rsidP="00EE5374">
      <w:pPr>
        <w:pStyle w:val="Body"/>
      </w:pPr>
    </w:p>
    <w:p w14:paraId="1848AF0D" w14:textId="77777777" w:rsidR="00CA61AF" w:rsidRDefault="00CA61AF" w:rsidP="00EE5374">
      <w:pPr>
        <w:pStyle w:val="Body"/>
      </w:pPr>
    </w:p>
    <w:p w14:paraId="377041AB" w14:textId="77777777" w:rsidR="00CA61AF" w:rsidRDefault="00CA61AF" w:rsidP="00EE5374">
      <w:pPr>
        <w:pStyle w:val="Body"/>
      </w:pPr>
    </w:p>
    <w:p w14:paraId="6893FC95" w14:textId="77777777" w:rsidR="00CA61AF" w:rsidRDefault="00CA61AF" w:rsidP="00EE5374">
      <w:pPr>
        <w:pStyle w:val="Body"/>
      </w:pPr>
    </w:p>
    <w:p w14:paraId="104DDA91" w14:textId="77777777" w:rsidR="00CA61AF" w:rsidRDefault="00CA61AF" w:rsidP="00EE5374">
      <w:pPr>
        <w:pStyle w:val="Body"/>
      </w:pPr>
    </w:p>
    <w:p w14:paraId="15C69883" w14:textId="77777777" w:rsidR="00CA61AF" w:rsidRDefault="00CA61AF" w:rsidP="00EE5374">
      <w:pPr>
        <w:pStyle w:val="Body"/>
      </w:pPr>
    </w:p>
    <w:p w14:paraId="7ED59707" w14:textId="77777777" w:rsidR="00CA61AF" w:rsidRDefault="00CA61AF" w:rsidP="00EE5374">
      <w:pPr>
        <w:pStyle w:val="Body"/>
      </w:pPr>
    </w:p>
    <w:p w14:paraId="630FE5A5" w14:textId="77777777" w:rsidR="00CA61AF" w:rsidRDefault="00CA61AF" w:rsidP="00EE5374">
      <w:pPr>
        <w:pStyle w:val="Body"/>
      </w:pPr>
    </w:p>
    <w:p w14:paraId="73E9DFC0" w14:textId="77777777" w:rsidR="00CA61AF" w:rsidRDefault="00CA61AF" w:rsidP="00EE5374">
      <w:pPr>
        <w:pStyle w:val="Body"/>
      </w:pPr>
    </w:p>
    <w:p w14:paraId="6E39CFC5" w14:textId="77777777" w:rsidR="00CA61AF" w:rsidRDefault="00CA61AF" w:rsidP="00EE5374">
      <w:pPr>
        <w:pStyle w:val="Body"/>
      </w:pPr>
    </w:p>
    <w:p w14:paraId="3AE49EB2" w14:textId="77777777" w:rsidR="00CA61AF" w:rsidRDefault="00CA61AF" w:rsidP="00EE5374">
      <w:pPr>
        <w:pStyle w:val="Body"/>
      </w:pPr>
    </w:p>
    <w:p w14:paraId="6FA8DC51" w14:textId="77777777" w:rsidR="00CA61AF" w:rsidRDefault="00CA61AF" w:rsidP="00EE5374">
      <w:pPr>
        <w:pStyle w:val="Body"/>
      </w:pPr>
    </w:p>
    <w:p w14:paraId="2BA0B83A" w14:textId="77034F72" w:rsidR="00CA61AF" w:rsidRDefault="00CA61A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550BB68F" w14:textId="426B7E26" w:rsidR="00CA61AF" w:rsidRDefault="00CA61A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30D34E93" w14:textId="0BB8FF99" w:rsidR="00CA61AF" w:rsidRDefault="00CA61A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53324B1A" w14:textId="739E8C18" w:rsidR="00CA61AF" w:rsidRDefault="00CA61A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24716C3B" w14:textId="77777777" w:rsidR="00CA61AF" w:rsidRDefault="00CA61A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p>
    <w:p w14:paraId="6601E92A" w14:textId="77777777" w:rsidR="00CA61AF" w:rsidRPr="00427F3A" w:rsidRDefault="00CA61AF" w:rsidP="00EE5374">
      <w:pPr>
        <w:pStyle w:val="Body"/>
      </w:pPr>
    </w:p>
    <w:p w14:paraId="42697104" w14:textId="77777777" w:rsidR="00CA61AF" w:rsidRPr="00427F3A" w:rsidRDefault="00CA61AF" w:rsidP="00F9713B">
      <w:pPr>
        <w:pStyle w:val="Notice"/>
        <w:rPr>
          <w:lang w:val="en-AU"/>
        </w:rPr>
      </w:pPr>
      <w:r w:rsidRPr="00427F3A">
        <w:rPr>
          <w:lang w:val="en-AU"/>
        </w:rPr>
        <w:t>Notice:  This copy of the Court's Reasons for Judgment is subject to formal revision prior to publication in the Commonwealth Law Reports.</w:t>
      </w:r>
    </w:p>
    <w:p w14:paraId="65ED9717" w14:textId="7A3CAAA2" w:rsidR="00CA61AF" w:rsidRDefault="00CA61A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F6C7C84" w14:textId="77777777" w:rsidR="00CA61AF" w:rsidRDefault="00CA61A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CA61AF" w:rsidSect="00CA61AF">
          <w:headerReference w:type="default" r:id="rId8"/>
          <w:pgSz w:w="11907" w:h="16839" w:code="9"/>
          <w:pgMar w:top="1440" w:right="1984" w:bottom="1984" w:left="1984" w:header="720" w:footer="720" w:gutter="0"/>
          <w:cols w:space="720"/>
          <w:titlePg/>
          <w:docGrid w:linePitch="354"/>
        </w:sectPr>
      </w:pPr>
      <w:r>
        <w:rPr>
          <w:rFonts w:ascii="Times New Roman" w:hAnsi="Times New Roman"/>
        </w:rPr>
        <w:br w:type="page"/>
      </w:r>
    </w:p>
    <w:p w14:paraId="55765F8A" w14:textId="77777777" w:rsidR="00CA61AF" w:rsidRDefault="00CA61AF" w:rsidP="00CA61AF">
      <w:pPr>
        <w:spacing w:line="280" w:lineRule="exact"/>
        <w:ind w:firstLine="0"/>
        <w:jc w:val="right"/>
        <w:rPr>
          <w:rFonts w:ascii="Times New Roman" w:hAnsi="Times New Roman"/>
        </w:rPr>
      </w:pPr>
    </w:p>
    <w:p w14:paraId="393C1517" w14:textId="77777777" w:rsidR="00CA61AF" w:rsidRDefault="00CA61AF" w:rsidP="00CA61AF">
      <w:pPr>
        <w:spacing w:line="280" w:lineRule="exact"/>
        <w:ind w:firstLine="0"/>
        <w:jc w:val="both"/>
        <w:rPr>
          <w:rFonts w:ascii="Times New Roman" w:hAnsi="Times New Roman"/>
          <w:b/>
        </w:rPr>
      </w:pPr>
      <w:r>
        <w:rPr>
          <w:rFonts w:ascii="Times New Roman" w:hAnsi="Times New Roman"/>
          <w:b/>
        </w:rPr>
        <w:t>CATCHWORDS</w:t>
      </w:r>
    </w:p>
    <w:p w14:paraId="5101D2AB" w14:textId="77777777" w:rsidR="00CA61AF" w:rsidRDefault="00CA61AF" w:rsidP="00CA61AF">
      <w:pPr>
        <w:spacing w:line="280" w:lineRule="exact"/>
        <w:ind w:firstLine="0"/>
        <w:jc w:val="both"/>
        <w:rPr>
          <w:rFonts w:ascii="Times New Roman" w:hAnsi="Times New Roman"/>
          <w:b/>
        </w:rPr>
      </w:pPr>
    </w:p>
    <w:p w14:paraId="4DFBD69E" w14:textId="77777777" w:rsidR="00CA61AF" w:rsidRDefault="00CA61AF" w:rsidP="00CA61AF">
      <w:pPr>
        <w:spacing w:line="280" w:lineRule="exact"/>
        <w:ind w:firstLine="0"/>
        <w:jc w:val="both"/>
        <w:rPr>
          <w:rFonts w:ascii="Times New Roman" w:hAnsi="Times New Roman"/>
        </w:rPr>
      </w:pPr>
      <w:bookmarkStart w:id="1" w:name="CaseName"/>
      <w:r>
        <w:rPr>
          <w:rFonts w:ascii="Times New Roman" w:hAnsi="Times New Roman"/>
          <w:b/>
        </w:rPr>
        <w:t>Palmer v Western Australia</w:t>
      </w:r>
    </w:p>
    <w:bookmarkEnd w:id="1"/>
    <w:p w14:paraId="516545D6" w14:textId="77777777" w:rsidR="00CA61AF" w:rsidRDefault="00CA61AF" w:rsidP="00CA61AF">
      <w:pPr>
        <w:spacing w:line="280" w:lineRule="exact"/>
        <w:ind w:firstLine="0"/>
        <w:jc w:val="both"/>
        <w:rPr>
          <w:rFonts w:ascii="Times New Roman" w:hAnsi="Times New Roman"/>
        </w:rPr>
      </w:pPr>
    </w:p>
    <w:p w14:paraId="353505CC" w14:textId="474B2971" w:rsidR="00CA61AF" w:rsidRPr="00E43A1C" w:rsidRDefault="00CA61AF" w:rsidP="00CA61AF">
      <w:pPr>
        <w:spacing w:line="280" w:lineRule="exact"/>
        <w:ind w:firstLine="0"/>
        <w:jc w:val="both"/>
      </w:pPr>
      <w:r>
        <w:rPr>
          <w:rFonts w:ascii="Times New Roman" w:hAnsi="Times New Roman"/>
        </w:rPr>
        <w:t xml:space="preserve">Constitutional law </w:t>
      </w:r>
      <w:r w:rsidRPr="00C131B1">
        <w:rPr>
          <w:rFonts w:ascii="Times New Roman" w:hAnsi="Times New Roman"/>
        </w:rPr>
        <w:t>(Cth) –</w:t>
      </w:r>
      <w:r>
        <w:rPr>
          <w:rFonts w:ascii="Times New Roman" w:hAnsi="Times New Roman"/>
        </w:rPr>
        <w:t xml:space="preserve"> </w:t>
      </w:r>
      <w:r>
        <w:rPr>
          <w:rFonts w:ascii="Times New Roman" w:hAnsi="Times New Roman"/>
        </w:rPr>
        <w:tab/>
        <w:t xml:space="preserve">Freedom of interstate trade, commerce, and intercourse – Where s 56 of </w:t>
      </w:r>
      <w:r>
        <w:rPr>
          <w:rFonts w:ascii="Times New Roman" w:hAnsi="Times New Roman"/>
          <w:i/>
        </w:rPr>
        <w:t xml:space="preserve">Emergency Management Act 2005 </w:t>
      </w:r>
      <w:r>
        <w:rPr>
          <w:rFonts w:ascii="Times New Roman" w:hAnsi="Times New Roman"/>
        </w:rPr>
        <w:t xml:space="preserve">(WA) ("EM Act") empowered Minister to declare state of emergency – Where s 67 empowered authorised officer to direct or prohibit movement of persons into emergency area – Where Minister for Emergency Services declared state of emergency in Western Australia in respect of COVID-19 pandemic – Where State Emergency Coordinator issued </w:t>
      </w:r>
      <w:r>
        <w:rPr>
          <w:rFonts w:ascii="Times New Roman" w:hAnsi="Times New Roman"/>
          <w:i/>
        </w:rPr>
        <w:t xml:space="preserve">Quarantine (Closing the Border) Directions </w:t>
      </w:r>
      <w:r>
        <w:rPr>
          <w:rFonts w:ascii="Times New Roman" w:hAnsi="Times New Roman"/>
        </w:rPr>
        <w:t xml:space="preserve">(WA) ("Directions") – Where paras 4 and 5 of Directions prohibited persons from entering Western Australia unless exempt traveller – Whether EM Act or Directions impermissibly infringed constitutional limitation in s 92 of </w:t>
      </w:r>
      <w:r>
        <w:rPr>
          <w:rFonts w:ascii="Times New Roman" w:hAnsi="Times New Roman"/>
          <w:i/>
        </w:rPr>
        <w:t xml:space="preserve">Constitution </w:t>
      </w:r>
      <w:r>
        <w:rPr>
          <w:rFonts w:ascii="Times New Roman" w:hAnsi="Times New Roman"/>
        </w:rPr>
        <w:t xml:space="preserve">– </w:t>
      </w:r>
      <w:r w:rsidRPr="00AB0EA1">
        <w:rPr>
          <w:rFonts w:ascii="Times New Roman" w:hAnsi="Times New Roman"/>
        </w:rPr>
        <w:t>Whether infringement determined by reference to authorising provisions of EM Act – Whether provisions of EM Act imposed impermissible burden on interstate trade, commerce or intercourse</w:t>
      </w:r>
      <w:r>
        <w:rPr>
          <w:rFonts w:ascii="Times New Roman" w:hAnsi="Times New Roman"/>
        </w:rPr>
        <w:t xml:space="preserve"> – Whether exercise of power to make Directions raised constitutional question. </w:t>
      </w:r>
    </w:p>
    <w:p w14:paraId="4E2C41E5" w14:textId="77777777" w:rsidR="00CA61AF" w:rsidRDefault="00CA61AF" w:rsidP="00CA61AF">
      <w:pPr>
        <w:spacing w:line="280" w:lineRule="exact"/>
        <w:ind w:firstLine="0"/>
        <w:jc w:val="both"/>
        <w:rPr>
          <w:rFonts w:ascii="Times New Roman" w:hAnsi="Times New Roman"/>
        </w:rPr>
      </w:pPr>
    </w:p>
    <w:p w14:paraId="12E8BF6B" w14:textId="77777777" w:rsidR="00CA61AF" w:rsidRDefault="00CA61AF" w:rsidP="00CA61AF">
      <w:pPr>
        <w:spacing w:line="280" w:lineRule="exact"/>
        <w:ind w:firstLine="0"/>
        <w:jc w:val="both"/>
        <w:rPr>
          <w:rFonts w:ascii="Times New Roman" w:hAnsi="Times New Roman"/>
        </w:rPr>
      </w:pPr>
      <w:r>
        <w:rPr>
          <w:rFonts w:ascii="Times New Roman" w:hAnsi="Times New Roman"/>
        </w:rPr>
        <w:t>Words and phrases – "burden", "COVID-19", "differential", "discrimination", "emergency", "emergency management", "freedom of interstate trade, commerce, and intercourse", "hazard", "intercourse", "interstate movement", "plague or epidemic", “protectionist”, "reasonable necessity", "state of emergency", "structured proportionality", "trade and commerce".</w:t>
      </w:r>
    </w:p>
    <w:p w14:paraId="06041B74" w14:textId="77777777" w:rsidR="00CA61AF" w:rsidRDefault="00CA61AF" w:rsidP="00CA61AF">
      <w:pPr>
        <w:spacing w:line="280" w:lineRule="exact"/>
        <w:ind w:firstLine="0"/>
        <w:jc w:val="both"/>
        <w:rPr>
          <w:rFonts w:ascii="Times New Roman" w:hAnsi="Times New Roman"/>
        </w:rPr>
      </w:pPr>
    </w:p>
    <w:p w14:paraId="669DF1BA" w14:textId="77777777" w:rsidR="00CA61AF" w:rsidRDefault="00CA61AF" w:rsidP="00CA61AF">
      <w:pPr>
        <w:spacing w:line="280" w:lineRule="exact"/>
        <w:ind w:firstLine="0"/>
        <w:jc w:val="both"/>
        <w:rPr>
          <w:rFonts w:ascii="Times New Roman" w:hAnsi="Times New Roman"/>
        </w:rPr>
      </w:pPr>
      <w:r>
        <w:rPr>
          <w:rFonts w:ascii="Times New Roman" w:hAnsi="Times New Roman"/>
          <w:i/>
        </w:rPr>
        <w:t>Constitution</w:t>
      </w:r>
      <w:r>
        <w:rPr>
          <w:rFonts w:ascii="Times New Roman" w:hAnsi="Times New Roman"/>
        </w:rPr>
        <w:t xml:space="preserve">, s 92. </w:t>
      </w:r>
    </w:p>
    <w:p w14:paraId="544F5C70" w14:textId="77777777" w:rsidR="00CA61AF" w:rsidRDefault="00CA61AF" w:rsidP="00CA61AF">
      <w:pPr>
        <w:spacing w:line="280" w:lineRule="exact"/>
        <w:ind w:firstLine="0"/>
        <w:jc w:val="both"/>
        <w:rPr>
          <w:rFonts w:ascii="Times New Roman" w:hAnsi="Times New Roman"/>
        </w:rPr>
      </w:pPr>
      <w:r>
        <w:rPr>
          <w:rFonts w:ascii="Times New Roman" w:hAnsi="Times New Roman"/>
          <w:i/>
        </w:rPr>
        <w:t xml:space="preserve">Emergency Management Act 2005 </w:t>
      </w:r>
      <w:r>
        <w:rPr>
          <w:rFonts w:ascii="Times New Roman" w:hAnsi="Times New Roman"/>
        </w:rPr>
        <w:t xml:space="preserve">(WA), ss 56, 58, 67, 72A. </w:t>
      </w:r>
    </w:p>
    <w:p w14:paraId="039A15CC" w14:textId="77777777" w:rsidR="00CA61AF" w:rsidRPr="009B3D0A" w:rsidRDefault="00CA61AF" w:rsidP="00CA61AF">
      <w:pPr>
        <w:spacing w:line="280" w:lineRule="exact"/>
        <w:ind w:firstLine="0"/>
        <w:jc w:val="both"/>
        <w:rPr>
          <w:rFonts w:ascii="Times New Roman" w:hAnsi="Times New Roman"/>
        </w:rPr>
      </w:pPr>
      <w:r>
        <w:rPr>
          <w:rFonts w:ascii="Times New Roman" w:hAnsi="Times New Roman"/>
          <w:i/>
        </w:rPr>
        <w:t xml:space="preserve">Quarantine (Closing the Border) Directions </w:t>
      </w:r>
      <w:r>
        <w:rPr>
          <w:rFonts w:ascii="Times New Roman" w:hAnsi="Times New Roman"/>
        </w:rPr>
        <w:t xml:space="preserve">(WA), paras 4, 5, 27. </w:t>
      </w:r>
    </w:p>
    <w:p w14:paraId="046AF919" w14:textId="4DD715CF" w:rsidR="00CA61AF" w:rsidRDefault="00CA61AF" w:rsidP="00CA61A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1670EF87" w14:textId="31BEB5D9" w:rsidR="00CA61AF" w:rsidRDefault="00CA61A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C53157A" w14:textId="1A6BECBF" w:rsidR="00CA61AF" w:rsidRDefault="00CA61A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96625F1" w14:textId="77777777" w:rsidR="00CA61AF" w:rsidRDefault="00CA61AF" w:rsidP="00A04489">
      <w:pPr>
        <w:pStyle w:val="FixListStyle"/>
        <w:tabs>
          <w:tab w:val="clear" w:pos="720"/>
          <w:tab w:val="left" w:pos="0"/>
        </w:tabs>
        <w:spacing w:after="260" w:line="280" w:lineRule="exact"/>
        <w:ind w:right="0"/>
        <w:jc w:val="both"/>
        <w:rPr>
          <w:rFonts w:ascii="Times New Roman" w:hAnsi="Times New Roman"/>
        </w:rPr>
        <w:sectPr w:rsidR="00CA61AF" w:rsidSect="00CA61AF">
          <w:pgSz w:w="11907" w:h="16839" w:code="9"/>
          <w:pgMar w:top="1440" w:right="1701" w:bottom="1984" w:left="1701" w:header="720" w:footer="720" w:gutter="0"/>
          <w:pgNumType w:start="1"/>
          <w:cols w:space="720"/>
          <w:titlePg/>
          <w:docGrid w:linePitch="354"/>
        </w:sectPr>
      </w:pPr>
    </w:p>
    <w:p w14:paraId="4F91BC39" w14:textId="6CBB3BAF" w:rsidR="00663D00" w:rsidRPr="00A04489" w:rsidRDefault="00A04489" w:rsidP="00A04489">
      <w:pPr>
        <w:pStyle w:val="FixListStyle"/>
        <w:tabs>
          <w:tab w:val="clear" w:pos="720"/>
          <w:tab w:val="left" w:pos="0"/>
        </w:tabs>
        <w:spacing w:after="260" w:line="280" w:lineRule="exact"/>
        <w:ind w:right="0"/>
        <w:jc w:val="both"/>
        <w:rPr>
          <w:rFonts w:ascii="Times New Roman" w:hAnsi="Times New Roman"/>
        </w:rPr>
      </w:pPr>
      <w:r w:rsidRPr="00A04489">
        <w:rPr>
          <w:rFonts w:ascii="Times New Roman" w:hAnsi="Times New Roman"/>
        </w:rPr>
        <w:t xml:space="preserve">KIEFEL CJ AND KEANE J.   </w:t>
      </w:r>
      <w:r w:rsidR="00855030" w:rsidRPr="00A04489">
        <w:rPr>
          <w:rFonts w:ascii="Times New Roman" w:hAnsi="Times New Roman"/>
        </w:rPr>
        <w:t xml:space="preserve">On 11 March 2020 the </w:t>
      </w:r>
      <w:r w:rsidR="00D336F0" w:rsidRPr="00A04489">
        <w:rPr>
          <w:rFonts w:ascii="Times New Roman" w:hAnsi="Times New Roman"/>
        </w:rPr>
        <w:t>W</w:t>
      </w:r>
      <w:r w:rsidR="00855030" w:rsidRPr="00A04489">
        <w:rPr>
          <w:rFonts w:ascii="Times New Roman" w:hAnsi="Times New Roman"/>
        </w:rPr>
        <w:t>orld Health Organ</w:t>
      </w:r>
      <w:r w:rsidR="003C4A0F" w:rsidRPr="00A04489">
        <w:rPr>
          <w:rFonts w:ascii="Times New Roman" w:hAnsi="Times New Roman"/>
        </w:rPr>
        <w:t>i</w:t>
      </w:r>
      <w:r w:rsidR="006A0102" w:rsidRPr="00A04489">
        <w:rPr>
          <w:rFonts w:ascii="Times New Roman" w:hAnsi="Times New Roman"/>
        </w:rPr>
        <w:t>z</w:t>
      </w:r>
      <w:r w:rsidR="00855030" w:rsidRPr="00A04489">
        <w:rPr>
          <w:rFonts w:ascii="Times New Roman" w:hAnsi="Times New Roman"/>
        </w:rPr>
        <w:t>ation declared COVID</w:t>
      </w:r>
      <w:r w:rsidR="00855030" w:rsidRPr="00A04489">
        <w:rPr>
          <w:rFonts w:ascii="Times New Roman" w:hAnsi="Times New Roman"/>
        </w:rPr>
        <w:noBreakHyphen/>
        <w:t>19</w:t>
      </w:r>
      <w:r w:rsidR="003C4A0F" w:rsidRPr="00A04489">
        <w:rPr>
          <w:rFonts w:ascii="Times New Roman" w:hAnsi="Times New Roman"/>
        </w:rPr>
        <w:t xml:space="preserve"> a pandemic. On 15 March 2020 the Minister for Emergency Services </w:t>
      </w:r>
      <w:r w:rsidR="00A3488D" w:rsidRPr="00A04489">
        <w:rPr>
          <w:rFonts w:ascii="Times New Roman" w:hAnsi="Times New Roman"/>
        </w:rPr>
        <w:t xml:space="preserve">for Western Australia </w:t>
      </w:r>
      <w:r w:rsidR="003C4A0F" w:rsidRPr="00A04489">
        <w:rPr>
          <w:rFonts w:ascii="Times New Roman" w:hAnsi="Times New Roman"/>
        </w:rPr>
        <w:t xml:space="preserve">declared a state of emergency with effect from 16 March 2020 in respect of the pandemic pursuant to s 56 of the </w:t>
      </w:r>
      <w:r w:rsidR="003C4A0F" w:rsidRPr="00A04489">
        <w:rPr>
          <w:rFonts w:ascii="Times New Roman" w:hAnsi="Times New Roman"/>
          <w:i/>
        </w:rPr>
        <w:t>Emergency Management Act 2005</w:t>
      </w:r>
      <w:r w:rsidR="003C4A0F" w:rsidRPr="00A04489">
        <w:rPr>
          <w:rFonts w:ascii="Times New Roman" w:hAnsi="Times New Roman"/>
        </w:rPr>
        <w:t xml:space="preserve"> (WA) ("the EM Act"). The area to which the </w:t>
      </w:r>
      <w:r w:rsidR="002307F9" w:rsidRPr="00A04489">
        <w:rPr>
          <w:rFonts w:ascii="Times New Roman" w:hAnsi="Times New Roman"/>
        </w:rPr>
        <w:t>s</w:t>
      </w:r>
      <w:r w:rsidR="003C4A0F" w:rsidRPr="00A04489">
        <w:rPr>
          <w:rFonts w:ascii="Times New Roman" w:hAnsi="Times New Roman"/>
        </w:rPr>
        <w:t xml:space="preserve">tate of </w:t>
      </w:r>
      <w:r w:rsidR="002307F9" w:rsidRPr="00A04489">
        <w:rPr>
          <w:rFonts w:ascii="Times New Roman" w:hAnsi="Times New Roman"/>
        </w:rPr>
        <w:t>e</w:t>
      </w:r>
      <w:r w:rsidR="003C4A0F" w:rsidRPr="00A04489">
        <w:rPr>
          <w:rFonts w:ascii="Times New Roman" w:hAnsi="Times New Roman"/>
        </w:rPr>
        <w:t xml:space="preserve">mergency </w:t>
      </w:r>
      <w:r w:rsidR="00DB44CB" w:rsidRPr="00A04489">
        <w:rPr>
          <w:rFonts w:ascii="Times New Roman" w:hAnsi="Times New Roman"/>
        </w:rPr>
        <w:t>declar</w:t>
      </w:r>
      <w:r w:rsidR="004654FD" w:rsidRPr="00A04489">
        <w:rPr>
          <w:rFonts w:ascii="Times New Roman" w:hAnsi="Times New Roman"/>
        </w:rPr>
        <w:t>ation</w:t>
      </w:r>
      <w:r w:rsidR="00DB44CB" w:rsidRPr="00A04489">
        <w:rPr>
          <w:rFonts w:ascii="Times New Roman" w:hAnsi="Times New Roman"/>
        </w:rPr>
        <w:t xml:space="preserve"> </w:t>
      </w:r>
      <w:r w:rsidR="004654FD" w:rsidRPr="00A04489">
        <w:rPr>
          <w:rFonts w:ascii="Times New Roman" w:hAnsi="Times New Roman"/>
        </w:rPr>
        <w:t xml:space="preserve">was </w:t>
      </w:r>
      <w:r w:rsidR="00DB44CB" w:rsidRPr="00A04489">
        <w:rPr>
          <w:rFonts w:ascii="Times New Roman" w:hAnsi="Times New Roman"/>
        </w:rPr>
        <w:t>to apply was Western Australia. The Commissioner of Police</w:t>
      </w:r>
      <w:r w:rsidR="00217563" w:rsidRPr="00A04489">
        <w:rPr>
          <w:rFonts w:ascii="Times New Roman" w:hAnsi="Times New Roman"/>
        </w:rPr>
        <w:t>,</w:t>
      </w:r>
      <w:r w:rsidR="00DB44CB" w:rsidRPr="00A04489">
        <w:rPr>
          <w:rFonts w:ascii="Times New Roman" w:hAnsi="Times New Roman"/>
        </w:rPr>
        <w:t xml:space="preserve"> </w:t>
      </w:r>
      <w:r w:rsidR="00217563" w:rsidRPr="00A04489">
        <w:rPr>
          <w:rFonts w:ascii="Times New Roman" w:hAnsi="Times New Roman"/>
        </w:rPr>
        <w:t xml:space="preserve">as </w:t>
      </w:r>
      <w:r w:rsidR="00DB44CB" w:rsidRPr="00A04489">
        <w:rPr>
          <w:rFonts w:ascii="Times New Roman" w:hAnsi="Times New Roman"/>
        </w:rPr>
        <w:t>the holder of the office of State Emergency Coordinator</w:t>
      </w:r>
      <w:r w:rsidR="00DB44CB" w:rsidRPr="00A04489">
        <w:rPr>
          <w:rStyle w:val="FootnoteReference"/>
          <w:rFonts w:ascii="Times New Roman" w:hAnsi="Times New Roman"/>
          <w:sz w:val="24"/>
        </w:rPr>
        <w:footnoteReference w:id="2"/>
      </w:r>
      <w:r w:rsidR="00217563" w:rsidRPr="00A04489">
        <w:rPr>
          <w:rFonts w:ascii="Times New Roman" w:hAnsi="Times New Roman"/>
        </w:rPr>
        <w:t>,</w:t>
      </w:r>
      <w:r w:rsidR="00C76560" w:rsidRPr="00A04489">
        <w:rPr>
          <w:rFonts w:ascii="Times New Roman" w:hAnsi="Times New Roman"/>
        </w:rPr>
        <w:t xml:space="preserve"> issued the </w:t>
      </w:r>
      <w:r w:rsidR="00C76560" w:rsidRPr="00A04489">
        <w:rPr>
          <w:rFonts w:ascii="Times New Roman" w:hAnsi="Times New Roman"/>
          <w:i/>
        </w:rPr>
        <w:t>Quarantine (Closing the Border) Directions</w:t>
      </w:r>
      <w:r w:rsidR="00C76560" w:rsidRPr="00A04489">
        <w:rPr>
          <w:rFonts w:ascii="Times New Roman" w:hAnsi="Times New Roman"/>
        </w:rPr>
        <w:t xml:space="preserve"> </w:t>
      </w:r>
      <w:r w:rsidR="004A4AC6" w:rsidRPr="00A04489">
        <w:rPr>
          <w:rFonts w:ascii="Times New Roman" w:hAnsi="Times New Roman"/>
        </w:rPr>
        <w:t xml:space="preserve">(WA) </w:t>
      </w:r>
      <w:r w:rsidR="005E6954" w:rsidRPr="00A04489">
        <w:rPr>
          <w:rFonts w:ascii="Times New Roman" w:hAnsi="Times New Roman"/>
        </w:rPr>
        <w:t>("the Directions")</w:t>
      </w:r>
      <w:r w:rsidR="00AA684D" w:rsidRPr="00A04489">
        <w:rPr>
          <w:rFonts w:ascii="Times New Roman" w:hAnsi="Times New Roman"/>
        </w:rPr>
        <w:t xml:space="preserve">, </w:t>
      </w:r>
      <w:r w:rsidR="00C76560" w:rsidRPr="00A04489">
        <w:rPr>
          <w:rFonts w:ascii="Times New Roman" w:hAnsi="Times New Roman"/>
        </w:rPr>
        <w:t>which took effect from 5 April 2020.</w:t>
      </w:r>
    </w:p>
    <w:p w14:paraId="2E89986A" w14:textId="77777777" w:rsidR="00B521C0" w:rsidRPr="00A04489" w:rsidRDefault="00B521C0" w:rsidP="00A04489">
      <w:pPr>
        <w:pStyle w:val="HeadingL1"/>
        <w:spacing w:after="260" w:line="280" w:lineRule="exact"/>
        <w:ind w:right="0"/>
        <w:jc w:val="both"/>
        <w:rPr>
          <w:rFonts w:ascii="Times New Roman" w:hAnsi="Times New Roman"/>
        </w:rPr>
      </w:pPr>
      <w:r w:rsidRPr="00A04489">
        <w:rPr>
          <w:rFonts w:ascii="Times New Roman" w:hAnsi="Times New Roman"/>
        </w:rPr>
        <w:t>The EM Act</w:t>
      </w:r>
    </w:p>
    <w:p w14:paraId="6FA8D52D" w14:textId="1115DA05" w:rsidR="00B521C0" w:rsidRPr="00A04489" w:rsidRDefault="00B521C0" w:rsidP="00A04489">
      <w:pPr>
        <w:pStyle w:val="FixListStyle"/>
        <w:spacing w:after="260" w:line="280" w:lineRule="exact"/>
        <w:ind w:right="0"/>
        <w:jc w:val="both"/>
        <w:rPr>
          <w:rFonts w:ascii="Times New Roman" w:hAnsi="Times New Roman"/>
        </w:rPr>
      </w:pPr>
      <w:r w:rsidRPr="00A04489">
        <w:rPr>
          <w:rFonts w:ascii="Times New Roman" w:hAnsi="Times New Roman"/>
        </w:rPr>
        <w:tab/>
        <w:t>Section 56</w:t>
      </w:r>
      <w:r w:rsidR="00A3488D" w:rsidRPr="00A04489">
        <w:rPr>
          <w:rFonts w:ascii="Times New Roman" w:hAnsi="Times New Roman"/>
        </w:rPr>
        <w:t xml:space="preserve"> of the EM Act</w:t>
      </w:r>
      <w:r w:rsidRPr="00A04489">
        <w:rPr>
          <w:rFonts w:ascii="Times New Roman" w:hAnsi="Times New Roman"/>
        </w:rPr>
        <w:t>, in relevant part, provides:</w:t>
      </w:r>
    </w:p>
    <w:p w14:paraId="3B0701CE" w14:textId="060DF1B0" w:rsidR="00B521C0" w:rsidRPr="00A04489" w:rsidRDefault="00B521C0" w:rsidP="00A04489">
      <w:pPr>
        <w:pStyle w:val="LeftrightHanging"/>
        <w:spacing w:before="0" w:after="260" w:line="280" w:lineRule="exact"/>
        <w:ind w:right="0"/>
        <w:jc w:val="both"/>
        <w:rPr>
          <w:rFonts w:ascii="Times New Roman" w:hAnsi="Times New Roman"/>
        </w:rPr>
      </w:pPr>
      <w:r w:rsidRPr="00A04489">
        <w:rPr>
          <w:rFonts w:ascii="Times New Roman" w:hAnsi="Times New Roman"/>
        </w:rPr>
        <w:t>"(1)</w:t>
      </w:r>
      <w:r w:rsidRPr="00A04489">
        <w:rPr>
          <w:rFonts w:ascii="Times New Roman" w:hAnsi="Times New Roman"/>
        </w:rPr>
        <w:tab/>
        <w:t>The Minister may, in writing, declare that a state of emergency exists in the whole or in any area or areas of the State.</w:t>
      </w:r>
    </w:p>
    <w:p w14:paraId="16DD0964" w14:textId="77777777" w:rsidR="00B521C0" w:rsidRPr="00A04489" w:rsidRDefault="00B521C0" w:rsidP="00A04489">
      <w:pPr>
        <w:pStyle w:val="LeftrightHanging"/>
        <w:spacing w:before="0" w:after="260" w:line="280" w:lineRule="exact"/>
        <w:ind w:right="0"/>
        <w:jc w:val="both"/>
        <w:rPr>
          <w:rFonts w:ascii="Times New Roman" w:hAnsi="Times New Roman"/>
        </w:rPr>
      </w:pPr>
      <w:r w:rsidRPr="00A04489">
        <w:rPr>
          <w:rFonts w:ascii="Times New Roman" w:hAnsi="Times New Roman"/>
        </w:rPr>
        <w:t>(2)</w:t>
      </w:r>
      <w:r w:rsidRPr="00A04489">
        <w:rPr>
          <w:rFonts w:ascii="Times New Roman" w:hAnsi="Times New Roman"/>
        </w:rPr>
        <w:tab/>
        <w:t>The Minister must not make a declaration under this section unless the Minister –</w:t>
      </w:r>
    </w:p>
    <w:p w14:paraId="38BDF4BB" w14:textId="77777777" w:rsidR="00B521C0" w:rsidRPr="00A04489" w:rsidRDefault="00B521C0" w:rsidP="00A04489">
      <w:pPr>
        <w:pStyle w:val="LRHangingMore"/>
        <w:spacing w:before="0" w:after="260" w:line="280" w:lineRule="exact"/>
        <w:ind w:right="0"/>
        <w:jc w:val="both"/>
        <w:rPr>
          <w:rFonts w:ascii="Times New Roman" w:hAnsi="Times New Roman"/>
        </w:rPr>
      </w:pPr>
      <w:r w:rsidRPr="00A04489">
        <w:rPr>
          <w:rFonts w:ascii="Times New Roman" w:hAnsi="Times New Roman"/>
        </w:rPr>
        <w:t>(a)</w:t>
      </w:r>
      <w:r w:rsidRPr="00A04489">
        <w:rPr>
          <w:rFonts w:ascii="Times New Roman" w:hAnsi="Times New Roman"/>
        </w:rPr>
        <w:tab/>
        <w:t>has considered the advice of the State Emergency Coordinator; and</w:t>
      </w:r>
    </w:p>
    <w:p w14:paraId="6A6274A3" w14:textId="77777777" w:rsidR="00B521C0" w:rsidRPr="00A04489" w:rsidRDefault="00B521C0" w:rsidP="00A04489">
      <w:pPr>
        <w:pStyle w:val="LRHangingMore"/>
        <w:spacing w:before="0" w:after="260" w:line="280" w:lineRule="exact"/>
        <w:ind w:right="0"/>
        <w:jc w:val="both"/>
        <w:rPr>
          <w:rFonts w:ascii="Times New Roman" w:hAnsi="Times New Roman"/>
        </w:rPr>
      </w:pPr>
      <w:r w:rsidRPr="00A04489">
        <w:rPr>
          <w:rFonts w:ascii="Times New Roman" w:hAnsi="Times New Roman"/>
        </w:rPr>
        <w:t>(b)</w:t>
      </w:r>
      <w:r w:rsidRPr="00A04489">
        <w:rPr>
          <w:rFonts w:ascii="Times New Roman" w:hAnsi="Times New Roman"/>
        </w:rPr>
        <w:tab/>
        <w:t>is satisfied that an emergency has occurred, is occurring or is imminent; and</w:t>
      </w:r>
    </w:p>
    <w:p w14:paraId="5E216EB9" w14:textId="77777777" w:rsidR="00B521C0" w:rsidRPr="00A04489" w:rsidRDefault="00B521C0" w:rsidP="00A04489">
      <w:pPr>
        <w:pStyle w:val="LRHangingMore"/>
        <w:spacing w:before="0" w:after="260" w:line="280" w:lineRule="exact"/>
        <w:ind w:right="0"/>
        <w:jc w:val="both"/>
        <w:rPr>
          <w:rFonts w:ascii="Times New Roman" w:hAnsi="Times New Roman"/>
        </w:rPr>
      </w:pPr>
      <w:r w:rsidRPr="00A04489">
        <w:rPr>
          <w:rFonts w:ascii="Times New Roman" w:hAnsi="Times New Roman"/>
        </w:rPr>
        <w:t>(c)</w:t>
      </w:r>
      <w:r w:rsidRPr="00A04489">
        <w:rPr>
          <w:rFonts w:ascii="Times New Roman" w:hAnsi="Times New Roman"/>
        </w:rPr>
        <w:tab/>
        <w:t>is satisfied that extraordinary measures are required to prevent or minimise –</w:t>
      </w:r>
    </w:p>
    <w:p w14:paraId="23886329" w14:textId="77777777" w:rsidR="00A04489" w:rsidRDefault="00B521C0" w:rsidP="00A04489">
      <w:pPr>
        <w:pStyle w:val="LRHangingMore"/>
        <w:tabs>
          <w:tab w:val="clear" w:pos="1440"/>
          <w:tab w:val="clear" w:pos="2160"/>
          <w:tab w:val="clear" w:pos="2880"/>
          <w:tab w:val="left" w:pos="2835"/>
        </w:tabs>
        <w:spacing w:before="0" w:after="260" w:line="280" w:lineRule="exact"/>
        <w:ind w:left="2835" w:right="0" w:hanging="708"/>
        <w:jc w:val="both"/>
        <w:rPr>
          <w:rFonts w:ascii="Times New Roman" w:hAnsi="Times New Roman"/>
        </w:rPr>
      </w:pPr>
      <w:r w:rsidRPr="00A04489">
        <w:rPr>
          <w:rFonts w:ascii="Times New Roman" w:hAnsi="Times New Roman"/>
        </w:rPr>
        <w:t>(i)</w:t>
      </w:r>
      <w:r w:rsidRPr="00A04489">
        <w:rPr>
          <w:rFonts w:ascii="Times New Roman" w:hAnsi="Times New Roman"/>
        </w:rPr>
        <w:tab/>
        <w:t>loss of life, prejudice to the safety, or harm to the health, of persons or animals"</w:t>
      </w:r>
      <w:r w:rsidR="00A12F57" w:rsidRPr="00A04489">
        <w:rPr>
          <w:rFonts w:ascii="Times New Roman" w:hAnsi="Times New Roman"/>
        </w:rPr>
        <w:t>.</w:t>
      </w:r>
    </w:p>
    <w:p w14:paraId="4E9C9CCF" w14:textId="515ACD72" w:rsidR="00B521C0" w:rsidRPr="00A04489" w:rsidRDefault="00B521C0" w:rsidP="00A04489">
      <w:pPr>
        <w:pStyle w:val="FixListStyle"/>
        <w:spacing w:after="260" w:line="280" w:lineRule="exact"/>
        <w:ind w:right="0"/>
        <w:jc w:val="both"/>
        <w:rPr>
          <w:rFonts w:ascii="Times New Roman" w:hAnsi="Times New Roman"/>
        </w:rPr>
      </w:pPr>
      <w:r w:rsidRPr="00A04489">
        <w:rPr>
          <w:rFonts w:ascii="Times New Roman" w:hAnsi="Times New Roman"/>
        </w:rPr>
        <w:tab/>
        <w:t>An "emergency" is defined</w:t>
      </w:r>
      <w:r w:rsidRPr="00A04489">
        <w:rPr>
          <w:rStyle w:val="FootnoteReference"/>
          <w:rFonts w:ascii="Times New Roman" w:hAnsi="Times New Roman"/>
          <w:sz w:val="24"/>
        </w:rPr>
        <w:footnoteReference w:id="3"/>
      </w:r>
      <w:r w:rsidRPr="00A04489">
        <w:rPr>
          <w:rFonts w:ascii="Times New Roman" w:hAnsi="Times New Roman"/>
        </w:rPr>
        <w:t xml:space="preserve"> to mean "the occurrence o</w:t>
      </w:r>
      <w:r w:rsidR="00C079BB" w:rsidRPr="00A04489">
        <w:rPr>
          <w:rFonts w:ascii="Times New Roman" w:hAnsi="Times New Roman"/>
        </w:rPr>
        <w:t>r</w:t>
      </w:r>
      <w:r w:rsidRPr="00A04489">
        <w:rPr>
          <w:rFonts w:ascii="Times New Roman" w:hAnsi="Times New Roman"/>
        </w:rPr>
        <w:t xml:space="preserve"> imminent occurrence of a hazard which is of such a nature or magnitude that it requires a significant and coordinate</w:t>
      </w:r>
      <w:r w:rsidR="00C079BB" w:rsidRPr="00A04489">
        <w:rPr>
          <w:rFonts w:ascii="Times New Roman" w:hAnsi="Times New Roman"/>
        </w:rPr>
        <w:t>d</w:t>
      </w:r>
      <w:r w:rsidRPr="00A04489">
        <w:rPr>
          <w:rFonts w:ascii="Times New Roman" w:hAnsi="Times New Roman"/>
        </w:rPr>
        <w:t xml:space="preserve"> response". The meaning of "hazard" includes "a plague or an epidemic".</w:t>
      </w:r>
    </w:p>
    <w:p w14:paraId="69389035" w14:textId="58B6394C" w:rsidR="00B521C0" w:rsidRPr="00A04489" w:rsidRDefault="00B521C0"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A state of emergency declaration (an </w:t>
      </w:r>
      <w:r w:rsidR="00AE28AA" w:rsidRPr="00A04489">
        <w:rPr>
          <w:rFonts w:ascii="Times New Roman" w:hAnsi="Times New Roman"/>
        </w:rPr>
        <w:t>"</w:t>
      </w:r>
      <w:r w:rsidRPr="00A04489">
        <w:rPr>
          <w:rFonts w:ascii="Times New Roman" w:hAnsi="Times New Roman"/>
        </w:rPr>
        <w:t>emergency declaration") remains in force for three days after the time it first has effect if it is not extended by a declaration made by the Minister under s 58</w:t>
      </w:r>
      <w:r w:rsidRPr="00A04489">
        <w:rPr>
          <w:rStyle w:val="FootnoteReference"/>
          <w:rFonts w:ascii="Times New Roman" w:hAnsi="Times New Roman"/>
          <w:sz w:val="24"/>
        </w:rPr>
        <w:footnoteReference w:id="4"/>
      </w:r>
      <w:r w:rsidRPr="00A04489">
        <w:rPr>
          <w:rFonts w:ascii="Times New Roman" w:hAnsi="Times New Roman"/>
        </w:rPr>
        <w:t xml:space="preserve">. Section 58(4) </w:t>
      </w:r>
      <w:r w:rsidR="003E2200" w:rsidRPr="00A04489">
        <w:rPr>
          <w:rFonts w:ascii="Times New Roman" w:hAnsi="Times New Roman"/>
        </w:rPr>
        <w:t xml:space="preserve">relevantly </w:t>
      </w:r>
      <w:r w:rsidRPr="00A04489">
        <w:rPr>
          <w:rFonts w:ascii="Times New Roman" w:hAnsi="Times New Roman"/>
        </w:rPr>
        <w:t>provides that an emergency declaration may be extended for a period not exc</w:t>
      </w:r>
      <w:r w:rsidR="00C079BB" w:rsidRPr="00A04489">
        <w:rPr>
          <w:rFonts w:ascii="Times New Roman" w:hAnsi="Times New Roman"/>
        </w:rPr>
        <w:t>ee</w:t>
      </w:r>
      <w:r w:rsidRPr="00A04489">
        <w:rPr>
          <w:rFonts w:ascii="Times New Roman" w:hAnsi="Times New Roman"/>
        </w:rPr>
        <w:t>ding 14 days. It may be further extended from time to time</w:t>
      </w:r>
      <w:r w:rsidRPr="00A04489">
        <w:rPr>
          <w:rStyle w:val="FootnoteReference"/>
          <w:rFonts w:ascii="Times New Roman" w:hAnsi="Times New Roman"/>
          <w:sz w:val="24"/>
        </w:rPr>
        <w:footnoteReference w:id="5"/>
      </w:r>
      <w:r w:rsidRPr="00A04489">
        <w:rPr>
          <w:rFonts w:ascii="Times New Roman" w:hAnsi="Times New Roman"/>
        </w:rPr>
        <w:t>. The original emergency declaration of 15 March 2020 was so extended</w:t>
      </w:r>
      <w:r w:rsidR="00C079BB" w:rsidRPr="00A04489">
        <w:rPr>
          <w:rFonts w:ascii="Times New Roman" w:hAnsi="Times New Roman"/>
        </w:rPr>
        <w:t xml:space="preserve"> and </w:t>
      </w:r>
      <w:r w:rsidR="00504D3B" w:rsidRPr="00A04489">
        <w:rPr>
          <w:rFonts w:ascii="Times New Roman" w:hAnsi="Times New Roman"/>
        </w:rPr>
        <w:t>further extended</w:t>
      </w:r>
      <w:r w:rsidR="00C079BB" w:rsidRPr="00A04489">
        <w:rPr>
          <w:rFonts w:ascii="Times New Roman" w:hAnsi="Times New Roman"/>
        </w:rPr>
        <w:t xml:space="preserve"> and remain</w:t>
      </w:r>
      <w:r w:rsidR="00392EAD" w:rsidRPr="00A04489">
        <w:rPr>
          <w:rFonts w:ascii="Times New Roman" w:hAnsi="Times New Roman"/>
        </w:rPr>
        <w:t>ed</w:t>
      </w:r>
      <w:r w:rsidR="00C079BB" w:rsidRPr="00A04489">
        <w:rPr>
          <w:rFonts w:ascii="Times New Roman" w:hAnsi="Times New Roman"/>
        </w:rPr>
        <w:t xml:space="preserve"> current</w:t>
      </w:r>
      <w:r w:rsidR="000C5809" w:rsidRPr="00A04489">
        <w:rPr>
          <w:rFonts w:ascii="Times New Roman" w:hAnsi="Times New Roman"/>
        </w:rPr>
        <w:t xml:space="preserve"> at the time of </w:t>
      </w:r>
      <w:r w:rsidR="0093508D" w:rsidRPr="00A04489">
        <w:rPr>
          <w:rFonts w:ascii="Times New Roman" w:hAnsi="Times New Roman"/>
        </w:rPr>
        <w:t xml:space="preserve">the </w:t>
      </w:r>
      <w:r w:rsidR="000C5809" w:rsidRPr="00A04489">
        <w:rPr>
          <w:rFonts w:ascii="Times New Roman" w:hAnsi="Times New Roman"/>
        </w:rPr>
        <w:t>hearing</w:t>
      </w:r>
      <w:r w:rsidRPr="00A04489">
        <w:rPr>
          <w:rFonts w:ascii="Times New Roman" w:hAnsi="Times New Roman"/>
        </w:rPr>
        <w:t>.</w:t>
      </w:r>
    </w:p>
    <w:p w14:paraId="3A012762" w14:textId="26001FDE" w:rsidR="00B521C0" w:rsidRPr="00A04489" w:rsidRDefault="00B521C0" w:rsidP="00A04489">
      <w:pPr>
        <w:pStyle w:val="FixListStyle"/>
        <w:spacing w:after="260" w:line="280" w:lineRule="exact"/>
        <w:ind w:right="0"/>
        <w:jc w:val="both"/>
        <w:rPr>
          <w:rFonts w:ascii="Times New Roman" w:hAnsi="Times New Roman"/>
        </w:rPr>
      </w:pPr>
      <w:r w:rsidRPr="00A04489">
        <w:rPr>
          <w:rFonts w:ascii="Times New Roman" w:hAnsi="Times New Roman"/>
        </w:rPr>
        <w:tab/>
      </w:r>
      <w:r w:rsidR="00D13BB3" w:rsidRPr="00A04489">
        <w:rPr>
          <w:rFonts w:ascii="Times New Roman" w:hAnsi="Times New Roman"/>
        </w:rPr>
        <w:t>There is no dispute that the Directions were authorised by the EM Act. The EM Act contains general powers such as th</w:t>
      </w:r>
      <w:r w:rsidR="003964EE" w:rsidRPr="00A04489">
        <w:rPr>
          <w:rFonts w:ascii="Times New Roman" w:hAnsi="Times New Roman"/>
        </w:rPr>
        <w:t>ose</w:t>
      </w:r>
      <w:r w:rsidR="00D13BB3" w:rsidRPr="00A04489">
        <w:rPr>
          <w:rFonts w:ascii="Times New Roman" w:hAnsi="Times New Roman"/>
        </w:rPr>
        <w:t xml:space="preserve"> in s 72A(2), whereby an authorised officer may "</w:t>
      </w:r>
      <w:r w:rsidR="00381373" w:rsidRPr="00A04489">
        <w:rPr>
          <w:rFonts w:ascii="Times New Roman" w:hAnsi="Times New Roman"/>
        </w:rPr>
        <w:t xml:space="preserve">take, or </w:t>
      </w:r>
      <w:r w:rsidR="00D13BB3" w:rsidRPr="00A04489">
        <w:rPr>
          <w:rFonts w:ascii="Times New Roman" w:hAnsi="Times New Roman"/>
        </w:rPr>
        <w:t xml:space="preserve">direct a person or </w:t>
      </w:r>
      <w:r w:rsidR="00666E44" w:rsidRPr="00A04489">
        <w:rPr>
          <w:rFonts w:ascii="Times New Roman" w:hAnsi="Times New Roman"/>
        </w:rPr>
        <w:t>a</w:t>
      </w:r>
      <w:r w:rsidR="00D13BB3" w:rsidRPr="00A04489">
        <w:rPr>
          <w:rFonts w:ascii="Times New Roman" w:hAnsi="Times New Roman"/>
        </w:rPr>
        <w:t xml:space="preserve"> class of person to take</w:t>
      </w:r>
      <w:r w:rsidR="00501359" w:rsidRPr="00A04489">
        <w:rPr>
          <w:rFonts w:ascii="Times New Roman" w:hAnsi="Times New Roman"/>
        </w:rPr>
        <w:t>,</w:t>
      </w:r>
      <w:r w:rsidR="00D13BB3" w:rsidRPr="00A04489">
        <w:rPr>
          <w:rFonts w:ascii="Times New Roman" w:hAnsi="Times New Roman"/>
        </w:rPr>
        <w:t xml:space="preserve"> any action that</w:t>
      </w:r>
      <w:r w:rsidR="00030913" w:rsidRPr="00A04489">
        <w:rPr>
          <w:rFonts w:ascii="Times New Roman" w:hAnsi="Times New Roman"/>
        </w:rPr>
        <w:t xml:space="preserve"> the officer considers is reasonably necessary to prevent, control or abate risks associated with the emergency". But s 67 is</w:t>
      </w:r>
      <w:r w:rsidR="00C40CF1" w:rsidRPr="00A04489">
        <w:rPr>
          <w:rFonts w:ascii="Times New Roman" w:hAnsi="Times New Roman"/>
        </w:rPr>
        <w:t xml:space="preserve"> most clearly directed to the border restrictions here in question. Its relevant parts were included in the EM Act as passed and provide:</w:t>
      </w:r>
    </w:p>
    <w:p w14:paraId="5950A42E" w14:textId="45B7CC66" w:rsidR="00B521C0" w:rsidRPr="00A04489" w:rsidRDefault="00B521C0" w:rsidP="00A04489">
      <w:pPr>
        <w:pStyle w:val="LeftrightafterHC"/>
        <w:spacing w:before="0" w:after="260" w:line="280" w:lineRule="exact"/>
        <w:ind w:right="0"/>
        <w:jc w:val="both"/>
        <w:rPr>
          <w:rFonts w:ascii="Times New Roman" w:hAnsi="Times New Roman"/>
        </w:rPr>
      </w:pPr>
      <w:r w:rsidRPr="00A04489">
        <w:rPr>
          <w:rFonts w:ascii="Times New Roman" w:hAnsi="Times New Roman"/>
        </w:rPr>
        <w:t>"For the purpose of emergency management during an emergency situation or state of emergency, a</w:t>
      </w:r>
      <w:r w:rsidR="007608AF" w:rsidRPr="00A04489">
        <w:rPr>
          <w:rFonts w:ascii="Times New Roman" w:hAnsi="Times New Roman"/>
        </w:rPr>
        <w:t>[</w:t>
      </w:r>
      <w:r w:rsidR="00AA1FF1" w:rsidRPr="00A04489">
        <w:rPr>
          <w:rFonts w:ascii="Times New Roman" w:hAnsi="Times New Roman"/>
        </w:rPr>
        <w:t>n</w:t>
      </w:r>
      <w:r w:rsidR="007608AF" w:rsidRPr="00A04489">
        <w:rPr>
          <w:rFonts w:ascii="Times New Roman" w:hAnsi="Times New Roman"/>
        </w:rPr>
        <w:t>]</w:t>
      </w:r>
      <w:r w:rsidRPr="00A04489">
        <w:rPr>
          <w:rFonts w:ascii="Times New Roman" w:hAnsi="Times New Roman"/>
        </w:rPr>
        <w:t xml:space="preserve"> </w:t>
      </w:r>
      <w:r w:rsidR="00370A4C" w:rsidRPr="00A04489">
        <w:rPr>
          <w:rFonts w:ascii="Times New Roman" w:hAnsi="Times New Roman"/>
        </w:rPr>
        <w:t>...</w:t>
      </w:r>
      <w:r w:rsidRPr="00A04489">
        <w:rPr>
          <w:rFonts w:ascii="Times New Roman" w:hAnsi="Times New Roman"/>
        </w:rPr>
        <w:t xml:space="preserve"> authorised officer may do all or any of the following –</w:t>
      </w:r>
    </w:p>
    <w:p w14:paraId="33B14458" w14:textId="77777777" w:rsidR="00A04489" w:rsidRDefault="00B521C0" w:rsidP="00A04489">
      <w:pPr>
        <w:pStyle w:val="LeftrightHanging"/>
        <w:spacing w:before="0" w:after="260" w:line="280" w:lineRule="exact"/>
        <w:ind w:right="0"/>
        <w:jc w:val="both"/>
        <w:rPr>
          <w:rFonts w:ascii="Times New Roman" w:hAnsi="Times New Roman"/>
        </w:rPr>
      </w:pPr>
      <w:r w:rsidRPr="00A04489">
        <w:rPr>
          <w:rFonts w:ascii="Times New Roman" w:hAnsi="Times New Roman"/>
        </w:rPr>
        <w:t>(a)</w:t>
      </w:r>
      <w:r w:rsidRPr="00A04489">
        <w:rPr>
          <w:rFonts w:ascii="Times New Roman" w:hAnsi="Times New Roman"/>
        </w:rPr>
        <w:tab/>
        <w:t>direct or, by direction, prohibit</w:t>
      </w:r>
      <w:r w:rsidR="0035773A" w:rsidRPr="00A04489">
        <w:rPr>
          <w:rFonts w:ascii="Times New Roman" w:hAnsi="Times New Roman"/>
        </w:rPr>
        <w:t>,</w:t>
      </w:r>
      <w:r w:rsidRPr="00A04489">
        <w:rPr>
          <w:rFonts w:ascii="Times New Roman" w:hAnsi="Times New Roman"/>
        </w:rPr>
        <w:t xml:space="preserve"> the movement of persons, animals </w:t>
      </w:r>
      <w:r w:rsidR="00942728" w:rsidRPr="00A04489">
        <w:rPr>
          <w:rFonts w:ascii="Times New Roman" w:hAnsi="Times New Roman"/>
        </w:rPr>
        <w:t>and</w:t>
      </w:r>
      <w:r w:rsidRPr="00A04489">
        <w:rPr>
          <w:rFonts w:ascii="Times New Roman" w:hAnsi="Times New Roman"/>
        </w:rPr>
        <w:t xml:space="preserve"> vehicles within, into, out of or around an emergency area or any part of the emergency area"</w:t>
      </w:r>
      <w:r w:rsidR="00942728" w:rsidRPr="00A04489">
        <w:rPr>
          <w:rFonts w:ascii="Times New Roman" w:hAnsi="Times New Roman"/>
        </w:rPr>
        <w:t>.</w:t>
      </w:r>
    </w:p>
    <w:p w14:paraId="5B2C0DCE" w14:textId="4250E014" w:rsidR="00B521C0" w:rsidRPr="00A04489" w:rsidRDefault="00B521C0" w:rsidP="00A04489">
      <w:pPr>
        <w:pStyle w:val="FixListStyle"/>
        <w:spacing w:after="260" w:line="280" w:lineRule="exact"/>
        <w:ind w:right="0"/>
        <w:jc w:val="both"/>
        <w:rPr>
          <w:rFonts w:ascii="Times New Roman" w:hAnsi="Times New Roman"/>
        </w:rPr>
      </w:pPr>
      <w:r w:rsidRPr="00A04489">
        <w:rPr>
          <w:rFonts w:ascii="Times New Roman" w:hAnsi="Times New Roman"/>
        </w:rPr>
        <w:tab/>
        <w:t>The State Emergency Coordinator (</w:t>
      </w:r>
      <w:r w:rsidR="00667CFA" w:rsidRPr="00A04489">
        <w:rPr>
          <w:rFonts w:ascii="Times New Roman" w:hAnsi="Times New Roman"/>
        </w:rPr>
        <w:t>t</w:t>
      </w:r>
      <w:r w:rsidRPr="00A04489">
        <w:rPr>
          <w:rFonts w:ascii="Times New Roman" w:hAnsi="Times New Roman"/>
        </w:rPr>
        <w:t>he Commissioner of Police) is an authorised officer</w:t>
      </w:r>
      <w:r w:rsidRPr="00A04489">
        <w:rPr>
          <w:rStyle w:val="FootnoteReference"/>
          <w:rFonts w:ascii="Times New Roman" w:hAnsi="Times New Roman"/>
          <w:sz w:val="24"/>
        </w:rPr>
        <w:footnoteReference w:id="6"/>
      </w:r>
      <w:r w:rsidRPr="00A04489">
        <w:rPr>
          <w:rFonts w:ascii="Times New Roman" w:hAnsi="Times New Roman"/>
        </w:rPr>
        <w:t xml:space="preserve">. The emergency area according to the </w:t>
      </w:r>
      <w:r w:rsidR="005C40DF" w:rsidRPr="00A04489">
        <w:rPr>
          <w:rFonts w:ascii="Times New Roman" w:hAnsi="Times New Roman"/>
        </w:rPr>
        <w:t>e</w:t>
      </w:r>
      <w:r w:rsidRPr="00A04489">
        <w:rPr>
          <w:rFonts w:ascii="Times New Roman" w:hAnsi="Times New Roman"/>
        </w:rPr>
        <w:t xml:space="preserve">mergency </w:t>
      </w:r>
      <w:r w:rsidR="005C40DF" w:rsidRPr="00A04489">
        <w:rPr>
          <w:rFonts w:ascii="Times New Roman" w:hAnsi="Times New Roman"/>
        </w:rPr>
        <w:t>d</w:t>
      </w:r>
      <w:r w:rsidRPr="00A04489">
        <w:rPr>
          <w:rFonts w:ascii="Times New Roman" w:hAnsi="Times New Roman"/>
        </w:rPr>
        <w:t>eclaration is Western Australia. The words "emergency management", which appear in s 67, mean "the management of the adverse effects of an emergency" and relevantly include "prevention" (</w:t>
      </w:r>
      <w:r w:rsidR="00AA3FB8" w:rsidRPr="00A04489">
        <w:rPr>
          <w:rFonts w:ascii="Times New Roman" w:hAnsi="Times New Roman"/>
        </w:rPr>
        <w:t>"</w:t>
      </w:r>
      <w:r w:rsidRPr="00A04489">
        <w:rPr>
          <w:rFonts w:ascii="Times New Roman" w:hAnsi="Times New Roman"/>
        </w:rPr>
        <w:t xml:space="preserve">the mitigation </w:t>
      </w:r>
      <w:r w:rsidR="00AA3FB8" w:rsidRPr="00A04489">
        <w:rPr>
          <w:rFonts w:ascii="Times New Roman" w:hAnsi="Times New Roman"/>
        </w:rPr>
        <w:t>or</w:t>
      </w:r>
      <w:r w:rsidRPr="00A04489">
        <w:rPr>
          <w:rFonts w:ascii="Times New Roman" w:hAnsi="Times New Roman"/>
        </w:rPr>
        <w:t xml:space="preserve"> prevention of the probability of the occurrence of, and the potential adverse effects of</w:t>
      </w:r>
      <w:r w:rsidR="00794596" w:rsidRPr="00A04489">
        <w:rPr>
          <w:rFonts w:ascii="Times New Roman" w:hAnsi="Times New Roman"/>
        </w:rPr>
        <w:t>,</w:t>
      </w:r>
      <w:r w:rsidRPr="00A04489">
        <w:rPr>
          <w:rFonts w:ascii="Times New Roman" w:hAnsi="Times New Roman"/>
        </w:rPr>
        <w:t xml:space="preserve"> an emergency</w:t>
      </w:r>
      <w:r w:rsidR="00AA3FB8" w:rsidRPr="00A04489">
        <w:rPr>
          <w:rFonts w:ascii="Times New Roman" w:hAnsi="Times New Roman"/>
        </w:rPr>
        <w:t>"</w:t>
      </w:r>
      <w:r w:rsidRPr="00A04489">
        <w:rPr>
          <w:rFonts w:ascii="Times New Roman" w:hAnsi="Times New Roman"/>
        </w:rPr>
        <w:t>) and "response" (</w:t>
      </w:r>
      <w:r w:rsidR="00AA3FB8" w:rsidRPr="00A04489">
        <w:rPr>
          <w:rFonts w:ascii="Times New Roman" w:hAnsi="Times New Roman"/>
        </w:rPr>
        <w:t>"</w:t>
      </w:r>
      <w:r w:rsidRPr="00A04489">
        <w:rPr>
          <w:rFonts w:ascii="Times New Roman" w:hAnsi="Times New Roman"/>
        </w:rPr>
        <w:t xml:space="preserve">the </w:t>
      </w:r>
      <w:r w:rsidR="0045198A" w:rsidRPr="00A04489">
        <w:rPr>
          <w:rFonts w:ascii="Times New Roman" w:hAnsi="Times New Roman"/>
        </w:rPr>
        <w:t xml:space="preserve">combating </w:t>
      </w:r>
      <w:r w:rsidRPr="00A04489">
        <w:rPr>
          <w:rFonts w:ascii="Times New Roman" w:hAnsi="Times New Roman"/>
        </w:rPr>
        <w:t xml:space="preserve">of the effects of an emergency, provision of emergency </w:t>
      </w:r>
      <w:r w:rsidR="00305667" w:rsidRPr="00A04489">
        <w:rPr>
          <w:rFonts w:ascii="Times New Roman" w:hAnsi="Times New Roman"/>
        </w:rPr>
        <w:t xml:space="preserve">assistance </w:t>
      </w:r>
      <w:r w:rsidRPr="00A04489">
        <w:rPr>
          <w:rFonts w:ascii="Times New Roman" w:hAnsi="Times New Roman"/>
        </w:rPr>
        <w:t>for casualties, reduction of further damage</w:t>
      </w:r>
      <w:r w:rsidR="00A32619" w:rsidRPr="00A04489">
        <w:rPr>
          <w:rFonts w:ascii="Times New Roman" w:hAnsi="Times New Roman"/>
        </w:rPr>
        <w:t>,</w:t>
      </w:r>
      <w:r w:rsidRPr="00A04489">
        <w:rPr>
          <w:rFonts w:ascii="Times New Roman" w:hAnsi="Times New Roman"/>
        </w:rPr>
        <w:t xml:space="preserve"> and help to speed recovery</w:t>
      </w:r>
      <w:r w:rsidR="00971A5C" w:rsidRPr="00A04489">
        <w:rPr>
          <w:rFonts w:ascii="Times New Roman" w:hAnsi="Times New Roman"/>
        </w:rPr>
        <w:t>"</w:t>
      </w:r>
      <w:r w:rsidRPr="00A04489">
        <w:rPr>
          <w:rFonts w:ascii="Times New Roman" w:hAnsi="Times New Roman"/>
        </w:rPr>
        <w:t>)</w:t>
      </w:r>
      <w:r w:rsidRPr="00A04489">
        <w:rPr>
          <w:rStyle w:val="FootnoteReference"/>
          <w:rFonts w:ascii="Times New Roman" w:hAnsi="Times New Roman"/>
          <w:sz w:val="24"/>
        </w:rPr>
        <w:footnoteReference w:id="7"/>
      </w:r>
      <w:r w:rsidRPr="00A04489">
        <w:rPr>
          <w:rFonts w:ascii="Times New Roman" w:hAnsi="Times New Roman"/>
        </w:rPr>
        <w:t>. It is an offence to fail to comply with a direction</w:t>
      </w:r>
      <w:r w:rsidRPr="00A04489">
        <w:rPr>
          <w:rStyle w:val="FootnoteReference"/>
          <w:rFonts w:ascii="Times New Roman" w:hAnsi="Times New Roman"/>
          <w:sz w:val="24"/>
        </w:rPr>
        <w:footnoteReference w:id="8"/>
      </w:r>
      <w:r w:rsidRPr="00A04489">
        <w:rPr>
          <w:rFonts w:ascii="Times New Roman" w:hAnsi="Times New Roman"/>
        </w:rPr>
        <w:t>.</w:t>
      </w:r>
    </w:p>
    <w:p w14:paraId="6DB52F44" w14:textId="696DE5D4" w:rsidR="00325E79" w:rsidRPr="00A04489" w:rsidRDefault="00B521C0" w:rsidP="00A04489">
      <w:pPr>
        <w:pStyle w:val="FixListStyle"/>
        <w:spacing w:after="260" w:line="280" w:lineRule="exact"/>
        <w:ind w:right="0"/>
        <w:jc w:val="both"/>
        <w:rPr>
          <w:rFonts w:ascii="Times New Roman" w:hAnsi="Times New Roman"/>
        </w:rPr>
      </w:pPr>
      <w:r w:rsidRPr="00A04489">
        <w:rPr>
          <w:rFonts w:ascii="Times New Roman" w:hAnsi="Times New Roman"/>
        </w:rPr>
        <w:tab/>
      </w:r>
      <w:r w:rsidR="00C76560" w:rsidRPr="00A04489">
        <w:rPr>
          <w:rFonts w:ascii="Times New Roman" w:hAnsi="Times New Roman"/>
        </w:rPr>
        <w:t xml:space="preserve">The effect of the Directions </w:t>
      </w:r>
      <w:r w:rsidR="0020280F" w:rsidRPr="00A04489">
        <w:rPr>
          <w:rFonts w:ascii="Times New Roman" w:hAnsi="Times New Roman"/>
        </w:rPr>
        <w:t>i</w:t>
      </w:r>
      <w:r w:rsidR="00C76560" w:rsidRPr="00A04489">
        <w:rPr>
          <w:rFonts w:ascii="Times New Roman" w:hAnsi="Times New Roman"/>
        </w:rPr>
        <w:t xml:space="preserve">s to close the border of Western Australia to all persons from any place unless they were the subject of exemption under the Directions. </w:t>
      </w:r>
      <w:r w:rsidR="000F2A65" w:rsidRPr="00A04489">
        <w:rPr>
          <w:rFonts w:ascii="Times New Roman" w:hAnsi="Times New Roman"/>
        </w:rPr>
        <w:t>Para</w:t>
      </w:r>
      <w:r w:rsidR="002B2D04" w:rsidRPr="00A04489">
        <w:rPr>
          <w:rFonts w:ascii="Times New Roman" w:hAnsi="Times New Roman"/>
        </w:rPr>
        <w:t>graph</w:t>
      </w:r>
      <w:r w:rsidR="00C76560" w:rsidRPr="00A04489">
        <w:rPr>
          <w:rFonts w:ascii="Times New Roman" w:hAnsi="Times New Roman"/>
        </w:rPr>
        <w:t> 4 of the Directions provide</w:t>
      </w:r>
      <w:r w:rsidR="00120955" w:rsidRPr="00A04489">
        <w:rPr>
          <w:rFonts w:ascii="Times New Roman" w:hAnsi="Times New Roman"/>
        </w:rPr>
        <w:t>s</w:t>
      </w:r>
      <w:r w:rsidR="00C76560" w:rsidRPr="00A04489">
        <w:rPr>
          <w:rFonts w:ascii="Times New Roman" w:hAnsi="Times New Roman"/>
        </w:rPr>
        <w:t xml:space="preserve"> that "[a] person must not</w:t>
      </w:r>
      <w:r w:rsidR="00C07C42" w:rsidRPr="00A04489">
        <w:rPr>
          <w:rFonts w:ascii="Times New Roman" w:hAnsi="Times New Roman"/>
        </w:rPr>
        <w:t xml:space="preserve"> enter Western Australia unless the person is an exempt traveller". </w:t>
      </w:r>
      <w:r w:rsidR="00917E4B" w:rsidRPr="00A04489">
        <w:rPr>
          <w:rFonts w:ascii="Times New Roman" w:hAnsi="Times New Roman"/>
        </w:rPr>
        <w:t>The term</w:t>
      </w:r>
      <w:r w:rsidR="00C07C42" w:rsidRPr="00A04489">
        <w:rPr>
          <w:rFonts w:ascii="Times New Roman" w:hAnsi="Times New Roman"/>
        </w:rPr>
        <w:t xml:space="preserve"> "exempt traveller"</w:t>
      </w:r>
      <w:r w:rsidR="00AE35AA" w:rsidRPr="00A04489">
        <w:rPr>
          <w:rFonts w:ascii="Times New Roman" w:hAnsi="Times New Roman"/>
        </w:rPr>
        <w:t xml:space="preserve">, defined in </w:t>
      </w:r>
      <w:r w:rsidR="006022E5" w:rsidRPr="00A04489">
        <w:rPr>
          <w:rFonts w:ascii="Times New Roman" w:hAnsi="Times New Roman"/>
        </w:rPr>
        <w:t>para 27,</w:t>
      </w:r>
      <w:r w:rsidR="00C07C42" w:rsidRPr="00A04489">
        <w:rPr>
          <w:rFonts w:ascii="Times New Roman" w:hAnsi="Times New Roman"/>
        </w:rPr>
        <w:t xml:space="preserve"> </w:t>
      </w:r>
      <w:r w:rsidR="0094082E" w:rsidRPr="00A04489">
        <w:rPr>
          <w:rFonts w:ascii="Times New Roman" w:hAnsi="Times New Roman"/>
        </w:rPr>
        <w:t xml:space="preserve">refers to </w:t>
      </w:r>
      <w:r w:rsidR="00640EAC" w:rsidRPr="00A04489">
        <w:rPr>
          <w:rFonts w:ascii="Times New Roman" w:hAnsi="Times New Roman"/>
        </w:rPr>
        <w:t xml:space="preserve">a </w:t>
      </w:r>
      <w:r w:rsidR="0094082E" w:rsidRPr="00A04489">
        <w:rPr>
          <w:rFonts w:ascii="Times New Roman" w:hAnsi="Times New Roman"/>
        </w:rPr>
        <w:t xml:space="preserve">person falling within certain categories such as officials or personnel concerned with national and </w:t>
      </w:r>
      <w:r w:rsidR="00E66C3A" w:rsidRPr="00A04489">
        <w:rPr>
          <w:rFonts w:ascii="Times New Roman" w:hAnsi="Times New Roman"/>
        </w:rPr>
        <w:t>S</w:t>
      </w:r>
      <w:r w:rsidR="0094082E" w:rsidRPr="00A04489">
        <w:rPr>
          <w:rFonts w:ascii="Times New Roman" w:hAnsi="Times New Roman"/>
        </w:rPr>
        <w:t xml:space="preserve">tate </w:t>
      </w:r>
      <w:r w:rsidR="00B624AE" w:rsidRPr="00A04489">
        <w:rPr>
          <w:rFonts w:ascii="Times New Roman" w:hAnsi="Times New Roman"/>
        </w:rPr>
        <w:t xml:space="preserve">security and governance, </w:t>
      </w:r>
      <w:r w:rsidR="00673907" w:rsidRPr="00A04489">
        <w:rPr>
          <w:rFonts w:ascii="Times New Roman" w:hAnsi="Times New Roman"/>
        </w:rPr>
        <w:t xml:space="preserve">persons providing </w:t>
      </w:r>
      <w:r w:rsidR="00886786" w:rsidRPr="00A04489">
        <w:rPr>
          <w:rFonts w:ascii="Times New Roman" w:hAnsi="Times New Roman"/>
        </w:rPr>
        <w:t>health</w:t>
      </w:r>
      <w:r w:rsidR="00B624AE" w:rsidRPr="00A04489">
        <w:rPr>
          <w:rFonts w:ascii="Times New Roman" w:hAnsi="Times New Roman"/>
        </w:rPr>
        <w:t xml:space="preserve"> services or </w:t>
      </w:r>
      <w:r w:rsidR="006E1672" w:rsidRPr="00A04489">
        <w:rPr>
          <w:rFonts w:ascii="Times New Roman" w:hAnsi="Times New Roman"/>
        </w:rPr>
        <w:t>person</w:t>
      </w:r>
      <w:r w:rsidR="00673907" w:rsidRPr="00A04489">
        <w:rPr>
          <w:rFonts w:ascii="Times New Roman" w:hAnsi="Times New Roman"/>
        </w:rPr>
        <w:t>s</w:t>
      </w:r>
      <w:r w:rsidR="006E1672" w:rsidRPr="00A04489">
        <w:rPr>
          <w:rFonts w:ascii="Times New Roman" w:hAnsi="Times New Roman"/>
        </w:rPr>
        <w:t xml:space="preserve"> </w:t>
      </w:r>
      <w:r w:rsidR="00B624AE" w:rsidRPr="00A04489">
        <w:rPr>
          <w:rFonts w:ascii="Times New Roman" w:hAnsi="Times New Roman"/>
        </w:rPr>
        <w:t>whose entry is approved on compassionate grounds</w:t>
      </w:r>
      <w:r w:rsidR="0014453E" w:rsidRPr="00A04489">
        <w:rPr>
          <w:rFonts w:ascii="Times New Roman" w:hAnsi="Times New Roman"/>
        </w:rPr>
        <w:t>, and who complies with any specified terms or conditions</w:t>
      </w:r>
      <w:r w:rsidR="00B624AE" w:rsidRPr="00A04489">
        <w:rPr>
          <w:rFonts w:ascii="Times New Roman" w:hAnsi="Times New Roman"/>
        </w:rPr>
        <w:t xml:space="preserve">. </w:t>
      </w:r>
      <w:r w:rsidR="00A75851" w:rsidRPr="00A04489">
        <w:rPr>
          <w:rFonts w:ascii="Times New Roman" w:hAnsi="Times New Roman"/>
        </w:rPr>
        <w:t>Paragraph</w:t>
      </w:r>
      <w:r w:rsidR="00B624AE" w:rsidRPr="00A04489">
        <w:rPr>
          <w:rFonts w:ascii="Times New Roman" w:hAnsi="Times New Roman"/>
        </w:rPr>
        <w:t xml:space="preserve"> 5 of the Directions </w:t>
      </w:r>
      <w:r w:rsidR="00325E79" w:rsidRPr="00A04489">
        <w:rPr>
          <w:rFonts w:ascii="Times New Roman" w:hAnsi="Times New Roman"/>
        </w:rPr>
        <w:t xml:space="preserve">states </w:t>
      </w:r>
      <w:r w:rsidR="0025231B" w:rsidRPr="00A04489">
        <w:rPr>
          <w:rFonts w:ascii="Times New Roman" w:hAnsi="Times New Roman"/>
        </w:rPr>
        <w:t xml:space="preserve">that in certain </w:t>
      </w:r>
      <w:r w:rsidR="00325E79" w:rsidRPr="00A04489">
        <w:rPr>
          <w:rFonts w:ascii="Times New Roman" w:hAnsi="Times New Roman"/>
        </w:rPr>
        <w:t xml:space="preserve">circumstances even exempt travellers must not enter Western Australia, for example where they have </w:t>
      </w:r>
      <w:r w:rsidR="00C344A2" w:rsidRPr="00A04489">
        <w:rPr>
          <w:rFonts w:ascii="Times New Roman" w:hAnsi="Times New Roman"/>
        </w:rPr>
        <w:t xml:space="preserve">certain defined </w:t>
      </w:r>
      <w:r w:rsidR="00325E79" w:rsidRPr="00A04489">
        <w:rPr>
          <w:rFonts w:ascii="Times New Roman" w:hAnsi="Times New Roman"/>
        </w:rPr>
        <w:t xml:space="preserve">symptoms or have been identified as a close contact with a person who has </w:t>
      </w:r>
      <w:r w:rsidR="00C24F81" w:rsidRPr="00A04489">
        <w:rPr>
          <w:rFonts w:ascii="Times New Roman" w:hAnsi="Times New Roman"/>
        </w:rPr>
        <w:t>COVID-19</w:t>
      </w:r>
      <w:r w:rsidR="003C77DB" w:rsidRPr="00A04489">
        <w:rPr>
          <w:rFonts w:ascii="Times New Roman" w:hAnsi="Times New Roman"/>
        </w:rPr>
        <w:t>.</w:t>
      </w:r>
    </w:p>
    <w:p w14:paraId="7819ABD1" w14:textId="5D859B3E" w:rsidR="000B1F2A" w:rsidRPr="00A04489" w:rsidRDefault="007819B7" w:rsidP="00A04489">
      <w:pPr>
        <w:pStyle w:val="FixListStyle"/>
        <w:spacing w:after="260" w:line="280" w:lineRule="exact"/>
        <w:ind w:right="0"/>
        <w:jc w:val="both"/>
        <w:rPr>
          <w:rFonts w:ascii="Times New Roman" w:hAnsi="Times New Roman"/>
        </w:rPr>
      </w:pPr>
      <w:r w:rsidRPr="00A04489">
        <w:rPr>
          <w:rFonts w:ascii="Times New Roman" w:hAnsi="Times New Roman"/>
        </w:rPr>
        <w:tab/>
      </w:r>
      <w:r w:rsidR="000D51C1" w:rsidRPr="00A04489">
        <w:rPr>
          <w:rFonts w:ascii="Times New Roman" w:hAnsi="Times New Roman"/>
        </w:rPr>
        <w:t>At the time this matter was heard</w:t>
      </w:r>
      <w:r w:rsidR="00B96966" w:rsidRPr="00A04489">
        <w:rPr>
          <w:rFonts w:ascii="Times New Roman" w:hAnsi="Times New Roman"/>
        </w:rPr>
        <w:t>,</w:t>
      </w:r>
      <w:r w:rsidR="000D51C1" w:rsidRPr="00A04489">
        <w:rPr>
          <w:rFonts w:ascii="Times New Roman" w:hAnsi="Times New Roman"/>
        </w:rPr>
        <w:t xml:space="preserve"> the Chief Health Officer </w:t>
      </w:r>
      <w:r w:rsidR="00B568C0" w:rsidRPr="00A04489">
        <w:rPr>
          <w:rFonts w:ascii="Times New Roman" w:hAnsi="Times New Roman"/>
        </w:rPr>
        <w:t>for</w:t>
      </w:r>
      <w:r w:rsidR="000D51C1" w:rsidRPr="00A04489">
        <w:rPr>
          <w:rFonts w:ascii="Times New Roman" w:hAnsi="Times New Roman"/>
        </w:rPr>
        <w:t xml:space="preserve"> Western Australia had given advice to the Premier </w:t>
      </w:r>
      <w:r w:rsidR="00BD2D39" w:rsidRPr="00A04489">
        <w:rPr>
          <w:rFonts w:ascii="Times New Roman" w:hAnsi="Times New Roman"/>
        </w:rPr>
        <w:t xml:space="preserve">of Western Australia </w:t>
      </w:r>
      <w:r w:rsidR="000D51C1" w:rsidRPr="00A04489">
        <w:rPr>
          <w:rFonts w:ascii="Times New Roman" w:hAnsi="Times New Roman"/>
        </w:rPr>
        <w:t xml:space="preserve">concerning easing of the border </w:t>
      </w:r>
      <w:r w:rsidR="00A353F8" w:rsidRPr="00A04489">
        <w:rPr>
          <w:rFonts w:ascii="Times New Roman" w:hAnsi="Times New Roman"/>
        </w:rPr>
        <w:t>controls. The Premier</w:t>
      </w:r>
      <w:r w:rsidR="00AC3DCF" w:rsidRPr="00A04489">
        <w:rPr>
          <w:rFonts w:ascii="Times New Roman" w:hAnsi="Times New Roman"/>
        </w:rPr>
        <w:t xml:space="preserve"> and</w:t>
      </w:r>
      <w:r w:rsidR="00AC3DCF" w:rsidRPr="00A04489" w:rsidDel="00492417">
        <w:rPr>
          <w:rFonts w:ascii="Times New Roman" w:hAnsi="Times New Roman"/>
        </w:rPr>
        <w:t xml:space="preserve"> the </w:t>
      </w:r>
      <w:r w:rsidR="00AC3DCF" w:rsidRPr="00A04489">
        <w:rPr>
          <w:rFonts w:ascii="Times New Roman" w:hAnsi="Times New Roman"/>
        </w:rPr>
        <w:t>Minister for Health</w:t>
      </w:r>
      <w:r w:rsidR="00A353F8" w:rsidRPr="00A04489">
        <w:rPr>
          <w:rFonts w:ascii="Times New Roman" w:hAnsi="Times New Roman"/>
        </w:rPr>
        <w:t xml:space="preserve"> </w:t>
      </w:r>
      <w:r w:rsidR="006B4C8D" w:rsidRPr="00A04489">
        <w:rPr>
          <w:rFonts w:ascii="Times New Roman" w:hAnsi="Times New Roman"/>
        </w:rPr>
        <w:t xml:space="preserve">had </w:t>
      </w:r>
      <w:r w:rsidR="00A353F8" w:rsidRPr="00A04489">
        <w:rPr>
          <w:rFonts w:ascii="Times New Roman" w:hAnsi="Times New Roman"/>
        </w:rPr>
        <w:t xml:space="preserve">announced </w:t>
      </w:r>
      <w:r w:rsidR="003C77DB" w:rsidRPr="00A04489">
        <w:rPr>
          <w:rFonts w:ascii="Times New Roman" w:hAnsi="Times New Roman"/>
        </w:rPr>
        <w:t xml:space="preserve">publicly </w:t>
      </w:r>
      <w:r w:rsidR="00A353F8" w:rsidRPr="00A04489">
        <w:rPr>
          <w:rFonts w:ascii="Times New Roman" w:hAnsi="Times New Roman"/>
        </w:rPr>
        <w:t xml:space="preserve">that the "existing </w:t>
      </w:r>
      <w:r w:rsidR="00530F4F" w:rsidRPr="00A04489">
        <w:rPr>
          <w:rFonts w:ascii="Times New Roman" w:hAnsi="Times New Roman"/>
        </w:rPr>
        <w:t>hard border exemption system will be removed and replaced with an updated nationwide health-based threshold that allows for safe travel into Western Australia"</w:t>
      </w:r>
      <w:r w:rsidR="00461AB8" w:rsidRPr="00A04489">
        <w:rPr>
          <w:rFonts w:ascii="Times New Roman" w:hAnsi="Times New Roman"/>
        </w:rPr>
        <w:t xml:space="preserve"> from interstate </w:t>
      </w:r>
      <w:r w:rsidR="000B1F2A" w:rsidRPr="00A04489">
        <w:rPr>
          <w:rFonts w:ascii="Times New Roman" w:hAnsi="Times New Roman"/>
        </w:rPr>
        <w:t xml:space="preserve">on </w:t>
      </w:r>
      <w:r w:rsidR="00461AB8" w:rsidRPr="00A04489">
        <w:rPr>
          <w:rFonts w:ascii="Times New Roman" w:hAnsi="Times New Roman"/>
        </w:rPr>
        <w:t>conditions</w:t>
      </w:r>
      <w:r w:rsidR="000B1F2A" w:rsidRPr="00A04489">
        <w:rPr>
          <w:rFonts w:ascii="Times New Roman" w:hAnsi="Times New Roman"/>
        </w:rPr>
        <w:t xml:space="preserve">. Subject to the latest available health advice, it was planned to enact the new </w:t>
      </w:r>
      <w:r w:rsidR="00D467C5" w:rsidRPr="00A04489">
        <w:rPr>
          <w:rFonts w:ascii="Times New Roman" w:hAnsi="Times New Roman"/>
        </w:rPr>
        <w:t xml:space="preserve">interstate border measures under the </w:t>
      </w:r>
      <w:r w:rsidR="0083361C" w:rsidRPr="00A04489">
        <w:rPr>
          <w:rFonts w:ascii="Times New Roman" w:hAnsi="Times New Roman"/>
        </w:rPr>
        <w:t>EM Act</w:t>
      </w:r>
      <w:r w:rsidR="008150C6" w:rsidRPr="00A04489">
        <w:rPr>
          <w:rFonts w:ascii="Times New Roman" w:hAnsi="Times New Roman"/>
        </w:rPr>
        <w:t xml:space="preserve"> </w:t>
      </w:r>
      <w:r w:rsidR="00D467C5" w:rsidRPr="00A04489">
        <w:rPr>
          <w:rFonts w:ascii="Times New Roman" w:hAnsi="Times New Roman"/>
        </w:rPr>
        <w:t>on 14 November 2020</w:t>
      </w:r>
      <w:r w:rsidR="003236F5" w:rsidRPr="00A04489">
        <w:rPr>
          <w:rFonts w:ascii="Times New Roman" w:hAnsi="Times New Roman"/>
        </w:rPr>
        <w:t xml:space="preserve">. The plaintiffs nevertheless </w:t>
      </w:r>
      <w:r w:rsidR="00B31845" w:rsidRPr="00A04489">
        <w:rPr>
          <w:rFonts w:ascii="Times New Roman" w:hAnsi="Times New Roman"/>
        </w:rPr>
        <w:t xml:space="preserve">proceeded </w:t>
      </w:r>
      <w:r w:rsidR="003236F5" w:rsidRPr="00A04489">
        <w:rPr>
          <w:rFonts w:ascii="Times New Roman" w:hAnsi="Times New Roman"/>
        </w:rPr>
        <w:t xml:space="preserve">with the </w:t>
      </w:r>
      <w:r w:rsidR="00B31845" w:rsidRPr="00A04489">
        <w:rPr>
          <w:rFonts w:ascii="Times New Roman" w:hAnsi="Times New Roman"/>
        </w:rPr>
        <w:t>hearing of their matter because</w:t>
      </w:r>
      <w:r w:rsidR="00FE1070" w:rsidRPr="00A04489">
        <w:rPr>
          <w:rFonts w:ascii="Times New Roman" w:hAnsi="Times New Roman"/>
        </w:rPr>
        <w:t>,</w:t>
      </w:r>
      <w:r w:rsidR="00B31845" w:rsidRPr="00A04489">
        <w:rPr>
          <w:rFonts w:ascii="Times New Roman" w:hAnsi="Times New Roman"/>
        </w:rPr>
        <w:t xml:space="preserve"> the</w:t>
      </w:r>
      <w:r w:rsidR="006B4C8D" w:rsidRPr="00A04489">
        <w:rPr>
          <w:rFonts w:ascii="Times New Roman" w:hAnsi="Times New Roman"/>
        </w:rPr>
        <w:t>y contended</w:t>
      </w:r>
      <w:r w:rsidR="00FE1070" w:rsidRPr="00A04489">
        <w:rPr>
          <w:rFonts w:ascii="Times New Roman" w:hAnsi="Times New Roman"/>
        </w:rPr>
        <w:t>,</w:t>
      </w:r>
      <w:r w:rsidR="006B4C8D" w:rsidRPr="00A04489">
        <w:rPr>
          <w:rFonts w:ascii="Times New Roman" w:hAnsi="Times New Roman"/>
        </w:rPr>
        <w:t xml:space="preserve"> the</w:t>
      </w:r>
      <w:r w:rsidR="00B31845" w:rsidRPr="00A04489">
        <w:rPr>
          <w:rFonts w:ascii="Times New Roman" w:hAnsi="Times New Roman"/>
        </w:rPr>
        <w:t xml:space="preserve"> Premier's announcement was highly conditional and there was an important, </w:t>
      </w:r>
      <w:r w:rsidR="00031C2F" w:rsidRPr="00A04489">
        <w:rPr>
          <w:rFonts w:ascii="Times New Roman" w:hAnsi="Times New Roman"/>
        </w:rPr>
        <w:t>justiciable</w:t>
      </w:r>
      <w:r w:rsidR="00B31845" w:rsidRPr="00A04489">
        <w:rPr>
          <w:rFonts w:ascii="Times New Roman" w:hAnsi="Times New Roman"/>
        </w:rPr>
        <w:t xml:space="preserve"> </w:t>
      </w:r>
      <w:r w:rsidR="00690C1C" w:rsidRPr="00A04489">
        <w:rPr>
          <w:rFonts w:ascii="Times New Roman" w:hAnsi="Times New Roman"/>
        </w:rPr>
        <w:t>controversy to be resolved</w:t>
      </w:r>
      <w:r w:rsidR="00D467C5" w:rsidRPr="00A04489">
        <w:rPr>
          <w:rFonts w:ascii="Times New Roman" w:hAnsi="Times New Roman"/>
        </w:rPr>
        <w:t>.</w:t>
      </w:r>
    </w:p>
    <w:p w14:paraId="2BCCEA6E" w14:textId="10BFE6D8" w:rsidR="0014708D" w:rsidRPr="00A04489" w:rsidRDefault="00B8406F" w:rsidP="00A04489">
      <w:pPr>
        <w:pStyle w:val="HeadingL1"/>
        <w:spacing w:after="260" w:line="280" w:lineRule="exact"/>
        <w:ind w:right="0"/>
        <w:jc w:val="both"/>
        <w:rPr>
          <w:rFonts w:ascii="Times New Roman" w:hAnsi="Times New Roman"/>
        </w:rPr>
      </w:pPr>
      <w:r w:rsidRPr="00A04489">
        <w:rPr>
          <w:rFonts w:ascii="Times New Roman" w:hAnsi="Times New Roman"/>
        </w:rPr>
        <w:t>The plaintiffs' challenge</w:t>
      </w:r>
    </w:p>
    <w:p w14:paraId="425ABDD5" w14:textId="73ED113C" w:rsidR="00FA54CD" w:rsidRPr="00A04489" w:rsidRDefault="00B8406F" w:rsidP="00A04489">
      <w:pPr>
        <w:pStyle w:val="FixListStyle"/>
        <w:spacing w:after="260" w:line="280" w:lineRule="exact"/>
        <w:ind w:right="0"/>
        <w:jc w:val="both"/>
        <w:rPr>
          <w:rFonts w:ascii="Times New Roman" w:hAnsi="Times New Roman"/>
        </w:rPr>
      </w:pPr>
      <w:r w:rsidRPr="00A04489">
        <w:rPr>
          <w:rFonts w:ascii="Times New Roman" w:hAnsi="Times New Roman"/>
        </w:rPr>
        <w:tab/>
      </w:r>
      <w:r w:rsidR="00145A9F" w:rsidRPr="00A04489">
        <w:rPr>
          <w:rFonts w:ascii="Times New Roman" w:hAnsi="Times New Roman"/>
        </w:rPr>
        <w:t>The first sentence of s</w:t>
      </w:r>
      <w:r w:rsidR="00E1559B" w:rsidRPr="00A04489">
        <w:rPr>
          <w:rFonts w:ascii="Times New Roman" w:hAnsi="Times New Roman"/>
        </w:rPr>
        <w:t xml:space="preserve"> 92 of the </w:t>
      </w:r>
      <w:r w:rsidR="00E1559B" w:rsidRPr="00A04489">
        <w:rPr>
          <w:rFonts w:ascii="Times New Roman" w:hAnsi="Times New Roman"/>
          <w:i/>
        </w:rPr>
        <w:t>Constitution</w:t>
      </w:r>
      <w:r w:rsidR="00E1559B" w:rsidRPr="00A04489">
        <w:rPr>
          <w:rFonts w:ascii="Times New Roman" w:hAnsi="Times New Roman"/>
        </w:rPr>
        <w:t xml:space="preserve"> provides</w:t>
      </w:r>
      <w:r w:rsidR="000B6D59" w:rsidRPr="00A04489">
        <w:rPr>
          <w:rFonts w:ascii="Times New Roman" w:hAnsi="Times New Roman"/>
        </w:rPr>
        <w:t xml:space="preserve"> that</w:t>
      </w:r>
      <w:r w:rsidR="00FA54CD" w:rsidRPr="00A04489">
        <w:rPr>
          <w:rFonts w:ascii="Times New Roman" w:hAnsi="Times New Roman"/>
        </w:rPr>
        <w:t>:</w:t>
      </w:r>
    </w:p>
    <w:p w14:paraId="028A5DAD" w14:textId="77777777" w:rsidR="00A04489" w:rsidRDefault="00E1559B" w:rsidP="00A04489">
      <w:pPr>
        <w:pStyle w:val="LeftrightafterHC"/>
        <w:spacing w:before="0" w:after="260" w:line="280" w:lineRule="exact"/>
        <w:ind w:right="0"/>
        <w:jc w:val="both"/>
        <w:rPr>
          <w:rFonts w:ascii="Times New Roman" w:hAnsi="Times New Roman"/>
        </w:rPr>
      </w:pPr>
      <w:r w:rsidRPr="00A04489">
        <w:rPr>
          <w:rFonts w:ascii="Times New Roman" w:hAnsi="Times New Roman"/>
        </w:rPr>
        <w:t>"</w:t>
      </w:r>
      <w:r w:rsidR="009C1FC4" w:rsidRPr="00A04489">
        <w:rPr>
          <w:rFonts w:ascii="Times New Roman" w:hAnsi="Times New Roman"/>
        </w:rPr>
        <w:t xml:space="preserve">On the imposition of </w:t>
      </w:r>
      <w:r w:rsidR="006B4C8D" w:rsidRPr="00A04489">
        <w:rPr>
          <w:rFonts w:ascii="Times New Roman" w:hAnsi="Times New Roman"/>
        </w:rPr>
        <w:t xml:space="preserve">uniform </w:t>
      </w:r>
      <w:r w:rsidR="009C1FC4" w:rsidRPr="00A04489">
        <w:rPr>
          <w:rFonts w:ascii="Times New Roman" w:hAnsi="Times New Roman"/>
        </w:rPr>
        <w:t xml:space="preserve">duties of customs, </w:t>
      </w:r>
      <w:r w:rsidRPr="00A04489">
        <w:rPr>
          <w:rFonts w:ascii="Times New Roman" w:hAnsi="Times New Roman"/>
        </w:rPr>
        <w:t>trade, commerce</w:t>
      </w:r>
      <w:r w:rsidR="0046618C" w:rsidRPr="00A04489">
        <w:rPr>
          <w:rFonts w:ascii="Times New Roman" w:hAnsi="Times New Roman"/>
        </w:rPr>
        <w:t>,</w:t>
      </w:r>
      <w:r w:rsidRPr="00A04489">
        <w:rPr>
          <w:rFonts w:ascii="Times New Roman" w:hAnsi="Times New Roman"/>
        </w:rPr>
        <w:t xml:space="preserve"> and intercourse among the States</w:t>
      </w:r>
      <w:r w:rsidR="00515199" w:rsidRPr="00A04489">
        <w:rPr>
          <w:rFonts w:ascii="Times New Roman" w:hAnsi="Times New Roman"/>
        </w:rPr>
        <w:t>,</w:t>
      </w:r>
      <w:r w:rsidRPr="00A04489">
        <w:rPr>
          <w:rFonts w:ascii="Times New Roman" w:hAnsi="Times New Roman"/>
        </w:rPr>
        <w:t xml:space="preserve"> </w:t>
      </w:r>
      <w:r w:rsidR="009C1FC4" w:rsidRPr="00A04489">
        <w:rPr>
          <w:rFonts w:ascii="Times New Roman" w:hAnsi="Times New Roman"/>
        </w:rPr>
        <w:t xml:space="preserve">whether by means of internal carriage </w:t>
      </w:r>
      <w:r w:rsidR="003A33B2" w:rsidRPr="00A04489">
        <w:rPr>
          <w:rFonts w:ascii="Times New Roman" w:hAnsi="Times New Roman"/>
        </w:rPr>
        <w:t xml:space="preserve">or ocean navigation, </w:t>
      </w:r>
      <w:r w:rsidRPr="00A04489">
        <w:rPr>
          <w:rFonts w:ascii="Times New Roman" w:hAnsi="Times New Roman"/>
        </w:rPr>
        <w:t>shall be absolutely free</w:t>
      </w:r>
      <w:r w:rsidR="00515199" w:rsidRPr="00A04489">
        <w:rPr>
          <w:rFonts w:ascii="Times New Roman" w:hAnsi="Times New Roman"/>
        </w:rPr>
        <w:t>.</w:t>
      </w:r>
      <w:r w:rsidRPr="00A04489">
        <w:rPr>
          <w:rFonts w:ascii="Times New Roman" w:hAnsi="Times New Roman"/>
        </w:rPr>
        <w:t xml:space="preserve">" </w:t>
      </w:r>
    </w:p>
    <w:p w14:paraId="2D07A857" w14:textId="3297BF15" w:rsidR="00B8406F" w:rsidRPr="00A04489" w:rsidRDefault="00E1559B" w:rsidP="00A04489">
      <w:pPr>
        <w:pStyle w:val="FixListStyle"/>
        <w:spacing w:after="260" w:line="280" w:lineRule="exact"/>
        <w:ind w:right="0"/>
        <w:jc w:val="both"/>
        <w:rPr>
          <w:rFonts w:ascii="Times New Roman" w:hAnsi="Times New Roman"/>
        </w:rPr>
      </w:pPr>
      <w:r w:rsidRPr="00A04489">
        <w:rPr>
          <w:rFonts w:ascii="Times New Roman" w:hAnsi="Times New Roman"/>
        </w:rPr>
        <w:tab/>
      </w:r>
      <w:r w:rsidR="00B8406F" w:rsidRPr="00A04489">
        <w:rPr>
          <w:rFonts w:ascii="Times New Roman" w:hAnsi="Times New Roman"/>
        </w:rPr>
        <w:t xml:space="preserve">The first plaintiff is a resident of the State of Queensland </w:t>
      </w:r>
      <w:r w:rsidR="00461CBB" w:rsidRPr="00A04489">
        <w:rPr>
          <w:rFonts w:ascii="Times New Roman" w:hAnsi="Times New Roman"/>
        </w:rPr>
        <w:t>and the Chairman and Managing Director of the second plaintiff. He travels to and from Western Australia for purposes associated with the second plaintiff</w:t>
      </w:r>
      <w:r w:rsidR="00A92D12" w:rsidRPr="00A04489">
        <w:rPr>
          <w:rFonts w:ascii="Times New Roman" w:hAnsi="Times New Roman"/>
        </w:rPr>
        <w:t xml:space="preserve"> and for other purposes</w:t>
      </w:r>
      <w:r w:rsidR="002D0736" w:rsidRPr="00A04489">
        <w:rPr>
          <w:rFonts w:ascii="Times New Roman" w:hAnsi="Times New Roman"/>
        </w:rPr>
        <w:t>,</w:t>
      </w:r>
      <w:r w:rsidR="00A92D12" w:rsidRPr="00A04489">
        <w:rPr>
          <w:rFonts w:ascii="Times New Roman" w:hAnsi="Times New Roman"/>
        </w:rPr>
        <w:t xml:space="preserve"> and </w:t>
      </w:r>
      <w:r w:rsidR="001B20DA" w:rsidRPr="00A04489">
        <w:rPr>
          <w:rFonts w:ascii="Times New Roman" w:hAnsi="Times New Roman"/>
        </w:rPr>
        <w:t>whilst in Perth stays at a residence maintained by the second plaintiff</w:t>
      </w:r>
      <w:r w:rsidR="002561F9" w:rsidRPr="00A04489">
        <w:rPr>
          <w:rFonts w:ascii="Times New Roman" w:hAnsi="Times New Roman"/>
        </w:rPr>
        <w:t>. He has not</w:t>
      </w:r>
      <w:r w:rsidR="00CD029B" w:rsidRPr="00A04489">
        <w:rPr>
          <w:rFonts w:ascii="Times New Roman" w:hAnsi="Times New Roman"/>
        </w:rPr>
        <w:t>,</w:t>
      </w:r>
      <w:r w:rsidR="002561F9" w:rsidRPr="00A04489">
        <w:rPr>
          <w:rFonts w:ascii="Times New Roman" w:hAnsi="Times New Roman"/>
        </w:rPr>
        <w:t xml:space="preserve"> to his knowledge</w:t>
      </w:r>
      <w:r w:rsidR="00CD029B" w:rsidRPr="00A04489">
        <w:rPr>
          <w:rFonts w:ascii="Times New Roman" w:hAnsi="Times New Roman"/>
        </w:rPr>
        <w:t>,</w:t>
      </w:r>
      <w:r w:rsidR="002561F9" w:rsidRPr="00A04489">
        <w:rPr>
          <w:rFonts w:ascii="Times New Roman" w:hAnsi="Times New Roman"/>
        </w:rPr>
        <w:t xml:space="preserve"> suffered any symptoms of COVID-19. His application to enter Western Australia </w:t>
      </w:r>
      <w:r w:rsidR="000B13AF" w:rsidRPr="00A04489">
        <w:rPr>
          <w:rFonts w:ascii="Times New Roman" w:hAnsi="Times New Roman"/>
        </w:rPr>
        <w:t>a</w:t>
      </w:r>
      <w:r w:rsidR="002561F9" w:rsidRPr="00A04489">
        <w:rPr>
          <w:rFonts w:ascii="Times New Roman" w:hAnsi="Times New Roman"/>
        </w:rPr>
        <w:t>s an "exempt traveller" was refused.</w:t>
      </w:r>
    </w:p>
    <w:p w14:paraId="3E6D8DB2" w14:textId="73FB6FA0" w:rsidR="00A92D12" w:rsidRPr="00A04489" w:rsidRDefault="00A92D12"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The second plaintiff is a company with </w:t>
      </w:r>
      <w:r w:rsidR="00CB0237" w:rsidRPr="00A04489">
        <w:rPr>
          <w:rFonts w:ascii="Times New Roman" w:hAnsi="Times New Roman"/>
        </w:rPr>
        <w:t xml:space="preserve">interests </w:t>
      </w:r>
      <w:r w:rsidR="00B8104E" w:rsidRPr="00A04489">
        <w:rPr>
          <w:rFonts w:ascii="Times New Roman" w:hAnsi="Times New Roman"/>
        </w:rPr>
        <w:t xml:space="preserve">in </w:t>
      </w:r>
      <w:r w:rsidR="00B75F97" w:rsidRPr="00A04489">
        <w:rPr>
          <w:rFonts w:ascii="Times New Roman" w:hAnsi="Times New Roman"/>
        </w:rPr>
        <w:t xml:space="preserve">iron ore projects </w:t>
      </w:r>
      <w:r w:rsidR="00CB0237" w:rsidRPr="00A04489">
        <w:rPr>
          <w:rFonts w:ascii="Times New Roman" w:hAnsi="Times New Roman"/>
        </w:rPr>
        <w:t xml:space="preserve">in Western Australia and is engaged in litigation </w:t>
      </w:r>
      <w:r w:rsidR="00B75F97" w:rsidRPr="00A04489">
        <w:rPr>
          <w:rFonts w:ascii="Times New Roman" w:hAnsi="Times New Roman"/>
        </w:rPr>
        <w:t xml:space="preserve">and arbitration </w:t>
      </w:r>
      <w:r w:rsidR="00AA1FF1" w:rsidRPr="00A04489">
        <w:rPr>
          <w:rFonts w:ascii="Times New Roman" w:hAnsi="Times New Roman"/>
        </w:rPr>
        <w:t>in that State</w:t>
      </w:r>
      <w:r w:rsidR="00CB0237" w:rsidRPr="00A04489">
        <w:rPr>
          <w:rFonts w:ascii="Times New Roman" w:hAnsi="Times New Roman"/>
        </w:rPr>
        <w:t>. It has office</w:t>
      </w:r>
      <w:r w:rsidR="006962D9" w:rsidRPr="00A04489">
        <w:rPr>
          <w:rFonts w:ascii="Times New Roman" w:hAnsi="Times New Roman"/>
        </w:rPr>
        <w:t>s</w:t>
      </w:r>
      <w:r w:rsidR="00CB0237" w:rsidRPr="00A04489">
        <w:rPr>
          <w:rFonts w:ascii="Times New Roman" w:hAnsi="Times New Roman"/>
        </w:rPr>
        <w:t xml:space="preserve"> and personnel in Perth</w:t>
      </w:r>
      <w:r w:rsidR="0046618C" w:rsidRPr="00A04489">
        <w:rPr>
          <w:rFonts w:ascii="Times New Roman" w:hAnsi="Times New Roman"/>
        </w:rPr>
        <w:t>,</w:t>
      </w:r>
      <w:r w:rsidR="00CB0237" w:rsidRPr="00A04489">
        <w:rPr>
          <w:rFonts w:ascii="Times New Roman" w:hAnsi="Times New Roman"/>
        </w:rPr>
        <w:t xml:space="preserve"> where many of its records are held. Other personnel</w:t>
      </w:r>
      <w:r w:rsidR="00361F37" w:rsidRPr="00A04489">
        <w:rPr>
          <w:rFonts w:ascii="Times New Roman" w:hAnsi="Times New Roman"/>
        </w:rPr>
        <w:t>,</w:t>
      </w:r>
      <w:r w:rsidR="00CB0237" w:rsidRPr="00A04489">
        <w:rPr>
          <w:rFonts w:ascii="Times New Roman" w:hAnsi="Times New Roman"/>
        </w:rPr>
        <w:t xml:space="preserve"> </w:t>
      </w:r>
      <w:r w:rsidR="00206B44" w:rsidRPr="00A04489">
        <w:rPr>
          <w:rFonts w:ascii="Times New Roman" w:hAnsi="Times New Roman"/>
        </w:rPr>
        <w:t xml:space="preserve">including professional </w:t>
      </w:r>
      <w:r w:rsidR="00091165" w:rsidRPr="00A04489">
        <w:rPr>
          <w:rFonts w:ascii="Times New Roman" w:hAnsi="Times New Roman"/>
        </w:rPr>
        <w:t xml:space="preserve">advisers who would normally work in </w:t>
      </w:r>
      <w:r w:rsidR="00361F37" w:rsidRPr="00A04489">
        <w:rPr>
          <w:rFonts w:ascii="Times New Roman" w:hAnsi="Times New Roman"/>
        </w:rPr>
        <w:t xml:space="preserve">both </w:t>
      </w:r>
      <w:r w:rsidR="00091165" w:rsidRPr="00A04489">
        <w:rPr>
          <w:rFonts w:ascii="Times New Roman" w:hAnsi="Times New Roman"/>
        </w:rPr>
        <w:t>Brisbane and Perth</w:t>
      </w:r>
      <w:r w:rsidR="00CE5833" w:rsidRPr="00A04489">
        <w:rPr>
          <w:rFonts w:ascii="Times New Roman" w:hAnsi="Times New Roman"/>
        </w:rPr>
        <w:t>,</w:t>
      </w:r>
      <w:r w:rsidR="00091165" w:rsidRPr="00A04489">
        <w:rPr>
          <w:rFonts w:ascii="Times New Roman" w:hAnsi="Times New Roman"/>
        </w:rPr>
        <w:t xml:space="preserve"> are likewise unable to enter Western Australia. It contend</w:t>
      </w:r>
      <w:r w:rsidR="004A53A6" w:rsidRPr="00A04489">
        <w:rPr>
          <w:rFonts w:ascii="Times New Roman" w:hAnsi="Times New Roman"/>
        </w:rPr>
        <w:t>ed</w:t>
      </w:r>
      <w:r w:rsidR="00091165" w:rsidRPr="00A04489">
        <w:rPr>
          <w:rFonts w:ascii="Times New Roman" w:hAnsi="Times New Roman"/>
        </w:rPr>
        <w:t xml:space="preserve"> that its business and other interests are harmed or inhibited.</w:t>
      </w:r>
    </w:p>
    <w:p w14:paraId="38B58BDD" w14:textId="44D91F90" w:rsidR="00924CE8" w:rsidRPr="00A04489" w:rsidRDefault="005D7F79"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In proceedings </w:t>
      </w:r>
      <w:r w:rsidR="00361F37" w:rsidRPr="00A04489">
        <w:rPr>
          <w:rFonts w:ascii="Times New Roman" w:hAnsi="Times New Roman"/>
        </w:rPr>
        <w:t xml:space="preserve">commenced on 25 May 2020 </w:t>
      </w:r>
      <w:r w:rsidRPr="00A04489">
        <w:rPr>
          <w:rFonts w:ascii="Times New Roman" w:hAnsi="Times New Roman"/>
        </w:rPr>
        <w:t xml:space="preserve">in the original jurisdiction of this Court the plaintiffs claim a declaration that "either </w:t>
      </w:r>
      <w:r w:rsidR="000F4C77" w:rsidRPr="00A04489">
        <w:rPr>
          <w:rFonts w:ascii="Times New Roman" w:hAnsi="Times New Roman"/>
        </w:rPr>
        <w:t>the authorising Act and/or the Directions are invalid, either wholly or in part …</w:t>
      </w:r>
      <w:r w:rsidR="00924CE8" w:rsidRPr="00A04489">
        <w:rPr>
          <w:rFonts w:ascii="Times New Roman" w:hAnsi="Times New Roman"/>
        </w:rPr>
        <w:t xml:space="preserve"> by reason of s 92 of the Constitution". </w:t>
      </w:r>
      <w:r w:rsidR="00590CD7" w:rsidRPr="00A04489">
        <w:rPr>
          <w:rFonts w:ascii="Times New Roman" w:hAnsi="Times New Roman"/>
        </w:rPr>
        <w:t>T</w:t>
      </w:r>
      <w:r w:rsidR="00924CE8" w:rsidRPr="00A04489">
        <w:rPr>
          <w:rFonts w:ascii="Times New Roman" w:hAnsi="Times New Roman"/>
        </w:rPr>
        <w:t xml:space="preserve">he plaintiffs' claims to invalidity </w:t>
      </w:r>
      <w:r w:rsidR="00590CD7" w:rsidRPr="00A04489">
        <w:rPr>
          <w:rFonts w:ascii="Times New Roman" w:hAnsi="Times New Roman"/>
        </w:rPr>
        <w:t xml:space="preserve">and </w:t>
      </w:r>
      <w:r w:rsidR="00924CE8" w:rsidRPr="00A04489">
        <w:rPr>
          <w:rFonts w:ascii="Times New Roman" w:hAnsi="Times New Roman"/>
        </w:rPr>
        <w:t>the particulars provided of them refer to the Directions and their effects.</w:t>
      </w:r>
    </w:p>
    <w:p w14:paraId="448A06BC" w14:textId="73584B6B" w:rsidR="002356AC" w:rsidRPr="00A04489" w:rsidRDefault="002356AC" w:rsidP="00A04489">
      <w:pPr>
        <w:pStyle w:val="FixListStyle"/>
        <w:spacing w:after="260" w:line="280" w:lineRule="exact"/>
        <w:ind w:right="0"/>
        <w:jc w:val="both"/>
        <w:rPr>
          <w:rFonts w:ascii="Times New Roman" w:hAnsi="Times New Roman"/>
        </w:rPr>
      </w:pPr>
      <w:r w:rsidRPr="00A04489">
        <w:rPr>
          <w:rFonts w:ascii="Times New Roman" w:hAnsi="Times New Roman"/>
        </w:rPr>
        <w:tab/>
      </w:r>
      <w:r w:rsidR="00D17C5C" w:rsidRPr="00A04489">
        <w:rPr>
          <w:rFonts w:ascii="Times New Roman" w:hAnsi="Times New Roman"/>
        </w:rPr>
        <w:t xml:space="preserve">The plaintiffs claim that the Directions impose an effective burden on the </w:t>
      </w:r>
      <w:r w:rsidR="00074934" w:rsidRPr="00A04489">
        <w:rPr>
          <w:rFonts w:ascii="Times New Roman" w:hAnsi="Times New Roman"/>
        </w:rPr>
        <w:t xml:space="preserve">freedom of intercourse among the Australian people in the several </w:t>
      </w:r>
      <w:r w:rsidR="00594EB1" w:rsidRPr="00A04489">
        <w:rPr>
          <w:rFonts w:ascii="Times New Roman" w:hAnsi="Times New Roman"/>
        </w:rPr>
        <w:t xml:space="preserve">States </w:t>
      </w:r>
      <w:r w:rsidR="00033CCE" w:rsidRPr="00A04489">
        <w:rPr>
          <w:rFonts w:ascii="Times New Roman" w:hAnsi="Times New Roman"/>
        </w:rPr>
        <w:t xml:space="preserve">by prohibiting cross-border movement of persons, </w:t>
      </w:r>
      <w:r w:rsidR="00366570" w:rsidRPr="00A04489">
        <w:rPr>
          <w:rFonts w:ascii="Times New Roman" w:hAnsi="Times New Roman"/>
        </w:rPr>
        <w:t xml:space="preserve">backed </w:t>
      </w:r>
      <w:r w:rsidR="00D366B7" w:rsidRPr="00A04489">
        <w:rPr>
          <w:rFonts w:ascii="Times New Roman" w:hAnsi="Times New Roman"/>
        </w:rPr>
        <w:t xml:space="preserve">by a </w:t>
      </w:r>
      <w:r w:rsidR="00B720CB" w:rsidRPr="00A04489">
        <w:rPr>
          <w:rFonts w:ascii="Times New Roman" w:hAnsi="Times New Roman"/>
        </w:rPr>
        <w:t>criminal sanction</w:t>
      </w:r>
      <w:r w:rsidR="00164FC8" w:rsidRPr="00A04489">
        <w:rPr>
          <w:rFonts w:ascii="Times New Roman" w:hAnsi="Times New Roman"/>
        </w:rPr>
        <w:t>. Alternatively</w:t>
      </w:r>
      <w:r w:rsidR="00A97731" w:rsidRPr="00A04489">
        <w:rPr>
          <w:rFonts w:ascii="Times New Roman" w:hAnsi="Times New Roman"/>
        </w:rPr>
        <w:t>,</w:t>
      </w:r>
      <w:r w:rsidR="00164FC8" w:rsidRPr="00A04489">
        <w:rPr>
          <w:rFonts w:ascii="Times New Roman" w:hAnsi="Times New Roman"/>
        </w:rPr>
        <w:t xml:space="preserve"> they allege that the freedom </w:t>
      </w:r>
      <w:r w:rsidR="007D342F" w:rsidRPr="00A04489">
        <w:rPr>
          <w:rFonts w:ascii="Times New Roman" w:hAnsi="Times New Roman"/>
        </w:rPr>
        <w:t>of trade</w:t>
      </w:r>
      <w:r w:rsidR="00E80DAD" w:rsidRPr="00A04489">
        <w:rPr>
          <w:rFonts w:ascii="Times New Roman" w:hAnsi="Times New Roman"/>
        </w:rPr>
        <w:t xml:space="preserve"> and commerce guaranteed by s 92 is contravened because the Direction</w:t>
      </w:r>
      <w:r w:rsidR="006678F3" w:rsidRPr="00A04489">
        <w:rPr>
          <w:rFonts w:ascii="Times New Roman" w:hAnsi="Times New Roman"/>
        </w:rPr>
        <w:t>s</w:t>
      </w:r>
      <w:r w:rsidR="00E80DAD" w:rsidRPr="00A04489">
        <w:rPr>
          <w:rFonts w:ascii="Times New Roman" w:hAnsi="Times New Roman"/>
        </w:rPr>
        <w:t xml:space="preserve"> impose an effective discri</w:t>
      </w:r>
      <w:r w:rsidR="006678F3" w:rsidRPr="00A04489">
        <w:rPr>
          <w:rFonts w:ascii="Times New Roman" w:hAnsi="Times New Roman"/>
        </w:rPr>
        <w:t>m</w:t>
      </w:r>
      <w:r w:rsidR="00E80DAD" w:rsidRPr="00A04489">
        <w:rPr>
          <w:rFonts w:ascii="Times New Roman" w:hAnsi="Times New Roman"/>
        </w:rPr>
        <w:t>inatory burden with protectionist effect</w:t>
      </w:r>
      <w:r w:rsidR="006678F3" w:rsidRPr="00A04489">
        <w:rPr>
          <w:rFonts w:ascii="Times New Roman" w:hAnsi="Times New Roman"/>
        </w:rPr>
        <w:t>.</w:t>
      </w:r>
    </w:p>
    <w:p w14:paraId="182DE4BF" w14:textId="1D524F58" w:rsidR="006678F3" w:rsidRPr="00A04489" w:rsidRDefault="006678F3" w:rsidP="00A04489">
      <w:pPr>
        <w:pStyle w:val="FixListStyle"/>
        <w:spacing w:after="260" w:line="280" w:lineRule="exact"/>
        <w:ind w:right="0"/>
        <w:jc w:val="both"/>
        <w:rPr>
          <w:rFonts w:ascii="Times New Roman" w:hAnsi="Times New Roman"/>
        </w:rPr>
      </w:pPr>
      <w:r w:rsidRPr="00A04489">
        <w:rPr>
          <w:rFonts w:ascii="Times New Roman" w:hAnsi="Times New Roman"/>
        </w:rPr>
        <w:tab/>
        <w:t>The defendants, the State of Western Australia</w:t>
      </w:r>
      <w:r w:rsidR="00B068F1" w:rsidRPr="00A04489">
        <w:rPr>
          <w:rFonts w:ascii="Times New Roman" w:hAnsi="Times New Roman"/>
        </w:rPr>
        <w:t xml:space="preserve"> and the Commissioner of Police</w:t>
      </w:r>
      <w:r w:rsidR="00777CFB" w:rsidRPr="00A04489">
        <w:rPr>
          <w:rFonts w:ascii="Times New Roman" w:hAnsi="Times New Roman"/>
        </w:rPr>
        <w:t xml:space="preserve"> for Western Australia</w:t>
      </w:r>
      <w:r w:rsidR="00CE5833" w:rsidRPr="00A04489">
        <w:rPr>
          <w:rFonts w:ascii="Times New Roman" w:hAnsi="Times New Roman"/>
        </w:rPr>
        <w:t>,</w:t>
      </w:r>
      <w:r w:rsidR="00B068F1" w:rsidRPr="00A04489">
        <w:rPr>
          <w:rFonts w:ascii="Times New Roman" w:hAnsi="Times New Roman"/>
        </w:rPr>
        <w:t xml:space="preserve"> deny the plaintiffs' allegations. In their defence </w:t>
      </w:r>
      <w:r w:rsidR="00385C8E" w:rsidRPr="00A04489">
        <w:rPr>
          <w:rFonts w:ascii="Times New Roman" w:hAnsi="Times New Roman"/>
        </w:rPr>
        <w:t xml:space="preserve">they plead that s 67 </w:t>
      </w:r>
      <w:r w:rsidR="004430C0" w:rsidRPr="00A04489">
        <w:rPr>
          <w:rFonts w:ascii="Times New Roman" w:hAnsi="Times New Roman"/>
        </w:rPr>
        <w:t xml:space="preserve">and other </w:t>
      </w:r>
      <w:r w:rsidR="00385C8E" w:rsidRPr="00A04489">
        <w:rPr>
          <w:rFonts w:ascii="Times New Roman" w:hAnsi="Times New Roman"/>
        </w:rPr>
        <w:t xml:space="preserve">provisions </w:t>
      </w:r>
      <w:r w:rsidR="004430C0" w:rsidRPr="00A04489">
        <w:rPr>
          <w:rFonts w:ascii="Times New Roman" w:hAnsi="Times New Roman"/>
        </w:rPr>
        <w:t>of the EM Act</w:t>
      </w:r>
      <w:r w:rsidR="00C918DF" w:rsidRPr="00A04489">
        <w:rPr>
          <w:rFonts w:ascii="Times New Roman" w:hAnsi="Times New Roman"/>
        </w:rPr>
        <w:t xml:space="preserve"> do not have the purpose of economically protecting the State of Western Australia</w:t>
      </w:r>
      <w:r w:rsidR="004430C0" w:rsidRPr="00A04489">
        <w:rPr>
          <w:rFonts w:ascii="Times New Roman" w:hAnsi="Times New Roman"/>
        </w:rPr>
        <w:t xml:space="preserve">, rather they have the </w:t>
      </w:r>
      <w:r w:rsidR="004B7DB0" w:rsidRPr="00A04489">
        <w:rPr>
          <w:rFonts w:ascii="Times New Roman" w:hAnsi="Times New Roman"/>
        </w:rPr>
        <w:t xml:space="preserve">legitimate purpose of protecting </w:t>
      </w:r>
      <w:r w:rsidR="00F463D0" w:rsidRPr="00A04489">
        <w:rPr>
          <w:rFonts w:ascii="Times New Roman" w:hAnsi="Times New Roman"/>
        </w:rPr>
        <w:t xml:space="preserve">the population of Western Australia against risks arising from emergency situations. The continuation in force of the Directions, pursuant </w:t>
      </w:r>
      <w:r w:rsidR="00E94711" w:rsidRPr="00A04489">
        <w:rPr>
          <w:rFonts w:ascii="Times New Roman" w:hAnsi="Times New Roman"/>
        </w:rPr>
        <w:t>to the EM Act, does not have a protectionist purpose and is reasonably necessary to achieve</w:t>
      </w:r>
      <w:r w:rsidR="00847C42" w:rsidRPr="00A04489">
        <w:rPr>
          <w:rFonts w:ascii="Times New Roman" w:hAnsi="Times New Roman"/>
        </w:rPr>
        <w:t>,</w:t>
      </w:r>
      <w:r w:rsidR="00E94711" w:rsidRPr="00A04489">
        <w:rPr>
          <w:rFonts w:ascii="Times New Roman" w:hAnsi="Times New Roman"/>
        </w:rPr>
        <w:t xml:space="preserve"> and is compatible with</w:t>
      </w:r>
      <w:r w:rsidR="00847C42" w:rsidRPr="00A04489">
        <w:rPr>
          <w:rFonts w:ascii="Times New Roman" w:hAnsi="Times New Roman"/>
        </w:rPr>
        <w:t>,</w:t>
      </w:r>
      <w:r w:rsidR="00E94711" w:rsidRPr="00A04489">
        <w:rPr>
          <w:rFonts w:ascii="Times New Roman" w:hAnsi="Times New Roman"/>
        </w:rPr>
        <w:t xml:space="preserve"> </w:t>
      </w:r>
      <w:r w:rsidR="009E2F12" w:rsidRPr="00A04489">
        <w:rPr>
          <w:rFonts w:ascii="Times New Roman" w:hAnsi="Times New Roman"/>
        </w:rPr>
        <w:t>the</w:t>
      </w:r>
      <w:r w:rsidR="006F4DA9" w:rsidRPr="00A04489">
        <w:rPr>
          <w:rFonts w:ascii="Times New Roman" w:hAnsi="Times New Roman"/>
        </w:rPr>
        <w:t xml:space="preserve"> legitimate</w:t>
      </w:r>
      <w:r w:rsidR="009E2F12" w:rsidRPr="00A04489">
        <w:rPr>
          <w:rFonts w:ascii="Times New Roman" w:hAnsi="Times New Roman"/>
        </w:rPr>
        <w:t xml:space="preserve"> purpose of protecting the Western Australian population against the health risks of COVID-19 where there are no other equally </w:t>
      </w:r>
      <w:r w:rsidR="000D10FD" w:rsidRPr="00A04489">
        <w:rPr>
          <w:rFonts w:ascii="Times New Roman" w:hAnsi="Times New Roman"/>
        </w:rPr>
        <w:t>effective means available to achieve that purpose which would impose a lesser burden on interstate trade or commer</w:t>
      </w:r>
      <w:r w:rsidR="00E86900" w:rsidRPr="00A04489">
        <w:rPr>
          <w:rFonts w:ascii="Times New Roman" w:hAnsi="Times New Roman"/>
        </w:rPr>
        <w:t>ce. Likewise</w:t>
      </w:r>
      <w:r w:rsidR="00E92F51" w:rsidRPr="00A04489">
        <w:rPr>
          <w:rFonts w:ascii="Times New Roman" w:hAnsi="Times New Roman"/>
        </w:rPr>
        <w:t>,</w:t>
      </w:r>
      <w:r w:rsidR="00E86900" w:rsidRPr="00A04489">
        <w:rPr>
          <w:rFonts w:ascii="Times New Roman" w:hAnsi="Times New Roman"/>
        </w:rPr>
        <w:t xml:space="preserve"> it is pleaded that intercourse among the States, whether by movement or communication, is prevented only to the exten</w:t>
      </w:r>
      <w:r w:rsidR="00DD5A02" w:rsidRPr="00A04489">
        <w:rPr>
          <w:rFonts w:ascii="Times New Roman" w:hAnsi="Times New Roman"/>
        </w:rPr>
        <w:t>t</w:t>
      </w:r>
      <w:r w:rsidR="00E86900" w:rsidRPr="00A04489">
        <w:rPr>
          <w:rFonts w:ascii="Times New Roman" w:hAnsi="Times New Roman"/>
        </w:rPr>
        <w:t xml:space="preserve"> that is reasonably necessary and that there are no </w:t>
      </w:r>
      <w:r w:rsidR="00F45C74" w:rsidRPr="00A04489">
        <w:rPr>
          <w:rFonts w:ascii="Times New Roman" w:hAnsi="Times New Roman"/>
        </w:rPr>
        <w:t>other</w:t>
      </w:r>
      <w:r w:rsidR="00E85396" w:rsidRPr="00A04489">
        <w:rPr>
          <w:rFonts w:ascii="Times New Roman" w:hAnsi="Times New Roman"/>
        </w:rPr>
        <w:t>, equally effective means which impose a lesser burden on that intercourse</w:t>
      </w:r>
      <w:r w:rsidR="00990D3A" w:rsidRPr="00A04489">
        <w:rPr>
          <w:rFonts w:ascii="Times New Roman" w:hAnsi="Times New Roman"/>
        </w:rPr>
        <w:t>.</w:t>
      </w:r>
    </w:p>
    <w:p w14:paraId="47A68366" w14:textId="0C147010" w:rsidR="009E74D4" w:rsidRPr="00A04489" w:rsidRDefault="00990D3A" w:rsidP="00A04489">
      <w:pPr>
        <w:pStyle w:val="FixListStyle"/>
        <w:spacing w:after="260" w:line="280" w:lineRule="exact"/>
        <w:ind w:right="0"/>
        <w:jc w:val="both"/>
        <w:rPr>
          <w:rFonts w:ascii="Times New Roman" w:hAnsi="Times New Roman"/>
        </w:rPr>
      </w:pPr>
      <w:r w:rsidRPr="00A04489">
        <w:rPr>
          <w:rFonts w:ascii="Times New Roman" w:hAnsi="Times New Roman"/>
        </w:rPr>
        <w:tab/>
      </w:r>
      <w:r w:rsidR="002C02B0" w:rsidRPr="00A04489">
        <w:rPr>
          <w:rFonts w:ascii="Times New Roman" w:hAnsi="Times New Roman"/>
        </w:rPr>
        <w:t xml:space="preserve">No </w:t>
      </w:r>
      <w:r w:rsidRPr="00A04489">
        <w:rPr>
          <w:rFonts w:ascii="Times New Roman" w:hAnsi="Times New Roman"/>
        </w:rPr>
        <w:t xml:space="preserve">agreement </w:t>
      </w:r>
      <w:r w:rsidR="002C02B0" w:rsidRPr="00A04489">
        <w:rPr>
          <w:rFonts w:ascii="Times New Roman" w:hAnsi="Times New Roman"/>
        </w:rPr>
        <w:t xml:space="preserve">could be reached </w:t>
      </w:r>
      <w:r w:rsidRPr="00A04489">
        <w:rPr>
          <w:rFonts w:ascii="Times New Roman" w:hAnsi="Times New Roman"/>
        </w:rPr>
        <w:t xml:space="preserve">between the parties as to the facts necessary to determine the defendants' claim of the reasonable need for and efficacy of the measures contained in the Directions, which would </w:t>
      </w:r>
      <w:r w:rsidR="005B0528" w:rsidRPr="00A04489">
        <w:rPr>
          <w:rFonts w:ascii="Times New Roman" w:hAnsi="Times New Roman"/>
        </w:rPr>
        <w:t xml:space="preserve">have enabled an </w:t>
      </w:r>
      <w:r w:rsidR="002C02B0" w:rsidRPr="00A04489">
        <w:rPr>
          <w:rFonts w:ascii="Times New Roman" w:hAnsi="Times New Roman"/>
        </w:rPr>
        <w:t>earlier</w:t>
      </w:r>
      <w:r w:rsidR="005B0528" w:rsidRPr="00A04489">
        <w:rPr>
          <w:rFonts w:ascii="Times New Roman" w:hAnsi="Times New Roman"/>
        </w:rPr>
        <w:t xml:space="preserve"> hearing of the matter</w:t>
      </w:r>
      <w:r w:rsidR="00DD5A02" w:rsidRPr="00A04489">
        <w:rPr>
          <w:rFonts w:ascii="Times New Roman" w:hAnsi="Times New Roman"/>
        </w:rPr>
        <w:t xml:space="preserve"> by this Court</w:t>
      </w:r>
      <w:r w:rsidR="002C02B0" w:rsidRPr="00A04489">
        <w:rPr>
          <w:rFonts w:ascii="Times New Roman" w:hAnsi="Times New Roman"/>
        </w:rPr>
        <w:t>. B</w:t>
      </w:r>
      <w:r w:rsidR="00234545" w:rsidRPr="00A04489">
        <w:rPr>
          <w:rFonts w:ascii="Times New Roman" w:hAnsi="Times New Roman"/>
        </w:rPr>
        <w:t xml:space="preserve">y order made </w:t>
      </w:r>
      <w:r w:rsidR="001B2211" w:rsidRPr="00A04489">
        <w:rPr>
          <w:rFonts w:ascii="Times New Roman" w:hAnsi="Times New Roman"/>
        </w:rPr>
        <w:t>on 1</w:t>
      </w:r>
      <w:r w:rsidR="009A22E4" w:rsidRPr="00A04489">
        <w:rPr>
          <w:rFonts w:ascii="Times New Roman" w:hAnsi="Times New Roman"/>
        </w:rPr>
        <w:t>6</w:t>
      </w:r>
      <w:r w:rsidR="001B2211" w:rsidRPr="00A04489">
        <w:rPr>
          <w:rFonts w:ascii="Times New Roman" w:hAnsi="Times New Roman"/>
        </w:rPr>
        <w:t> June 2020</w:t>
      </w:r>
      <w:r w:rsidR="00B33CE4" w:rsidRPr="00A04489">
        <w:rPr>
          <w:rFonts w:ascii="Times New Roman" w:hAnsi="Times New Roman"/>
        </w:rPr>
        <w:t>,</w:t>
      </w:r>
      <w:r w:rsidR="005B0528" w:rsidRPr="00A04489">
        <w:rPr>
          <w:rFonts w:ascii="Times New Roman" w:hAnsi="Times New Roman"/>
        </w:rPr>
        <w:t xml:space="preserve"> that issue was remitted </w:t>
      </w:r>
      <w:r w:rsidR="00437784" w:rsidRPr="00A04489">
        <w:rPr>
          <w:rFonts w:ascii="Times New Roman" w:hAnsi="Times New Roman"/>
        </w:rPr>
        <w:t xml:space="preserve">to the Federal Court of Australia for hearing and determination pursuant to s 44 of the </w:t>
      </w:r>
      <w:r w:rsidR="00437784" w:rsidRPr="00A04489">
        <w:rPr>
          <w:rFonts w:ascii="Times New Roman" w:hAnsi="Times New Roman"/>
          <w:i/>
        </w:rPr>
        <w:t>Judiciary Act 1903</w:t>
      </w:r>
      <w:r w:rsidR="00437784" w:rsidRPr="00A04489">
        <w:rPr>
          <w:rFonts w:ascii="Times New Roman" w:hAnsi="Times New Roman"/>
        </w:rPr>
        <w:t xml:space="preserve"> (Cth)</w:t>
      </w:r>
      <w:r w:rsidR="008E1476" w:rsidRPr="00A04489">
        <w:rPr>
          <w:rFonts w:ascii="Times New Roman" w:hAnsi="Times New Roman"/>
        </w:rPr>
        <w:t xml:space="preserve">. </w:t>
      </w:r>
      <w:r w:rsidR="00C95046" w:rsidRPr="00A04489">
        <w:rPr>
          <w:rFonts w:ascii="Times New Roman" w:hAnsi="Times New Roman"/>
        </w:rPr>
        <w:t>On 25 August 2020</w:t>
      </w:r>
      <w:r w:rsidR="007F27E5" w:rsidRPr="00A04489">
        <w:rPr>
          <w:rFonts w:ascii="Times New Roman" w:hAnsi="Times New Roman"/>
        </w:rPr>
        <w:t xml:space="preserve"> </w:t>
      </w:r>
      <w:r w:rsidR="008E1476" w:rsidRPr="00A04489">
        <w:rPr>
          <w:rFonts w:ascii="Times New Roman" w:hAnsi="Times New Roman"/>
        </w:rPr>
        <w:t>Rangiah</w:t>
      </w:r>
      <w:r w:rsidR="00C41C71" w:rsidRPr="00A04489">
        <w:rPr>
          <w:rFonts w:ascii="Times New Roman" w:hAnsi="Times New Roman"/>
        </w:rPr>
        <w:t xml:space="preserve"> J </w:t>
      </w:r>
      <w:r w:rsidR="008E1476" w:rsidRPr="00A04489">
        <w:rPr>
          <w:rFonts w:ascii="Times New Roman" w:hAnsi="Times New Roman"/>
        </w:rPr>
        <w:t>of that Court made findings</w:t>
      </w:r>
      <w:r w:rsidR="007F27E5" w:rsidRPr="00A04489">
        <w:rPr>
          <w:rFonts w:ascii="Times New Roman" w:hAnsi="Times New Roman"/>
        </w:rPr>
        <w:t xml:space="preserve"> of fact</w:t>
      </w:r>
      <w:r w:rsidR="001B2211" w:rsidRPr="00A04489">
        <w:rPr>
          <w:rFonts w:ascii="Times New Roman" w:hAnsi="Times New Roman"/>
        </w:rPr>
        <w:t xml:space="preserve">. </w:t>
      </w:r>
    </w:p>
    <w:p w14:paraId="37EB65E3" w14:textId="5B39F831" w:rsidR="00283789" w:rsidRPr="00A04489" w:rsidRDefault="00283789" w:rsidP="00A04489">
      <w:pPr>
        <w:pStyle w:val="HeadingL1"/>
        <w:spacing w:after="260" w:line="280" w:lineRule="exact"/>
        <w:ind w:right="0"/>
        <w:jc w:val="both"/>
        <w:rPr>
          <w:rFonts w:ascii="Times New Roman" w:hAnsi="Times New Roman"/>
        </w:rPr>
      </w:pPr>
      <w:r w:rsidRPr="00A04489">
        <w:rPr>
          <w:rFonts w:ascii="Times New Roman" w:hAnsi="Times New Roman"/>
        </w:rPr>
        <w:t>The findings</w:t>
      </w:r>
      <w:r w:rsidR="00B7473A" w:rsidRPr="00A04489">
        <w:rPr>
          <w:rFonts w:ascii="Times New Roman" w:hAnsi="Times New Roman"/>
        </w:rPr>
        <w:t xml:space="preserve"> on remitter</w:t>
      </w:r>
    </w:p>
    <w:p w14:paraId="5CB08D21" w14:textId="071BC6D2" w:rsidR="00283789" w:rsidRPr="00A04489" w:rsidRDefault="00283789" w:rsidP="00A04489">
      <w:pPr>
        <w:pStyle w:val="FixListStyle"/>
        <w:spacing w:after="260" w:line="280" w:lineRule="exact"/>
        <w:ind w:right="0"/>
        <w:jc w:val="both"/>
        <w:rPr>
          <w:rFonts w:ascii="Times New Roman" w:hAnsi="Times New Roman"/>
        </w:rPr>
      </w:pPr>
      <w:r w:rsidRPr="00A04489">
        <w:rPr>
          <w:rFonts w:ascii="Times New Roman" w:hAnsi="Times New Roman"/>
        </w:rPr>
        <w:tab/>
        <w:t>After hearing evidence from a number of witnesses, including the Chief Health Officer for Western Australia and experts in public health medicine, epidemiology, and infectious diseases, Rangiah</w:t>
      </w:r>
      <w:r w:rsidR="002A27D8" w:rsidRPr="00A04489">
        <w:rPr>
          <w:rFonts w:ascii="Times New Roman" w:hAnsi="Times New Roman"/>
        </w:rPr>
        <w:t> J</w:t>
      </w:r>
      <w:r w:rsidRPr="00A04489">
        <w:rPr>
          <w:rFonts w:ascii="Times New Roman" w:hAnsi="Times New Roman"/>
        </w:rPr>
        <w:t xml:space="preserve"> found </w:t>
      </w:r>
      <w:r w:rsidR="007F27E5" w:rsidRPr="00A04489">
        <w:rPr>
          <w:rFonts w:ascii="Times New Roman" w:hAnsi="Times New Roman"/>
        </w:rPr>
        <w:t>that certain</w:t>
      </w:r>
      <w:r w:rsidRPr="00A04489">
        <w:rPr>
          <w:rFonts w:ascii="Times New Roman" w:hAnsi="Times New Roman"/>
        </w:rPr>
        <w:t xml:space="preserve"> facts relating to COVID</w:t>
      </w:r>
      <w:r w:rsidRPr="00A04489">
        <w:rPr>
          <w:rFonts w:ascii="Times New Roman" w:hAnsi="Times New Roman"/>
        </w:rPr>
        <w:noBreakHyphen/>
        <w:t>19</w:t>
      </w:r>
      <w:r w:rsidR="0047589A" w:rsidRPr="00A04489">
        <w:rPr>
          <w:rFonts w:ascii="Times New Roman" w:hAnsi="Times New Roman"/>
        </w:rPr>
        <w:t xml:space="preserve"> and SARS-CoV-2</w:t>
      </w:r>
      <w:r w:rsidRPr="00A04489">
        <w:rPr>
          <w:rFonts w:ascii="Times New Roman" w:hAnsi="Times New Roman"/>
        </w:rPr>
        <w:t>, which had been pleaded by the defendants as particulars of the justification for the Directions</w:t>
      </w:r>
      <w:r w:rsidR="007C528F" w:rsidRPr="00A04489">
        <w:rPr>
          <w:rFonts w:ascii="Times New Roman" w:hAnsi="Times New Roman"/>
        </w:rPr>
        <w:t>,</w:t>
      </w:r>
      <w:r w:rsidRPr="00A04489">
        <w:rPr>
          <w:rFonts w:ascii="Times New Roman" w:hAnsi="Times New Roman"/>
        </w:rPr>
        <w:t xml:space="preserve"> ha</w:t>
      </w:r>
      <w:r w:rsidR="008B6F86" w:rsidRPr="00A04489">
        <w:rPr>
          <w:rFonts w:ascii="Times New Roman" w:hAnsi="Times New Roman"/>
        </w:rPr>
        <w:t>d</w:t>
      </w:r>
      <w:r w:rsidRPr="00A04489">
        <w:rPr>
          <w:rFonts w:ascii="Times New Roman" w:hAnsi="Times New Roman"/>
        </w:rPr>
        <w:t xml:space="preserve"> been proved</w:t>
      </w:r>
      <w:r w:rsidRPr="00A04489">
        <w:rPr>
          <w:rStyle w:val="FootnoteReference"/>
          <w:rFonts w:ascii="Times New Roman" w:hAnsi="Times New Roman"/>
          <w:sz w:val="24"/>
        </w:rPr>
        <w:footnoteReference w:id="9"/>
      </w:r>
      <w:r w:rsidRPr="00A04489">
        <w:rPr>
          <w:rFonts w:ascii="Times New Roman" w:hAnsi="Times New Roman"/>
        </w:rPr>
        <w:t>.</w:t>
      </w:r>
    </w:p>
    <w:p w14:paraId="7C2318C1" w14:textId="79BAA607" w:rsidR="00283789" w:rsidRPr="00A04489" w:rsidRDefault="00283789" w:rsidP="00A04489">
      <w:pPr>
        <w:pStyle w:val="FixListStyle"/>
        <w:spacing w:after="260" w:line="280" w:lineRule="exact"/>
        <w:ind w:right="0"/>
        <w:jc w:val="both"/>
        <w:rPr>
          <w:rFonts w:ascii="Times New Roman" w:hAnsi="Times New Roman"/>
        </w:rPr>
      </w:pPr>
      <w:r w:rsidRPr="00A04489">
        <w:rPr>
          <w:rFonts w:ascii="Times New Roman" w:hAnsi="Times New Roman"/>
        </w:rPr>
        <w:tab/>
        <w:t>The facts so found included the following. COVID</w:t>
      </w:r>
      <w:r w:rsidRPr="00A04489">
        <w:rPr>
          <w:rFonts w:ascii="Times New Roman" w:hAnsi="Times New Roman"/>
        </w:rPr>
        <w:noBreakHyphen/>
        <w:t>19 is</w:t>
      </w:r>
      <w:r w:rsidR="00483CEB" w:rsidRPr="00A04489">
        <w:rPr>
          <w:rFonts w:ascii="Times New Roman" w:hAnsi="Times New Roman"/>
        </w:rPr>
        <w:t xml:space="preserve"> a disease</w:t>
      </w:r>
      <w:r w:rsidRPr="00A04489">
        <w:rPr>
          <w:rFonts w:ascii="Times New Roman" w:hAnsi="Times New Roman"/>
        </w:rPr>
        <w:t xml:space="preserve"> caused by the coronavirus SAR</w:t>
      </w:r>
      <w:r w:rsidR="007C528F" w:rsidRPr="00A04489">
        <w:rPr>
          <w:rFonts w:ascii="Times New Roman" w:hAnsi="Times New Roman"/>
        </w:rPr>
        <w:t>S</w:t>
      </w:r>
      <w:r w:rsidRPr="00A04489">
        <w:rPr>
          <w:rFonts w:ascii="Times New Roman" w:hAnsi="Times New Roman"/>
        </w:rPr>
        <w:noBreakHyphen/>
        <w:t>Co</w:t>
      </w:r>
      <w:r w:rsidR="002A27D8" w:rsidRPr="00A04489">
        <w:rPr>
          <w:rFonts w:ascii="Times New Roman" w:hAnsi="Times New Roman"/>
        </w:rPr>
        <w:t>V</w:t>
      </w:r>
      <w:r w:rsidRPr="00A04489">
        <w:rPr>
          <w:rFonts w:ascii="Times New Roman" w:hAnsi="Times New Roman"/>
        </w:rPr>
        <w:noBreakHyphen/>
        <w:t xml:space="preserve">2. Clinical and epidemiological knowledge </w:t>
      </w:r>
      <w:r w:rsidR="00AE2A62" w:rsidRPr="00A04489">
        <w:rPr>
          <w:rFonts w:ascii="Times New Roman" w:hAnsi="Times New Roman"/>
        </w:rPr>
        <w:t>about them</w:t>
      </w:r>
      <w:r w:rsidRPr="00A04489">
        <w:rPr>
          <w:rFonts w:ascii="Times New Roman" w:hAnsi="Times New Roman"/>
        </w:rPr>
        <w:t xml:space="preserve"> is relatively uncertain, </w:t>
      </w:r>
      <w:r w:rsidR="00893E02" w:rsidRPr="00A04489">
        <w:rPr>
          <w:rFonts w:ascii="Times New Roman" w:hAnsi="Times New Roman"/>
        </w:rPr>
        <w:t>their</w:t>
      </w:r>
      <w:r w:rsidRPr="00A04489">
        <w:rPr>
          <w:rFonts w:ascii="Times New Roman" w:hAnsi="Times New Roman"/>
        </w:rPr>
        <w:t xml:space="preserve"> being a new pathogen and disease. </w:t>
      </w:r>
      <w:r w:rsidR="009E52D1" w:rsidRPr="00A04489">
        <w:rPr>
          <w:rFonts w:ascii="Times New Roman" w:hAnsi="Times New Roman"/>
        </w:rPr>
        <w:t>SARS-CoV-2</w:t>
      </w:r>
      <w:r w:rsidRPr="00A04489">
        <w:rPr>
          <w:rFonts w:ascii="Times New Roman" w:hAnsi="Times New Roman"/>
        </w:rPr>
        <w:t xml:space="preserve"> may be transmitted by a person who is asymptomatic and unaware that they have the disease. Where </w:t>
      </w:r>
      <w:r w:rsidR="004A073D" w:rsidRPr="00A04489">
        <w:rPr>
          <w:rFonts w:ascii="Times New Roman" w:hAnsi="Times New Roman"/>
        </w:rPr>
        <w:t>there is community transmission of SARS-CoV-2</w:t>
      </w:r>
      <w:r w:rsidRPr="00A04489">
        <w:rPr>
          <w:rFonts w:ascii="Times New Roman" w:hAnsi="Times New Roman"/>
        </w:rPr>
        <w:t xml:space="preserve"> its natural growth rate is exponential</w:t>
      </w:r>
      <w:r w:rsidR="00DA11F5" w:rsidRPr="00A04489">
        <w:rPr>
          <w:rFonts w:ascii="Times New Roman" w:hAnsi="Times New Roman"/>
        </w:rPr>
        <w:t xml:space="preserve"> and must be minimised through certain measures</w:t>
      </w:r>
      <w:r w:rsidRPr="00A04489">
        <w:rPr>
          <w:rFonts w:ascii="Times New Roman" w:hAnsi="Times New Roman"/>
        </w:rPr>
        <w:t xml:space="preserve">. The risk of community transmission is substantially increased if measures of the kind contained in the Directions are removed. There are no known testing measures which are </w:t>
      </w:r>
      <w:r w:rsidR="00845C1D" w:rsidRPr="00A04489">
        <w:rPr>
          <w:rFonts w:ascii="Times New Roman" w:hAnsi="Times New Roman"/>
        </w:rPr>
        <w:t>themselves</w:t>
      </w:r>
      <w:r w:rsidRPr="00A04489">
        <w:rPr>
          <w:rFonts w:ascii="Times New Roman" w:hAnsi="Times New Roman"/>
        </w:rPr>
        <w:t xml:space="preserve"> sufficient to prevent community transmission.</w:t>
      </w:r>
    </w:p>
    <w:p w14:paraId="6979A849" w14:textId="7F84A6EE" w:rsidR="00283789" w:rsidRPr="00A04489" w:rsidRDefault="00283789" w:rsidP="00A04489">
      <w:pPr>
        <w:pStyle w:val="FixListStyle"/>
        <w:spacing w:after="260" w:line="280" w:lineRule="exact"/>
        <w:ind w:right="0"/>
        <w:jc w:val="both"/>
        <w:rPr>
          <w:rFonts w:ascii="Times New Roman" w:hAnsi="Times New Roman"/>
        </w:rPr>
      </w:pPr>
      <w:r w:rsidRPr="00A04489">
        <w:rPr>
          <w:rFonts w:ascii="Times New Roman" w:hAnsi="Times New Roman"/>
        </w:rPr>
        <w:tab/>
        <w:t>The consequences of community transmission of SARS</w:t>
      </w:r>
      <w:r w:rsidRPr="00A04489">
        <w:rPr>
          <w:rFonts w:ascii="Times New Roman" w:hAnsi="Times New Roman"/>
        </w:rPr>
        <w:noBreakHyphen/>
        <w:t>Co</w:t>
      </w:r>
      <w:r w:rsidR="002A27D8" w:rsidRPr="00A04489">
        <w:rPr>
          <w:rFonts w:ascii="Times New Roman" w:hAnsi="Times New Roman"/>
        </w:rPr>
        <w:t>V</w:t>
      </w:r>
      <w:r w:rsidRPr="00A04489">
        <w:rPr>
          <w:rFonts w:ascii="Times New Roman" w:hAnsi="Times New Roman"/>
        </w:rPr>
        <w:noBreakHyphen/>
        <w:t>2 and the development of COVID</w:t>
      </w:r>
      <w:r w:rsidRPr="00A04489">
        <w:rPr>
          <w:rFonts w:ascii="Times New Roman" w:hAnsi="Times New Roman"/>
        </w:rPr>
        <w:noBreakHyphen/>
        <w:t xml:space="preserve">19 are substantial, including the increased risk of death </w:t>
      </w:r>
      <w:r w:rsidR="00F17EE5" w:rsidRPr="00A04489">
        <w:rPr>
          <w:rFonts w:ascii="Times New Roman" w:hAnsi="Times New Roman"/>
        </w:rPr>
        <w:t xml:space="preserve">– </w:t>
      </w:r>
      <w:r w:rsidR="00B775BA" w:rsidRPr="00A04489">
        <w:rPr>
          <w:rFonts w:ascii="Times New Roman" w:hAnsi="Times New Roman"/>
        </w:rPr>
        <w:t xml:space="preserve">particularly </w:t>
      </w:r>
      <w:r w:rsidRPr="00A04489">
        <w:rPr>
          <w:rFonts w:ascii="Times New Roman" w:hAnsi="Times New Roman"/>
        </w:rPr>
        <w:t>for members of the population who are over 70 years of age, members of the population with pre-existing medical conditions or members of the Aboriginal or Torres Strait Islander population</w:t>
      </w:r>
      <w:r w:rsidR="00F17EE5" w:rsidRPr="00A04489">
        <w:rPr>
          <w:rFonts w:ascii="Times New Roman" w:hAnsi="Times New Roman"/>
        </w:rPr>
        <w:t xml:space="preserve"> </w:t>
      </w:r>
      <w:r w:rsidR="003E4D19" w:rsidRPr="00A04489">
        <w:rPr>
          <w:rFonts w:ascii="Times New Roman" w:hAnsi="Times New Roman"/>
        </w:rPr>
        <w:t>–</w:t>
      </w:r>
      <w:r w:rsidRPr="00A04489">
        <w:rPr>
          <w:rFonts w:ascii="Times New Roman" w:hAnsi="Times New Roman"/>
        </w:rPr>
        <w:t xml:space="preserve"> and the risk that the hospital system in Western Australia will be unable to cope. There is no known vaccine</w:t>
      </w:r>
      <w:r w:rsidR="00367337" w:rsidRPr="00A04489">
        <w:rPr>
          <w:rFonts w:ascii="Times New Roman" w:hAnsi="Times New Roman"/>
        </w:rPr>
        <w:t>, and no</w:t>
      </w:r>
      <w:r w:rsidRPr="00A04489">
        <w:rPr>
          <w:rFonts w:ascii="Times New Roman" w:hAnsi="Times New Roman"/>
        </w:rPr>
        <w:t xml:space="preserve"> treatment presently available to mitigate the risks of severe medical outcomes or mortality for a person who contracts COVID</w:t>
      </w:r>
      <w:r w:rsidRPr="00A04489">
        <w:rPr>
          <w:rFonts w:ascii="Times New Roman" w:hAnsi="Times New Roman"/>
        </w:rPr>
        <w:noBreakHyphen/>
        <w:t>19.</w:t>
      </w:r>
    </w:p>
    <w:p w14:paraId="7B39E23D" w14:textId="2EC3A22A" w:rsidR="00283789" w:rsidRPr="00A04489" w:rsidRDefault="00283789"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At the conclusion of his detailed reasons his Honour summarised the </w:t>
      </w:r>
      <w:r w:rsidR="00432D6F" w:rsidRPr="00A04489">
        <w:rPr>
          <w:rFonts w:ascii="Times New Roman" w:hAnsi="Times New Roman"/>
        </w:rPr>
        <w:t xml:space="preserve">overall </w:t>
      </w:r>
      <w:r w:rsidRPr="00A04489">
        <w:rPr>
          <w:rFonts w:ascii="Times New Roman" w:hAnsi="Times New Roman"/>
        </w:rPr>
        <w:t>findings he had made</w:t>
      </w:r>
      <w:r w:rsidRPr="00A04489">
        <w:rPr>
          <w:rStyle w:val="FootnoteReference"/>
          <w:rFonts w:ascii="Times New Roman" w:hAnsi="Times New Roman"/>
          <w:sz w:val="24"/>
        </w:rPr>
        <w:footnoteReference w:id="10"/>
      </w:r>
      <w:r w:rsidRPr="00A04489">
        <w:rPr>
          <w:rFonts w:ascii="Times New Roman" w:hAnsi="Times New Roman"/>
        </w:rPr>
        <w:t xml:space="preserve">. His Honour </w:t>
      </w:r>
      <w:r w:rsidR="00432D6F" w:rsidRPr="00A04489">
        <w:rPr>
          <w:rFonts w:ascii="Times New Roman" w:hAnsi="Times New Roman"/>
        </w:rPr>
        <w:t xml:space="preserve">considered </w:t>
      </w:r>
      <w:r w:rsidRPr="00A04489">
        <w:rPr>
          <w:rFonts w:ascii="Times New Roman" w:hAnsi="Times New Roman"/>
        </w:rPr>
        <w:t>that the risk to the health of the Western Australian population is a function of two factors: the probability that COVID</w:t>
      </w:r>
      <w:r w:rsidRPr="00A04489">
        <w:rPr>
          <w:rFonts w:ascii="Times New Roman" w:hAnsi="Times New Roman"/>
        </w:rPr>
        <w:noBreakHyphen/>
        <w:t>19 would be imported into the population and the seriousness of the consequences if it were imported. Whilst the existing border restrictions do not eliminate the potential for importation of COVID</w:t>
      </w:r>
      <w:r w:rsidRPr="00A04489">
        <w:rPr>
          <w:rFonts w:ascii="Times New Roman" w:hAnsi="Times New Roman"/>
        </w:rPr>
        <w:noBreakHyphen/>
        <w:t>19 from other States or Territories, because they allow "exempt travellers" to enter Western Australia, they have been effective to a "very substantial extent" to reduce the probability of COVID</w:t>
      </w:r>
      <w:r w:rsidRPr="00A04489">
        <w:rPr>
          <w:rFonts w:ascii="Times New Roman" w:hAnsi="Times New Roman"/>
        </w:rPr>
        <w:noBreakHyphen/>
        <w:t>19 being imported into Western Australia from interstate.</w:t>
      </w:r>
    </w:p>
    <w:p w14:paraId="76A949AC" w14:textId="76A6D4E5" w:rsidR="00283789" w:rsidRPr="00A04489" w:rsidRDefault="00283789"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His Honour explained that the uncertainties involved in predicting all relevant factors </w:t>
      </w:r>
      <w:r w:rsidR="00C976FF" w:rsidRPr="00A04489">
        <w:rPr>
          <w:rFonts w:ascii="Times New Roman" w:hAnsi="Times New Roman"/>
        </w:rPr>
        <w:t>a</w:t>
      </w:r>
      <w:r w:rsidRPr="00A04489">
        <w:rPr>
          <w:rFonts w:ascii="Times New Roman" w:hAnsi="Times New Roman"/>
        </w:rPr>
        <w:t xml:space="preserve">re such that the probability of persons </w:t>
      </w:r>
      <w:r w:rsidR="00310536" w:rsidRPr="00A04489">
        <w:rPr>
          <w:rFonts w:ascii="Times New Roman" w:hAnsi="Times New Roman"/>
        </w:rPr>
        <w:t xml:space="preserve">infected with COVID-19 </w:t>
      </w:r>
      <w:r w:rsidRPr="00A04489">
        <w:rPr>
          <w:rFonts w:ascii="Times New Roman" w:hAnsi="Times New Roman"/>
        </w:rPr>
        <w:t>entering Western Australia in the hypothetical situation where border</w:t>
      </w:r>
      <w:r w:rsidR="00377CD2" w:rsidRPr="00A04489">
        <w:rPr>
          <w:rFonts w:ascii="Times New Roman" w:hAnsi="Times New Roman"/>
        </w:rPr>
        <w:t xml:space="preserve"> </w:t>
      </w:r>
      <w:r w:rsidR="007A274B" w:rsidRPr="00A04489">
        <w:rPr>
          <w:rFonts w:ascii="Times New Roman" w:hAnsi="Times New Roman"/>
        </w:rPr>
        <w:t>restriction</w:t>
      </w:r>
      <w:r w:rsidRPr="00A04489">
        <w:rPr>
          <w:rFonts w:ascii="Times New Roman" w:hAnsi="Times New Roman"/>
        </w:rPr>
        <w:t xml:space="preserve">s </w:t>
      </w:r>
      <w:r w:rsidR="00C157DE" w:rsidRPr="00A04489">
        <w:rPr>
          <w:rFonts w:ascii="Times New Roman" w:hAnsi="Times New Roman"/>
        </w:rPr>
        <w:t xml:space="preserve">are </w:t>
      </w:r>
      <w:r w:rsidRPr="00A04489">
        <w:rPr>
          <w:rFonts w:ascii="Times New Roman" w:hAnsi="Times New Roman"/>
        </w:rPr>
        <w:t xml:space="preserve">removed cannot be accurately quantified. His Honour therefore </w:t>
      </w:r>
      <w:r w:rsidR="00F65604" w:rsidRPr="00A04489">
        <w:rPr>
          <w:rFonts w:ascii="Times New Roman" w:hAnsi="Times New Roman"/>
        </w:rPr>
        <w:t xml:space="preserve">undertook </w:t>
      </w:r>
      <w:r w:rsidRPr="00A04489">
        <w:rPr>
          <w:rFonts w:ascii="Times New Roman" w:hAnsi="Times New Roman"/>
        </w:rPr>
        <w:t>qualitative assessments of the probability that persons infected with COVID</w:t>
      </w:r>
      <w:r w:rsidRPr="00A04489">
        <w:rPr>
          <w:rFonts w:ascii="Times New Roman" w:hAnsi="Times New Roman"/>
        </w:rPr>
        <w:noBreakHyphen/>
        <w:t xml:space="preserve">19 would enter Western Australia if the border restrictions were completely removed. His Honour assessed the risk of persons coming from Australia as a whole and from Victoria as high; from New South Wales as moderate; from South Australia, the Australian Capital Territory and the Northern Territory as low; from Tasmania as very low; and from Queensland as uncertain, due to the recent reintroduction of the disease in that State. </w:t>
      </w:r>
      <w:r w:rsidR="007A023A" w:rsidRPr="00A04489">
        <w:rPr>
          <w:rFonts w:ascii="Times New Roman" w:hAnsi="Times New Roman"/>
        </w:rPr>
        <w:t>It is evident that there have been some changes in the circumstances of the States since his Honour's assessments. The plaintiffs contend</w:t>
      </w:r>
      <w:r w:rsidR="00A721C8" w:rsidRPr="00A04489">
        <w:rPr>
          <w:rFonts w:ascii="Times New Roman" w:hAnsi="Times New Roman"/>
        </w:rPr>
        <w:t>ed</w:t>
      </w:r>
      <w:r w:rsidR="007A023A" w:rsidRPr="00A04489">
        <w:rPr>
          <w:rFonts w:ascii="Times New Roman" w:hAnsi="Times New Roman"/>
        </w:rPr>
        <w:t xml:space="preserve"> </w:t>
      </w:r>
      <w:r w:rsidR="001D6113" w:rsidRPr="00A04489">
        <w:rPr>
          <w:rFonts w:ascii="Times New Roman" w:hAnsi="Times New Roman"/>
        </w:rPr>
        <w:t>that Queensland</w:t>
      </w:r>
      <w:r w:rsidR="00FD2A66" w:rsidRPr="00A04489">
        <w:rPr>
          <w:rFonts w:ascii="Times New Roman" w:hAnsi="Times New Roman"/>
        </w:rPr>
        <w:t xml:space="preserve"> would now be regarded as a low, rather than uncertain, risk and the situation in Victoria has changed. </w:t>
      </w:r>
      <w:r w:rsidR="00B725BC" w:rsidRPr="00A04489">
        <w:rPr>
          <w:rFonts w:ascii="Times New Roman" w:hAnsi="Times New Roman"/>
        </w:rPr>
        <w:t>It will not be necessary to come to a concluded view about these contentions. They are not determinative of any issue in the proceedings.</w:t>
      </w:r>
    </w:p>
    <w:p w14:paraId="577C5414" w14:textId="54BE4709" w:rsidR="00283789" w:rsidRPr="00A04489" w:rsidRDefault="00283789"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His Honour considered that if persons entered the Western Australian community whilst infectious there </w:t>
      </w:r>
      <w:r w:rsidR="00031C2F" w:rsidRPr="00A04489">
        <w:rPr>
          <w:rFonts w:ascii="Times New Roman" w:hAnsi="Times New Roman"/>
        </w:rPr>
        <w:t>would</w:t>
      </w:r>
      <w:r w:rsidRPr="00A04489">
        <w:rPr>
          <w:rFonts w:ascii="Times New Roman" w:hAnsi="Times New Roman"/>
        </w:rPr>
        <w:t xml:space="preserve"> be a high probability that the virus would be transmitted into the Western Australian population and at least a moderate probability that there would be uncontrolled outbreaks. If there were uncontrolled outbreaks, the consequences would include the risk of death and hospitalisation, particularly for the vulnerable groups mentioned above. In a worst</w:t>
      </w:r>
      <w:r w:rsidRPr="00A04489">
        <w:rPr>
          <w:rFonts w:ascii="Times New Roman" w:hAnsi="Times New Roman"/>
        </w:rPr>
        <w:noBreakHyphen/>
        <w:t>case scenario, the health consequences could be "catastrophic".</w:t>
      </w:r>
    </w:p>
    <w:p w14:paraId="57B26233" w14:textId="02B04E3C" w:rsidR="00283789" w:rsidRPr="00A04489" w:rsidRDefault="00283789"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His Honour observed that Western Australia had not had any cases of community transmission since 12 April 2020 as a result of the </w:t>
      </w:r>
      <w:r w:rsidR="00DB44D5" w:rsidRPr="00A04489">
        <w:rPr>
          <w:rFonts w:ascii="Times New Roman" w:hAnsi="Times New Roman"/>
        </w:rPr>
        <w:t xml:space="preserve">combination </w:t>
      </w:r>
      <w:r w:rsidRPr="00A04489">
        <w:rPr>
          <w:rFonts w:ascii="Times New Roman" w:hAnsi="Times New Roman"/>
        </w:rPr>
        <w:t>of the border restrictions and other measures. Western Australia could not safely manage the number of people in hotel quarantine if it were sought to replace the border restrictions with mandatory hotel quarantine</w:t>
      </w:r>
      <w:r w:rsidR="00A3622B" w:rsidRPr="00A04489">
        <w:rPr>
          <w:rFonts w:ascii="Times New Roman" w:hAnsi="Times New Roman"/>
        </w:rPr>
        <w:t xml:space="preserve"> for all entrants to the State</w:t>
      </w:r>
      <w:r w:rsidRPr="00A04489">
        <w:rPr>
          <w:rFonts w:ascii="Times New Roman" w:hAnsi="Times New Roman"/>
        </w:rPr>
        <w:t>. If the restrictions were replaced by a suite of measures including exit and entry screening, the wearing of face masks on aeroplanes and</w:t>
      </w:r>
      <w:r w:rsidR="00911F67" w:rsidRPr="00A04489">
        <w:rPr>
          <w:rFonts w:ascii="Times New Roman" w:hAnsi="Times New Roman"/>
        </w:rPr>
        <w:t xml:space="preserve"> for</w:t>
      </w:r>
      <w:r w:rsidR="00E434A3" w:rsidRPr="00A04489">
        <w:rPr>
          <w:rFonts w:ascii="Times New Roman" w:hAnsi="Times New Roman"/>
        </w:rPr>
        <w:t xml:space="preserve"> 14</w:t>
      </w:r>
      <w:r w:rsidR="000532A9" w:rsidRPr="00A04489">
        <w:rPr>
          <w:rFonts w:ascii="Times New Roman" w:hAnsi="Times New Roman"/>
        </w:rPr>
        <w:t xml:space="preserve"> day</w:t>
      </w:r>
      <w:r w:rsidR="00E434A3" w:rsidRPr="00A04489">
        <w:rPr>
          <w:rFonts w:ascii="Times New Roman" w:hAnsi="Times New Roman"/>
        </w:rPr>
        <w:t>s</w:t>
      </w:r>
      <w:r w:rsidRPr="00A04489">
        <w:rPr>
          <w:rFonts w:ascii="Times New Roman" w:hAnsi="Times New Roman"/>
        </w:rPr>
        <w:t xml:space="preserve"> after entry into the State, and testing at intervals, they would be less effective than the border restrictions in preventing the importation of COVID</w:t>
      </w:r>
      <w:r w:rsidRPr="00A04489">
        <w:rPr>
          <w:rFonts w:ascii="Times New Roman" w:hAnsi="Times New Roman"/>
        </w:rPr>
        <w:noBreakHyphen/>
        <w:t>19. A combination of that suite of measures together with a "hotspot</w:t>
      </w:r>
      <w:r w:rsidR="00AC37B8" w:rsidRPr="00A04489">
        <w:rPr>
          <w:rFonts w:ascii="Times New Roman" w:hAnsi="Times New Roman"/>
        </w:rPr>
        <w:t>"</w:t>
      </w:r>
      <w:r w:rsidRPr="00A04489">
        <w:rPr>
          <w:rFonts w:ascii="Times New Roman" w:hAnsi="Times New Roman"/>
        </w:rPr>
        <w:t xml:space="preserve"> regime, involving either quarantining or ba</w:t>
      </w:r>
      <w:r w:rsidR="0000480B" w:rsidRPr="00A04489">
        <w:rPr>
          <w:rFonts w:ascii="Times New Roman" w:hAnsi="Times New Roman"/>
        </w:rPr>
        <w:t>nn</w:t>
      </w:r>
      <w:r w:rsidRPr="00A04489">
        <w:rPr>
          <w:rFonts w:ascii="Times New Roman" w:hAnsi="Times New Roman"/>
        </w:rPr>
        <w:t>ing persons entering from designated areas in the other States or Territories, would also be less effective than the border restrictions.</w:t>
      </w:r>
    </w:p>
    <w:p w14:paraId="716E1DAF" w14:textId="40B616C8" w:rsidR="00283789" w:rsidRPr="00A04489" w:rsidRDefault="00283789" w:rsidP="00A04489">
      <w:pPr>
        <w:pStyle w:val="FixListStyle"/>
        <w:spacing w:after="260" w:line="280" w:lineRule="exact"/>
        <w:ind w:right="0"/>
        <w:jc w:val="both"/>
        <w:rPr>
          <w:rFonts w:ascii="Times New Roman" w:hAnsi="Times New Roman"/>
        </w:rPr>
      </w:pPr>
      <w:r w:rsidRPr="00A04489">
        <w:rPr>
          <w:rFonts w:ascii="Times New Roman" w:hAnsi="Times New Roman"/>
        </w:rPr>
        <w:tab/>
      </w:r>
      <w:r w:rsidR="007768A6" w:rsidRPr="00A04489">
        <w:rPr>
          <w:rFonts w:ascii="Times New Roman" w:hAnsi="Times New Roman"/>
        </w:rPr>
        <w:t xml:space="preserve">His </w:t>
      </w:r>
      <w:r w:rsidRPr="00A04489">
        <w:rPr>
          <w:rFonts w:ascii="Times New Roman" w:hAnsi="Times New Roman"/>
        </w:rPr>
        <w:t>Honour concluded that in view of the uncertaint</w:t>
      </w:r>
      <w:r w:rsidR="009927DA" w:rsidRPr="00A04489">
        <w:rPr>
          <w:rFonts w:ascii="Times New Roman" w:hAnsi="Times New Roman"/>
        </w:rPr>
        <w:t>ies</w:t>
      </w:r>
      <w:r w:rsidRPr="00A04489">
        <w:rPr>
          <w:rFonts w:ascii="Times New Roman" w:hAnsi="Times New Roman"/>
        </w:rPr>
        <w:t xml:space="preserve"> involved in determining the probability that COVID</w:t>
      </w:r>
      <w:r w:rsidRPr="00A04489">
        <w:rPr>
          <w:rFonts w:ascii="Times New Roman" w:hAnsi="Times New Roman"/>
        </w:rPr>
        <w:noBreakHyphen/>
        <w:t>19 would be imported into Western Australia from elsewhere in Australia, and the potentially serious consequences if it were imported, "a precautionary approach should be taken to decision</w:t>
      </w:r>
      <w:r w:rsidRPr="00A04489">
        <w:rPr>
          <w:rFonts w:ascii="Times New Roman" w:hAnsi="Times New Roman"/>
        </w:rPr>
        <w:noBreakHyphen/>
        <w:t>making about the measures required for the protection of the community".</w:t>
      </w:r>
    </w:p>
    <w:p w14:paraId="56A62A87" w14:textId="1EDB0B74" w:rsidR="00283789" w:rsidRPr="00A04489" w:rsidRDefault="0026271F" w:rsidP="00A04489">
      <w:pPr>
        <w:pStyle w:val="HeadingL1"/>
        <w:spacing w:after="260" w:line="280" w:lineRule="exact"/>
        <w:ind w:right="0"/>
        <w:jc w:val="both"/>
        <w:rPr>
          <w:rFonts w:ascii="Times New Roman" w:hAnsi="Times New Roman"/>
        </w:rPr>
      </w:pPr>
      <w:r w:rsidRPr="00A04489">
        <w:rPr>
          <w:rFonts w:ascii="Times New Roman" w:hAnsi="Times New Roman"/>
        </w:rPr>
        <w:t xml:space="preserve">The </w:t>
      </w:r>
      <w:r w:rsidR="00551816" w:rsidRPr="00A04489">
        <w:rPr>
          <w:rFonts w:ascii="Times New Roman" w:hAnsi="Times New Roman"/>
        </w:rPr>
        <w:t>q</w:t>
      </w:r>
      <w:r w:rsidRPr="00A04489">
        <w:rPr>
          <w:rFonts w:ascii="Times New Roman" w:hAnsi="Times New Roman"/>
        </w:rPr>
        <w:t xml:space="preserve">uestions </w:t>
      </w:r>
      <w:r w:rsidR="00551816" w:rsidRPr="00A04489">
        <w:rPr>
          <w:rFonts w:ascii="Times New Roman" w:hAnsi="Times New Roman"/>
        </w:rPr>
        <w:t>r</w:t>
      </w:r>
      <w:r w:rsidRPr="00A04489">
        <w:rPr>
          <w:rFonts w:ascii="Times New Roman" w:hAnsi="Times New Roman"/>
        </w:rPr>
        <w:t>eserved</w:t>
      </w:r>
    </w:p>
    <w:p w14:paraId="0B0AB3B3" w14:textId="2EE96E07" w:rsidR="00D95373" w:rsidRPr="00A04489" w:rsidRDefault="00283789" w:rsidP="00A04489">
      <w:pPr>
        <w:pStyle w:val="FixListStyle"/>
        <w:spacing w:after="260" w:line="280" w:lineRule="exact"/>
        <w:ind w:right="0"/>
        <w:jc w:val="both"/>
        <w:rPr>
          <w:rFonts w:ascii="Times New Roman" w:hAnsi="Times New Roman"/>
        </w:rPr>
      </w:pPr>
      <w:r w:rsidRPr="00A04489">
        <w:rPr>
          <w:rFonts w:ascii="Times New Roman" w:hAnsi="Times New Roman"/>
        </w:rPr>
        <w:tab/>
      </w:r>
      <w:r w:rsidR="00D95373" w:rsidRPr="00A04489">
        <w:rPr>
          <w:rFonts w:ascii="Times New Roman" w:hAnsi="Times New Roman"/>
        </w:rPr>
        <w:t xml:space="preserve">The parties subsequently agreed a Special Case pursuant to which the following questions </w:t>
      </w:r>
      <w:r w:rsidR="0019419C" w:rsidRPr="00A04489">
        <w:rPr>
          <w:rFonts w:ascii="Times New Roman" w:hAnsi="Times New Roman"/>
        </w:rPr>
        <w:t>were stated for the opinion of the Full Court</w:t>
      </w:r>
      <w:r w:rsidR="0026271F" w:rsidRPr="00A04489">
        <w:rPr>
          <w:rFonts w:ascii="Times New Roman" w:hAnsi="Times New Roman"/>
        </w:rPr>
        <w:t xml:space="preserve"> of this Court:</w:t>
      </w:r>
    </w:p>
    <w:p w14:paraId="462A8440" w14:textId="51925225" w:rsidR="00C557FC" w:rsidRPr="00A04489" w:rsidRDefault="0019419C" w:rsidP="00A04489">
      <w:pPr>
        <w:pStyle w:val="LeftrightHanging"/>
        <w:spacing w:before="0" w:after="260" w:line="280" w:lineRule="exact"/>
        <w:ind w:right="0"/>
        <w:jc w:val="both"/>
        <w:rPr>
          <w:rFonts w:ascii="Times New Roman" w:hAnsi="Times New Roman"/>
        </w:rPr>
      </w:pPr>
      <w:r w:rsidRPr="00A04489">
        <w:rPr>
          <w:rFonts w:ascii="Times New Roman" w:hAnsi="Times New Roman"/>
        </w:rPr>
        <w:t>"</w:t>
      </w:r>
      <w:r w:rsidR="003704ED" w:rsidRPr="00A04489">
        <w:rPr>
          <w:rFonts w:ascii="Times New Roman" w:hAnsi="Times New Roman"/>
        </w:rPr>
        <w:t>(a)</w:t>
      </w:r>
      <w:r w:rsidR="003704ED" w:rsidRPr="00A04489">
        <w:rPr>
          <w:rFonts w:ascii="Times New Roman" w:hAnsi="Times New Roman"/>
        </w:rPr>
        <w:tab/>
      </w:r>
      <w:r w:rsidR="00C557FC" w:rsidRPr="00A04489">
        <w:rPr>
          <w:rFonts w:ascii="Times New Roman" w:hAnsi="Times New Roman"/>
        </w:rPr>
        <w:t xml:space="preserve">Are the </w:t>
      </w:r>
      <w:r w:rsidR="00C557FC" w:rsidRPr="00A04489">
        <w:rPr>
          <w:rFonts w:ascii="Times New Roman" w:hAnsi="Times New Roman"/>
          <w:i/>
        </w:rPr>
        <w:t xml:space="preserve">Quarantine (Closing the Border) Directions </w:t>
      </w:r>
      <w:r w:rsidR="00C557FC" w:rsidRPr="00A04489">
        <w:rPr>
          <w:rFonts w:ascii="Times New Roman" w:hAnsi="Times New Roman"/>
        </w:rPr>
        <w:t xml:space="preserve">(WA) and/or the authorising </w:t>
      </w:r>
      <w:r w:rsidR="00C557FC" w:rsidRPr="00A04489">
        <w:rPr>
          <w:rFonts w:ascii="Times New Roman" w:hAnsi="Times New Roman"/>
          <w:i/>
        </w:rPr>
        <w:t>Emergency Management Act 2005</w:t>
      </w:r>
      <w:r w:rsidR="00C557FC" w:rsidRPr="00A04489">
        <w:rPr>
          <w:rFonts w:ascii="Times New Roman" w:hAnsi="Times New Roman"/>
        </w:rPr>
        <w:t xml:space="preserve"> (WA) invalid (in whole or in part, and if in part, to what extent) because they impermissibly infringe s 92 of the </w:t>
      </w:r>
      <w:r w:rsidR="00C557FC" w:rsidRPr="00A04489">
        <w:rPr>
          <w:rFonts w:ascii="Times New Roman" w:hAnsi="Times New Roman"/>
          <w:i/>
        </w:rPr>
        <w:t>Constitution</w:t>
      </w:r>
      <w:r w:rsidR="0004254A" w:rsidRPr="00A04489">
        <w:rPr>
          <w:rFonts w:ascii="Times New Roman" w:hAnsi="Times New Roman"/>
        </w:rPr>
        <w:t>?</w:t>
      </w:r>
    </w:p>
    <w:p w14:paraId="3D1BFC18" w14:textId="77777777" w:rsidR="00A04489" w:rsidRDefault="003704ED" w:rsidP="00A04489">
      <w:pPr>
        <w:pStyle w:val="LeftrightHanging"/>
        <w:spacing w:before="0" w:after="260" w:line="280" w:lineRule="exact"/>
        <w:ind w:right="0"/>
        <w:jc w:val="both"/>
        <w:rPr>
          <w:rFonts w:ascii="Times New Roman" w:hAnsi="Times New Roman"/>
        </w:rPr>
      </w:pPr>
      <w:r w:rsidRPr="00A04489">
        <w:rPr>
          <w:rFonts w:ascii="Times New Roman" w:hAnsi="Times New Roman"/>
        </w:rPr>
        <w:t>(b)</w:t>
      </w:r>
      <w:r w:rsidRPr="00A04489">
        <w:rPr>
          <w:rFonts w:ascii="Times New Roman" w:hAnsi="Times New Roman"/>
        </w:rPr>
        <w:tab/>
      </w:r>
      <w:r w:rsidR="00C557FC" w:rsidRPr="00A04489">
        <w:rPr>
          <w:rFonts w:ascii="Times New Roman" w:hAnsi="Times New Roman"/>
        </w:rPr>
        <w:t>Who should pay the costs of the special case</w:t>
      </w:r>
      <w:r w:rsidR="0004254A" w:rsidRPr="00A04489">
        <w:rPr>
          <w:rFonts w:ascii="Times New Roman" w:hAnsi="Times New Roman"/>
        </w:rPr>
        <w:t>?"</w:t>
      </w:r>
    </w:p>
    <w:p w14:paraId="3158777D" w14:textId="11386F8C" w:rsidR="0004254A" w:rsidRPr="00A04489" w:rsidRDefault="0004254A" w:rsidP="00A04489">
      <w:pPr>
        <w:pStyle w:val="FixListStyle"/>
        <w:spacing w:after="260" w:line="280" w:lineRule="exact"/>
        <w:ind w:right="0"/>
        <w:jc w:val="both"/>
        <w:rPr>
          <w:rFonts w:ascii="Times New Roman" w:eastAsiaTheme="minorHAnsi" w:hAnsi="Times New Roman"/>
        </w:rPr>
      </w:pPr>
      <w:r w:rsidRPr="00A04489">
        <w:rPr>
          <w:rFonts w:ascii="Times New Roman" w:eastAsiaTheme="minorHAnsi" w:hAnsi="Times New Roman"/>
        </w:rPr>
        <w:tab/>
        <w:t>On 6 November 202</w:t>
      </w:r>
      <w:r w:rsidR="0026271F" w:rsidRPr="00A04489">
        <w:rPr>
          <w:rFonts w:ascii="Times New Roman" w:eastAsiaTheme="minorHAnsi" w:hAnsi="Times New Roman"/>
        </w:rPr>
        <w:t>0</w:t>
      </w:r>
      <w:r w:rsidRPr="00A04489">
        <w:rPr>
          <w:rFonts w:ascii="Times New Roman" w:eastAsiaTheme="minorHAnsi" w:hAnsi="Times New Roman"/>
        </w:rPr>
        <w:t xml:space="preserve"> the Court answered the questions as follows:</w:t>
      </w:r>
    </w:p>
    <w:p w14:paraId="2993EEA8" w14:textId="49CCD288" w:rsidR="00C557FC" w:rsidRPr="00A04489" w:rsidRDefault="0004254A" w:rsidP="00A04489">
      <w:pPr>
        <w:pStyle w:val="LeftrightHanging"/>
        <w:spacing w:before="0" w:after="260" w:line="280" w:lineRule="exact"/>
        <w:ind w:right="0"/>
        <w:jc w:val="both"/>
        <w:rPr>
          <w:rFonts w:ascii="Times New Roman" w:hAnsi="Times New Roman"/>
        </w:rPr>
      </w:pPr>
      <w:r w:rsidRPr="00A04489">
        <w:rPr>
          <w:rFonts w:ascii="Times New Roman" w:hAnsi="Times New Roman"/>
        </w:rPr>
        <w:t>"(a)</w:t>
      </w:r>
      <w:r w:rsidRPr="00A04489">
        <w:rPr>
          <w:rFonts w:ascii="Times New Roman" w:hAnsi="Times New Roman"/>
        </w:rPr>
        <w:tab/>
      </w:r>
      <w:r w:rsidR="00C557FC" w:rsidRPr="00A04489">
        <w:rPr>
          <w:rFonts w:ascii="Times New Roman" w:hAnsi="Times New Roman"/>
        </w:rPr>
        <w:t xml:space="preserve">On their proper construction, ss 56 and 67 of the </w:t>
      </w:r>
      <w:r w:rsidR="00C557FC" w:rsidRPr="00A04489">
        <w:rPr>
          <w:rFonts w:ascii="Times New Roman" w:hAnsi="Times New Roman"/>
          <w:i/>
        </w:rPr>
        <w:t>Emergency Management Act 2005</w:t>
      </w:r>
      <w:r w:rsidR="00C557FC" w:rsidRPr="00A04489">
        <w:rPr>
          <w:rFonts w:ascii="Times New Roman" w:hAnsi="Times New Roman"/>
        </w:rPr>
        <w:t xml:space="preserve"> (WA) in their application to an emergency constituted by the occurrence of a hazard in the nature of a plague or epidemic comply with the constitutional limitation of s 92 of the </w:t>
      </w:r>
      <w:r w:rsidR="00C557FC" w:rsidRPr="00A04489">
        <w:rPr>
          <w:rFonts w:ascii="Times New Roman" w:hAnsi="Times New Roman"/>
          <w:i/>
        </w:rPr>
        <w:t>Constitution</w:t>
      </w:r>
      <w:r w:rsidR="00C557FC" w:rsidRPr="00A04489">
        <w:rPr>
          <w:rFonts w:ascii="Times New Roman" w:hAnsi="Times New Roman"/>
        </w:rPr>
        <w:t xml:space="preserve"> in each of its limbs.</w:t>
      </w:r>
    </w:p>
    <w:p w14:paraId="05DBE0F2" w14:textId="0A0C765C" w:rsidR="00C557FC" w:rsidRPr="00A04489" w:rsidRDefault="00005BE1" w:rsidP="00A04489">
      <w:pPr>
        <w:pStyle w:val="LeftrightHanging"/>
        <w:spacing w:before="0" w:after="260" w:line="280" w:lineRule="exact"/>
        <w:ind w:right="0"/>
        <w:jc w:val="both"/>
        <w:rPr>
          <w:rFonts w:ascii="Times New Roman" w:hAnsi="Times New Roman"/>
        </w:rPr>
      </w:pPr>
      <w:r w:rsidRPr="00A04489">
        <w:rPr>
          <w:rFonts w:ascii="Times New Roman" w:hAnsi="Times New Roman"/>
        </w:rPr>
        <w:tab/>
      </w:r>
      <w:r w:rsidR="00C557FC" w:rsidRPr="00A04489">
        <w:rPr>
          <w:rFonts w:ascii="Times New Roman" w:hAnsi="Times New Roman"/>
        </w:rPr>
        <w:t xml:space="preserve">The exercise of the power given by those provisions to make </w:t>
      </w:r>
      <w:r w:rsidR="00D5120A" w:rsidRPr="00A04489">
        <w:rPr>
          <w:rFonts w:ascii="Times New Roman" w:hAnsi="Times New Roman"/>
        </w:rPr>
        <w:t>paras</w:t>
      </w:r>
      <w:r w:rsidR="00C557FC" w:rsidRPr="00A04489">
        <w:rPr>
          <w:rFonts w:ascii="Times New Roman" w:hAnsi="Times New Roman"/>
        </w:rPr>
        <w:t xml:space="preserve"> 4 and 5 of the </w:t>
      </w:r>
      <w:r w:rsidR="00C557FC" w:rsidRPr="00A04489">
        <w:rPr>
          <w:rFonts w:ascii="Times New Roman" w:hAnsi="Times New Roman"/>
          <w:i/>
        </w:rPr>
        <w:t>Quarantine (Closing the Border) Directions</w:t>
      </w:r>
      <w:r w:rsidR="00C557FC" w:rsidRPr="00A04489">
        <w:rPr>
          <w:rFonts w:ascii="Times New Roman" w:hAnsi="Times New Roman"/>
        </w:rPr>
        <w:t xml:space="preserve"> </w:t>
      </w:r>
      <w:r w:rsidR="00293CF8" w:rsidRPr="00A04489">
        <w:rPr>
          <w:rFonts w:ascii="Times New Roman" w:hAnsi="Times New Roman"/>
        </w:rPr>
        <w:t xml:space="preserve">(WA) </w:t>
      </w:r>
      <w:r w:rsidR="00C557FC" w:rsidRPr="00A04489">
        <w:rPr>
          <w:rFonts w:ascii="Times New Roman" w:hAnsi="Times New Roman"/>
        </w:rPr>
        <w:t>does not raise a constitutional question.</w:t>
      </w:r>
    </w:p>
    <w:p w14:paraId="6BF1043E" w14:textId="6E2EDA36" w:rsidR="00C557FC" w:rsidRPr="00A04489" w:rsidRDefault="00005BE1" w:rsidP="00A04489">
      <w:pPr>
        <w:pStyle w:val="LeftrightHanging"/>
        <w:spacing w:before="0" w:after="260" w:line="280" w:lineRule="exact"/>
        <w:ind w:right="0"/>
        <w:jc w:val="both"/>
        <w:rPr>
          <w:rFonts w:ascii="Times New Roman" w:hAnsi="Times New Roman"/>
        </w:rPr>
      </w:pPr>
      <w:r w:rsidRPr="00A04489">
        <w:rPr>
          <w:rFonts w:ascii="Times New Roman" w:hAnsi="Times New Roman"/>
        </w:rPr>
        <w:tab/>
      </w:r>
      <w:r w:rsidR="00C557FC" w:rsidRPr="00A04489">
        <w:rPr>
          <w:rFonts w:ascii="Times New Roman" w:hAnsi="Times New Roman"/>
        </w:rPr>
        <w:t xml:space="preserve">No issue is taken as to whether the </w:t>
      </w:r>
      <w:r w:rsidR="00293CF8" w:rsidRPr="00A04489">
        <w:rPr>
          <w:rFonts w:ascii="Times New Roman" w:hAnsi="Times New Roman"/>
          <w:i/>
        </w:rPr>
        <w:t xml:space="preserve">Quarantine (Closing the Border) </w:t>
      </w:r>
      <w:r w:rsidR="00C557FC" w:rsidRPr="00A04489">
        <w:rPr>
          <w:rFonts w:ascii="Times New Roman" w:hAnsi="Times New Roman"/>
          <w:i/>
        </w:rPr>
        <w:t>Directions</w:t>
      </w:r>
      <w:r w:rsidR="00293CF8" w:rsidRPr="00A04489">
        <w:rPr>
          <w:rFonts w:ascii="Times New Roman" w:hAnsi="Times New Roman"/>
        </w:rPr>
        <w:t xml:space="preserve"> (WA)</w:t>
      </w:r>
      <w:r w:rsidR="00C557FC" w:rsidRPr="00A04489">
        <w:rPr>
          <w:rFonts w:ascii="Times New Roman" w:hAnsi="Times New Roman"/>
        </w:rPr>
        <w:t xml:space="preserve"> were validly authorised by the statutory provisions so that no other question remains for determination by a court.</w:t>
      </w:r>
    </w:p>
    <w:p w14:paraId="07299B5A" w14:textId="77777777" w:rsidR="00A04489" w:rsidRDefault="00005BE1" w:rsidP="00A04489">
      <w:pPr>
        <w:pStyle w:val="LeftrightHanging"/>
        <w:spacing w:before="0" w:after="260" w:line="280" w:lineRule="exact"/>
        <w:ind w:right="0"/>
        <w:jc w:val="both"/>
        <w:rPr>
          <w:rFonts w:ascii="Times New Roman" w:hAnsi="Times New Roman"/>
        </w:rPr>
      </w:pPr>
      <w:r w:rsidRPr="00A04489">
        <w:rPr>
          <w:rFonts w:ascii="Times New Roman" w:hAnsi="Times New Roman"/>
        </w:rPr>
        <w:t>(b)</w:t>
      </w:r>
      <w:r w:rsidRPr="00A04489">
        <w:rPr>
          <w:rFonts w:ascii="Times New Roman" w:hAnsi="Times New Roman"/>
        </w:rPr>
        <w:tab/>
      </w:r>
      <w:r w:rsidR="00C557FC" w:rsidRPr="00A04489">
        <w:rPr>
          <w:rFonts w:ascii="Times New Roman" w:hAnsi="Times New Roman"/>
        </w:rPr>
        <w:t>The plaintiffs.</w:t>
      </w:r>
      <w:r w:rsidRPr="00A04489">
        <w:rPr>
          <w:rFonts w:ascii="Times New Roman" w:hAnsi="Times New Roman"/>
        </w:rPr>
        <w:t>"</w:t>
      </w:r>
    </w:p>
    <w:p w14:paraId="530A0A12" w14:textId="77777777" w:rsidR="00A04489" w:rsidRDefault="000B7772" w:rsidP="00A04489">
      <w:pPr>
        <w:pStyle w:val="FixListStyle"/>
        <w:spacing w:after="260" w:line="280" w:lineRule="exact"/>
        <w:ind w:right="0"/>
        <w:jc w:val="both"/>
        <w:rPr>
          <w:rFonts w:ascii="Times New Roman" w:hAnsi="Times New Roman"/>
        </w:rPr>
      </w:pPr>
      <w:r w:rsidRPr="00A04489">
        <w:rPr>
          <w:rFonts w:ascii="Times New Roman" w:hAnsi="Times New Roman"/>
        </w:rPr>
        <w:tab/>
        <w:t>The</w:t>
      </w:r>
      <w:r w:rsidR="00DE13CF" w:rsidRPr="00A04489">
        <w:rPr>
          <w:rFonts w:ascii="Times New Roman" w:hAnsi="Times New Roman"/>
        </w:rPr>
        <w:t>s</w:t>
      </w:r>
      <w:r w:rsidRPr="00A04489">
        <w:rPr>
          <w:rFonts w:ascii="Times New Roman" w:hAnsi="Times New Roman"/>
        </w:rPr>
        <w:t xml:space="preserve">e are </w:t>
      </w:r>
      <w:r w:rsidR="004A1F46" w:rsidRPr="00A04489">
        <w:rPr>
          <w:rFonts w:ascii="Times New Roman" w:hAnsi="Times New Roman"/>
        </w:rPr>
        <w:t>our</w:t>
      </w:r>
      <w:r w:rsidRPr="00A04489">
        <w:rPr>
          <w:rFonts w:ascii="Times New Roman" w:hAnsi="Times New Roman"/>
        </w:rPr>
        <w:t xml:space="preserve"> reasons for joining in the answers given.</w:t>
      </w:r>
    </w:p>
    <w:p w14:paraId="0FA243CB" w14:textId="623980AB" w:rsidR="00AF36C4" w:rsidRPr="00A04489" w:rsidRDefault="00AF36C4" w:rsidP="00A04489">
      <w:pPr>
        <w:pStyle w:val="HeadingL1"/>
        <w:spacing w:after="260" w:line="280" w:lineRule="exact"/>
        <w:ind w:right="0"/>
        <w:jc w:val="both"/>
        <w:rPr>
          <w:rFonts w:ascii="Times New Roman" w:hAnsi="Times New Roman"/>
        </w:rPr>
      </w:pPr>
      <w:r w:rsidRPr="00A04489">
        <w:rPr>
          <w:rFonts w:ascii="Times New Roman" w:hAnsi="Times New Roman"/>
        </w:rPr>
        <w:t>What s 92 precludes</w:t>
      </w:r>
    </w:p>
    <w:p w14:paraId="2BD3C24B" w14:textId="29A33AA9" w:rsidR="00DC2929" w:rsidRPr="00A04489" w:rsidRDefault="00E467F8" w:rsidP="00A04489">
      <w:pPr>
        <w:pStyle w:val="FixListStyle"/>
        <w:spacing w:after="260" w:line="280" w:lineRule="exact"/>
        <w:ind w:right="0"/>
        <w:jc w:val="both"/>
        <w:rPr>
          <w:rFonts w:ascii="Times New Roman" w:hAnsi="Times New Roman"/>
        </w:rPr>
      </w:pPr>
      <w:r w:rsidRPr="00A04489">
        <w:rPr>
          <w:rFonts w:ascii="Times New Roman" w:hAnsi="Times New Roman"/>
        </w:rPr>
        <w:tab/>
      </w:r>
      <w:r w:rsidR="00DC2929" w:rsidRPr="00A04489">
        <w:rPr>
          <w:rFonts w:ascii="Times New Roman" w:hAnsi="Times New Roman"/>
        </w:rPr>
        <w:t xml:space="preserve">Although it is sometimes convenient to refer to s 92 as having two limbs </w:t>
      </w:r>
      <w:r w:rsidR="005F59CA" w:rsidRPr="00A04489">
        <w:rPr>
          <w:rFonts w:ascii="Times New Roman" w:hAnsi="Times New Roman"/>
        </w:rPr>
        <w:t>–</w:t>
      </w:r>
      <w:r w:rsidR="00DC2929" w:rsidRPr="00A04489">
        <w:rPr>
          <w:rFonts w:ascii="Times New Roman" w:hAnsi="Times New Roman"/>
        </w:rPr>
        <w:t xml:space="preserve"> the trade and commerce limb and the intercourse limb </w:t>
      </w:r>
      <w:r w:rsidR="005F59CA" w:rsidRPr="00A04489">
        <w:rPr>
          <w:rFonts w:ascii="Times New Roman" w:hAnsi="Times New Roman"/>
        </w:rPr>
        <w:t>–</w:t>
      </w:r>
      <w:r w:rsidR="00DC2929" w:rsidRPr="00A04489">
        <w:rPr>
          <w:rFonts w:ascii="Times New Roman" w:hAnsi="Times New Roman"/>
        </w:rPr>
        <w:t xml:space="preserve"> the words "trade, commerce</w:t>
      </w:r>
      <w:r w:rsidR="00AD03EC" w:rsidRPr="00A04489">
        <w:rPr>
          <w:rFonts w:ascii="Times New Roman" w:hAnsi="Times New Roman"/>
        </w:rPr>
        <w:t>,</w:t>
      </w:r>
      <w:r w:rsidR="00DC2929" w:rsidRPr="00A04489">
        <w:rPr>
          <w:rFonts w:ascii="Times New Roman" w:hAnsi="Times New Roman"/>
        </w:rPr>
        <w:t xml:space="preserve"> and intercourse" are stated in the section as a composite expression. The observation that until </w:t>
      </w:r>
      <w:r w:rsidR="00DC2929" w:rsidRPr="00A04489">
        <w:rPr>
          <w:rFonts w:ascii="Times New Roman" w:hAnsi="Times New Roman"/>
          <w:i/>
        </w:rPr>
        <w:t>Cole v Whitfield</w:t>
      </w:r>
      <w:r w:rsidR="00FB4C98" w:rsidRPr="00A04489">
        <w:rPr>
          <w:rStyle w:val="FootnoteReference"/>
          <w:rFonts w:ascii="Times New Roman" w:hAnsi="Times New Roman"/>
          <w:sz w:val="24"/>
        </w:rPr>
        <w:footnoteReference w:id="11"/>
      </w:r>
      <w:r w:rsidR="00DC2929" w:rsidRPr="00A04489">
        <w:rPr>
          <w:rFonts w:ascii="Times New Roman" w:hAnsi="Times New Roman"/>
        </w:rPr>
        <w:t xml:space="preserve"> decisions of this Court did not treat the two limbs as substantially different</w:t>
      </w:r>
      <w:r w:rsidR="00DC2929" w:rsidRPr="00A04489">
        <w:rPr>
          <w:rStyle w:val="FootnoteReference"/>
          <w:rFonts w:ascii="Times New Roman" w:hAnsi="Times New Roman"/>
          <w:sz w:val="24"/>
        </w:rPr>
        <w:footnoteReference w:id="12"/>
      </w:r>
      <w:r w:rsidR="00DC2929" w:rsidRPr="00A04489">
        <w:rPr>
          <w:rFonts w:ascii="Times New Roman" w:hAnsi="Times New Roman"/>
        </w:rPr>
        <w:t xml:space="preserve"> is clearly correct. Section 92 has been regarded as concerned with all kinds of movement across State borders</w:t>
      </w:r>
      <w:r w:rsidR="00DC2929" w:rsidRPr="00A04489">
        <w:rPr>
          <w:rStyle w:val="FootnoteReference"/>
          <w:rFonts w:ascii="Times New Roman" w:hAnsi="Times New Roman"/>
          <w:sz w:val="24"/>
        </w:rPr>
        <w:footnoteReference w:id="13"/>
      </w:r>
      <w:r w:rsidR="00DC2929" w:rsidRPr="00A04489">
        <w:rPr>
          <w:rFonts w:ascii="Times New Roman" w:hAnsi="Times New Roman"/>
        </w:rPr>
        <w:t>.</w:t>
      </w:r>
    </w:p>
    <w:p w14:paraId="75D18BD6" w14:textId="77777777" w:rsidR="00DC2929" w:rsidRPr="00A04489" w:rsidRDefault="00DC2929" w:rsidP="00A04489">
      <w:pPr>
        <w:pStyle w:val="HeadingL2"/>
        <w:spacing w:after="260" w:line="280" w:lineRule="exact"/>
        <w:ind w:right="0"/>
        <w:jc w:val="both"/>
        <w:rPr>
          <w:rFonts w:ascii="Times New Roman" w:hAnsi="Times New Roman"/>
        </w:rPr>
      </w:pPr>
      <w:r w:rsidRPr="00A04489">
        <w:rPr>
          <w:rFonts w:ascii="Times New Roman" w:hAnsi="Times New Roman"/>
        </w:rPr>
        <w:t>Cole v Whitfield</w:t>
      </w:r>
    </w:p>
    <w:p w14:paraId="02EE93B9" w14:textId="681C8ACF"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It is well understood that </w:t>
      </w:r>
      <w:r w:rsidRPr="00A04489">
        <w:rPr>
          <w:rFonts w:ascii="Times New Roman" w:hAnsi="Times New Roman"/>
          <w:i/>
        </w:rPr>
        <w:t>Cole v Whitfield</w:t>
      </w:r>
      <w:r w:rsidRPr="00A04489">
        <w:rPr>
          <w:rFonts w:ascii="Times New Roman" w:hAnsi="Times New Roman"/>
        </w:rPr>
        <w:t xml:space="preserve"> marked a turning point in s 92 jurisprudence. Prior to that decision</w:t>
      </w:r>
      <w:r w:rsidR="006A5EF0" w:rsidRPr="00A04489">
        <w:rPr>
          <w:rFonts w:ascii="Times New Roman" w:hAnsi="Times New Roman"/>
        </w:rPr>
        <w:t>,</w:t>
      </w:r>
      <w:r w:rsidRPr="00A04489">
        <w:rPr>
          <w:rFonts w:ascii="Times New Roman" w:hAnsi="Times New Roman"/>
        </w:rPr>
        <w:t xml:space="preserve"> s 92 had been regarded by many as guaranteeing the right of individuals to engage in trade, commerce and intercourse. The broad effects of such an approach were mitigated by the "criterion of operation" doctrine, by which s 92 was applied only to laws directed to an essential attribute of interstate trade, commerce or intercourse</w:t>
      </w:r>
      <w:r w:rsidRPr="00A04489">
        <w:rPr>
          <w:rStyle w:val="FootnoteReference"/>
          <w:rFonts w:ascii="Times New Roman" w:hAnsi="Times New Roman"/>
          <w:sz w:val="24"/>
        </w:rPr>
        <w:footnoteReference w:id="14"/>
      </w:r>
      <w:r w:rsidRPr="00A04489">
        <w:rPr>
          <w:rFonts w:ascii="Times New Roman" w:hAnsi="Times New Roman"/>
        </w:rPr>
        <w:t xml:space="preserve">. These interpretations were rejected in </w:t>
      </w:r>
      <w:r w:rsidRPr="00A04489">
        <w:rPr>
          <w:rFonts w:ascii="Times New Roman" w:hAnsi="Times New Roman"/>
          <w:i/>
        </w:rPr>
        <w:t>Cole v Whitfield</w:t>
      </w:r>
      <w:r w:rsidRPr="00A04489">
        <w:rPr>
          <w:rStyle w:val="FootnoteReference"/>
          <w:rFonts w:ascii="Times New Roman" w:hAnsi="Times New Roman"/>
          <w:sz w:val="24"/>
        </w:rPr>
        <w:footnoteReference w:id="15"/>
      </w:r>
      <w:r w:rsidRPr="00A04489">
        <w:rPr>
          <w:rFonts w:ascii="Times New Roman" w:hAnsi="Times New Roman"/>
        </w:rPr>
        <w:t>, where the Court instead adopted an approach which had regard to the character of a law and its effects upon freedom of interstate trade and commerce.</w:t>
      </w:r>
    </w:p>
    <w:p w14:paraId="15A5C0CE" w14:textId="3AC47201"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In </w:t>
      </w:r>
      <w:r w:rsidRPr="00A04489">
        <w:rPr>
          <w:rFonts w:ascii="Times New Roman" w:hAnsi="Times New Roman"/>
          <w:i/>
        </w:rPr>
        <w:t>Cole v Whitfield</w:t>
      </w:r>
      <w:r w:rsidRPr="00A04489">
        <w:rPr>
          <w:rStyle w:val="FootnoteReference"/>
          <w:rFonts w:ascii="Times New Roman" w:hAnsi="Times New Roman"/>
          <w:sz w:val="24"/>
        </w:rPr>
        <w:footnoteReference w:id="16"/>
      </w:r>
      <w:r w:rsidRPr="00A04489">
        <w:rPr>
          <w:rFonts w:ascii="Times New Roman" w:hAnsi="Times New Roman"/>
        </w:rPr>
        <w:t xml:space="preserve"> the Court said that the guarantee in s 92, that interstate trade, commerce and intercourse be "absolutely free", was not to be taken literally. The section should not be construed as precluding an exercise of legislative power which would impose </w:t>
      </w:r>
      <w:r w:rsidRPr="00A04489">
        <w:rPr>
          <w:rFonts w:ascii="Times New Roman" w:hAnsi="Times New Roman"/>
          <w:i/>
        </w:rPr>
        <w:t xml:space="preserve">any </w:t>
      </w:r>
      <w:r w:rsidRPr="00A04489">
        <w:rPr>
          <w:rFonts w:ascii="Times New Roman" w:hAnsi="Times New Roman"/>
        </w:rPr>
        <w:t>barrier or restriction on interstate trade or commerce</w:t>
      </w:r>
      <w:r w:rsidRPr="00A04489">
        <w:rPr>
          <w:rStyle w:val="FootnoteReference"/>
          <w:rFonts w:ascii="Times New Roman" w:hAnsi="Times New Roman"/>
          <w:sz w:val="24"/>
        </w:rPr>
        <w:footnoteReference w:id="17"/>
      </w:r>
      <w:r w:rsidRPr="00A04489">
        <w:rPr>
          <w:rFonts w:ascii="Times New Roman" w:hAnsi="Times New Roman"/>
        </w:rPr>
        <w:t xml:space="preserve"> or interstate intercourse</w:t>
      </w:r>
      <w:r w:rsidRPr="00A04489">
        <w:rPr>
          <w:rStyle w:val="FootnoteReference"/>
          <w:rFonts w:ascii="Times New Roman" w:hAnsi="Times New Roman"/>
          <w:sz w:val="24"/>
        </w:rPr>
        <w:footnoteReference w:id="18"/>
      </w:r>
      <w:r w:rsidRPr="00A04489">
        <w:rPr>
          <w:rFonts w:ascii="Times New Roman" w:hAnsi="Times New Roman"/>
        </w:rPr>
        <w:t xml:space="preserve">. This view of s 92 had consistently been applied in cases which preceded </w:t>
      </w:r>
      <w:r w:rsidRPr="00A04489">
        <w:rPr>
          <w:rFonts w:ascii="Times New Roman" w:hAnsi="Times New Roman"/>
          <w:i/>
        </w:rPr>
        <w:t>Cole v Whitfield</w:t>
      </w:r>
      <w:r w:rsidRPr="00A04489">
        <w:rPr>
          <w:rStyle w:val="FootnoteReference"/>
          <w:rFonts w:ascii="Times New Roman" w:hAnsi="Times New Roman"/>
          <w:sz w:val="24"/>
        </w:rPr>
        <w:footnoteReference w:id="19"/>
      </w:r>
      <w:r w:rsidRPr="00A04489">
        <w:rPr>
          <w:rFonts w:ascii="Times New Roman" w:hAnsi="Times New Roman"/>
          <w:i/>
        </w:rPr>
        <w:t xml:space="preserve"> </w:t>
      </w:r>
      <w:r w:rsidRPr="00A04489">
        <w:rPr>
          <w:rFonts w:ascii="Times New Roman" w:hAnsi="Times New Roman"/>
        </w:rPr>
        <w:t>and it was to be confirmed in subsequent cases</w:t>
      </w:r>
      <w:r w:rsidRPr="00A04489">
        <w:rPr>
          <w:rStyle w:val="FootnoteReference"/>
          <w:rFonts w:ascii="Times New Roman" w:hAnsi="Times New Roman"/>
          <w:sz w:val="24"/>
        </w:rPr>
        <w:footnoteReference w:id="20"/>
      </w:r>
      <w:r w:rsidRPr="00A04489">
        <w:rPr>
          <w:rFonts w:ascii="Times New Roman" w:hAnsi="Times New Roman"/>
        </w:rPr>
        <w:t>.</w:t>
      </w:r>
    </w:p>
    <w:p w14:paraId="12E252D7" w14:textId="77777777"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r>
      <w:r w:rsidRPr="00A04489">
        <w:rPr>
          <w:rFonts w:ascii="Times New Roman" w:hAnsi="Times New Roman"/>
          <w:i/>
        </w:rPr>
        <w:t>Cole v Whitfield</w:t>
      </w:r>
      <w:r w:rsidRPr="00A04489">
        <w:rPr>
          <w:rFonts w:ascii="Times New Roman" w:hAnsi="Times New Roman"/>
        </w:rPr>
        <w:t xml:space="preserve"> explained that so far as s 92 concerned interstate trade and commerce it should be understood to preclude particular types of burdens on that trade or commerce, such as discriminatory burdens of a protectionist kind. It held that a law will relevantly discriminate if on its face it subjects interstate trade or commerce to a disability or disadvantage or if the operation of the law in fact produces such a result</w:t>
      </w:r>
      <w:r w:rsidRPr="00A04489">
        <w:rPr>
          <w:rStyle w:val="FootnoteReference"/>
          <w:rFonts w:ascii="Times New Roman" w:hAnsi="Times New Roman"/>
          <w:sz w:val="24"/>
        </w:rPr>
        <w:footnoteReference w:id="21"/>
      </w:r>
      <w:r w:rsidRPr="00A04489">
        <w:rPr>
          <w:rFonts w:ascii="Times New Roman" w:hAnsi="Times New Roman"/>
        </w:rPr>
        <w:t>. The freedom which s 92 guarantees is freedom from discriminatory burdens which have a protectionist effect</w:t>
      </w:r>
      <w:r w:rsidRPr="00A04489">
        <w:rPr>
          <w:rStyle w:val="FootnoteReference"/>
          <w:rFonts w:ascii="Times New Roman" w:hAnsi="Times New Roman"/>
          <w:sz w:val="24"/>
        </w:rPr>
        <w:footnoteReference w:id="22"/>
      </w:r>
      <w:r w:rsidRPr="00A04489">
        <w:rPr>
          <w:rFonts w:ascii="Times New Roman" w:hAnsi="Times New Roman"/>
        </w:rPr>
        <w:t>.</w:t>
      </w:r>
    </w:p>
    <w:p w14:paraId="0F90CED6" w14:textId="760E25E8"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Discrimination in a legal sense involves a comparison of relative equals by which one is treated unequally</w:t>
      </w:r>
      <w:r w:rsidR="00DA5FB1" w:rsidRPr="00A04489">
        <w:rPr>
          <w:rFonts w:ascii="Times New Roman" w:hAnsi="Times New Roman"/>
        </w:rPr>
        <w:t xml:space="preserve">, </w:t>
      </w:r>
      <w:r w:rsidR="00E42400" w:rsidRPr="00A04489">
        <w:rPr>
          <w:rFonts w:ascii="Times New Roman" w:hAnsi="Times New Roman"/>
        </w:rPr>
        <w:t xml:space="preserve">or </w:t>
      </w:r>
      <w:r w:rsidR="003212A6" w:rsidRPr="00A04489">
        <w:rPr>
          <w:rFonts w:ascii="Times New Roman" w:hAnsi="Times New Roman"/>
        </w:rPr>
        <w:t xml:space="preserve">of </w:t>
      </w:r>
      <w:r w:rsidR="00E42400" w:rsidRPr="00A04489">
        <w:rPr>
          <w:rFonts w:ascii="Times New Roman" w:hAnsi="Times New Roman"/>
        </w:rPr>
        <w:t>unequals treated equally</w:t>
      </w:r>
      <w:r w:rsidR="005671E9" w:rsidRPr="00A04489">
        <w:rPr>
          <w:rStyle w:val="FootnoteReference"/>
          <w:rFonts w:ascii="Times New Roman" w:hAnsi="Times New Roman"/>
          <w:sz w:val="24"/>
        </w:rPr>
        <w:footnoteReference w:id="23"/>
      </w:r>
      <w:r w:rsidRPr="00A04489">
        <w:rPr>
          <w:rFonts w:ascii="Times New Roman" w:hAnsi="Times New Roman"/>
        </w:rPr>
        <w:t>. It involves the notion of effecting a disadvantage to one</w:t>
      </w:r>
      <w:r w:rsidRPr="00A04489">
        <w:rPr>
          <w:rStyle w:val="FootnoteReference"/>
          <w:rFonts w:ascii="Times New Roman" w:hAnsi="Times New Roman"/>
          <w:sz w:val="24"/>
        </w:rPr>
        <w:footnoteReference w:id="24"/>
      </w:r>
      <w:r w:rsidRPr="00A04489">
        <w:rPr>
          <w:rFonts w:ascii="Times New Roman" w:hAnsi="Times New Roman"/>
        </w:rPr>
        <w:t>. So understood, for the purposes of s 92, a law discriminates when it treats interstate trade or commerce differently</w:t>
      </w:r>
      <w:r w:rsidR="005C7499" w:rsidRPr="00A04489">
        <w:rPr>
          <w:rFonts w:ascii="Times New Roman" w:hAnsi="Times New Roman"/>
        </w:rPr>
        <w:t>,</w:t>
      </w:r>
      <w:r w:rsidRPr="00A04489">
        <w:rPr>
          <w:rFonts w:ascii="Times New Roman" w:hAnsi="Times New Roman"/>
        </w:rPr>
        <w:t xml:space="preserve"> as compared with intrastate trade </w:t>
      </w:r>
      <w:r w:rsidR="00CF1E42" w:rsidRPr="00A04489">
        <w:rPr>
          <w:rFonts w:ascii="Times New Roman" w:hAnsi="Times New Roman"/>
        </w:rPr>
        <w:t>or</w:t>
      </w:r>
      <w:r w:rsidRPr="00A04489">
        <w:rPr>
          <w:rFonts w:ascii="Times New Roman" w:hAnsi="Times New Roman"/>
        </w:rPr>
        <w:t xml:space="preserve"> commerce</w:t>
      </w:r>
      <w:r w:rsidR="00631F48" w:rsidRPr="00A04489">
        <w:rPr>
          <w:rFonts w:ascii="Times New Roman" w:hAnsi="Times New Roman"/>
        </w:rPr>
        <w:t>,</w:t>
      </w:r>
      <w:r w:rsidRPr="00A04489">
        <w:rPr>
          <w:rFonts w:ascii="Times New Roman" w:hAnsi="Times New Roman"/>
        </w:rPr>
        <w:t xml:space="preserve"> and effects a disadvantage to interstate trade or commerce.</w:t>
      </w:r>
    </w:p>
    <w:p w14:paraId="415B9B38" w14:textId="77777777"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Not all laws which apply differentially so as to effect a discriminatory burden on interstate trade or commerce will infringe s 92. This possibility arises because the guarantee of freedom is not absolute, as previously discussed. Where such a law has a purpose which is evidently not of a protectionist kind it may, subject to a further requirement, be valid. The law in </w:t>
      </w:r>
      <w:r w:rsidRPr="00A04489">
        <w:rPr>
          <w:rFonts w:ascii="Times New Roman" w:hAnsi="Times New Roman"/>
          <w:i/>
        </w:rPr>
        <w:t>Cole v Whitfield</w:t>
      </w:r>
      <w:r w:rsidRPr="00A04489">
        <w:rPr>
          <w:rFonts w:ascii="Times New Roman" w:hAnsi="Times New Roman"/>
        </w:rPr>
        <w:t xml:space="preserve"> was of this kind.</w:t>
      </w:r>
    </w:p>
    <w:p w14:paraId="725E8503" w14:textId="17D129AF"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The </w:t>
      </w:r>
      <w:r w:rsidR="005D5005" w:rsidRPr="00A04489">
        <w:rPr>
          <w:rFonts w:ascii="Times New Roman" w:hAnsi="Times New Roman"/>
        </w:rPr>
        <w:t>respondent</w:t>
      </w:r>
      <w:r w:rsidR="00806D2C" w:rsidRPr="00A04489">
        <w:rPr>
          <w:rFonts w:ascii="Times New Roman" w:hAnsi="Times New Roman"/>
        </w:rPr>
        <w:t>s</w:t>
      </w:r>
      <w:r w:rsidRPr="00A04489">
        <w:rPr>
          <w:rFonts w:ascii="Times New Roman" w:hAnsi="Times New Roman"/>
        </w:rPr>
        <w:t xml:space="preserve"> in </w:t>
      </w:r>
      <w:r w:rsidRPr="00A04489">
        <w:rPr>
          <w:rFonts w:ascii="Times New Roman" w:hAnsi="Times New Roman"/>
          <w:i/>
        </w:rPr>
        <w:t xml:space="preserve">Cole v Whitfield </w:t>
      </w:r>
      <w:r w:rsidRPr="00A04489">
        <w:rPr>
          <w:rFonts w:ascii="Times New Roman" w:hAnsi="Times New Roman"/>
        </w:rPr>
        <w:t xml:space="preserve">sought to bring crayfish to Tasmania from South Australia in the course of </w:t>
      </w:r>
      <w:r w:rsidR="00806D2C" w:rsidRPr="00A04489">
        <w:rPr>
          <w:rFonts w:ascii="Times New Roman" w:hAnsi="Times New Roman"/>
        </w:rPr>
        <w:t>their</w:t>
      </w:r>
      <w:r w:rsidRPr="00A04489">
        <w:rPr>
          <w:rFonts w:ascii="Times New Roman" w:hAnsi="Times New Roman"/>
        </w:rPr>
        <w:t xml:space="preserve"> interstate trade. The regulation in question prohibited </w:t>
      </w:r>
      <w:r w:rsidR="00337926" w:rsidRPr="00A04489">
        <w:rPr>
          <w:rFonts w:ascii="Times New Roman" w:hAnsi="Times New Roman"/>
        </w:rPr>
        <w:t xml:space="preserve">the </w:t>
      </w:r>
      <w:r w:rsidR="003F1263" w:rsidRPr="00A04489">
        <w:rPr>
          <w:rFonts w:ascii="Times New Roman" w:hAnsi="Times New Roman"/>
        </w:rPr>
        <w:t>possession</w:t>
      </w:r>
      <w:r w:rsidR="00337926" w:rsidRPr="00A04489">
        <w:rPr>
          <w:rFonts w:ascii="Times New Roman" w:hAnsi="Times New Roman"/>
        </w:rPr>
        <w:t xml:space="preserve"> of </w:t>
      </w:r>
      <w:r w:rsidRPr="00A04489">
        <w:rPr>
          <w:rFonts w:ascii="Times New Roman" w:hAnsi="Times New Roman"/>
        </w:rPr>
        <w:t xml:space="preserve">crayfish less than a particular size </w:t>
      </w:r>
      <w:r w:rsidR="008421DE" w:rsidRPr="00A04489">
        <w:rPr>
          <w:rFonts w:ascii="Times New Roman" w:hAnsi="Times New Roman"/>
        </w:rPr>
        <w:t>in Tasmania</w:t>
      </w:r>
      <w:r w:rsidRPr="00A04489">
        <w:rPr>
          <w:rFonts w:ascii="Times New Roman" w:hAnsi="Times New Roman"/>
        </w:rPr>
        <w:t>. The law was seen as burdening interstate trade</w:t>
      </w:r>
      <w:r w:rsidRPr="00A04489">
        <w:rPr>
          <w:rStyle w:val="FootnoteReference"/>
          <w:rFonts w:ascii="Times New Roman" w:hAnsi="Times New Roman"/>
          <w:sz w:val="24"/>
        </w:rPr>
        <w:footnoteReference w:id="25"/>
      </w:r>
      <w:r w:rsidRPr="00A04489">
        <w:rPr>
          <w:rFonts w:ascii="Times New Roman" w:hAnsi="Times New Roman"/>
        </w:rPr>
        <w:t>. It was protectionist in purpose, but in a sense different from protectionism in trade. Its purpose was to protect and conserve a valuable natural resource, namely the stock of Tasmanian crayfish. This purpose, the Court said, is not a form of protection which gives a market advantage</w:t>
      </w:r>
      <w:r w:rsidRPr="00A04489">
        <w:rPr>
          <w:rStyle w:val="FootnoteReference"/>
          <w:rFonts w:ascii="Times New Roman" w:hAnsi="Times New Roman"/>
          <w:sz w:val="24"/>
        </w:rPr>
        <w:footnoteReference w:id="26"/>
      </w:r>
      <w:r w:rsidRPr="00A04489">
        <w:rPr>
          <w:rFonts w:ascii="Times New Roman" w:hAnsi="Times New Roman"/>
        </w:rPr>
        <w:t>. It concluded that the law could not be described as discriminatory and protectionist in the sense referable to s 92</w:t>
      </w:r>
      <w:r w:rsidRPr="00A04489">
        <w:rPr>
          <w:rStyle w:val="FootnoteReference"/>
          <w:rFonts w:ascii="Times New Roman" w:hAnsi="Times New Roman"/>
          <w:sz w:val="24"/>
        </w:rPr>
        <w:footnoteReference w:id="27"/>
      </w:r>
      <w:r w:rsidRPr="00A04489">
        <w:rPr>
          <w:rFonts w:ascii="Times New Roman" w:hAnsi="Times New Roman"/>
        </w:rPr>
        <w:t>.</w:t>
      </w:r>
    </w:p>
    <w:p w14:paraId="2F21C3D8" w14:textId="367B8807"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The law's character as non-protectionist was not the only feature which saved it from invalidity. It is important to observe what was said in </w:t>
      </w:r>
      <w:r w:rsidRPr="00A04489">
        <w:rPr>
          <w:rFonts w:ascii="Times New Roman" w:hAnsi="Times New Roman"/>
          <w:i/>
        </w:rPr>
        <w:t>Cole v Whitfield</w:t>
      </w:r>
      <w:r w:rsidRPr="00A04489">
        <w:rPr>
          <w:rFonts w:ascii="Times New Roman" w:hAnsi="Times New Roman"/>
        </w:rPr>
        <w:t xml:space="preserve"> concerning the need for the law. The Court said</w:t>
      </w:r>
      <w:r w:rsidRPr="00A04489">
        <w:rPr>
          <w:rStyle w:val="FootnoteReference"/>
          <w:rFonts w:ascii="Times New Roman" w:hAnsi="Times New Roman"/>
          <w:sz w:val="24"/>
        </w:rPr>
        <w:footnoteReference w:id="28"/>
      </w:r>
      <w:r w:rsidRPr="00A04489">
        <w:rPr>
          <w:rFonts w:ascii="Times New Roman" w:hAnsi="Times New Roman"/>
        </w:rPr>
        <w:t xml:space="preserve"> that the extension of the prohibition beyond crayfish in Tasmania to </w:t>
      </w:r>
      <w:r w:rsidR="00233AF5" w:rsidRPr="00A04489">
        <w:rPr>
          <w:rFonts w:ascii="Times New Roman" w:hAnsi="Times New Roman"/>
        </w:rPr>
        <w:t xml:space="preserve">imported </w:t>
      </w:r>
      <w:r w:rsidRPr="00A04489">
        <w:rPr>
          <w:rFonts w:ascii="Times New Roman" w:hAnsi="Times New Roman"/>
        </w:rPr>
        <w:t>interstate crayfish was necessary to prevent undersized crayfish being caught in Tasmanian waters. It was necessary because it was not possible for the State to undertake inspections</w:t>
      </w:r>
      <w:r w:rsidR="00597E25" w:rsidRPr="00A04489">
        <w:rPr>
          <w:rFonts w:ascii="Times New Roman" w:hAnsi="Times New Roman"/>
        </w:rPr>
        <w:t xml:space="preserve"> other than random inspections</w:t>
      </w:r>
      <w:r w:rsidRPr="00A04489">
        <w:rPr>
          <w:rFonts w:ascii="Times New Roman" w:hAnsi="Times New Roman"/>
        </w:rPr>
        <w:t xml:space="preserve"> </w:t>
      </w:r>
      <w:r w:rsidR="001077EC" w:rsidRPr="00A04489">
        <w:rPr>
          <w:rFonts w:ascii="Times New Roman" w:hAnsi="Times New Roman"/>
        </w:rPr>
        <w:t xml:space="preserve">and </w:t>
      </w:r>
      <w:r w:rsidR="003006F7" w:rsidRPr="00A04489">
        <w:rPr>
          <w:rFonts w:ascii="Times New Roman" w:hAnsi="Times New Roman"/>
        </w:rPr>
        <w:t xml:space="preserve">it </w:t>
      </w:r>
      <w:r w:rsidR="001077EC" w:rsidRPr="00A04489">
        <w:rPr>
          <w:rFonts w:ascii="Times New Roman" w:hAnsi="Times New Roman"/>
        </w:rPr>
        <w:t>could not</w:t>
      </w:r>
      <w:r w:rsidRPr="00A04489">
        <w:rPr>
          <w:rFonts w:ascii="Times New Roman" w:hAnsi="Times New Roman"/>
        </w:rPr>
        <w:t xml:space="preserve"> determine which were and </w:t>
      </w:r>
      <w:r w:rsidR="003006F7" w:rsidRPr="00A04489">
        <w:rPr>
          <w:rFonts w:ascii="Times New Roman" w:hAnsi="Times New Roman"/>
        </w:rPr>
        <w:t xml:space="preserve">which </w:t>
      </w:r>
      <w:r w:rsidRPr="00A04489">
        <w:rPr>
          <w:rFonts w:ascii="Times New Roman" w:hAnsi="Times New Roman"/>
        </w:rPr>
        <w:t xml:space="preserve">were not Tasmanian crayfish. The Court may be understood to say that there was no real alternative to the prohibition on the </w:t>
      </w:r>
      <w:r w:rsidR="00162C25" w:rsidRPr="00A04489">
        <w:rPr>
          <w:rFonts w:ascii="Times New Roman" w:hAnsi="Times New Roman"/>
        </w:rPr>
        <w:t>sale and possession</w:t>
      </w:r>
      <w:r w:rsidRPr="00A04489">
        <w:rPr>
          <w:rFonts w:ascii="Times New Roman" w:hAnsi="Times New Roman"/>
        </w:rPr>
        <w:t xml:space="preserve"> of undersized crayfish</w:t>
      </w:r>
      <w:r w:rsidR="00162C25" w:rsidRPr="00A04489">
        <w:rPr>
          <w:rFonts w:ascii="Times New Roman" w:hAnsi="Times New Roman"/>
        </w:rPr>
        <w:t xml:space="preserve"> imported</w:t>
      </w:r>
      <w:r w:rsidRPr="00A04489">
        <w:rPr>
          <w:rFonts w:ascii="Times New Roman" w:hAnsi="Times New Roman"/>
        </w:rPr>
        <w:t xml:space="preserve"> from interstate if the statutory objecti</w:t>
      </w:r>
      <w:r w:rsidR="003D7BCD" w:rsidRPr="00A04489">
        <w:rPr>
          <w:rFonts w:ascii="Times New Roman" w:hAnsi="Times New Roman"/>
        </w:rPr>
        <w:t>ve</w:t>
      </w:r>
      <w:r w:rsidRPr="00A04489">
        <w:rPr>
          <w:rFonts w:ascii="Times New Roman" w:hAnsi="Times New Roman"/>
        </w:rPr>
        <w:t xml:space="preserve"> of protection of crayfish stock in Tasmania was to be achieved.</w:t>
      </w:r>
    </w:p>
    <w:p w14:paraId="3D6303C5" w14:textId="7F389775"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The purpose of the law in </w:t>
      </w:r>
      <w:r w:rsidRPr="00A04489">
        <w:rPr>
          <w:rFonts w:ascii="Times New Roman" w:hAnsi="Times New Roman"/>
          <w:i/>
        </w:rPr>
        <w:t>Cole v Whitfield</w:t>
      </w:r>
      <w:r w:rsidRPr="00A04489">
        <w:rPr>
          <w:rFonts w:ascii="Times New Roman" w:hAnsi="Times New Roman"/>
        </w:rPr>
        <w:t xml:space="preserve"> may be contrasted with the purposes identified with respect to the laws in question in </w:t>
      </w:r>
      <w:r w:rsidRPr="00A04489">
        <w:rPr>
          <w:rFonts w:ascii="Times New Roman" w:hAnsi="Times New Roman"/>
          <w:i/>
        </w:rPr>
        <w:t>Castlemaine Tooheys Ltd v South Australia</w:t>
      </w:r>
      <w:r w:rsidRPr="00A04489">
        <w:rPr>
          <w:rStyle w:val="FootnoteReference"/>
          <w:rFonts w:ascii="Times New Roman" w:hAnsi="Times New Roman"/>
          <w:sz w:val="24"/>
        </w:rPr>
        <w:footnoteReference w:id="29"/>
      </w:r>
      <w:r w:rsidRPr="00A04489">
        <w:rPr>
          <w:rFonts w:ascii="Times New Roman" w:hAnsi="Times New Roman"/>
        </w:rPr>
        <w:t>. It was accepted in the joint judgment</w:t>
      </w:r>
      <w:r w:rsidR="00A341C0" w:rsidRPr="00A04489">
        <w:rPr>
          <w:rFonts w:ascii="Times New Roman" w:hAnsi="Times New Roman"/>
        </w:rPr>
        <w:t xml:space="preserve"> of Mason CJ, Brennan, Deane, Dawson and Toohey JJ</w:t>
      </w:r>
      <w:r w:rsidRPr="00A04489">
        <w:rPr>
          <w:rStyle w:val="FootnoteReference"/>
          <w:rFonts w:ascii="Times New Roman" w:hAnsi="Times New Roman"/>
          <w:sz w:val="24"/>
        </w:rPr>
        <w:footnoteReference w:id="30"/>
      </w:r>
      <w:r w:rsidRPr="00A04489">
        <w:rPr>
          <w:rFonts w:ascii="Times New Roman" w:hAnsi="Times New Roman"/>
        </w:rPr>
        <w:t xml:space="preserve"> that there were "rational and legitimate" grounds for the apprehension that non</w:t>
      </w:r>
      <w:r w:rsidRPr="00A04489">
        <w:rPr>
          <w:rFonts w:ascii="Times New Roman" w:hAnsi="Times New Roman"/>
        </w:rPr>
        <w:noBreakHyphen/>
        <w:t>refillable bottles contribute to the problem of litter and decrease the State's energy resources. If the legislative measures were "appropriate and adapted" to the resolution of those problems, their Honours said, they would be consistent with s 92. That would be so if the burden imposed on interstate trade "was incidental and not disproportionate</w:t>
      </w:r>
      <w:r w:rsidRPr="00A04489" w:rsidDel="00763142">
        <w:rPr>
          <w:rFonts w:ascii="Times New Roman" w:hAnsi="Times New Roman"/>
        </w:rPr>
        <w:t>"</w:t>
      </w:r>
      <w:r w:rsidRPr="00A04489">
        <w:rPr>
          <w:rFonts w:ascii="Times New Roman" w:hAnsi="Times New Roman"/>
        </w:rPr>
        <w:t xml:space="preserve"> to the achievement</w:t>
      </w:r>
      <w:r w:rsidR="00764957" w:rsidRPr="00A04489">
        <w:rPr>
          <w:rFonts w:ascii="Times New Roman" w:hAnsi="Times New Roman"/>
        </w:rPr>
        <w:t xml:space="preserve"> of those purposes</w:t>
      </w:r>
      <w:r w:rsidRPr="00A04489">
        <w:rPr>
          <w:rFonts w:ascii="Times New Roman" w:hAnsi="Times New Roman"/>
        </w:rPr>
        <w:t>.</w:t>
      </w:r>
    </w:p>
    <w:p w14:paraId="1A946F4A" w14:textId="4E38EC20"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The joint judgment in </w:t>
      </w:r>
      <w:r w:rsidRPr="00A04489">
        <w:rPr>
          <w:rFonts w:ascii="Times New Roman" w:hAnsi="Times New Roman"/>
          <w:i/>
        </w:rPr>
        <w:t>Castlemaine Tooheys</w:t>
      </w:r>
      <w:r w:rsidRPr="00A04489">
        <w:rPr>
          <w:rFonts w:ascii="Times New Roman" w:hAnsi="Times New Roman"/>
        </w:rPr>
        <w:t xml:space="preserve"> concluded</w:t>
      </w:r>
      <w:r w:rsidRPr="00A04489">
        <w:rPr>
          <w:rStyle w:val="FootnoteReference"/>
          <w:rFonts w:ascii="Times New Roman" w:hAnsi="Times New Roman"/>
          <w:sz w:val="24"/>
        </w:rPr>
        <w:footnoteReference w:id="31"/>
      </w:r>
      <w:r w:rsidRPr="00A04489">
        <w:rPr>
          <w:rFonts w:ascii="Times New Roman" w:hAnsi="Times New Roman"/>
        </w:rPr>
        <w:t xml:space="preserve"> that neither purpose provided "an acceptable explanation or justification for the differential treatment" given to the plaintiffs' products. </w:t>
      </w:r>
      <w:r w:rsidRPr="00A04489">
        <w:rPr>
          <w:rFonts w:ascii="Times New Roman" w:hAnsi="Times New Roman"/>
          <w:i/>
        </w:rPr>
        <w:t xml:space="preserve">Betfair Pty Ltd v Western Australia </w:t>
      </w:r>
      <w:r w:rsidRPr="00A04489">
        <w:rPr>
          <w:rFonts w:ascii="Times New Roman" w:hAnsi="Times New Roman"/>
        </w:rPr>
        <w:t>(</w:t>
      </w:r>
      <w:r w:rsidR="00594FFA" w:rsidRPr="00A04489">
        <w:rPr>
          <w:rFonts w:ascii="Times New Roman" w:hAnsi="Times New Roman"/>
        </w:rPr>
        <w:t>"</w:t>
      </w:r>
      <w:r w:rsidRPr="00A04489">
        <w:rPr>
          <w:rFonts w:ascii="Times New Roman" w:hAnsi="Times New Roman"/>
          <w:i/>
        </w:rPr>
        <w:t>Betfair No</w:t>
      </w:r>
      <w:r w:rsidR="00990DC2" w:rsidRPr="00A04489">
        <w:rPr>
          <w:rFonts w:ascii="Times New Roman" w:hAnsi="Times New Roman"/>
          <w:i/>
        </w:rPr>
        <w:t xml:space="preserve"> </w:t>
      </w:r>
      <w:r w:rsidRPr="00A04489">
        <w:rPr>
          <w:rFonts w:ascii="Times New Roman" w:hAnsi="Times New Roman"/>
          <w:i/>
        </w:rPr>
        <w:t>1</w:t>
      </w:r>
      <w:r w:rsidR="00594FFA" w:rsidRPr="00A04489">
        <w:rPr>
          <w:rFonts w:ascii="Times New Roman" w:hAnsi="Times New Roman"/>
        </w:rPr>
        <w:t>"</w:t>
      </w:r>
      <w:r w:rsidRPr="00A04489">
        <w:rPr>
          <w:rFonts w:ascii="Times New Roman" w:hAnsi="Times New Roman"/>
        </w:rPr>
        <w:t>)</w:t>
      </w:r>
      <w:r w:rsidRPr="00A04489">
        <w:rPr>
          <w:rStyle w:val="FootnoteReference"/>
          <w:rFonts w:ascii="Times New Roman" w:hAnsi="Times New Roman"/>
          <w:sz w:val="24"/>
        </w:rPr>
        <w:footnoteReference w:id="32"/>
      </w:r>
      <w:r w:rsidRPr="00A04489">
        <w:rPr>
          <w:rFonts w:ascii="Times New Roman" w:hAnsi="Times New Roman"/>
        </w:rPr>
        <w:t xml:space="preserve"> was more clearly to articulate that the justification required of a discriminatory law which burdened interstate trade was that it be reasonably necessary to achieve its non-protectionist purpose.</w:t>
      </w:r>
    </w:p>
    <w:p w14:paraId="4B7E31BD" w14:textId="13F00409" w:rsidR="00DC2929" w:rsidRPr="00A04489" w:rsidRDefault="00DC2929" w:rsidP="00A04489">
      <w:pPr>
        <w:pStyle w:val="HeadingL2"/>
        <w:spacing w:after="260" w:line="280" w:lineRule="exact"/>
        <w:ind w:right="0"/>
        <w:jc w:val="both"/>
        <w:rPr>
          <w:rFonts w:ascii="Times New Roman" w:hAnsi="Times New Roman"/>
        </w:rPr>
      </w:pPr>
      <w:r w:rsidRPr="00A04489">
        <w:rPr>
          <w:rFonts w:ascii="Times New Roman" w:hAnsi="Times New Roman"/>
        </w:rPr>
        <w:t xml:space="preserve">Betfair No 1 </w:t>
      </w:r>
      <w:r w:rsidR="00BB07F4" w:rsidRPr="00A04489">
        <w:rPr>
          <w:rFonts w:ascii="Times New Roman" w:hAnsi="Times New Roman"/>
        </w:rPr>
        <w:t>–</w:t>
      </w:r>
      <w:r w:rsidRPr="00A04489">
        <w:rPr>
          <w:rFonts w:ascii="Times New Roman" w:hAnsi="Times New Roman"/>
        </w:rPr>
        <w:t xml:space="preserve"> justifying a burden</w:t>
      </w:r>
    </w:p>
    <w:p w14:paraId="434700EB" w14:textId="4A4CA178"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In the joint judgment in </w:t>
      </w:r>
      <w:r w:rsidRPr="00A04489">
        <w:rPr>
          <w:rFonts w:ascii="Times New Roman" w:hAnsi="Times New Roman"/>
          <w:i/>
        </w:rPr>
        <w:t>Betfair No</w:t>
      </w:r>
      <w:r w:rsidR="00990DC2" w:rsidRPr="00A04489">
        <w:rPr>
          <w:rFonts w:ascii="Times New Roman" w:hAnsi="Times New Roman"/>
          <w:i/>
        </w:rPr>
        <w:t xml:space="preserve"> </w:t>
      </w:r>
      <w:r w:rsidRPr="00A04489">
        <w:rPr>
          <w:rFonts w:ascii="Times New Roman" w:hAnsi="Times New Roman"/>
          <w:i/>
        </w:rPr>
        <w:t>1</w:t>
      </w:r>
      <w:r w:rsidRPr="00A04489">
        <w:rPr>
          <w:rStyle w:val="FootnoteReference"/>
          <w:rFonts w:ascii="Times New Roman" w:hAnsi="Times New Roman"/>
          <w:sz w:val="24"/>
        </w:rPr>
        <w:footnoteReference w:id="33"/>
      </w:r>
      <w:r w:rsidRPr="00A04489">
        <w:rPr>
          <w:rFonts w:ascii="Times New Roman" w:hAnsi="Times New Roman"/>
        </w:rPr>
        <w:t xml:space="preserve"> it was said that considerations to which weight must be given in an assessment of the "proportionality" between the differential burden imposed by the laws on an out-of-</w:t>
      </w:r>
      <w:r w:rsidR="007C39F1" w:rsidRPr="00A04489">
        <w:rPr>
          <w:rFonts w:ascii="Times New Roman" w:hAnsi="Times New Roman"/>
        </w:rPr>
        <w:t>S</w:t>
      </w:r>
      <w:r w:rsidRPr="00A04489">
        <w:rPr>
          <w:rFonts w:ascii="Times New Roman" w:hAnsi="Times New Roman"/>
        </w:rPr>
        <w:t>tate producer</w:t>
      </w:r>
      <w:r w:rsidR="001B2849" w:rsidRPr="00A04489">
        <w:rPr>
          <w:rFonts w:ascii="Times New Roman" w:hAnsi="Times New Roman"/>
        </w:rPr>
        <w:t>,</w:t>
      </w:r>
      <w:r w:rsidRPr="00A04489">
        <w:rPr>
          <w:rFonts w:ascii="Times New Roman" w:hAnsi="Times New Roman"/>
        </w:rPr>
        <w:t xml:space="preserve"> compared with the position of in</w:t>
      </w:r>
      <w:r w:rsidRPr="00A04489">
        <w:rPr>
          <w:rFonts w:ascii="Times New Roman" w:hAnsi="Times New Roman"/>
        </w:rPr>
        <w:noBreakHyphen/>
      </w:r>
      <w:r w:rsidR="00CB7B7D" w:rsidRPr="00A04489">
        <w:rPr>
          <w:rFonts w:ascii="Times New Roman" w:hAnsi="Times New Roman"/>
        </w:rPr>
        <w:t>S</w:t>
      </w:r>
      <w:r w:rsidRPr="00A04489">
        <w:rPr>
          <w:rFonts w:ascii="Times New Roman" w:hAnsi="Times New Roman"/>
        </w:rPr>
        <w:t>tate producers, suggest</w:t>
      </w:r>
      <w:r w:rsidR="000C6255" w:rsidRPr="00A04489">
        <w:rPr>
          <w:rFonts w:ascii="Times New Roman" w:hAnsi="Times New Roman"/>
        </w:rPr>
        <w:t>ed</w:t>
      </w:r>
      <w:r w:rsidRPr="00A04489">
        <w:rPr>
          <w:rFonts w:ascii="Times New Roman" w:hAnsi="Times New Roman"/>
        </w:rPr>
        <w:t xml:space="preserve"> the application of a criterion of "reasonable necessity" to the law in question. In </w:t>
      </w:r>
      <w:bookmarkStart w:id="2" w:name="_Hlk57057505"/>
      <w:r w:rsidRPr="00A04489">
        <w:rPr>
          <w:rFonts w:ascii="Times New Roman" w:hAnsi="Times New Roman"/>
          <w:i/>
        </w:rPr>
        <w:t>North Eastern Dairy Co Ltd v Dairy Industry Authority of NSW</w:t>
      </w:r>
      <w:bookmarkEnd w:id="2"/>
      <w:r w:rsidRPr="00A04489">
        <w:rPr>
          <w:rStyle w:val="FootnoteReference"/>
          <w:rFonts w:ascii="Times New Roman" w:hAnsi="Times New Roman"/>
          <w:sz w:val="24"/>
        </w:rPr>
        <w:footnoteReference w:id="34"/>
      </w:r>
      <w:r w:rsidRPr="00A04489">
        <w:rPr>
          <w:rFonts w:ascii="Times New Roman" w:hAnsi="Times New Roman"/>
        </w:rPr>
        <w:t>, Mason J had said that "</w:t>
      </w:r>
      <w:r w:rsidR="00AD6012" w:rsidRPr="00A04489">
        <w:rPr>
          <w:rFonts w:ascii="Times New Roman" w:hAnsi="Times New Roman"/>
        </w:rPr>
        <w:t>[</w:t>
      </w:r>
      <w:r w:rsidRPr="00A04489">
        <w:rPr>
          <w:rFonts w:ascii="Times New Roman" w:hAnsi="Times New Roman"/>
        </w:rPr>
        <w:t>a</w:t>
      </w:r>
      <w:r w:rsidR="00AD6012" w:rsidRPr="00A04489">
        <w:rPr>
          <w:rFonts w:ascii="Times New Roman" w:hAnsi="Times New Roman"/>
        </w:rPr>
        <w:t>]</w:t>
      </w:r>
      <w:r w:rsidRPr="00A04489">
        <w:rPr>
          <w:rFonts w:ascii="Times New Roman" w:hAnsi="Times New Roman"/>
        </w:rPr>
        <w:t xml:space="preserve">s the defendant has failed to show that the discriminatory mode of regulation selected is necessary for the protection of public health, it is in my judgment not a reasonable regulation of </w:t>
      </w:r>
      <w:r w:rsidR="00DA3DA9" w:rsidRPr="00A04489">
        <w:rPr>
          <w:rFonts w:ascii="Times New Roman" w:hAnsi="Times New Roman"/>
        </w:rPr>
        <w:t xml:space="preserve">the </w:t>
      </w:r>
      <w:r w:rsidRPr="00A04489">
        <w:rPr>
          <w:rFonts w:ascii="Times New Roman" w:hAnsi="Times New Roman"/>
        </w:rPr>
        <w:t>interstate trade in pasteuri</w:t>
      </w:r>
      <w:r w:rsidR="00DA3DA9" w:rsidRPr="00A04489">
        <w:rPr>
          <w:rFonts w:ascii="Times New Roman" w:hAnsi="Times New Roman"/>
        </w:rPr>
        <w:t>z</w:t>
      </w:r>
      <w:r w:rsidRPr="00A04489">
        <w:rPr>
          <w:rFonts w:ascii="Times New Roman" w:hAnsi="Times New Roman"/>
        </w:rPr>
        <w:t xml:space="preserve">ed milk". That view of the matter, it was said in </w:t>
      </w:r>
      <w:r w:rsidRPr="00A04489">
        <w:rPr>
          <w:rFonts w:ascii="Times New Roman" w:hAnsi="Times New Roman"/>
          <w:i/>
        </w:rPr>
        <w:t>Betfair No</w:t>
      </w:r>
      <w:r w:rsidR="00990DC2" w:rsidRPr="00A04489">
        <w:rPr>
          <w:rFonts w:ascii="Times New Roman" w:hAnsi="Times New Roman"/>
          <w:i/>
        </w:rPr>
        <w:t xml:space="preserve"> </w:t>
      </w:r>
      <w:r w:rsidRPr="00A04489">
        <w:rPr>
          <w:rFonts w:ascii="Times New Roman" w:hAnsi="Times New Roman"/>
          <w:i/>
        </w:rPr>
        <w:t>1</w:t>
      </w:r>
      <w:r w:rsidRPr="00A04489">
        <w:rPr>
          <w:rFonts w:ascii="Times New Roman" w:hAnsi="Times New Roman"/>
        </w:rPr>
        <w:t>, "should be accepted as the doctrine of the Court"</w:t>
      </w:r>
      <w:r w:rsidRPr="00A04489">
        <w:rPr>
          <w:rStyle w:val="FootnoteReference"/>
          <w:rFonts w:ascii="Times New Roman" w:hAnsi="Times New Roman"/>
          <w:sz w:val="24"/>
        </w:rPr>
        <w:footnoteReference w:id="35"/>
      </w:r>
      <w:r w:rsidRPr="00A04489">
        <w:rPr>
          <w:rFonts w:ascii="Times New Roman" w:hAnsi="Times New Roman"/>
        </w:rPr>
        <w:t>. It was, the</w:t>
      </w:r>
      <w:r w:rsidR="00FC4015" w:rsidRPr="00A04489">
        <w:rPr>
          <w:rFonts w:ascii="Times New Roman" w:hAnsi="Times New Roman"/>
        </w:rPr>
        <w:t>ir</w:t>
      </w:r>
      <w:r w:rsidRPr="00A04489">
        <w:rPr>
          <w:rFonts w:ascii="Times New Roman" w:hAnsi="Times New Roman"/>
        </w:rPr>
        <w:t xml:space="preserve"> </w:t>
      </w:r>
      <w:r w:rsidR="004924D3" w:rsidRPr="00A04489">
        <w:rPr>
          <w:rFonts w:ascii="Times New Roman" w:hAnsi="Times New Roman"/>
        </w:rPr>
        <w:t>Honours</w:t>
      </w:r>
      <w:r w:rsidRPr="00A04489">
        <w:rPr>
          <w:rFonts w:ascii="Times New Roman" w:hAnsi="Times New Roman"/>
        </w:rPr>
        <w:t xml:space="preserve"> observed, consistent with the explanation given in </w:t>
      </w:r>
      <w:r w:rsidRPr="00A04489">
        <w:rPr>
          <w:rFonts w:ascii="Times New Roman" w:hAnsi="Times New Roman"/>
          <w:i/>
        </w:rPr>
        <w:t>Cole v Whitfield</w:t>
      </w:r>
      <w:r w:rsidRPr="00A04489">
        <w:rPr>
          <w:rFonts w:ascii="Times New Roman" w:hAnsi="Times New Roman"/>
        </w:rPr>
        <w:t xml:space="preserve"> of the justification of the total prohibition on sale of </w:t>
      </w:r>
      <w:r w:rsidR="007C575E" w:rsidRPr="00A04489">
        <w:rPr>
          <w:rFonts w:ascii="Times New Roman" w:hAnsi="Times New Roman"/>
        </w:rPr>
        <w:t xml:space="preserve">undersized </w:t>
      </w:r>
      <w:r w:rsidRPr="00A04489">
        <w:rPr>
          <w:rFonts w:ascii="Times New Roman" w:hAnsi="Times New Roman"/>
        </w:rPr>
        <w:t>crayfish.</w:t>
      </w:r>
    </w:p>
    <w:p w14:paraId="15FB085F" w14:textId="78DB543A"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The </w:t>
      </w:r>
      <w:r w:rsidR="00245EF8" w:rsidRPr="00A04489">
        <w:rPr>
          <w:rFonts w:ascii="Times New Roman" w:hAnsi="Times New Roman"/>
        </w:rPr>
        <w:t xml:space="preserve">first </w:t>
      </w:r>
      <w:r w:rsidRPr="00A04489">
        <w:rPr>
          <w:rFonts w:ascii="Times New Roman" w:hAnsi="Times New Roman"/>
        </w:rPr>
        <w:t xml:space="preserve">plaintiff in </w:t>
      </w:r>
      <w:r w:rsidRPr="00A04489">
        <w:rPr>
          <w:rFonts w:ascii="Times New Roman" w:hAnsi="Times New Roman"/>
          <w:i/>
        </w:rPr>
        <w:t>Betfair No</w:t>
      </w:r>
      <w:r w:rsidR="00990DC2" w:rsidRPr="00A04489">
        <w:rPr>
          <w:rFonts w:ascii="Times New Roman" w:hAnsi="Times New Roman"/>
          <w:i/>
        </w:rPr>
        <w:t xml:space="preserve"> </w:t>
      </w:r>
      <w:r w:rsidRPr="00A04489">
        <w:rPr>
          <w:rFonts w:ascii="Times New Roman" w:hAnsi="Times New Roman"/>
          <w:i/>
        </w:rPr>
        <w:t>1</w:t>
      </w:r>
      <w:r w:rsidRPr="00A04489">
        <w:rPr>
          <w:rFonts w:ascii="Times New Roman" w:hAnsi="Times New Roman"/>
        </w:rPr>
        <w:t xml:space="preserve"> conducted a betting exchange in Tasmania through the use of the internet and telephone call centre</w:t>
      </w:r>
      <w:r w:rsidR="004C3B14" w:rsidRPr="00A04489">
        <w:rPr>
          <w:rFonts w:ascii="Times New Roman" w:hAnsi="Times New Roman"/>
        </w:rPr>
        <w:t>s</w:t>
      </w:r>
      <w:r w:rsidRPr="00A04489">
        <w:rPr>
          <w:rFonts w:ascii="Times New Roman" w:hAnsi="Times New Roman"/>
        </w:rPr>
        <w:t xml:space="preserve">. Legislation in Western Australia made it an offence for a person to use a betting exchange and an offence to make available information as to the field of a horse or </w:t>
      </w:r>
      <w:r w:rsidR="001465C6" w:rsidRPr="00A04489">
        <w:rPr>
          <w:rFonts w:ascii="Times New Roman" w:hAnsi="Times New Roman"/>
        </w:rPr>
        <w:t>greyhound</w:t>
      </w:r>
      <w:r w:rsidRPr="00A04489">
        <w:rPr>
          <w:rFonts w:ascii="Times New Roman" w:hAnsi="Times New Roman"/>
        </w:rPr>
        <w:t xml:space="preserve"> race in Western Australia, without authorisation. The first</w:t>
      </w:r>
      <w:r w:rsidR="005C7559" w:rsidRPr="00A04489">
        <w:rPr>
          <w:rFonts w:ascii="Times New Roman" w:hAnsi="Times New Roman"/>
        </w:rPr>
        <w:t>-</w:t>
      </w:r>
      <w:r w:rsidRPr="00A04489">
        <w:rPr>
          <w:rFonts w:ascii="Times New Roman" w:hAnsi="Times New Roman"/>
        </w:rPr>
        <w:t xml:space="preserve">mentioned law effected a discriminatory burden of a protectionist kind; the second operated to the competitive disadvantage of interstate operators such as the </w:t>
      </w:r>
      <w:r w:rsidR="001C08BA" w:rsidRPr="00A04489">
        <w:rPr>
          <w:rFonts w:ascii="Times New Roman" w:hAnsi="Times New Roman"/>
        </w:rPr>
        <w:t xml:space="preserve">first </w:t>
      </w:r>
      <w:r w:rsidRPr="00A04489">
        <w:rPr>
          <w:rFonts w:ascii="Times New Roman" w:hAnsi="Times New Roman"/>
        </w:rPr>
        <w:t>plaintiff</w:t>
      </w:r>
      <w:r w:rsidR="00D16F54" w:rsidRPr="00A04489">
        <w:rPr>
          <w:rFonts w:ascii="Times New Roman" w:hAnsi="Times New Roman"/>
        </w:rPr>
        <w:t>, imposing a discriminatory burden of a protectionist kind</w:t>
      </w:r>
      <w:r w:rsidR="00241FD2" w:rsidRPr="00A04489">
        <w:rPr>
          <w:rStyle w:val="FootnoteReference"/>
          <w:rFonts w:ascii="Times New Roman" w:hAnsi="Times New Roman"/>
          <w:sz w:val="24"/>
        </w:rPr>
        <w:footnoteReference w:id="36"/>
      </w:r>
      <w:r w:rsidR="00B53246" w:rsidRPr="00A04489">
        <w:rPr>
          <w:rFonts w:ascii="Times New Roman" w:hAnsi="Times New Roman"/>
        </w:rPr>
        <w:t>.</w:t>
      </w:r>
      <w:r w:rsidR="00490B67" w:rsidRPr="00A04489">
        <w:rPr>
          <w:rFonts w:ascii="Times New Roman" w:hAnsi="Times New Roman"/>
        </w:rPr>
        <w:t xml:space="preserve"> </w:t>
      </w:r>
    </w:p>
    <w:p w14:paraId="5A7CE58C" w14:textId="57BFC9A3"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Western Australia argued that the measures were necessary to protect the integrity of the racing industry in that State. In the section of the joint judgment headed "Acceptable explanation or justification?"</w:t>
      </w:r>
      <w:r w:rsidRPr="00A04489">
        <w:rPr>
          <w:rStyle w:val="FootnoteReference"/>
          <w:rFonts w:ascii="Times New Roman" w:hAnsi="Times New Roman"/>
          <w:sz w:val="24"/>
        </w:rPr>
        <w:footnoteReference w:id="37"/>
      </w:r>
      <w:r w:rsidRPr="00A04489">
        <w:rPr>
          <w:rFonts w:ascii="Times New Roman" w:hAnsi="Times New Roman"/>
        </w:rPr>
        <w:t>, it was said that even allowing for the presence of some such threat to the racing industry, to which the legislative provisions might be directed, the prohibitions could not be justified. They could not be justified if there was the prospect of an alternative method of countering the threat and that method was "effective but non</w:t>
      </w:r>
      <w:r w:rsidRPr="00A04489">
        <w:rPr>
          <w:rFonts w:ascii="Times New Roman" w:hAnsi="Times New Roman"/>
        </w:rPr>
        <w:noBreakHyphen/>
        <w:t>discriminatory regulation"</w:t>
      </w:r>
      <w:r w:rsidRPr="00A04489">
        <w:rPr>
          <w:rStyle w:val="FootnoteReference"/>
          <w:rFonts w:ascii="Times New Roman" w:hAnsi="Times New Roman"/>
          <w:sz w:val="24"/>
        </w:rPr>
        <w:footnoteReference w:id="38"/>
      </w:r>
      <w:r w:rsidRPr="00A04489">
        <w:rPr>
          <w:rFonts w:ascii="Times New Roman" w:hAnsi="Times New Roman"/>
        </w:rPr>
        <w:t xml:space="preserve">. The </w:t>
      </w:r>
      <w:r w:rsidR="00973EEE" w:rsidRPr="00A04489">
        <w:rPr>
          <w:rFonts w:ascii="Times New Roman" w:hAnsi="Times New Roman"/>
        </w:rPr>
        <w:t>joint judgment</w:t>
      </w:r>
      <w:r w:rsidRPr="00A04489">
        <w:rPr>
          <w:rFonts w:ascii="Times New Roman" w:hAnsi="Times New Roman"/>
        </w:rPr>
        <w:t xml:space="preserve"> accepted that different legislative measures taken by Tasmania with respect to betting exchanges fulfilled these criteria. The prohibitions effected by the legislation in Western Australia could not therefore be said to be "necessary". Their Honours concluded that "the prohibitory State law is not proportionate; it is not appropriate and adapted to the propounded legislative object"</w:t>
      </w:r>
      <w:r w:rsidRPr="00A04489">
        <w:rPr>
          <w:rStyle w:val="FootnoteReference"/>
          <w:rFonts w:ascii="Times New Roman" w:hAnsi="Times New Roman"/>
          <w:sz w:val="24"/>
        </w:rPr>
        <w:footnoteReference w:id="39"/>
      </w:r>
      <w:r w:rsidRPr="00A04489">
        <w:rPr>
          <w:rFonts w:ascii="Times New Roman" w:hAnsi="Times New Roman"/>
        </w:rPr>
        <w:t>.</w:t>
      </w:r>
    </w:p>
    <w:p w14:paraId="047F1F2E" w14:textId="113B3AE5" w:rsidR="00DC2929" w:rsidRPr="00A04489" w:rsidRDefault="00DC2929" w:rsidP="00A04489">
      <w:pPr>
        <w:pStyle w:val="HeadingL2"/>
        <w:spacing w:after="260" w:line="280" w:lineRule="exact"/>
        <w:ind w:right="0"/>
        <w:jc w:val="both"/>
        <w:rPr>
          <w:rFonts w:ascii="Times New Roman" w:hAnsi="Times New Roman"/>
        </w:rPr>
      </w:pPr>
      <w:r w:rsidRPr="00A04489">
        <w:rPr>
          <w:rFonts w:ascii="Times New Roman" w:hAnsi="Times New Roman"/>
        </w:rPr>
        <w:t xml:space="preserve">Interstate movement </w:t>
      </w:r>
      <w:r w:rsidR="00CA7D8B" w:rsidRPr="00A04489">
        <w:rPr>
          <w:rFonts w:ascii="Times New Roman" w:hAnsi="Times New Roman"/>
        </w:rPr>
        <w:t>–</w:t>
      </w:r>
      <w:r w:rsidRPr="00A04489">
        <w:rPr>
          <w:rFonts w:ascii="Times New Roman" w:hAnsi="Times New Roman"/>
        </w:rPr>
        <w:t xml:space="preserve"> a distinction?</w:t>
      </w:r>
    </w:p>
    <w:p w14:paraId="1BDBC9BB" w14:textId="73A756D7"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The guarantee of freedom of interstate intercourse may be taken to refer to both physical movement and communication across State borders</w:t>
      </w:r>
      <w:r w:rsidR="00A20B6F" w:rsidRPr="00A04489">
        <w:rPr>
          <w:rFonts w:ascii="Times New Roman" w:hAnsi="Times New Roman"/>
        </w:rPr>
        <w:t>,</w:t>
      </w:r>
      <w:r w:rsidRPr="00A04489">
        <w:rPr>
          <w:rFonts w:ascii="Times New Roman" w:hAnsi="Times New Roman"/>
        </w:rPr>
        <w:t xml:space="preserve"> and to be directed to the circumstance where borders are used as barriers to freedom of movement between States. Until now there has been no occasion since </w:t>
      </w:r>
      <w:r w:rsidRPr="00A04489">
        <w:rPr>
          <w:rFonts w:ascii="Times New Roman" w:hAnsi="Times New Roman"/>
          <w:i/>
        </w:rPr>
        <w:t>Cole v Whitfield</w:t>
      </w:r>
      <w:r w:rsidRPr="00A04489">
        <w:rPr>
          <w:rFonts w:ascii="Times New Roman" w:hAnsi="Times New Roman"/>
        </w:rPr>
        <w:t xml:space="preserve"> fully to consider the distinction drawn in that case between this freedom and that respecting interstate trade and commerce.</w:t>
      </w:r>
    </w:p>
    <w:p w14:paraId="59D6D03E" w14:textId="4FC6C194"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Consistently with the rejection of the individual rights approach with respect to interstate trade and commerce</w:t>
      </w:r>
      <w:r w:rsidR="00976DD1" w:rsidRPr="00A04489">
        <w:rPr>
          <w:rFonts w:ascii="Times New Roman" w:hAnsi="Times New Roman"/>
        </w:rPr>
        <w:t>,</w:t>
      </w:r>
      <w:r w:rsidRPr="00A04489">
        <w:rPr>
          <w:rFonts w:ascii="Times New Roman" w:hAnsi="Times New Roman"/>
        </w:rPr>
        <w:t xml:space="preserve"> the Court in </w:t>
      </w:r>
      <w:r w:rsidRPr="00A04489">
        <w:rPr>
          <w:rFonts w:ascii="Times New Roman" w:hAnsi="Times New Roman"/>
          <w:i/>
        </w:rPr>
        <w:t>Cole v Whitfield</w:t>
      </w:r>
      <w:r w:rsidRPr="00A04489">
        <w:rPr>
          <w:rFonts w:ascii="Times New Roman" w:hAnsi="Times New Roman"/>
        </w:rPr>
        <w:t xml:space="preserve"> regarded s 92 as effecting a limit on laws which may be made affecting those subjects. But in discussion about interstate intercourse it took quite a different approach. It regarded the guarantee of freedom of interstate movement as </w:t>
      </w:r>
      <w:r w:rsidR="00581C31" w:rsidRPr="00A04489">
        <w:rPr>
          <w:rFonts w:ascii="Times New Roman" w:hAnsi="Times New Roman"/>
        </w:rPr>
        <w:t xml:space="preserve">extending to </w:t>
      </w:r>
      <w:r w:rsidRPr="00A04489">
        <w:rPr>
          <w:rFonts w:ascii="Times New Roman" w:hAnsi="Times New Roman"/>
        </w:rPr>
        <w:t xml:space="preserve">a "guarantee of personal freedom </w:t>
      </w:r>
      <w:r w:rsidR="000F66B0" w:rsidRPr="00A04489">
        <w:rPr>
          <w:rFonts w:ascii="Times New Roman" w:hAnsi="Times New Roman"/>
        </w:rPr>
        <w:t>'</w:t>
      </w:r>
      <w:r w:rsidRPr="00A04489">
        <w:rPr>
          <w:rFonts w:ascii="Times New Roman" w:hAnsi="Times New Roman"/>
        </w:rPr>
        <w:t>to pass to and fro among the States without burden, hindrance or restriction</w:t>
      </w:r>
      <w:r w:rsidR="00CF0FB3" w:rsidRPr="00A04489">
        <w:rPr>
          <w:rFonts w:ascii="Times New Roman" w:hAnsi="Times New Roman"/>
        </w:rPr>
        <w:t>'</w:t>
      </w:r>
      <w:r w:rsidRPr="00A04489">
        <w:rPr>
          <w:rFonts w:ascii="Times New Roman" w:hAnsi="Times New Roman"/>
        </w:rPr>
        <w:t>"</w:t>
      </w:r>
      <w:r w:rsidRPr="00A04489">
        <w:rPr>
          <w:rStyle w:val="FootnoteReference"/>
          <w:rFonts w:ascii="Times New Roman" w:hAnsi="Times New Roman"/>
          <w:sz w:val="24"/>
        </w:rPr>
        <w:footnoteReference w:id="40"/>
      </w:r>
      <w:r w:rsidRPr="00A04489">
        <w:rPr>
          <w:rFonts w:ascii="Times New Roman" w:hAnsi="Times New Roman"/>
        </w:rPr>
        <w:t xml:space="preserve">, drawing in part on what had been said by Starke J in </w:t>
      </w:r>
      <w:r w:rsidRPr="00A04489">
        <w:rPr>
          <w:rFonts w:ascii="Times New Roman" w:hAnsi="Times New Roman"/>
          <w:i/>
        </w:rPr>
        <w:t>Gratwick v Johnson</w:t>
      </w:r>
      <w:r w:rsidRPr="00A04489">
        <w:rPr>
          <w:rStyle w:val="FootnoteReference"/>
          <w:rFonts w:ascii="Times New Roman" w:hAnsi="Times New Roman"/>
          <w:sz w:val="24"/>
        </w:rPr>
        <w:footnoteReference w:id="41"/>
      </w:r>
      <w:r w:rsidRPr="00A04489">
        <w:rPr>
          <w:rFonts w:ascii="Times New Roman" w:hAnsi="Times New Roman"/>
        </w:rPr>
        <w:t xml:space="preserve">. </w:t>
      </w:r>
    </w:p>
    <w:p w14:paraId="20FFB50A" w14:textId="65AACF81"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It is understandable why it was thought necessary in </w:t>
      </w:r>
      <w:r w:rsidRPr="00A04489">
        <w:rPr>
          <w:rFonts w:ascii="Times New Roman" w:hAnsi="Times New Roman"/>
          <w:i/>
        </w:rPr>
        <w:t xml:space="preserve">Cole v Whitfield </w:t>
      </w:r>
      <w:r w:rsidRPr="00A04489">
        <w:rPr>
          <w:rFonts w:ascii="Times New Roman" w:hAnsi="Times New Roman"/>
        </w:rPr>
        <w:t xml:space="preserve">to make plain that s 92 was not intended as a protection of individual interstate traders. It was concerned more generally with effects on interstate trade and commerce. It is not entirely clear why it was thought necessary to retain the notion of a right of persons to pass between the States. It was not fully explained. The matter in </w:t>
      </w:r>
      <w:r w:rsidRPr="00A04489">
        <w:rPr>
          <w:rFonts w:ascii="Times New Roman" w:hAnsi="Times New Roman"/>
          <w:i/>
        </w:rPr>
        <w:t>Cole v Whitfield</w:t>
      </w:r>
      <w:r w:rsidRPr="00A04489">
        <w:rPr>
          <w:rFonts w:ascii="Times New Roman" w:hAnsi="Times New Roman"/>
        </w:rPr>
        <w:t xml:space="preserve"> engaged only the trade and commerce limb. Having distinguished the intercourse limb, no further discussion about it was engaged in. It was put to one side.</w:t>
      </w:r>
    </w:p>
    <w:p w14:paraId="0CD1044C" w14:textId="4B4BE0EA"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A basis given in </w:t>
      </w:r>
      <w:r w:rsidRPr="00A04489">
        <w:rPr>
          <w:rFonts w:ascii="Times New Roman" w:hAnsi="Times New Roman"/>
          <w:i/>
        </w:rPr>
        <w:t>Cole v Whitfield</w:t>
      </w:r>
      <w:r w:rsidRPr="00A04489">
        <w:rPr>
          <w:rFonts w:ascii="Times New Roman" w:hAnsi="Times New Roman"/>
        </w:rPr>
        <w:t xml:space="preserve"> for distinguishing between the two limbs was that some forms of interstate intercourse are likely of their nature to be immune from legislative or executive interference. If a like immunity were accorded to trade and commerce "anarchy </w:t>
      </w:r>
      <w:r w:rsidR="00415F03" w:rsidRPr="00A04489">
        <w:rPr>
          <w:rFonts w:ascii="Times New Roman" w:hAnsi="Times New Roman"/>
        </w:rPr>
        <w:t>w</w:t>
      </w:r>
      <w:r w:rsidRPr="00A04489">
        <w:rPr>
          <w:rFonts w:ascii="Times New Roman" w:hAnsi="Times New Roman"/>
        </w:rPr>
        <w:t>ould result"</w:t>
      </w:r>
      <w:r w:rsidRPr="00A04489">
        <w:rPr>
          <w:rStyle w:val="FootnoteReference"/>
          <w:rFonts w:ascii="Times New Roman" w:hAnsi="Times New Roman"/>
          <w:sz w:val="24"/>
        </w:rPr>
        <w:footnoteReference w:id="42"/>
      </w:r>
      <w:r w:rsidRPr="00A04489">
        <w:rPr>
          <w:rFonts w:ascii="Times New Roman" w:hAnsi="Times New Roman"/>
        </w:rPr>
        <w:t>. Since s 92 ha</w:t>
      </w:r>
      <w:r w:rsidR="00174AE8" w:rsidRPr="00A04489">
        <w:rPr>
          <w:rFonts w:ascii="Times New Roman" w:hAnsi="Times New Roman"/>
        </w:rPr>
        <w:t>d</w:t>
      </w:r>
      <w:r w:rsidRPr="00A04489">
        <w:rPr>
          <w:rFonts w:ascii="Times New Roman" w:hAnsi="Times New Roman"/>
        </w:rPr>
        <w:t xml:space="preserve"> never been understood to guarantee freedom to this extent, there is no reason, the Court said, for insisting on a strict correspondence between the freedoms</w:t>
      </w:r>
      <w:r w:rsidRPr="00A04489">
        <w:rPr>
          <w:rStyle w:val="FootnoteReference"/>
          <w:rFonts w:ascii="Times New Roman" w:hAnsi="Times New Roman"/>
          <w:sz w:val="24"/>
        </w:rPr>
        <w:footnoteReference w:id="43"/>
      </w:r>
      <w:r w:rsidRPr="00A04489">
        <w:rPr>
          <w:rFonts w:ascii="Times New Roman" w:hAnsi="Times New Roman"/>
        </w:rPr>
        <w:t>.</w:t>
      </w:r>
    </w:p>
    <w:p w14:paraId="499E8BE9" w14:textId="390052F1"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Some support for the distinction drawn in </w:t>
      </w:r>
      <w:r w:rsidRPr="00A04489">
        <w:rPr>
          <w:rFonts w:ascii="Times New Roman" w:hAnsi="Times New Roman"/>
          <w:i/>
        </w:rPr>
        <w:t>Cole v Whitfield</w:t>
      </w:r>
      <w:r w:rsidRPr="00A04489">
        <w:rPr>
          <w:rFonts w:ascii="Times New Roman" w:hAnsi="Times New Roman"/>
        </w:rPr>
        <w:t xml:space="preserve"> was said to arise from history. It may be accepted that interstate movement was </w:t>
      </w:r>
      <w:r w:rsidR="00077D15" w:rsidRPr="00A04489">
        <w:rPr>
          <w:rFonts w:ascii="Times New Roman" w:hAnsi="Times New Roman"/>
        </w:rPr>
        <w:t xml:space="preserve">not </w:t>
      </w:r>
      <w:r w:rsidRPr="00A04489">
        <w:rPr>
          <w:rFonts w:ascii="Times New Roman" w:hAnsi="Times New Roman"/>
        </w:rPr>
        <w:t xml:space="preserve">adopted at a </w:t>
      </w:r>
      <w:r w:rsidR="00535E93" w:rsidRPr="00A04489">
        <w:rPr>
          <w:rFonts w:ascii="Times New Roman" w:hAnsi="Times New Roman"/>
        </w:rPr>
        <w:t>later</w:t>
      </w:r>
      <w:r w:rsidRPr="00A04489">
        <w:rPr>
          <w:rFonts w:ascii="Times New Roman" w:hAnsi="Times New Roman"/>
        </w:rPr>
        <w:t xml:space="preserve"> point in the course of the Convention Debates and that it was no mere afterthought</w:t>
      </w:r>
      <w:r w:rsidRPr="00A04489">
        <w:rPr>
          <w:rStyle w:val="FootnoteReference"/>
          <w:rFonts w:ascii="Times New Roman" w:hAnsi="Times New Roman"/>
          <w:sz w:val="24"/>
        </w:rPr>
        <w:footnoteReference w:id="44"/>
      </w:r>
      <w:r w:rsidRPr="00A04489">
        <w:rPr>
          <w:rFonts w:ascii="Times New Roman" w:hAnsi="Times New Roman"/>
        </w:rPr>
        <w:t>. But as earlier observed</w:t>
      </w:r>
      <w:r w:rsidRPr="00A04489">
        <w:rPr>
          <w:rStyle w:val="FootnoteReference"/>
          <w:rFonts w:ascii="Times New Roman" w:hAnsi="Times New Roman"/>
          <w:sz w:val="24"/>
        </w:rPr>
        <w:footnoteReference w:id="45"/>
      </w:r>
      <w:r w:rsidRPr="00A04489">
        <w:rPr>
          <w:rFonts w:ascii="Times New Roman" w:hAnsi="Times New Roman"/>
        </w:rPr>
        <w:t xml:space="preserve">, </w:t>
      </w:r>
      <w:r w:rsidR="00704642" w:rsidRPr="00A04489">
        <w:rPr>
          <w:rFonts w:ascii="Times New Roman" w:hAnsi="Times New Roman"/>
        </w:rPr>
        <w:t xml:space="preserve">prior </w:t>
      </w:r>
      <w:r w:rsidRPr="00A04489">
        <w:rPr>
          <w:rFonts w:ascii="Times New Roman" w:hAnsi="Times New Roman"/>
        </w:rPr>
        <w:t>decisions of this Court respecting s 92 did not meaningfully distinguish between the two limbs. The nature of the guarantee provided with respect to them was not regarded as different. In its application to either of the freedoms it was not regarded as absolute. This hardly suggests that interstate movement should be favoured with some kind of immunity.</w:t>
      </w:r>
    </w:p>
    <w:p w14:paraId="626A3B3D" w14:textId="542E79AE"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The distinction drawn in </w:t>
      </w:r>
      <w:r w:rsidRPr="00A04489">
        <w:rPr>
          <w:rFonts w:ascii="Times New Roman" w:hAnsi="Times New Roman"/>
          <w:i/>
        </w:rPr>
        <w:t>Cole v Whitfield</w:t>
      </w:r>
      <w:r w:rsidRPr="00A04489">
        <w:rPr>
          <w:rFonts w:ascii="Times New Roman" w:hAnsi="Times New Roman"/>
        </w:rPr>
        <w:t xml:space="preserve"> has the obvious consequence that guarantees of freedoms appearing in the one provision of the </w:t>
      </w:r>
      <w:r w:rsidRPr="00A04489">
        <w:rPr>
          <w:rFonts w:ascii="Times New Roman" w:hAnsi="Times New Roman"/>
          <w:i/>
        </w:rPr>
        <w:t>Constitution</w:t>
      </w:r>
      <w:r w:rsidRPr="00A04489">
        <w:rPr>
          <w:rFonts w:ascii="Times New Roman" w:hAnsi="Times New Roman"/>
        </w:rPr>
        <w:t xml:space="preserve"> are to be treated differently. This might suggest incoherence</w:t>
      </w:r>
      <w:r w:rsidR="00C41C24" w:rsidRPr="00A04489">
        <w:rPr>
          <w:rFonts w:ascii="Times New Roman" w:hAnsi="Times New Roman"/>
        </w:rPr>
        <w:t>,</w:t>
      </w:r>
      <w:r w:rsidRPr="00A04489">
        <w:rPr>
          <w:rFonts w:ascii="Times New Roman" w:hAnsi="Times New Roman"/>
        </w:rPr>
        <w:t xml:space="preserve"> which is not regarded as a desirable outcome for constitutional interpretation. More importantly, the distinction drawn in </w:t>
      </w:r>
      <w:r w:rsidRPr="00A04489">
        <w:rPr>
          <w:rFonts w:ascii="Times New Roman" w:hAnsi="Times New Roman"/>
          <w:i/>
        </w:rPr>
        <w:t>Cole v Whitfield</w:t>
      </w:r>
      <w:r w:rsidRPr="00A04489">
        <w:rPr>
          <w:rFonts w:ascii="Times New Roman" w:hAnsi="Times New Roman"/>
        </w:rPr>
        <w:t xml:space="preserve"> is not consistent with a modern approach to constitutional interpretation. The distinction does not derive any support from the text of s 92. The text does not provide a basis for treating one of three elements of the composite expression "trade, commerce</w:t>
      </w:r>
      <w:r w:rsidR="0005440B" w:rsidRPr="00A04489">
        <w:rPr>
          <w:rFonts w:ascii="Times New Roman" w:hAnsi="Times New Roman"/>
        </w:rPr>
        <w:t>,</w:t>
      </w:r>
      <w:r w:rsidRPr="00A04489">
        <w:rPr>
          <w:rFonts w:ascii="Times New Roman" w:hAnsi="Times New Roman"/>
        </w:rPr>
        <w:t xml:space="preserve"> and intercourse among the States" as connoting or requiring that some different test be applied to them</w:t>
      </w:r>
      <w:r w:rsidRPr="00A04489">
        <w:rPr>
          <w:rStyle w:val="FootnoteReference"/>
          <w:rFonts w:ascii="Times New Roman" w:hAnsi="Times New Roman"/>
          <w:sz w:val="24"/>
        </w:rPr>
        <w:footnoteReference w:id="46"/>
      </w:r>
      <w:r w:rsidRPr="00A04489">
        <w:rPr>
          <w:rFonts w:ascii="Times New Roman" w:hAnsi="Times New Roman"/>
        </w:rPr>
        <w:t>.</w:t>
      </w:r>
    </w:p>
    <w:p w14:paraId="206F8BF2" w14:textId="77777777"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r>
      <w:r w:rsidRPr="00A04489">
        <w:rPr>
          <w:rFonts w:ascii="Times New Roman" w:hAnsi="Times New Roman"/>
          <w:i/>
        </w:rPr>
        <w:t>Cole v Whitfield</w:t>
      </w:r>
      <w:r w:rsidRPr="00A04489">
        <w:rPr>
          <w:rFonts w:ascii="Times New Roman" w:hAnsi="Times New Roman"/>
        </w:rPr>
        <w:t xml:space="preserve"> did not discuss whether the approach there taken to discriminatory burdens imposed by a law on freedom of interstate trade and commerce, shorn of its economic aspects, might be applied to the freedom of interstate intercourse. It is that prospect which should now be addressed.</w:t>
      </w:r>
    </w:p>
    <w:p w14:paraId="72589542" w14:textId="77777777" w:rsidR="00DC2929" w:rsidRPr="00A04489" w:rsidRDefault="00DC2929" w:rsidP="00A04489">
      <w:pPr>
        <w:pStyle w:val="HeadingL2"/>
        <w:spacing w:after="260" w:line="280" w:lineRule="exact"/>
        <w:ind w:right="0"/>
        <w:jc w:val="both"/>
        <w:rPr>
          <w:rFonts w:ascii="Times New Roman" w:hAnsi="Times New Roman"/>
        </w:rPr>
      </w:pPr>
      <w:r w:rsidRPr="00A04489">
        <w:rPr>
          <w:rFonts w:ascii="Times New Roman" w:hAnsi="Times New Roman"/>
        </w:rPr>
        <w:t>Interstate movement and discrimination</w:t>
      </w:r>
    </w:p>
    <w:p w14:paraId="4B62F6B8" w14:textId="0B19D77B"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It must be accepted that protectionist discrimination and its economic effects are not likely to be relevant to interstate movement. Further, a law which differentiates between interstate movement and intrastate movement may not advantage the latter to any real extent. Nevertheless it is possible to compare the effects of a law on interstate movement with </w:t>
      </w:r>
      <w:r w:rsidR="007F6CA4" w:rsidRPr="00A04489">
        <w:rPr>
          <w:rFonts w:ascii="Times New Roman" w:hAnsi="Times New Roman"/>
        </w:rPr>
        <w:t xml:space="preserve">its effects on </w:t>
      </w:r>
      <w:r w:rsidRPr="00A04489">
        <w:rPr>
          <w:rFonts w:ascii="Times New Roman" w:hAnsi="Times New Roman"/>
        </w:rPr>
        <w:t>intrastate movement.</w:t>
      </w:r>
      <w:r w:rsidR="00D03F04" w:rsidRPr="00A04489">
        <w:rPr>
          <w:rFonts w:ascii="Times New Roman" w:hAnsi="Times New Roman"/>
        </w:rPr>
        <w:t xml:space="preserve"> That is to say the test of discrimination </w:t>
      </w:r>
      <w:r w:rsidR="00D16BB3" w:rsidRPr="00A04489">
        <w:rPr>
          <w:rFonts w:ascii="Times New Roman" w:hAnsi="Times New Roman"/>
        </w:rPr>
        <w:t>which is applied to the trade and commerce limb c</w:t>
      </w:r>
      <w:r w:rsidR="0050701F" w:rsidRPr="00A04489">
        <w:rPr>
          <w:rFonts w:ascii="Times New Roman" w:hAnsi="Times New Roman"/>
        </w:rPr>
        <w:t>ou</w:t>
      </w:r>
      <w:r w:rsidR="00D16BB3" w:rsidRPr="00A04489">
        <w:rPr>
          <w:rFonts w:ascii="Times New Roman" w:hAnsi="Times New Roman"/>
        </w:rPr>
        <w:t>ld be applied to the intercourse limb.</w:t>
      </w:r>
      <w:r w:rsidR="002D66DF" w:rsidRPr="00A04489">
        <w:rPr>
          <w:rFonts w:ascii="Times New Roman" w:hAnsi="Times New Roman"/>
        </w:rPr>
        <w:t xml:space="preserve"> </w:t>
      </w:r>
      <w:r w:rsidR="00D16BB3" w:rsidRPr="00A04489">
        <w:rPr>
          <w:rFonts w:ascii="Times New Roman" w:hAnsi="Times New Roman"/>
        </w:rPr>
        <w:t xml:space="preserve">Moreover, as Hayne J observed in </w:t>
      </w:r>
      <w:r w:rsidR="00D16BB3" w:rsidRPr="00A04489">
        <w:rPr>
          <w:rFonts w:ascii="Times New Roman" w:hAnsi="Times New Roman"/>
          <w:i/>
        </w:rPr>
        <w:t>APLA Ltd v Legal Services Commissioner (NSW)</w:t>
      </w:r>
      <w:r w:rsidR="0050701F" w:rsidRPr="00A04489">
        <w:rPr>
          <w:rStyle w:val="FootnoteReference"/>
          <w:rFonts w:ascii="Times New Roman" w:hAnsi="Times New Roman"/>
          <w:sz w:val="24"/>
        </w:rPr>
        <w:footnoteReference w:id="47"/>
      </w:r>
      <w:r w:rsidR="0050701F" w:rsidRPr="00A04489">
        <w:rPr>
          <w:rFonts w:ascii="Times New Roman" w:hAnsi="Times New Roman"/>
        </w:rPr>
        <w:t xml:space="preserve">, the text of s 92 does not suggest that some different test be applied to </w:t>
      </w:r>
      <w:r w:rsidR="008C37B6" w:rsidRPr="00A04489">
        <w:rPr>
          <w:rFonts w:ascii="Times New Roman" w:hAnsi="Times New Roman"/>
        </w:rPr>
        <w:t>the two limbs</w:t>
      </w:r>
      <w:r w:rsidR="0050701F" w:rsidRPr="00A04489">
        <w:rPr>
          <w:rFonts w:ascii="Times New Roman" w:hAnsi="Times New Roman"/>
        </w:rPr>
        <w:t>.</w:t>
      </w:r>
    </w:p>
    <w:p w14:paraId="2E9FC07E" w14:textId="1B855A91"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Queensland, intervening, submit</w:t>
      </w:r>
      <w:r w:rsidR="008E06B7" w:rsidRPr="00A04489">
        <w:rPr>
          <w:rFonts w:ascii="Times New Roman" w:hAnsi="Times New Roman"/>
        </w:rPr>
        <w:t>ted</w:t>
      </w:r>
      <w:r w:rsidRPr="00A04489">
        <w:rPr>
          <w:rFonts w:ascii="Times New Roman" w:hAnsi="Times New Roman"/>
        </w:rPr>
        <w:t xml:space="preserve"> that a law may be taken to burden freedom of interstate movement for the purposes of s 92 where it discriminates against that movement</w:t>
      </w:r>
      <w:r w:rsidRPr="00A04489">
        <w:rPr>
          <w:rStyle w:val="FootnoteReference"/>
          <w:rFonts w:ascii="Times New Roman" w:hAnsi="Times New Roman"/>
          <w:sz w:val="24"/>
        </w:rPr>
        <w:footnoteReference w:id="48"/>
      </w:r>
      <w:r w:rsidRPr="00A04489">
        <w:rPr>
          <w:rFonts w:ascii="Times New Roman" w:hAnsi="Times New Roman"/>
        </w:rPr>
        <w:t xml:space="preserve">. Discrimination should be required for both limbs of s 92 as a matter of construction, because textually s 92 does not disclose a basis for requiring discrimination for one limb and not the other; the intercourse limb may otherwise largely subsume the trade and commerce limb; and general laws that burden interstate movement may be held invalid. </w:t>
      </w:r>
      <w:r w:rsidR="001F4752" w:rsidRPr="00A04489">
        <w:rPr>
          <w:rFonts w:ascii="Times New Roman" w:hAnsi="Times New Roman"/>
        </w:rPr>
        <w:t>Queensland</w:t>
      </w:r>
      <w:r w:rsidRPr="00A04489">
        <w:rPr>
          <w:rFonts w:ascii="Times New Roman" w:hAnsi="Times New Roman"/>
        </w:rPr>
        <w:t xml:space="preserve"> submit</w:t>
      </w:r>
      <w:r w:rsidR="006E610C" w:rsidRPr="00A04489">
        <w:rPr>
          <w:rFonts w:ascii="Times New Roman" w:hAnsi="Times New Roman"/>
        </w:rPr>
        <w:t>ted</w:t>
      </w:r>
      <w:r w:rsidRPr="00A04489">
        <w:rPr>
          <w:rFonts w:ascii="Times New Roman" w:hAnsi="Times New Roman"/>
        </w:rPr>
        <w:t xml:space="preserve"> that a law which burdens interstate movement should be subject to a requirement of justification, in the same way as is required where interstate trade and commerce is burdened. These submissions should be accepted.</w:t>
      </w:r>
    </w:p>
    <w:p w14:paraId="41A87ED6" w14:textId="77777777" w:rsidR="00DC2929" w:rsidRPr="00A04489" w:rsidRDefault="00DC2929" w:rsidP="00A04489">
      <w:pPr>
        <w:pStyle w:val="HeadingL2"/>
        <w:spacing w:after="260" w:line="280" w:lineRule="exact"/>
        <w:ind w:right="0"/>
        <w:jc w:val="both"/>
        <w:rPr>
          <w:rFonts w:ascii="Times New Roman" w:hAnsi="Times New Roman"/>
        </w:rPr>
      </w:pPr>
      <w:r w:rsidRPr="00A04489">
        <w:rPr>
          <w:rFonts w:ascii="Times New Roman" w:hAnsi="Times New Roman"/>
        </w:rPr>
        <w:t>Burdens on interstate movement as reasonably necessary?</w:t>
      </w:r>
    </w:p>
    <w:p w14:paraId="7816A225" w14:textId="6A1C1A4B"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In some judgments concerning the intercourse limb it has been suggested that the measure taken by the law should be no more than is "reasonably required" to achieve the object of the law</w:t>
      </w:r>
      <w:r w:rsidRPr="00A04489">
        <w:rPr>
          <w:rStyle w:val="FootnoteReference"/>
          <w:rFonts w:ascii="Times New Roman" w:hAnsi="Times New Roman"/>
          <w:sz w:val="24"/>
        </w:rPr>
        <w:footnoteReference w:id="49"/>
      </w:r>
      <w:r w:rsidRPr="00A04489">
        <w:rPr>
          <w:rFonts w:ascii="Times New Roman" w:hAnsi="Times New Roman"/>
        </w:rPr>
        <w:t xml:space="preserve">. In </w:t>
      </w:r>
      <w:r w:rsidR="00266EF1" w:rsidRPr="00A04489">
        <w:rPr>
          <w:rFonts w:ascii="Times New Roman" w:hAnsi="Times New Roman"/>
        </w:rPr>
        <w:t>an</w:t>
      </w:r>
      <w:r w:rsidRPr="00A04489">
        <w:rPr>
          <w:rFonts w:ascii="Times New Roman" w:hAnsi="Times New Roman"/>
        </w:rPr>
        <w:t xml:space="preserve">other case it </w:t>
      </w:r>
      <w:r w:rsidR="0077305D" w:rsidRPr="00A04489">
        <w:rPr>
          <w:rFonts w:ascii="Times New Roman" w:hAnsi="Times New Roman"/>
        </w:rPr>
        <w:t>was</w:t>
      </w:r>
      <w:r w:rsidRPr="00A04489">
        <w:rPr>
          <w:rFonts w:ascii="Times New Roman" w:hAnsi="Times New Roman"/>
        </w:rPr>
        <w:t xml:space="preserve"> said that a law should be "reasonably necessary" to </w:t>
      </w:r>
      <w:r w:rsidR="00957BC0" w:rsidRPr="00A04489">
        <w:rPr>
          <w:rFonts w:ascii="Times New Roman" w:hAnsi="Times New Roman"/>
        </w:rPr>
        <w:t xml:space="preserve">a legitimate </w:t>
      </w:r>
      <w:r w:rsidRPr="00A04489">
        <w:rPr>
          <w:rFonts w:ascii="Times New Roman" w:hAnsi="Times New Roman"/>
        </w:rPr>
        <w:t>purpose</w:t>
      </w:r>
      <w:r w:rsidRPr="00A04489">
        <w:rPr>
          <w:rStyle w:val="FootnoteReference"/>
          <w:rFonts w:ascii="Times New Roman" w:hAnsi="Times New Roman"/>
          <w:sz w:val="24"/>
        </w:rPr>
        <w:footnoteReference w:id="50"/>
      </w:r>
      <w:r w:rsidRPr="00A04489">
        <w:rPr>
          <w:rFonts w:ascii="Times New Roman" w:hAnsi="Times New Roman"/>
        </w:rPr>
        <w:t xml:space="preserve"> or "necessary or appropriate and adapted"</w:t>
      </w:r>
      <w:r w:rsidRPr="00A04489">
        <w:rPr>
          <w:rStyle w:val="FootnoteReference"/>
          <w:rFonts w:ascii="Times New Roman" w:hAnsi="Times New Roman"/>
          <w:sz w:val="24"/>
        </w:rPr>
        <w:footnoteReference w:id="51"/>
      </w:r>
      <w:r w:rsidRPr="00A04489">
        <w:rPr>
          <w:rFonts w:ascii="Times New Roman" w:hAnsi="Times New Roman"/>
        </w:rPr>
        <w:t xml:space="preserve"> to </w:t>
      </w:r>
      <w:r w:rsidR="00203A7D" w:rsidRPr="00A04489">
        <w:rPr>
          <w:rFonts w:ascii="Times New Roman" w:hAnsi="Times New Roman"/>
        </w:rPr>
        <w:t>that</w:t>
      </w:r>
      <w:r w:rsidRPr="00A04489">
        <w:rPr>
          <w:rFonts w:ascii="Times New Roman" w:hAnsi="Times New Roman"/>
        </w:rPr>
        <w:t>. The former test would seem to be more readily capable of justification</w:t>
      </w:r>
      <w:r w:rsidR="00904446" w:rsidRPr="00A04489">
        <w:rPr>
          <w:rFonts w:ascii="Times New Roman" w:hAnsi="Times New Roman"/>
        </w:rPr>
        <w:t>;</w:t>
      </w:r>
      <w:r w:rsidR="008676D7" w:rsidRPr="00A04489">
        <w:rPr>
          <w:rFonts w:ascii="Times New Roman" w:hAnsi="Times New Roman"/>
        </w:rPr>
        <w:t xml:space="preserve"> however</w:t>
      </w:r>
      <w:r w:rsidR="00904446" w:rsidRPr="00A04489">
        <w:rPr>
          <w:rFonts w:ascii="Times New Roman" w:hAnsi="Times New Roman"/>
        </w:rPr>
        <w:t>,</w:t>
      </w:r>
      <w:r w:rsidRPr="00A04489">
        <w:rPr>
          <w:rFonts w:ascii="Times New Roman" w:hAnsi="Times New Roman"/>
        </w:rPr>
        <w:t xml:space="preserve"> </w:t>
      </w:r>
      <w:r w:rsidR="008676D7" w:rsidRPr="00A04489">
        <w:rPr>
          <w:rFonts w:ascii="Times New Roman" w:hAnsi="Times New Roman"/>
        </w:rPr>
        <w:t>i</w:t>
      </w:r>
      <w:r w:rsidRPr="00A04489">
        <w:rPr>
          <w:rFonts w:ascii="Times New Roman" w:hAnsi="Times New Roman"/>
        </w:rPr>
        <w:t>t is not necessary to discuss the differences between the test</w:t>
      </w:r>
      <w:r w:rsidR="00317467" w:rsidRPr="00A04489">
        <w:rPr>
          <w:rFonts w:ascii="Times New Roman" w:hAnsi="Times New Roman"/>
        </w:rPr>
        <w:t>s</w:t>
      </w:r>
      <w:r w:rsidRPr="00A04489">
        <w:rPr>
          <w:rFonts w:ascii="Times New Roman" w:hAnsi="Times New Roman"/>
        </w:rPr>
        <w:t xml:space="preserve"> or state a preference. These cases predate the acceptance by this Court in </w:t>
      </w:r>
      <w:r w:rsidRPr="00A04489">
        <w:rPr>
          <w:rFonts w:ascii="Times New Roman" w:hAnsi="Times New Roman"/>
          <w:i/>
        </w:rPr>
        <w:t>Betfair No</w:t>
      </w:r>
      <w:r w:rsidR="00990DC2" w:rsidRPr="00A04489">
        <w:rPr>
          <w:rFonts w:ascii="Times New Roman" w:hAnsi="Times New Roman"/>
          <w:i/>
        </w:rPr>
        <w:t xml:space="preserve"> </w:t>
      </w:r>
      <w:r w:rsidRPr="00A04489">
        <w:rPr>
          <w:rFonts w:ascii="Times New Roman" w:hAnsi="Times New Roman"/>
          <w:i/>
        </w:rPr>
        <w:t>1</w:t>
      </w:r>
      <w:r w:rsidRPr="00A04489">
        <w:rPr>
          <w:rStyle w:val="FootnoteReference"/>
          <w:rFonts w:ascii="Times New Roman" w:hAnsi="Times New Roman"/>
          <w:sz w:val="24"/>
        </w:rPr>
        <w:footnoteReference w:id="52"/>
      </w:r>
      <w:r w:rsidRPr="00A04489">
        <w:rPr>
          <w:rFonts w:ascii="Times New Roman" w:hAnsi="Times New Roman"/>
        </w:rPr>
        <w:t xml:space="preserve"> of a test of reasonable necessity as explaining or justifying a burden on the freedom of interstate trade and commerce. Since a law which discriminates against interstate movement will prima facie be invalid because it burdens the freedom, logically it should be capable of being justified in the same way. There is good reason in principle why the tests for justification of both limbs should be the same.</w:t>
      </w:r>
    </w:p>
    <w:p w14:paraId="3452A7CB" w14:textId="01595F29" w:rsidR="00B47C78"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It should therefore be accepted that a law which is directed to </w:t>
      </w:r>
      <w:r w:rsidR="00D045EF" w:rsidRPr="00A04489">
        <w:rPr>
          <w:rFonts w:ascii="Times New Roman" w:hAnsi="Times New Roman"/>
        </w:rPr>
        <w:t xml:space="preserve">discriminating against, </w:t>
      </w:r>
      <w:r w:rsidRPr="00A04489">
        <w:rPr>
          <w:rFonts w:ascii="Times New Roman" w:hAnsi="Times New Roman"/>
        </w:rPr>
        <w:t>or in fact discriminates against</w:t>
      </w:r>
      <w:r w:rsidR="00D045EF" w:rsidRPr="00A04489">
        <w:rPr>
          <w:rFonts w:ascii="Times New Roman" w:hAnsi="Times New Roman"/>
        </w:rPr>
        <w:t>,</w:t>
      </w:r>
      <w:r w:rsidRPr="00A04489">
        <w:rPr>
          <w:rFonts w:ascii="Times New Roman" w:hAnsi="Times New Roman"/>
        </w:rPr>
        <w:t xml:space="preserve"> interstate movement is invalid as contrary to s 92 unless it</w:t>
      </w:r>
      <w:r w:rsidR="00983CA5" w:rsidRPr="00A04489">
        <w:rPr>
          <w:rFonts w:ascii="Times New Roman" w:hAnsi="Times New Roman"/>
        </w:rPr>
        <w:t xml:space="preserve"> i</w:t>
      </w:r>
      <w:r w:rsidRPr="00A04489">
        <w:rPr>
          <w:rFonts w:ascii="Times New Roman" w:hAnsi="Times New Roman"/>
        </w:rPr>
        <w:t xml:space="preserve">s </w:t>
      </w:r>
      <w:r w:rsidR="00023E89" w:rsidRPr="00A04489">
        <w:rPr>
          <w:rFonts w:ascii="Times New Roman" w:hAnsi="Times New Roman"/>
        </w:rPr>
        <w:t>justified by reference to a</w:t>
      </w:r>
      <w:r w:rsidRPr="00A04489">
        <w:rPr>
          <w:rFonts w:ascii="Times New Roman" w:hAnsi="Times New Roman"/>
        </w:rPr>
        <w:t xml:space="preserve"> non-discriminatory purpose. It may be justified if it goes no further than is reasonably necessary to achieve a legitimate object</w:t>
      </w:r>
      <w:r w:rsidR="004D41EA" w:rsidRPr="00A04489">
        <w:rPr>
          <w:rFonts w:ascii="Times New Roman" w:hAnsi="Times New Roman"/>
        </w:rPr>
        <w:t xml:space="preserve">, as this Court held in </w:t>
      </w:r>
      <w:r w:rsidR="004D41EA" w:rsidRPr="00A04489">
        <w:rPr>
          <w:rFonts w:ascii="Times New Roman" w:hAnsi="Times New Roman"/>
          <w:i/>
        </w:rPr>
        <w:t>Betfair</w:t>
      </w:r>
      <w:r w:rsidR="00B47C78" w:rsidRPr="00A04489">
        <w:rPr>
          <w:rFonts w:ascii="Times New Roman" w:hAnsi="Times New Roman"/>
          <w:i/>
        </w:rPr>
        <w:t xml:space="preserve"> No</w:t>
      </w:r>
      <w:r w:rsidR="00990DC2" w:rsidRPr="00A04489">
        <w:rPr>
          <w:rFonts w:ascii="Times New Roman" w:hAnsi="Times New Roman"/>
          <w:i/>
        </w:rPr>
        <w:t xml:space="preserve"> </w:t>
      </w:r>
      <w:r w:rsidR="00B47C78" w:rsidRPr="00A04489">
        <w:rPr>
          <w:rFonts w:ascii="Times New Roman" w:hAnsi="Times New Roman"/>
          <w:i/>
        </w:rPr>
        <w:t>1</w:t>
      </w:r>
      <w:r w:rsidR="00B47C78" w:rsidRPr="00A04489">
        <w:rPr>
          <w:rFonts w:ascii="Times New Roman" w:hAnsi="Times New Roman"/>
        </w:rPr>
        <w:t>.</w:t>
      </w:r>
    </w:p>
    <w:p w14:paraId="17574D72" w14:textId="27D3A2E0" w:rsidR="00DC2929" w:rsidRPr="00A04489" w:rsidRDefault="00B47C78" w:rsidP="00A04489">
      <w:pPr>
        <w:pStyle w:val="FixListStyle"/>
        <w:spacing w:after="260" w:line="280" w:lineRule="exact"/>
        <w:ind w:right="0"/>
        <w:jc w:val="both"/>
        <w:rPr>
          <w:rFonts w:ascii="Times New Roman" w:hAnsi="Times New Roman"/>
        </w:rPr>
      </w:pPr>
      <w:r w:rsidRPr="00A04489">
        <w:rPr>
          <w:rFonts w:ascii="Times New Roman" w:hAnsi="Times New Roman"/>
          <w:i/>
        </w:rPr>
        <w:tab/>
      </w:r>
      <w:r w:rsidRPr="00A04489">
        <w:rPr>
          <w:rFonts w:ascii="Times New Roman" w:hAnsi="Times New Roman"/>
        </w:rPr>
        <w:t xml:space="preserve">It is important to </w:t>
      </w:r>
      <w:r w:rsidR="0020045F" w:rsidRPr="00A04489">
        <w:rPr>
          <w:rFonts w:ascii="Times New Roman" w:hAnsi="Times New Roman"/>
        </w:rPr>
        <w:t xml:space="preserve">bear in mind what this test requires. </w:t>
      </w:r>
      <w:r w:rsidR="00027717" w:rsidRPr="00A04489">
        <w:rPr>
          <w:rFonts w:ascii="Times New Roman" w:hAnsi="Times New Roman"/>
        </w:rPr>
        <w:t xml:space="preserve">The </w:t>
      </w:r>
      <w:r w:rsidR="0020045F" w:rsidRPr="00A04489">
        <w:rPr>
          <w:rFonts w:ascii="Times New Roman" w:hAnsi="Times New Roman"/>
        </w:rPr>
        <w:t>approach</w:t>
      </w:r>
      <w:r w:rsidR="00106CBF" w:rsidRPr="00A04489">
        <w:rPr>
          <w:rFonts w:ascii="Times New Roman" w:hAnsi="Times New Roman"/>
        </w:rPr>
        <w:t>es</w:t>
      </w:r>
      <w:r w:rsidR="0020045F" w:rsidRPr="00A04489">
        <w:rPr>
          <w:rFonts w:ascii="Times New Roman" w:hAnsi="Times New Roman"/>
        </w:rPr>
        <w:t xml:space="preserve"> taken by this Court in </w:t>
      </w:r>
      <w:r w:rsidR="0020045F" w:rsidRPr="00A04489">
        <w:rPr>
          <w:rFonts w:ascii="Times New Roman" w:hAnsi="Times New Roman"/>
          <w:i/>
        </w:rPr>
        <w:t>Cole v Whitfield</w:t>
      </w:r>
      <w:r w:rsidR="0020045F" w:rsidRPr="00A04489">
        <w:rPr>
          <w:rFonts w:ascii="Times New Roman" w:hAnsi="Times New Roman"/>
        </w:rPr>
        <w:t xml:space="preserve"> and </w:t>
      </w:r>
      <w:r w:rsidR="0020045F" w:rsidRPr="00A04489">
        <w:rPr>
          <w:rFonts w:ascii="Times New Roman" w:hAnsi="Times New Roman"/>
          <w:i/>
        </w:rPr>
        <w:t>Betfair No</w:t>
      </w:r>
      <w:r w:rsidR="00990DC2" w:rsidRPr="00A04489">
        <w:rPr>
          <w:rFonts w:ascii="Times New Roman" w:hAnsi="Times New Roman"/>
          <w:i/>
        </w:rPr>
        <w:t xml:space="preserve"> </w:t>
      </w:r>
      <w:r w:rsidR="0020045F" w:rsidRPr="00A04489">
        <w:rPr>
          <w:rFonts w:ascii="Times New Roman" w:hAnsi="Times New Roman"/>
          <w:i/>
        </w:rPr>
        <w:t>1</w:t>
      </w:r>
      <w:r w:rsidR="0020045F" w:rsidRPr="00A04489">
        <w:rPr>
          <w:rFonts w:ascii="Times New Roman" w:hAnsi="Times New Roman"/>
        </w:rPr>
        <w:t xml:space="preserve"> are instructive. The test of reasonable necessity is not a conclusion to </w:t>
      </w:r>
      <w:r w:rsidR="004E32E7" w:rsidRPr="00A04489">
        <w:rPr>
          <w:rFonts w:ascii="Times New Roman" w:hAnsi="Times New Roman"/>
        </w:rPr>
        <w:t>b</w:t>
      </w:r>
      <w:r w:rsidR="0020045F" w:rsidRPr="00A04489">
        <w:rPr>
          <w:rFonts w:ascii="Times New Roman" w:hAnsi="Times New Roman"/>
        </w:rPr>
        <w:t xml:space="preserve">e stated </w:t>
      </w:r>
      <w:r w:rsidR="004E32E7" w:rsidRPr="00A04489">
        <w:rPr>
          <w:rFonts w:ascii="Times New Roman" w:hAnsi="Times New Roman"/>
        </w:rPr>
        <w:t xml:space="preserve">after an impression is gained about a law's purpose and how </w:t>
      </w:r>
      <w:r w:rsidR="006C14CC" w:rsidRPr="00A04489">
        <w:rPr>
          <w:rFonts w:ascii="Times New Roman" w:hAnsi="Times New Roman"/>
        </w:rPr>
        <w:t xml:space="preserve">that purpose </w:t>
      </w:r>
      <w:r w:rsidR="004E32E7" w:rsidRPr="00A04489">
        <w:rPr>
          <w:rFonts w:ascii="Times New Roman" w:hAnsi="Times New Roman"/>
        </w:rPr>
        <w:t xml:space="preserve">is sought to be achieved. It requires more than a view </w:t>
      </w:r>
      <w:r w:rsidR="003F5AAE" w:rsidRPr="00A04489">
        <w:rPr>
          <w:rFonts w:ascii="Times New Roman" w:hAnsi="Times New Roman"/>
        </w:rPr>
        <w:t xml:space="preserve">that there exists a need to which </w:t>
      </w:r>
      <w:r w:rsidR="00230B5F" w:rsidRPr="00A04489">
        <w:rPr>
          <w:rFonts w:ascii="Times New Roman" w:hAnsi="Times New Roman"/>
        </w:rPr>
        <w:t xml:space="preserve">it is </w:t>
      </w:r>
      <w:r w:rsidR="003F5AAE" w:rsidRPr="00A04489">
        <w:rPr>
          <w:rFonts w:ascii="Times New Roman" w:hAnsi="Times New Roman"/>
        </w:rPr>
        <w:t xml:space="preserve">the statute's purpose </w:t>
      </w:r>
      <w:r w:rsidR="00230B5F" w:rsidRPr="00A04489">
        <w:rPr>
          <w:rFonts w:ascii="Times New Roman" w:hAnsi="Times New Roman"/>
        </w:rPr>
        <w:t xml:space="preserve">to </w:t>
      </w:r>
      <w:r w:rsidR="00241565" w:rsidRPr="00A04489">
        <w:rPr>
          <w:rFonts w:ascii="Times New Roman" w:hAnsi="Times New Roman"/>
        </w:rPr>
        <w:t>respond and the measures taken are reasonable</w:t>
      </w:r>
      <w:r w:rsidR="004E32E7" w:rsidRPr="00A04489">
        <w:rPr>
          <w:rFonts w:ascii="Times New Roman" w:hAnsi="Times New Roman"/>
        </w:rPr>
        <w:t>. The test is to be applied in a concrete way to determine whether the measure</w:t>
      </w:r>
      <w:r w:rsidR="00D979FF" w:rsidRPr="00A04489">
        <w:rPr>
          <w:rFonts w:ascii="Times New Roman" w:hAnsi="Times New Roman"/>
        </w:rPr>
        <w:t>s</w:t>
      </w:r>
      <w:r w:rsidR="004E32E7" w:rsidRPr="00A04489">
        <w:rPr>
          <w:rFonts w:ascii="Times New Roman" w:hAnsi="Times New Roman"/>
        </w:rPr>
        <w:t xml:space="preserve"> which the law permits </w:t>
      </w:r>
      <w:r w:rsidR="00D979FF" w:rsidRPr="00A04489">
        <w:rPr>
          <w:rFonts w:ascii="Times New Roman" w:hAnsi="Times New Roman"/>
        </w:rPr>
        <w:t xml:space="preserve">are </w:t>
      </w:r>
      <w:r w:rsidR="00506B7A" w:rsidRPr="00A04489">
        <w:rPr>
          <w:rFonts w:ascii="Times New Roman" w:hAnsi="Times New Roman"/>
        </w:rPr>
        <w:t xml:space="preserve">themselves </w:t>
      </w:r>
      <w:r w:rsidR="004E32E7" w:rsidRPr="00A04489">
        <w:rPr>
          <w:rFonts w:ascii="Times New Roman" w:hAnsi="Times New Roman"/>
        </w:rPr>
        <w:t>reasonably necessary. It is obviously logically relevant to</w:t>
      </w:r>
      <w:r w:rsidR="000D0467" w:rsidRPr="00A04489">
        <w:rPr>
          <w:rFonts w:ascii="Times New Roman" w:hAnsi="Times New Roman"/>
        </w:rPr>
        <w:t>, if not demanded by</w:t>
      </w:r>
      <w:r w:rsidR="0048627A" w:rsidRPr="00A04489">
        <w:rPr>
          <w:rFonts w:ascii="Times New Roman" w:hAnsi="Times New Roman"/>
        </w:rPr>
        <w:t>,</w:t>
      </w:r>
      <w:r w:rsidR="004E32E7" w:rsidRPr="00A04489">
        <w:rPr>
          <w:rFonts w:ascii="Times New Roman" w:hAnsi="Times New Roman"/>
        </w:rPr>
        <w:t xml:space="preserve"> that enquiry </w:t>
      </w:r>
      <w:r w:rsidR="0092643E" w:rsidRPr="00A04489">
        <w:rPr>
          <w:rFonts w:ascii="Times New Roman" w:hAnsi="Times New Roman"/>
        </w:rPr>
        <w:t xml:space="preserve">whether </w:t>
      </w:r>
      <w:r w:rsidR="004E32E7" w:rsidRPr="00A04489">
        <w:rPr>
          <w:rFonts w:ascii="Times New Roman" w:hAnsi="Times New Roman"/>
        </w:rPr>
        <w:t xml:space="preserve">there </w:t>
      </w:r>
      <w:r w:rsidR="00BD557E" w:rsidRPr="00A04489">
        <w:rPr>
          <w:rFonts w:ascii="Times New Roman" w:hAnsi="Times New Roman"/>
        </w:rPr>
        <w:t xml:space="preserve">may be </w:t>
      </w:r>
      <w:r w:rsidR="004E32E7" w:rsidRPr="00A04489">
        <w:rPr>
          <w:rFonts w:ascii="Times New Roman" w:hAnsi="Times New Roman"/>
        </w:rPr>
        <w:t>alternative, effective measures available to achieve the same object bu</w:t>
      </w:r>
      <w:r w:rsidR="00B902BC" w:rsidRPr="00A04489">
        <w:rPr>
          <w:rFonts w:ascii="Times New Roman" w:hAnsi="Times New Roman"/>
        </w:rPr>
        <w:t>t</w:t>
      </w:r>
      <w:r w:rsidR="004E32E7" w:rsidRPr="00A04489">
        <w:rPr>
          <w:rFonts w:ascii="Times New Roman" w:hAnsi="Times New Roman"/>
        </w:rPr>
        <w:t xml:space="preserve"> which have less </w:t>
      </w:r>
      <w:r w:rsidR="00B902BC" w:rsidRPr="00A04489">
        <w:rPr>
          <w:rFonts w:ascii="Times New Roman" w:hAnsi="Times New Roman"/>
        </w:rPr>
        <w:t xml:space="preserve">restrictive effects on the freedom. If there are, the law in question cannot be said to be reasonably necessary. This is what those cases </w:t>
      </w:r>
      <w:r w:rsidR="00DD0EB2" w:rsidRPr="00A04489">
        <w:rPr>
          <w:rFonts w:ascii="Times New Roman" w:hAnsi="Times New Roman"/>
        </w:rPr>
        <w:t>teach</w:t>
      </w:r>
      <w:r w:rsidR="00DD0EB2" w:rsidRPr="00A04489">
        <w:rPr>
          <w:rStyle w:val="FootnoteReference"/>
          <w:rFonts w:ascii="Times New Roman" w:hAnsi="Times New Roman"/>
          <w:sz w:val="24"/>
        </w:rPr>
        <w:footnoteReference w:id="53"/>
      </w:r>
      <w:r w:rsidR="00DD0EB2" w:rsidRPr="00A04489">
        <w:rPr>
          <w:rFonts w:ascii="Times New Roman" w:hAnsi="Times New Roman"/>
        </w:rPr>
        <w:t>.</w:t>
      </w:r>
    </w:p>
    <w:p w14:paraId="1BC191BE" w14:textId="40AC3FBF"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In some cases which preceded </w:t>
      </w:r>
      <w:r w:rsidRPr="00A04489">
        <w:rPr>
          <w:rFonts w:ascii="Times New Roman" w:hAnsi="Times New Roman"/>
          <w:i/>
        </w:rPr>
        <w:t>Betfair</w:t>
      </w:r>
      <w:r w:rsidRPr="00A04489">
        <w:rPr>
          <w:rFonts w:ascii="Times New Roman" w:hAnsi="Times New Roman"/>
        </w:rPr>
        <w:t xml:space="preserve"> </w:t>
      </w:r>
      <w:r w:rsidRPr="00A04489">
        <w:rPr>
          <w:rFonts w:ascii="Times New Roman" w:hAnsi="Times New Roman"/>
          <w:i/>
        </w:rPr>
        <w:t>No</w:t>
      </w:r>
      <w:r w:rsidR="00990DC2" w:rsidRPr="00A04489">
        <w:rPr>
          <w:rFonts w:ascii="Times New Roman" w:hAnsi="Times New Roman"/>
          <w:i/>
        </w:rPr>
        <w:t xml:space="preserve"> </w:t>
      </w:r>
      <w:r w:rsidRPr="00A04489">
        <w:rPr>
          <w:rFonts w:ascii="Times New Roman" w:hAnsi="Times New Roman"/>
          <w:i/>
        </w:rPr>
        <w:t>1</w:t>
      </w:r>
      <w:r w:rsidR="00D97A9F" w:rsidRPr="00A04489">
        <w:rPr>
          <w:rFonts w:ascii="Times New Roman" w:hAnsi="Times New Roman"/>
        </w:rPr>
        <w:t>,</w:t>
      </w:r>
      <w:r w:rsidRPr="00A04489">
        <w:rPr>
          <w:rFonts w:ascii="Times New Roman" w:hAnsi="Times New Roman"/>
        </w:rPr>
        <w:t xml:space="preserve"> and which concerned both the intercourse limb and the implied freedom</w:t>
      </w:r>
      <w:r w:rsidR="005853AF" w:rsidRPr="00A04489">
        <w:rPr>
          <w:rFonts w:ascii="Times New Roman" w:hAnsi="Times New Roman"/>
        </w:rPr>
        <w:t xml:space="preserve"> of political communication</w:t>
      </w:r>
      <w:r w:rsidRPr="00A04489">
        <w:rPr>
          <w:rFonts w:ascii="Times New Roman" w:hAnsi="Times New Roman"/>
        </w:rPr>
        <w:t xml:space="preserve">, </w:t>
      </w:r>
      <w:r w:rsidR="00EF734F" w:rsidRPr="00A04489">
        <w:rPr>
          <w:rFonts w:ascii="Times New Roman" w:hAnsi="Times New Roman"/>
        </w:rPr>
        <w:t>it was said that</w:t>
      </w:r>
      <w:r w:rsidRPr="00A04489">
        <w:rPr>
          <w:rFonts w:ascii="Times New Roman" w:hAnsi="Times New Roman"/>
        </w:rPr>
        <w:t xml:space="preserve"> a legislative measure which incidentally burdens a freedom (which is to say has that unintended, collateral effect) </w:t>
      </w:r>
      <w:r w:rsidR="0036210A" w:rsidRPr="00A04489">
        <w:rPr>
          <w:rFonts w:ascii="Times New Roman" w:hAnsi="Times New Roman"/>
        </w:rPr>
        <w:t>need</w:t>
      </w:r>
      <w:r w:rsidR="003C288A" w:rsidRPr="00A04489">
        <w:rPr>
          <w:rFonts w:ascii="Times New Roman" w:hAnsi="Times New Roman"/>
        </w:rPr>
        <w:t>s</w:t>
      </w:r>
      <w:r w:rsidR="0036210A" w:rsidRPr="00A04489">
        <w:rPr>
          <w:rFonts w:ascii="Times New Roman" w:hAnsi="Times New Roman"/>
        </w:rPr>
        <w:t xml:space="preserve"> </w:t>
      </w:r>
      <w:r w:rsidRPr="00A04489">
        <w:rPr>
          <w:rFonts w:ascii="Times New Roman" w:hAnsi="Times New Roman"/>
        </w:rPr>
        <w:t>to be "appropriate and adapted"</w:t>
      </w:r>
      <w:r w:rsidRPr="00A04489">
        <w:rPr>
          <w:rStyle w:val="FootnoteReference"/>
          <w:rFonts w:ascii="Times New Roman" w:hAnsi="Times New Roman"/>
          <w:sz w:val="24"/>
        </w:rPr>
        <w:footnoteReference w:id="54"/>
      </w:r>
      <w:r w:rsidRPr="00A04489">
        <w:rPr>
          <w:rFonts w:ascii="Times New Roman" w:hAnsi="Times New Roman"/>
        </w:rPr>
        <w:t xml:space="preserve">, "neither inappropriate </w:t>
      </w:r>
      <w:r w:rsidR="00DB1610" w:rsidRPr="00A04489">
        <w:rPr>
          <w:rFonts w:ascii="Times New Roman" w:hAnsi="Times New Roman"/>
        </w:rPr>
        <w:t>n</w:t>
      </w:r>
      <w:r w:rsidRPr="00A04489">
        <w:rPr>
          <w:rFonts w:ascii="Times New Roman" w:hAnsi="Times New Roman"/>
        </w:rPr>
        <w:t>or disproportionate"</w:t>
      </w:r>
      <w:r w:rsidR="008C68FC" w:rsidRPr="00A04489">
        <w:rPr>
          <w:rFonts w:ascii="Times New Roman" w:hAnsi="Times New Roman"/>
        </w:rPr>
        <w:t>,</w:t>
      </w:r>
      <w:r w:rsidRPr="00A04489">
        <w:rPr>
          <w:rFonts w:ascii="Times New Roman" w:hAnsi="Times New Roman"/>
        </w:rPr>
        <w:t xml:space="preserve"> "proportionate"</w:t>
      </w:r>
      <w:r w:rsidRPr="00A04489">
        <w:rPr>
          <w:rStyle w:val="FootnoteReference"/>
          <w:rFonts w:ascii="Times New Roman" w:hAnsi="Times New Roman"/>
          <w:sz w:val="24"/>
        </w:rPr>
        <w:footnoteReference w:id="55"/>
      </w:r>
      <w:r w:rsidRPr="00A04489">
        <w:rPr>
          <w:rFonts w:ascii="Times New Roman" w:hAnsi="Times New Roman"/>
        </w:rPr>
        <w:t xml:space="preserve"> or reasonably proportionate</w:t>
      </w:r>
      <w:r w:rsidRPr="00A04489">
        <w:rPr>
          <w:rStyle w:val="FootnoteReference"/>
          <w:rFonts w:ascii="Times New Roman" w:hAnsi="Times New Roman"/>
          <w:sz w:val="24"/>
        </w:rPr>
        <w:footnoteReference w:id="56"/>
      </w:r>
      <w:r w:rsidRPr="00A04489">
        <w:rPr>
          <w:rFonts w:ascii="Times New Roman" w:hAnsi="Times New Roman"/>
        </w:rPr>
        <w:t xml:space="preserve"> for </w:t>
      </w:r>
      <w:r w:rsidR="0036210A" w:rsidRPr="00A04489">
        <w:rPr>
          <w:rFonts w:ascii="Times New Roman" w:hAnsi="Times New Roman"/>
        </w:rPr>
        <w:t>the</w:t>
      </w:r>
      <w:r w:rsidRPr="00A04489">
        <w:rPr>
          <w:rFonts w:ascii="Times New Roman" w:hAnsi="Times New Roman"/>
        </w:rPr>
        <w:t xml:space="preserve"> law to be valid.</w:t>
      </w:r>
      <w:r w:rsidR="00CC3FE6" w:rsidRPr="00A04489">
        <w:rPr>
          <w:rFonts w:ascii="Times New Roman" w:hAnsi="Times New Roman"/>
        </w:rPr>
        <w:t xml:space="preserve"> It may be said </w:t>
      </w:r>
      <w:r w:rsidR="008318AB" w:rsidRPr="00A04489">
        <w:rPr>
          <w:rFonts w:ascii="Times New Roman" w:hAnsi="Times New Roman"/>
        </w:rPr>
        <w:t xml:space="preserve">that </w:t>
      </w:r>
      <w:r w:rsidR="00CC3FE6" w:rsidRPr="00A04489">
        <w:rPr>
          <w:rFonts w:ascii="Times New Roman" w:hAnsi="Times New Roman"/>
        </w:rPr>
        <w:t xml:space="preserve">at the least </w:t>
      </w:r>
      <w:r w:rsidR="00CC3FE6" w:rsidRPr="00A04489">
        <w:rPr>
          <w:rFonts w:ascii="Times New Roman" w:hAnsi="Times New Roman"/>
          <w:i/>
        </w:rPr>
        <w:t>Betfair No</w:t>
      </w:r>
      <w:r w:rsidR="00990DC2" w:rsidRPr="00A04489">
        <w:rPr>
          <w:rFonts w:ascii="Times New Roman" w:hAnsi="Times New Roman"/>
          <w:i/>
        </w:rPr>
        <w:t xml:space="preserve"> </w:t>
      </w:r>
      <w:r w:rsidR="00CC3FE6" w:rsidRPr="00A04489">
        <w:rPr>
          <w:rFonts w:ascii="Times New Roman" w:hAnsi="Times New Roman"/>
          <w:i/>
        </w:rPr>
        <w:t>1</w:t>
      </w:r>
      <w:r w:rsidR="00CC3FE6" w:rsidRPr="00A04489">
        <w:rPr>
          <w:rFonts w:ascii="Times New Roman" w:hAnsi="Times New Roman"/>
        </w:rPr>
        <w:t xml:space="preserve"> recognised </w:t>
      </w:r>
      <w:r w:rsidR="00620F7D" w:rsidRPr="00A04489">
        <w:rPr>
          <w:rFonts w:ascii="Times New Roman" w:hAnsi="Times New Roman"/>
        </w:rPr>
        <w:t>the connection between the test of reasonable necessity and the concept of proportionality</w:t>
      </w:r>
      <w:r w:rsidR="008D3593" w:rsidRPr="00A04489">
        <w:rPr>
          <w:rFonts w:ascii="Times New Roman" w:hAnsi="Times New Roman"/>
        </w:rPr>
        <w:t>.</w:t>
      </w:r>
      <w:r w:rsidR="00620F7D" w:rsidRPr="00A04489">
        <w:rPr>
          <w:rFonts w:ascii="Times New Roman" w:hAnsi="Times New Roman"/>
        </w:rPr>
        <w:t xml:space="preserve"> It is possible to go further. The content gi</w:t>
      </w:r>
      <w:r w:rsidR="00FB264C" w:rsidRPr="00A04489">
        <w:rPr>
          <w:rFonts w:ascii="Times New Roman" w:hAnsi="Times New Roman"/>
        </w:rPr>
        <w:t>v</w:t>
      </w:r>
      <w:r w:rsidR="00620F7D" w:rsidRPr="00A04489">
        <w:rPr>
          <w:rFonts w:ascii="Times New Roman" w:hAnsi="Times New Roman"/>
        </w:rPr>
        <w:t xml:space="preserve">en to the test in its application </w:t>
      </w:r>
      <w:r w:rsidR="00FB264C" w:rsidRPr="00A04489">
        <w:rPr>
          <w:rFonts w:ascii="Times New Roman" w:hAnsi="Times New Roman"/>
        </w:rPr>
        <w:t>in that case</w:t>
      </w:r>
      <w:r w:rsidR="008D3593" w:rsidRPr="00A04489">
        <w:rPr>
          <w:rFonts w:ascii="Times New Roman" w:hAnsi="Times New Roman"/>
        </w:rPr>
        <w:t>, namely that there was a practicable alternative,</w:t>
      </w:r>
      <w:r w:rsidR="00FB264C" w:rsidRPr="00A04489">
        <w:rPr>
          <w:rFonts w:ascii="Times New Roman" w:hAnsi="Times New Roman"/>
        </w:rPr>
        <w:t xml:space="preserve"> clearly aligns it with the second test in structured proportionality, as discussed in </w:t>
      </w:r>
      <w:r w:rsidR="00FB264C" w:rsidRPr="00A04489">
        <w:rPr>
          <w:rFonts w:ascii="Times New Roman" w:hAnsi="Times New Roman"/>
          <w:i/>
        </w:rPr>
        <w:t>McCloy v New South Wales</w:t>
      </w:r>
      <w:r w:rsidR="004663A7" w:rsidRPr="00A04489">
        <w:rPr>
          <w:rStyle w:val="FootnoteReference"/>
          <w:rFonts w:ascii="Times New Roman" w:hAnsi="Times New Roman"/>
          <w:sz w:val="24"/>
        </w:rPr>
        <w:footnoteReference w:id="57"/>
      </w:r>
      <w:r w:rsidR="004804B0" w:rsidRPr="00A04489">
        <w:rPr>
          <w:rFonts w:ascii="Times New Roman" w:hAnsi="Times New Roman"/>
        </w:rPr>
        <w:t>.</w:t>
      </w:r>
    </w:p>
    <w:p w14:paraId="4024934A" w14:textId="2B16655E" w:rsidR="00EE3147" w:rsidRPr="00A04489" w:rsidRDefault="00EE3147" w:rsidP="00A04489">
      <w:pPr>
        <w:pStyle w:val="FixListStyle"/>
        <w:spacing w:after="260" w:line="280" w:lineRule="exact"/>
        <w:ind w:right="0"/>
        <w:jc w:val="both"/>
        <w:rPr>
          <w:rFonts w:ascii="Times New Roman" w:hAnsi="Times New Roman"/>
        </w:rPr>
      </w:pPr>
      <w:r w:rsidRPr="00A04489">
        <w:rPr>
          <w:rFonts w:ascii="Times New Roman" w:hAnsi="Times New Roman"/>
        </w:rPr>
        <w:tab/>
        <w:t>The origins of structured proportionality are well known</w:t>
      </w:r>
      <w:r w:rsidR="00D824B0" w:rsidRPr="00A04489">
        <w:rPr>
          <w:rFonts w:ascii="Times New Roman" w:hAnsi="Times New Roman"/>
        </w:rPr>
        <w:t>,</w:t>
      </w:r>
      <w:r w:rsidRPr="00A04489">
        <w:rPr>
          <w:rFonts w:ascii="Times New Roman" w:hAnsi="Times New Roman"/>
        </w:rPr>
        <w:t xml:space="preserve"> as is its acceptance by many courts</w:t>
      </w:r>
      <w:r w:rsidR="003F720A" w:rsidRPr="00A04489">
        <w:rPr>
          <w:rFonts w:ascii="Times New Roman" w:hAnsi="Times New Roman"/>
        </w:rPr>
        <w:t>,</w:t>
      </w:r>
      <w:r w:rsidRPr="00A04489">
        <w:rPr>
          <w:rFonts w:ascii="Times New Roman" w:hAnsi="Times New Roman"/>
        </w:rPr>
        <w:t xml:space="preserve"> including common law courts</w:t>
      </w:r>
      <w:r w:rsidR="003F720A" w:rsidRPr="00A04489">
        <w:rPr>
          <w:rFonts w:ascii="Times New Roman" w:hAnsi="Times New Roman"/>
        </w:rPr>
        <w:t>,</w:t>
      </w:r>
      <w:r w:rsidRPr="00A04489">
        <w:rPr>
          <w:rFonts w:ascii="Times New Roman" w:hAnsi="Times New Roman"/>
        </w:rPr>
        <w:t xml:space="preserve"> around the world</w:t>
      </w:r>
      <w:r w:rsidR="005A7A96" w:rsidRPr="00A04489">
        <w:rPr>
          <w:rFonts w:ascii="Times New Roman" w:hAnsi="Times New Roman"/>
        </w:rPr>
        <w:t>.</w:t>
      </w:r>
      <w:r w:rsidRPr="00A04489">
        <w:rPr>
          <w:rFonts w:ascii="Times New Roman" w:hAnsi="Times New Roman"/>
        </w:rPr>
        <w:t xml:space="preserve"> It has been the subject of much academic discussion. Sir Anthony Mason</w:t>
      </w:r>
      <w:r w:rsidR="00EB15C3" w:rsidRPr="00A04489">
        <w:rPr>
          <w:rStyle w:val="FootnoteReference"/>
          <w:rFonts w:ascii="Times New Roman" w:hAnsi="Times New Roman"/>
          <w:sz w:val="24"/>
        </w:rPr>
        <w:footnoteReference w:id="58"/>
      </w:r>
      <w:r w:rsidRPr="00A04489">
        <w:rPr>
          <w:rFonts w:ascii="Times New Roman" w:hAnsi="Times New Roman"/>
        </w:rPr>
        <w:t xml:space="preserve"> </w:t>
      </w:r>
      <w:r w:rsidR="00A50CD0" w:rsidRPr="00A04489">
        <w:rPr>
          <w:rFonts w:ascii="Times New Roman" w:hAnsi="Times New Roman"/>
        </w:rPr>
        <w:t xml:space="preserve">has described </w:t>
      </w:r>
      <w:r w:rsidRPr="00A04489">
        <w:rPr>
          <w:rFonts w:ascii="Times New Roman" w:hAnsi="Times New Roman"/>
        </w:rPr>
        <w:t xml:space="preserve">structured proportionality </w:t>
      </w:r>
      <w:r w:rsidR="00773E38" w:rsidRPr="00A04489">
        <w:rPr>
          <w:rFonts w:ascii="Times New Roman" w:hAnsi="Times New Roman"/>
        </w:rPr>
        <w:t>as a "very good illustration" of one of the advantages of comparative law, namely that</w:t>
      </w:r>
      <w:r w:rsidR="00AF3F5B" w:rsidRPr="00A04489">
        <w:rPr>
          <w:rFonts w:ascii="Times New Roman" w:hAnsi="Times New Roman"/>
        </w:rPr>
        <w:t xml:space="preserve"> </w:t>
      </w:r>
      <w:r w:rsidR="00773E38" w:rsidRPr="00A04489">
        <w:rPr>
          <w:rFonts w:ascii="Times New Roman" w:hAnsi="Times New Roman"/>
        </w:rPr>
        <w:t xml:space="preserve">one </w:t>
      </w:r>
      <w:r w:rsidR="008935F4" w:rsidRPr="00A04489">
        <w:rPr>
          <w:rFonts w:ascii="Times New Roman" w:hAnsi="Times New Roman"/>
        </w:rPr>
        <w:t>"</w:t>
      </w:r>
      <w:r w:rsidR="00773E38" w:rsidRPr="00A04489">
        <w:rPr>
          <w:rFonts w:ascii="Times New Roman" w:hAnsi="Times New Roman"/>
        </w:rPr>
        <w:t>can learn from how other people go about things".</w:t>
      </w:r>
      <w:r w:rsidR="00AF3F5B" w:rsidRPr="00A04489">
        <w:rPr>
          <w:rFonts w:ascii="Times New Roman" w:hAnsi="Times New Roman"/>
        </w:rPr>
        <w:t xml:space="preserve"> The test of structured proportionality, he observed, had been advocated </w:t>
      </w:r>
      <w:r w:rsidR="00D02089" w:rsidRPr="00A04489">
        <w:rPr>
          <w:rFonts w:ascii="Times New Roman" w:hAnsi="Times New Roman"/>
        </w:rPr>
        <w:t xml:space="preserve">in </w:t>
      </w:r>
      <w:r w:rsidR="003F720A" w:rsidRPr="00A04489">
        <w:rPr>
          <w:rFonts w:ascii="Times New Roman" w:hAnsi="Times New Roman"/>
        </w:rPr>
        <w:t xml:space="preserve">Canada </w:t>
      </w:r>
      <w:r w:rsidR="00C57F3A" w:rsidRPr="00A04489">
        <w:rPr>
          <w:rFonts w:ascii="Times New Roman" w:hAnsi="Times New Roman"/>
        </w:rPr>
        <w:t xml:space="preserve">in </w:t>
      </w:r>
      <w:r w:rsidR="0024097D" w:rsidRPr="00A04489">
        <w:rPr>
          <w:rFonts w:ascii="Times New Roman" w:hAnsi="Times New Roman"/>
          <w:i/>
        </w:rPr>
        <w:t xml:space="preserve">R v </w:t>
      </w:r>
      <w:r w:rsidR="00C57F3A" w:rsidRPr="00A04489">
        <w:rPr>
          <w:rFonts w:ascii="Times New Roman" w:hAnsi="Times New Roman"/>
          <w:i/>
        </w:rPr>
        <w:t>Oakes</w:t>
      </w:r>
      <w:r w:rsidR="00C57F3A" w:rsidRPr="00A04489">
        <w:rPr>
          <w:rStyle w:val="FootnoteReference"/>
          <w:rFonts w:ascii="Times New Roman" w:hAnsi="Times New Roman"/>
          <w:sz w:val="24"/>
        </w:rPr>
        <w:footnoteReference w:id="59"/>
      </w:r>
      <w:r w:rsidR="00FA3D24" w:rsidRPr="00A04489">
        <w:rPr>
          <w:rFonts w:ascii="Times New Roman" w:hAnsi="Times New Roman"/>
        </w:rPr>
        <w:t xml:space="preserve">, </w:t>
      </w:r>
      <w:r w:rsidR="007A0D93" w:rsidRPr="00A04489">
        <w:rPr>
          <w:rFonts w:ascii="Times New Roman" w:hAnsi="Times New Roman"/>
        </w:rPr>
        <w:t xml:space="preserve">and </w:t>
      </w:r>
      <w:r w:rsidR="00FA3D24" w:rsidRPr="00A04489">
        <w:rPr>
          <w:rFonts w:ascii="Times New Roman" w:hAnsi="Times New Roman"/>
        </w:rPr>
        <w:t xml:space="preserve">applied in the United Kingdom in </w:t>
      </w:r>
      <w:r w:rsidR="00BD6238" w:rsidRPr="00A04489">
        <w:rPr>
          <w:rFonts w:ascii="Times New Roman" w:hAnsi="Times New Roman"/>
          <w:i/>
        </w:rPr>
        <w:t>Bank Mellat</w:t>
      </w:r>
      <w:r w:rsidR="00902015" w:rsidRPr="00A04489">
        <w:rPr>
          <w:rFonts w:ascii="Times New Roman" w:hAnsi="Times New Roman"/>
          <w:i/>
        </w:rPr>
        <w:t xml:space="preserve"> v Her Majesty's Treasury </w:t>
      </w:r>
      <w:r w:rsidR="00E82275" w:rsidRPr="00A04489">
        <w:rPr>
          <w:rFonts w:ascii="Times New Roman" w:hAnsi="Times New Roman"/>
          <w:i/>
        </w:rPr>
        <w:t>[</w:t>
      </w:r>
      <w:r w:rsidR="00902015" w:rsidRPr="00A04489">
        <w:rPr>
          <w:rFonts w:ascii="Times New Roman" w:hAnsi="Times New Roman"/>
          <w:i/>
        </w:rPr>
        <w:t>No 2</w:t>
      </w:r>
      <w:r w:rsidR="00E82275" w:rsidRPr="00A04489">
        <w:rPr>
          <w:rFonts w:ascii="Times New Roman" w:hAnsi="Times New Roman"/>
          <w:i/>
        </w:rPr>
        <w:t>]</w:t>
      </w:r>
      <w:r w:rsidR="00BD6238" w:rsidRPr="00A04489">
        <w:rPr>
          <w:rStyle w:val="FootnoteReference"/>
          <w:rFonts w:ascii="Times New Roman" w:hAnsi="Times New Roman"/>
          <w:sz w:val="24"/>
        </w:rPr>
        <w:footnoteReference w:id="60"/>
      </w:r>
      <w:r w:rsidR="00A9410B" w:rsidRPr="00A04489">
        <w:rPr>
          <w:rFonts w:ascii="Times New Roman" w:hAnsi="Times New Roman"/>
        </w:rPr>
        <w:t>,</w:t>
      </w:r>
      <w:r w:rsidR="00A9410B" w:rsidRPr="00A04489">
        <w:rPr>
          <w:rFonts w:ascii="Times New Roman" w:hAnsi="Times New Roman"/>
          <w:i/>
        </w:rPr>
        <w:t xml:space="preserve"> </w:t>
      </w:r>
      <w:r w:rsidR="00A9410B" w:rsidRPr="00A04489">
        <w:rPr>
          <w:rFonts w:ascii="Times New Roman" w:hAnsi="Times New Roman"/>
        </w:rPr>
        <w:t xml:space="preserve">in New Zealand in </w:t>
      </w:r>
      <w:r w:rsidR="00902015" w:rsidRPr="00A04489">
        <w:rPr>
          <w:rFonts w:ascii="Times New Roman" w:hAnsi="Times New Roman"/>
          <w:i/>
        </w:rPr>
        <w:t xml:space="preserve">R v </w:t>
      </w:r>
      <w:r w:rsidR="00A9410B" w:rsidRPr="00A04489">
        <w:rPr>
          <w:rFonts w:ascii="Times New Roman" w:hAnsi="Times New Roman"/>
          <w:i/>
        </w:rPr>
        <w:t>Hansen</w:t>
      </w:r>
      <w:r w:rsidR="00A9410B" w:rsidRPr="00A04489">
        <w:rPr>
          <w:rStyle w:val="FootnoteReference"/>
          <w:rFonts w:ascii="Times New Roman" w:hAnsi="Times New Roman"/>
          <w:sz w:val="24"/>
        </w:rPr>
        <w:footnoteReference w:id="61"/>
      </w:r>
      <w:r w:rsidR="00A9410B" w:rsidRPr="00A04489">
        <w:rPr>
          <w:rFonts w:ascii="Times New Roman" w:hAnsi="Times New Roman"/>
        </w:rPr>
        <w:t xml:space="preserve"> and in </w:t>
      </w:r>
      <w:r w:rsidR="00B57D6A" w:rsidRPr="00A04489">
        <w:rPr>
          <w:rFonts w:ascii="Times New Roman" w:hAnsi="Times New Roman"/>
        </w:rPr>
        <w:t xml:space="preserve">Australia in </w:t>
      </w:r>
      <w:r w:rsidR="00A9410B" w:rsidRPr="00A04489">
        <w:rPr>
          <w:rFonts w:ascii="Times New Roman" w:hAnsi="Times New Roman"/>
          <w:i/>
        </w:rPr>
        <w:t>McCloy</w:t>
      </w:r>
      <w:r w:rsidR="00A9410B" w:rsidRPr="00A04489">
        <w:rPr>
          <w:rFonts w:ascii="Times New Roman" w:hAnsi="Times New Roman"/>
        </w:rPr>
        <w:t xml:space="preserve">. </w:t>
      </w:r>
      <w:r w:rsidR="005A4CCF" w:rsidRPr="00A04489">
        <w:rPr>
          <w:rFonts w:ascii="Times New Roman" w:hAnsi="Times New Roman"/>
        </w:rPr>
        <w:t xml:space="preserve">He </w:t>
      </w:r>
      <w:r w:rsidR="00A9410B" w:rsidRPr="00A04489">
        <w:rPr>
          <w:rFonts w:ascii="Times New Roman" w:hAnsi="Times New Roman"/>
        </w:rPr>
        <w:t>said:</w:t>
      </w:r>
    </w:p>
    <w:p w14:paraId="4FE15B84" w14:textId="77777777" w:rsidR="00A04489" w:rsidRDefault="003D23BA" w:rsidP="00A04489">
      <w:pPr>
        <w:pStyle w:val="LeftrightafterHC"/>
        <w:spacing w:before="0" w:after="260" w:line="280" w:lineRule="exact"/>
        <w:ind w:right="0"/>
        <w:jc w:val="both"/>
        <w:rPr>
          <w:rFonts w:ascii="Times New Roman" w:hAnsi="Times New Roman"/>
        </w:rPr>
      </w:pPr>
      <w:r w:rsidRPr="00A04489">
        <w:rPr>
          <w:rFonts w:ascii="Times New Roman" w:hAnsi="Times New Roman"/>
        </w:rPr>
        <w:t xml:space="preserve">"The structured proportionality approach is something </w:t>
      </w:r>
      <w:r w:rsidR="007D68D0" w:rsidRPr="00A04489">
        <w:rPr>
          <w:rFonts w:ascii="Times New Roman" w:hAnsi="Times New Roman"/>
        </w:rPr>
        <w:t xml:space="preserve">that </w:t>
      </w:r>
      <w:r w:rsidR="000A3868" w:rsidRPr="00A04489">
        <w:rPr>
          <w:rFonts w:ascii="Times New Roman" w:hAnsi="Times New Roman"/>
        </w:rPr>
        <w:t xml:space="preserve">courts have learnt, not only from </w:t>
      </w:r>
      <w:r w:rsidR="000A3868" w:rsidRPr="00A04489">
        <w:rPr>
          <w:rFonts w:ascii="Times New Roman" w:hAnsi="Times New Roman"/>
          <w:i/>
        </w:rPr>
        <w:t>Oakes</w:t>
      </w:r>
      <w:r w:rsidR="000A3868" w:rsidRPr="00A04489">
        <w:rPr>
          <w:rFonts w:ascii="Times New Roman" w:hAnsi="Times New Roman"/>
        </w:rPr>
        <w:t xml:space="preserve"> but from Professor Barak in his book on proportionality</w:t>
      </w:r>
      <w:r w:rsidR="0028365D" w:rsidRPr="00A04489">
        <w:rPr>
          <w:rStyle w:val="FootnoteReference"/>
          <w:rFonts w:ascii="Times New Roman" w:hAnsi="Times New Roman"/>
          <w:sz w:val="24"/>
        </w:rPr>
        <w:footnoteReference w:id="62"/>
      </w:r>
      <w:r w:rsidR="00BC332C" w:rsidRPr="00A04489">
        <w:rPr>
          <w:rFonts w:ascii="Times New Roman" w:hAnsi="Times New Roman"/>
        </w:rPr>
        <w:t xml:space="preserve">. It is a </w:t>
      </w:r>
      <w:r w:rsidR="00184CEF" w:rsidRPr="00A04489">
        <w:rPr>
          <w:rFonts w:ascii="Times New Roman" w:hAnsi="Times New Roman"/>
        </w:rPr>
        <w:t xml:space="preserve">prime </w:t>
      </w:r>
      <w:r w:rsidR="00BC332C" w:rsidRPr="00A04489">
        <w:rPr>
          <w:rFonts w:ascii="Times New Roman" w:hAnsi="Times New Roman"/>
        </w:rPr>
        <w:t>example of how you can learn from others."</w:t>
      </w:r>
    </w:p>
    <w:p w14:paraId="3477DD31" w14:textId="4331283C" w:rsidR="001A6FD9" w:rsidRPr="00A04489" w:rsidRDefault="00BC332C" w:rsidP="00A04489">
      <w:pPr>
        <w:pStyle w:val="FixListStyle"/>
        <w:spacing w:after="260" w:line="280" w:lineRule="exact"/>
        <w:ind w:right="0"/>
        <w:jc w:val="both"/>
        <w:rPr>
          <w:rFonts w:ascii="Times New Roman" w:hAnsi="Times New Roman"/>
        </w:rPr>
      </w:pPr>
      <w:r w:rsidRPr="00A04489">
        <w:rPr>
          <w:rFonts w:ascii="Times New Roman" w:hAnsi="Times New Roman"/>
        </w:rPr>
        <w:tab/>
        <w:t>Whilst structured proportionality has its origins elsewhere</w:t>
      </w:r>
      <w:r w:rsidR="00DA273D" w:rsidRPr="00A04489">
        <w:rPr>
          <w:rFonts w:ascii="Times New Roman" w:hAnsi="Times New Roman"/>
        </w:rPr>
        <w:t>,</w:t>
      </w:r>
      <w:r w:rsidRPr="00A04489">
        <w:rPr>
          <w:rFonts w:ascii="Times New Roman" w:hAnsi="Times New Roman"/>
        </w:rPr>
        <w:t xml:space="preserve"> it is capable of</w:t>
      </w:r>
      <w:r w:rsidR="00DE1023" w:rsidRPr="00A04489">
        <w:rPr>
          <w:rFonts w:ascii="Times New Roman" w:hAnsi="Times New Roman"/>
        </w:rPr>
        <w:t xml:space="preserve"> </w:t>
      </w:r>
      <w:r w:rsidR="005E742E" w:rsidRPr="00A04489">
        <w:rPr>
          <w:rFonts w:ascii="Times New Roman" w:hAnsi="Times New Roman"/>
        </w:rPr>
        <w:t>being applied</w:t>
      </w:r>
      <w:r w:rsidR="00DE1023" w:rsidRPr="00A04489">
        <w:rPr>
          <w:rFonts w:ascii="Times New Roman" w:hAnsi="Times New Roman"/>
        </w:rPr>
        <w:t xml:space="preserve"> and must be </w:t>
      </w:r>
      <w:r w:rsidR="00FD2D35" w:rsidRPr="00A04489">
        <w:rPr>
          <w:rFonts w:ascii="Times New Roman" w:hAnsi="Times New Roman"/>
        </w:rPr>
        <w:t xml:space="preserve">applied in a </w:t>
      </w:r>
      <w:r w:rsidR="00DE1023" w:rsidRPr="00A04489">
        <w:rPr>
          <w:rFonts w:ascii="Times New Roman" w:hAnsi="Times New Roman"/>
        </w:rPr>
        <w:t xml:space="preserve">particular constitutional context. </w:t>
      </w:r>
      <w:r w:rsidR="000B20D8" w:rsidRPr="00A04489">
        <w:rPr>
          <w:rFonts w:ascii="Times New Roman" w:hAnsi="Times New Roman"/>
        </w:rPr>
        <w:t xml:space="preserve">Its adaptability in </w:t>
      </w:r>
      <w:r w:rsidR="009C5F53" w:rsidRPr="00A04489">
        <w:rPr>
          <w:rFonts w:ascii="Times New Roman" w:hAnsi="Times New Roman"/>
        </w:rPr>
        <w:t>p</w:t>
      </w:r>
      <w:r w:rsidR="000B20D8" w:rsidRPr="00A04489">
        <w:rPr>
          <w:rFonts w:ascii="Times New Roman" w:hAnsi="Times New Roman"/>
        </w:rPr>
        <w:t>art accounts for its adoption globally</w:t>
      </w:r>
      <w:r w:rsidR="00CD6C2D" w:rsidRPr="00A04489">
        <w:rPr>
          <w:rFonts w:ascii="Times New Roman" w:hAnsi="Times New Roman"/>
        </w:rPr>
        <w:t xml:space="preserve">. </w:t>
      </w:r>
      <w:r w:rsidR="00346C6A" w:rsidRPr="00A04489">
        <w:rPr>
          <w:rFonts w:ascii="Times New Roman" w:hAnsi="Times New Roman"/>
        </w:rPr>
        <w:t xml:space="preserve">And as </w:t>
      </w:r>
      <w:r w:rsidR="00CD6C2D" w:rsidRPr="00A04489">
        <w:rPr>
          <w:rFonts w:ascii="Times New Roman" w:hAnsi="Times New Roman"/>
        </w:rPr>
        <w:t>has been observed</w:t>
      </w:r>
      <w:r w:rsidR="001625CC" w:rsidRPr="00A04489">
        <w:rPr>
          <w:rStyle w:val="FootnoteReference"/>
          <w:rFonts w:ascii="Times New Roman" w:hAnsi="Times New Roman"/>
          <w:sz w:val="24"/>
        </w:rPr>
        <w:footnoteReference w:id="63"/>
      </w:r>
      <w:r w:rsidR="00346C6A" w:rsidRPr="00A04489">
        <w:rPr>
          <w:rFonts w:ascii="Times New Roman" w:hAnsi="Times New Roman"/>
        </w:rPr>
        <w:t>,</w:t>
      </w:r>
      <w:r w:rsidR="00CD6C2D" w:rsidRPr="00A04489">
        <w:rPr>
          <w:rFonts w:ascii="Times New Roman" w:hAnsi="Times New Roman"/>
        </w:rPr>
        <w:t xml:space="preserve"> </w:t>
      </w:r>
      <w:r w:rsidR="00C5778E" w:rsidRPr="00A04489">
        <w:rPr>
          <w:rFonts w:ascii="Times New Roman" w:hAnsi="Times New Roman"/>
        </w:rPr>
        <w:t xml:space="preserve">the joint reasons in </w:t>
      </w:r>
      <w:r w:rsidR="00C5778E" w:rsidRPr="00A04489">
        <w:rPr>
          <w:rFonts w:ascii="Times New Roman" w:hAnsi="Times New Roman"/>
          <w:i/>
        </w:rPr>
        <w:t>McCloy</w:t>
      </w:r>
      <w:r w:rsidR="00C5778E" w:rsidRPr="00A04489">
        <w:rPr>
          <w:rFonts w:ascii="Times New Roman" w:hAnsi="Times New Roman"/>
        </w:rPr>
        <w:t xml:space="preserve"> sought to explain structured proportionality as an </w:t>
      </w:r>
      <w:r w:rsidR="002A3ED4" w:rsidRPr="00A04489">
        <w:rPr>
          <w:rFonts w:ascii="Times New Roman" w:hAnsi="Times New Roman"/>
        </w:rPr>
        <w:t>"</w:t>
      </w:r>
      <w:r w:rsidR="00C5778E" w:rsidRPr="00A04489">
        <w:rPr>
          <w:rFonts w:ascii="Times New Roman" w:hAnsi="Times New Roman"/>
        </w:rPr>
        <w:t xml:space="preserve">indigenous progression of the law rather than an example of explicit </w:t>
      </w:r>
      <w:r w:rsidR="0004409B" w:rsidRPr="00A04489">
        <w:rPr>
          <w:rFonts w:ascii="Times New Roman" w:hAnsi="Times New Roman"/>
        </w:rPr>
        <w:t>'borrowing' from other jurisdictions</w:t>
      </w:r>
      <w:r w:rsidR="00B34AF5" w:rsidRPr="00A04489">
        <w:rPr>
          <w:rFonts w:ascii="Times New Roman" w:hAnsi="Times New Roman"/>
        </w:rPr>
        <w:t>"</w:t>
      </w:r>
      <w:r w:rsidR="0004409B" w:rsidRPr="00A04489">
        <w:rPr>
          <w:rFonts w:ascii="Times New Roman" w:hAnsi="Times New Roman"/>
        </w:rPr>
        <w:t>.</w:t>
      </w:r>
    </w:p>
    <w:p w14:paraId="7217DB3D" w14:textId="6F1CB153" w:rsidR="00320F8B" w:rsidRPr="00A04489" w:rsidRDefault="001A6FD9" w:rsidP="00A04489">
      <w:pPr>
        <w:pStyle w:val="FixListStyle"/>
        <w:spacing w:after="260" w:line="280" w:lineRule="exact"/>
        <w:ind w:right="0"/>
        <w:jc w:val="both"/>
        <w:rPr>
          <w:rFonts w:ascii="Times New Roman" w:hAnsi="Times New Roman"/>
        </w:rPr>
      </w:pPr>
      <w:r w:rsidRPr="00A04489">
        <w:rPr>
          <w:rFonts w:ascii="Times New Roman" w:hAnsi="Times New Roman"/>
        </w:rPr>
        <w:tab/>
      </w:r>
      <w:r w:rsidR="00D95264" w:rsidRPr="00A04489">
        <w:rPr>
          <w:rFonts w:ascii="Times New Roman" w:hAnsi="Times New Roman"/>
        </w:rPr>
        <w:t xml:space="preserve">It is not difficult to discern why courts have favoured its application. </w:t>
      </w:r>
      <w:r w:rsidR="00507989" w:rsidRPr="00A04489">
        <w:rPr>
          <w:rFonts w:ascii="Times New Roman" w:hAnsi="Times New Roman"/>
        </w:rPr>
        <w:t>It reflects a rational approach to the</w:t>
      </w:r>
      <w:r w:rsidR="00B25C73" w:rsidRPr="00A04489">
        <w:rPr>
          <w:rFonts w:ascii="Times New Roman" w:hAnsi="Times New Roman"/>
        </w:rPr>
        <w:t xml:space="preserve"> question</w:t>
      </w:r>
      <w:r w:rsidR="00507989" w:rsidRPr="00A04489">
        <w:rPr>
          <w:rFonts w:ascii="Times New Roman" w:hAnsi="Times New Roman"/>
        </w:rPr>
        <w:t xml:space="preserve"> of whether a law which burdens a right or freedom can be justified</w:t>
      </w:r>
      <w:r w:rsidR="007D74EA" w:rsidRPr="00A04489">
        <w:rPr>
          <w:rFonts w:ascii="Times New Roman" w:hAnsi="Times New Roman"/>
        </w:rPr>
        <w:t>,</w:t>
      </w:r>
      <w:r w:rsidR="00507989" w:rsidRPr="00A04489">
        <w:rPr>
          <w:rFonts w:ascii="Times New Roman" w:hAnsi="Times New Roman"/>
        </w:rPr>
        <w:t xml:space="preserve"> which </w:t>
      </w:r>
      <w:r w:rsidR="00346C6A" w:rsidRPr="00A04489">
        <w:rPr>
          <w:rFonts w:ascii="Times New Roman" w:hAnsi="Times New Roman"/>
        </w:rPr>
        <w:t xml:space="preserve">requires </w:t>
      </w:r>
      <w:r w:rsidR="00507989" w:rsidRPr="00A04489">
        <w:rPr>
          <w:rFonts w:ascii="Times New Roman" w:hAnsi="Times New Roman"/>
        </w:rPr>
        <w:t>the court</w:t>
      </w:r>
      <w:r w:rsidR="00264541" w:rsidRPr="00A04489">
        <w:rPr>
          <w:rFonts w:ascii="Times New Roman" w:hAnsi="Times New Roman"/>
        </w:rPr>
        <w:t>s</w:t>
      </w:r>
      <w:r w:rsidR="00507989" w:rsidRPr="00A04489">
        <w:rPr>
          <w:rFonts w:ascii="Times New Roman" w:hAnsi="Times New Roman"/>
        </w:rPr>
        <w:t xml:space="preserve"> to make something of a value judgment</w:t>
      </w:r>
      <w:r w:rsidR="00DC7635" w:rsidRPr="00A04489">
        <w:rPr>
          <w:rFonts w:ascii="Times New Roman" w:hAnsi="Times New Roman"/>
        </w:rPr>
        <w:t>. It discourages conclusory statements</w:t>
      </w:r>
      <w:r w:rsidR="007E2843" w:rsidRPr="00A04489">
        <w:rPr>
          <w:rFonts w:ascii="Times New Roman" w:hAnsi="Times New Roman"/>
        </w:rPr>
        <w:t>,</w:t>
      </w:r>
      <w:r w:rsidR="00DC7635" w:rsidRPr="00A04489">
        <w:rPr>
          <w:rFonts w:ascii="Times New Roman" w:hAnsi="Times New Roman"/>
        </w:rPr>
        <w:t xml:space="preserve"> which are apt to disguise the motivation for them</w:t>
      </w:r>
      <w:r w:rsidR="007E2843" w:rsidRPr="00A04489">
        <w:rPr>
          <w:rFonts w:ascii="Times New Roman" w:hAnsi="Times New Roman"/>
        </w:rPr>
        <w:t>,</w:t>
      </w:r>
      <w:r w:rsidR="00DC7635" w:rsidRPr="00A04489">
        <w:rPr>
          <w:rFonts w:ascii="Times New Roman" w:hAnsi="Times New Roman"/>
        </w:rPr>
        <w:t xml:space="preserve"> and instead exposes a court's reasoning. It is not obvious that the fact the same questions are to be applied </w:t>
      </w:r>
      <w:r w:rsidR="00D0187F" w:rsidRPr="00A04489">
        <w:rPr>
          <w:rFonts w:ascii="Times New Roman" w:hAnsi="Times New Roman"/>
        </w:rPr>
        <w:t>in each case, albeit to different statutory contexts, is a bad thing.</w:t>
      </w:r>
      <w:r w:rsidR="00430D3F" w:rsidRPr="00A04489">
        <w:rPr>
          <w:rFonts w:ascii="Times New Roman" w:hAnsi="Times New Roman"/>
        </w:rPr>
        <w:t xml:space="preserve"> It might be said that it reflects the certainty to which the law aspires.</w:t>
      </w:r>
    </w:p>
    <w:p w14:paraId="05B7149F" w14:textId="77B76C13" w:rsidR="00430D3F" w:rsidRPr="00A04489" w:rsidRDefault="00430D3F"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It has not been suggested in any case since </w:t>
      </w:r>
      <w:r w:rsidRPr="00A04489">
        <w:rPr>
          <w:rFonts w:ascii="Times New Roman" w:hAnsi="Times New Roman"/>
          <w:i/>
        </w:rPr>
        <w:t>McCloy</w:t>
      </w:r>
      <w:r w:rsidRPr="00A04489">
        <w:rPr>
          <w:rFonts w:ascii="Times New Roman" w:hAnsi="Times New Roman"/>
        </w:rPr>
        <w:t xml:space="preserve"> that a line of argument otherwise available as a means of justifying</w:t>
      </w:r>
      <w:r w:rsidR="000017A6" w:rsidRPr="00A04489">
        <w:rPr>
          <w:rFonts w:ascii="Times New Roman" w:hAnsi="Times New Roman"/>
        </w:rPr>
        <w:t xml:space="preserve"> a law has been foreclosed. No one could doubt that proportionality is necessary to justification. </w:t>
      </w:r>
      <w:r w:rsidR="00A206B3" w:rsidRPr="00A04489">
        <w:rPr>
          <w:rFonts w:ascii="Times New Roman" w:hAnsi="Times New Roman"/>
        </w:rPr>
        <w:t>This</w:t>
      </w:r>
      <w:r w:rsidR="00033236" w:rsidRPr="00A04489">
        <w:rPr>
          <w:rFonts w:ascii="Times New Roman" w:hAnsi="Times New Roman"/>
        </w:rPr>
        <w:t xml:space="preserve"> Court has </w:t>
      </w:r>
      <w:r w:rsidR="00C11291" w:rsidRPr="00A04489">
        <w:rPr>
          <w:rFonts w:ascii="Times New Roman" w:hAnsi="Times New Roman"/>
        </w:rPr>
        <w:t xml:space="preserve">repeatedly </w:t>
      </w:r>
      <w:r w:rsidR="00A206B3" w:rsidRPr="00A04489">
        <w:rPr>
          <w:rFonts w:ascii="Times New Roman" w:hAnsi="Times New Roman"/>
        </w:rPr>
        <w:t>said so. It cannot be suggested that structured proportionality is a perfect</w:t>
      </w:r>
      <w:r w:rsidR="00C11291" w:rsidRPr="00A04489">
        <w:rPr>
          <w:rFonts w:ascii="Times New Roman" w:hAnsi="Times New Roman"/>
        </w:rPr>
        <w:t xml:space="preserve"> method</w:t>
      </w:r>
      <w:r w:rsidR="00A971B9" w:rsidRPr="00A04489">
        <w:rPr>
          <w:rFonts w:ascii="Times New Roman" w:hAnsi="Times New Roman"/>
        </w:rPr>
        <w:t>. None</w:t>
      </w:r>
      <w:r w:rsidR="00DB2FA7" w:rsidRPr="00A04489">
        <w:rPr>
          <w:rFonts w:ascii="Times New Roman" w:hAnsi="Times New Roman"/>
        </w:rPr>
        <w:t xml:space="preserve"> </w:t>
      </w:r>
      <w:r w:rsidR="00C11291" w:rsidRPr="00A04489">
        <w:rPr>
          <w:rFonts w:ascii="Times New Roman" w:hAnsi="Times New Roman"/>
        </w:rPr>
        <w:t xml:space="preserve">is, but some method is necessary if lawyers and legislators are to know how the question of justification is to be approached in a given case. </w:t>
      </w:r>
      <w:r w:rsidR="00B27B40" w:rsidRPr="00A04489">
        <w:rPr>
          <w:rFonts w:ascii="Times New Roman" w:hAnsi="Times New Roman"/>
        </w:rPr>
        <w:t>Structure</w:t>
      </w:r>
      <w:r w:rsidR="00FA1BB1" w:rsidRPr="00A04489">
        <w:rPr>
          <w:rFonts w:ascii="Times New Roman" w:hAnsi="Times New Roman"/>
        </w:rPr>
        <w:t>d</w:t>
      </w:r>
      <w:r w:rsidR="00B27B40" w:rsidRPr="00A04489">
        <w:rPr>
          <w:rFonts w:ascii="Times New Roman" w:hAnsi="Times New Roman"/>
        </w:rPr>
        <w:t xml:space="preserve"> pro</w:t>
      </w:r>
      <w:r w:rsidR="00FA1BB1" w:rsidRPr="00A04489">
        <w:rPr>
          <w:rFonts w:ascii="Times New Roman" w:hAnsi="Times New Roman"/>
        </w:rPr>
        <w:t xml:space="preserve">portionality </w:t>
      </w:r>
      <w:r w:rsidR="00A971B9" w:rsidRPr="00A04489">
        <w:rPr>
          <w:rFonts w:ascii="Times New Roman" w:hAnsi="Times New Roman"/>
        </w:rPr>
        <w:t>certainly</w:t>
      </w:r>
      <w:r w:rsidR="00A206B3" w:rsidRPr="00A04489">
        <w:rPr>
          <w:rFonts w:ascii="Times New Roman" w:hAnsi="Times New Roman"/>
        </w:rPr>
        <w:t xml:space="preserve"> seems preferable to its main competito</w:t>
      </w:r>
      <w:r w:rsidR="001D5CD4" w:rsidRPr="00A04489">
        <w:rPr>
          <w:rFonts w:ascii="Times New Roman" w:hAnsi="Times New Roman"/>
        </w:rPr>
        <w:t>rs. It has been said</w:t>
      </w:r>
      <w:r w:rsidR="001D5CD4" w:rsidRPr="00A04489">
        <w:rPr>
          <w:rStyle w:val="FootnoteReference"/>
          <w:rFonts w:ascii="Times New Roman" w:hAnsi="Times New Roman"/>
          <w:sz w:val="24"/>
        </w:rPr>
        <w:footnoteReference w:id="64"/>
      </w:r>
      <w:r w:rsidR="00EC267C" w:rsidRPr="00A04489">
        <w:rPr>
          <w:rFonts w:ascii="Times New Roman" w:hAnsi="Times New Roman"/>
        </w:rPr>
        <w:t xml:space="preserve"> that calibrated scrutiny will ultimately end </w:t>
      </w:r>
      <w:r w:rsidR="00E702EE" w:rsidRPr="00A04489">
        <w:rPr>
          <w:rFonts w:ascii="Times New Roman" w:hAnsi="Times New Roman"/>
        </w:rPr>
        <w:t xml:space="preserve">up as </w:t>
      </w:r>
      <w:r w:rsidR="009A6D5F" w:rsidRPr="00A04489">
        <w:rPr>
          <w:rFonts w:ascii="Times New Roman" w:hAnsi="Times New Roman"/>
        </w:rPr>
        <w:t>a rules-based approach</w:t>
      </w:r>
      <w:r w:rsidR="008E7F13" w:rsidRPr="00A04489">
        <w:rPr>
          <w:rFonts w:ascii="Times New Roman" w:hAnsi="Times New Roman"/>
        </w:rPr>
        <w:t>,</w:t>
      </w:r>
      <w:r w:rsidR="009A6D5F" w:rsidRPr="00A04489">
        <w:rPr>
          <w:rFonts w:ascii="Times New Roman" w:hAnsi="Times New Roman"/>
        </w:rPr>
        <w:t xml:space="preserve"> even though it seeks to avoid that outcome</w:t>
      </w:r>
      <w:r w:rsidR="008E7F13" w:rsidRPr="00A04489">
        <w:rPr>
          <w:rFonts w:ascii="Times New Roman" w:hAnsi="Times New Roman"/>
        </w:rPr>
        <w:t>,</w:t>
      </w:r>
      <w:r w:rsidR="009A6D5F" w:rsidRPr="00A04489">
        <w:rPr>
          <w:rFonts w:ascii="Times New Roman" w:hAnsi="Times New Roman"/>
        </w:rPr>
        <w:t xml:space="preserve"> and </w:t>
      </w:r>
      <w:r w:rsidR="00F47950" w:rsidRPr="00A04489">
        <w:rPr>
          <w:rFonts w:ascii="Times New Roman" w:hAnsi="Times New Roman"/>
        </w:rPr>
        <w:t xml:space="preserve">that </w:t>
      </w:r>
      <w:r w:rsidR="009A6D5F" w:rsidRPr="00A04489">
        <w:rPr>
          <w:rFonts w:ascii="Times New Roman" w:hAnsi="Times New Roman"/>
        </w:rPr>
        <w:t>the problem with tiered scrutiny is that the court</w:t>
      </w:r>
      <w:r w:rsidR="00CD1337" w:rsidRPr="00A04489">
        <w:rPr>
          <w:rFonts w:ascii="Times New Roman" w:hAnsi="Times New Roman"/>
        </w:rPr>
        <w:t>'s task become</w:t>
      </w:r>
      <w:r w:rsidR="00CE49E1" w:rsidRPr="00A04489">
        <w:rPr>
          <w:rFonts w:ascii="Times New Roman" w:hAnsi="Times New Roman"/>
        </w:rPr>
        <w:t>s</w:t>
      </w:r>
      <w:r w:rsidR="00CD1337" w:rsidRPr="00A04489">
        <w:rPr>
          <w:rFonts w:ascii="Times New Roman" w:hAnsi="Times New Roman"/>
        </w:rPr>
        <w:t xml:space="preserve"> one merely </w:t>
      </w:r>
      <w:r w:rsidR="00CE49E1" w:rsidRPr="00A04489">
        <w:rPr>
          <w:rFonts w:ascii="Times New Roman" w:hAnsi="Times New Roman"/>
        </w:rPr>
        <w:t xml:space="preserve">of </w:t>
      </w:r>
      <w:r w:rsidR="00CD1337" w:rsidRPr="00A04489">
        <w:rPr>
          <w:rFonts w:ascii="Times New Roman" w:hAnsi="Times New Roman"/>
        </w:rPr>
        <w:t>categorising the case.</w:t>
      </w:r>
    </w:p>
    <w:p w14:paraId="080F357A" w14:textId="70F67CEE" w:rsidR="00B33212" w:rsidRPr="00A04489" w:rsidRDefault="00C64C0D"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Long before </w:t>
      </w:r>
      <w:r w:rsidRPr="00A04489">
        <w:rPr>
          <w:rFonts w:ascii="Times New Roman" w:hAnsi="Times New Roman"/>
          <w:i/>
        </w:rPr>
        <w:t>McCloy</w:t>
      </w:r>
      <w:r w:rsidRPr="00A04489">
        <w:rPr>
          <w:rFonts w:ascii="Times New Roman" w:hAnsi="Times New Roman"/>
        </w:rPr>
        <w:t xml:space="preserve"> it had been suggested </w:t>
      </w:r>
      <w:r w:rsidR="0032066E" w:rsidRPr="00A04489">
        <w:rPr>
          <w:rFonts w:ascii="Times New Roman" w:hAnsi="Times New Roman"/>
        </w:rPr>
        <w:t xml:space="preserve">by Jeremy Kirk </w:t>
      </w:r>
      <w:r w:rsidRPr="00A04489">
        <w:rPr>
          <w:rFonts w:ascii="Times New Roman" w:hAnsi="Times New Roman"/>
        </w:rPr>
        <w:t xml:space="preserve">that the stages of structured </w:t>
      </w:r>
      <w:r w:rsidR="000D1880" w:rsidRPr="00A04489">
        <w:rPr>
          <w:rFonts w:ascii="Times New Roman" w:hAnsi="Times New Roman"/>
        </w:rPr>
        <w:t>proportionality are discernible in judgment</w:t>
      </w:r>
      <w:r w:rsidR="004E183D" w:rsidRPr="00A04489">
        <w:rPr>
          <w:rFonts w:ascii="Times New Roman" w:hAnsi="Times New Roman"/>
        </w:rPr>
        <w:t>s</w:t>
      </w:r>
      <w:r w:rsidR="000D1880" w:rsidRPr="00A04489">
        <w:rPr>
          <w:rFonts w:ascii="Times New Roman" w:hAnsi="Times New Roman"/>
        </w:rPr>
        <w:t xml:space="preserve"> regarding s 92, albeit not expressly acknowledged by the </w:t>
      </w:r>
      <w:r w:rsidR="004E183D" w:rsidRPr="00A04489">
        <w:rPr>
          <w:rFonts w:ascii="Times New Roman" w:hAnsi="Times New Roman"/>
        </w:rPr>
        <w:t>C</w:t>
      </w:r>
      <w:r w:rsidR="000D1880" w:rsidRPr="00A04489">
        <w:rPr>
          <w:rFonts w:ascii="Times New Roman" w:hAnsi="Times New Roman"/>
        </w:rPr>
        <w:t>ourt as such</w:t>
      </w:r>
      <w:r w:rsidR="00000A12" w:rsidRPr="00A04489">
        <w:rPr>
          <w:rStyle w:val="FootnoteReference"/>
          <w:rFonts w:ascii="Times New Roman" w:hAnsi="Times New Roman"/>
          <w:sz w:val="24"/>
        </w:rPr>
        <w:footnoteReference w:id="65"/>
      </w:r>
      <w:r w:rsidR="002B4BE4" w:rsidRPr="00A04489">
        <w:rPr>
          <w:rFonts w:ascii="Times New Roman" w:hAnsi="Times New Roman"/>
        </w:rPr>
        <w:t xml:space="preserve">. The author gives as an example the judgment of Stephen and Mason JJ in </w:t>
      </w:r>
      <w:r w:rsidR="0032066E" w:rsidRPr="00A04489">
        <w:rPr>
          <w:rFonts w:ascii="Times New Roman" w:hAnsi="Times New Roman"/>
          <w:i/>
        </w:rPr>
        <w:t>Ue</w:t>
      </w:r>
      <w:r w:rsidR="002B4BE4" w:rsidRPr="00A04489">
        <w:rPr>
          <w:rFonts w:ascii="Times New Roman" w:hAnsi="Times New Roman"/>
          <w:i/>
        </w:rPr>
        <w:t>bergang v Australian Wheat Board</w:t>
      </w:r>
      <w:r w:rsidR="002B4BE4" w:rsidRPr="00A04489">
        <w:rPr>
          <w:rStyle w:val="FootnoteReference"/>
          <w:rFonts w:ascii="Times New Roman" w:hAnsi="Times New Roman"/>
          <w:sz w:val="24"/>
        </w:rPr>
        <w:footnoteReference w:id="66"/>
      </w:r>
      <w:r w:rsidR="00AC2AE9" w:rsidRPr="00A04489">
        <w:rPr>
          <w:rFonts w:ascii="Times New Roman" w:hAnsi="Times New Roman"/>
        </w:rPr>
        <w:t>.</w:t>
      </w:r>
      <w:r w:rsidR="00AC2AE9" w:rsidRPr="00A04489">
        <w:rPr>
          <w:rFonts w:ascii="Times New Roman" w:hAnsi="Times New Roman"/>
          <w:i/>
        </w:rPr>
        <w:t xml:space="preserve"> </w:t>
      </w:r>
      <w:r w:rsidR="00AC2AE9" w:rsidRPr="00A04489">
        <w:rPr>
          <w:rFonts w:ascii="Times New Roman" w:hAnsi="Times New Roman"/>
        </w:rPr>
        <w:t>Their Honours said that validity could depend on whether there were alternative, practicable means of achieving the</w:t>
      </w:r>
      <w:r w:rsidR="00725469" w:rsidRPr="00A04489">
        <w:rPr>
          <w:rFonts w:ascii="Times New Roman" w:hAnsi="Times New Roman"/>
        </w:rPr>
        <w:t xml:space="preserve"> legitimate</w:t>
      </w:r>
      <w:r w:rsidR="00AC2AE9" w:rsidRPr="00A04489">
        <w:rPr>
          <w:rFonts w:ascii="Times New Roman" w:hAnsi="Times New Roman"/>
        </w:rPr>
        <w:t xml:space="preserve"> end with less effect on interstate trade. </w:t>
      </w:r>
      <w:r w:rsidR="00FD5381" w:rsidRPr="00A04489">
        <w:rPr>
          <w:rFonts w:ascii="Times New Roman" w:hAnsi="Times New Roman"/>
        </w:rPr>
        <w:t xml:space="preserve">Their Honours also said </w:t>
      </w:r>
      <w:r w:rsidR="004D2853" w:rsidRPr="00A04489">
        <w:rPr>
          <w:rFonts w:ascii="Times New Roman" w:hAnsi="Times New Roman"/>
        </w:rPr>
        <w:t xml:space="preserve">that the test to be applied is that the legislation be "no more restrictive than is reasonable in all the circumstances, due regard being had to the public interest", which is to say balancing with </w:t>
      </w:r>
      <w:r w:rsidR="0098680B" w:rsidRPr="00A04489">
        <w:rPr>
          <w:rFonts w:ascii="Times New Roman" w:hAnsi="Times New Roman"/>
        </w:rPr>
        <w:t xml:space="preserve">the "need which is felt for </w:t>
      </w:r>
      <w:r w:rsidR="004E183D" w:rsidRPr="00A04489">
        <w:rPr>
          <w:rFonts w:ascii="Times New Roman" w:hAnsi="Times New Roman"/>
        </w:rPr>
        <w:t>regulation</w:t>
      </w:r>
      <w:r w:rsidR="009D6C34" w:rsidRPr="00A04489">
        <w:rPr>
          <w:rFonts w:ascii="Times New Roman" w:hAnsi="Times New Roman"/>
        </w:rPr>
        <w:t xml:space="preserve">". This reasoning, </w:t>
      </w:r>
      <w:r w:rsidR="00725469" w:rsidRPr="00A04489">
        <w:rPr>
          <w:rFonts w:ascii="Times New Roman" w:hAnsi="Times New Roman"/>
        </w:rPr>
        <w:t>Kirk</w:t>
      </w:r>
      <w:r w:rsidR="009D6C34" w:rsidRPr="00A04489">
        <w:rPr>
          <w:rFonts w:ascii="Times New Roman" w:hAnsi="Times New Roman"/>
        </w:rPr>
        <w:t xml:space="preserve"> </w:t>
      </w:r>
      <w:r w:rsidR="00077C7A" w:rsidRPr="00A04489">
        <w:rPr>
          <w:rFonts w:ascii="Times New Roman" w:hAnsi="Times New Roman"/>
        </w:rPr>
        <w:t>considers</w:t>
      </w:r>
      <w:r w:rsidR="009D6C34" w:rsidRPr="00A04489">
        <w:rPr>
          <w:rFonts w:ascii="Times New Roman" w:hAnsi="Times New Roman"/>
        </w:rPr>
        <w:t xml:space="preserve">, includes strict proportionality </w:t>
      </w:r>
      <w:r w:rsidR="006024A7" w:rsidRPr="00A04489">
        <w:rPr>
          <w:rFonts w:ascii="Times New Roman" w:hAnsi="Times New Roman"/>
        </w:rPr>
        <w:t>and is directed to assessing the justification of an impugned law's infringement of the s 92 freedom.</w:t>
      </w:r>
    </w:p>
    <w:p w14:paraId="387A9AE4" w14:textId="153B9EF8" w:rsidR="00EA4B62" w:rsidRPr="00A04489" w:rsidRDefault="00B33212" w:rsidP="00A04489">
      <w:pPr>
        <w:pStyle w:val="FixListStyle"/>
        <w:spacing w:after="260" w:line="280" w:lineRule="exact"/>
        <w:ind w:right="0"/>
        <w:jc w:val="both"/>
        <w:rPr>
          <w:rFonts w:ascii="Times New Roman" w:hAnsi="Times New Roman"/>
        </w:rPr>
      </w:pPr>
      <w:r w:rsidRPr="00A04489">
        <w:rPr>
          <w:rFonts w:ascii="Times New Roman" w:hAnsi="Times New Roman"/>
        </w:rPr>
        <w:tab/>
        <w:t>There may not be universal acceptance of the application of the three tests of structured proportionality</w:t>
      </w:r>
      <w:r w:rsidR="006453D1" w:rsidRPr="00A04489">
        <w:rPr>
          <w:rFonts w:ascii="Times New Roman" w:hAnsi="Times New Roman"/>
        </w:rPr>
        <w:t xml:space="preserve"> to s 92</w:t>
      </w:r>
      <w:r w:rsidRPr="00A04489">
        <w:rPr>
          <w:rFonts w:ascii="Times New Roman" w:hAnsi="Times New Roman"/>
        </w:rPr>
        <w:t>, although it is difficult to comprehend what criticism could be levelled at a requirement that a law be suitable to its non</w:t>
      </w:r>
      <w:r w:rsidRPr="00A04489">
        <w:rPr>
          <w:rFonts w:ascii="Times New Roman" w:hAnsi="Times New Roman"/>
        </w:rPr>
        <w:noBreakHyphen/>
        <w:t xml:space="preserve">discriminatory purpose. This is a question which is invariably addressed </w:t>
      </w:r>
      <w:r w:rsidR="00B22119" w:rsidRPr="00A04489">
        <w:rPr>
          <w:rFonts w:ascii="Times New Roman" w:hAnsi="Times New Roman"/>
        </w:rPr>
        <w:t xml:space="preserve">in </w:t>
      </w:r>
      <w:r w:rsidR="006453D1" w:rsidRPr="00A04489">
        <w:rPr>
          <w:rFonts w:ascii="Times New Roman" w:hAnsi="Times New Roman"/>
        </w:rPr>
        <w:t xml:space="preserve">the process of </w:t>
      </w:r>
      <w:r w:rsidR="00B22119" w:rsidRPr="00A04489">
        <w:rPr>
          <w:rFonts w:ascii="Times New Roman" w:hAnsi="Times New Roman"/>
        </w:rPr>
        <w:t xml:space="preserve">construing the statute in question. </w:t>
      </w:r>
      <w:r w:rsidR="00B90DC2" w:rsidRPr="00A04489">
        <w:rPr>
          <w:rFonts w:ascii="Times New Roman" w:hAnsi="Times New Roman"/>
        </w:rPr>
        <w:t>One view which has been expressed</w:t>
      </w:r>
      <w:r w:rsidR="0065543E" w:rsidRPr="00A04489">
        <w:rPr>
          <w:rStyle w:val="FootnoteReference"/>
          <w:rFonts w:ascii="Times New Roman" w:hAnsi="Times New Roman"/>
          <w:sz w:val="24"/>
        </w:rPr>
        <w:footnoteReference w:id="67"/>
      </w:r>
      <w:r w:rsidR="0065543E" w:rsidRPr="00A04489">
        <w:rPr>
          <w:rFonts w:ascii="Times New Roman" w:hAnsi="Times New Roman"/>
        </w:rPr>
        <w:t xml:space="preserve"> is that </w:t>
      </w:r>
      <w:r w:rsidR="00F34A98" w:rsidRPr="00A04489">
        <w:rPr>
          <w:rFonts w:ascii="Times New Roman" w:hAnsi="Times New Roman"/>
        </w:rPr>
        <w:t xml:space="preserve">the rule stated in </w:t>
      </w:r>
      <w:r w:rsidR="00F34A98" w:rsidRPr="00A04489">
        <w:rPr>
          <w:rFonts w:ascii="Times New Roman" w:hAnsi="Times New Roman"/>
          <w:i/>
        </w:rPr>
        <w:t>Cole v Whitfield</w:t>
      </w:r>
      <w:r w:rsidR="00F34A98" w:rsidRPr="00A04489">
        <w:rPr>
          <w:rFonts w:ascii="Times New Roman" w:hAnsi="Times New Roman"/>
        </w:rPr>
        <w:t xml:space="preserve"> with respect to the trade and commerce limb leaves no room for questions of balancing</w:t>
      </w:r>
      <w:r w:rsidR="00675A05" w:rsidRPr="00A04489">
        <w:rPr>
          <w:rFonts w:ascii="Times New Roman" w:hAnsi="Times New Roman"/>
        </w:rPr>
        <w:t>. On the other hand</w:t>
      </w:r>
      <w:r w:rsidR="008E2917" w:rsidRPr="00A04489">
        <w:rPr>
          <w:rFonts w:ascii="Times New Roman" w:hAnsi="Times New Roman"/>
        </w:rPr>
        <w:t>,</w:t>
      </w:r>
      <w:r w:rsidR="00675A05" w:rsidRPr="00A04489">
        <w:rPr>
          <w:rFonts w:ascii="Times New Roman" w:hAnsi="Times New Roman"/>
        </w:rPr>
        <w:t xml:space="preserve"> notions of balancing have been said by Professor Leslie Zines</w:t>
      </w:r>
      <w:r w:rsidR="00675A05" w:rsidRPr="00A04489">
        <w:rPr>
          <w:rStyle w:val="FootnoteReference"/>
          <w:rFonts w:ascii="Times New Roman" w:hAnsi="Times New Roman"/>
          <w:sz w:val="24"/>
        </w:rPr>
        <w:footnoteReference w:id="68"/>
      </w:r>
      <w:r w:rsidR="00675A05" w:rsidRPr="00A04489">
        <w:rPr>
          <w:rFonts w:ascii="Times New Roman" w:hAnsi="Times New Roman"/>
        </w:rPr>
        <w:t xml:space="preserve"> to be eviden</w:t>
      </w:r>
      <w:r w:rsidR="009434A8" w:rsidRPr="00A04489">
        <w:rPr>
          <w:rFonts w:ascii="Times New Roman" w:hAnsi="Times New Roman"/>
        </w:rPr>
        <w:t>t</w:t>
      </w:r>
      <w:r w:rsidR="00675A05" w:rsidRPr="00A04489">
        <w:rPr>
          <w:rFonts w:ascii="Times New Roman" w:hAnsi="Times New Roman"/>
        </w:rPr>
        <w:t xml:space="preserve"> in </w:t>
      </w:r>
      <w:r w:rsidR="00675A05" w:rsidRPr="00A04489">
        <w:rPr>
          <w:rFonts w:ascii="Times New Roman" w:hAnsi="Times New Roman"/>
          <w:i/>
        </w:rPr>
        <w:t>Castlemaine Tooheys</w:t>
      </w:r>
      <w:r w:rsidR="00675A05" w:rsidRPr="00A04489">
        <w:rPr>
          <w:rFonts w:ascii="Times New Roman" w:hAnsi="Times New Roman"/>
        </w:rPr>
        <w:t xml:space="preserve">, which </w:t>
      </w:r>
      <w:r w:rsidR="00AC39C1" w:rsidRPr="00A04489">
        <w:rPr>
          <w:rFonts w:ascii="Times New Roman" w:hAnsi="Times New Roman"/>
        </w:rPr>
        <w:t xml:space="preserve">was decided after </w:t>
      </w:r>
      <w:r w:rsidR="00AC39C1" w:rsidRPr="00A04489">
        <w:rPr>
          <w:rFonts w:ascii="Times New Roman" w:hAnsi="Times New Roman"/>
          <w:i/>
        </w:rPr>
        <w:t>Cole v Whitfield</w:t>
      </w:r>
      <w:r w:rsidR="00AC39C1" w:rsidRPr="00A04489">
        <w:rPr>
          <w:rFonts w:ascii="Times New Roman" w:hAnsi="Times New Roman"/>
        </w:rPr>
        <w:t xml:space="preserve">. </w:t>
      </w:r>
      <w:r w:rsidR="00D54C4F" w:rsidRPr="00A04489">
        <w:rPr>
          <w:rFonts w:ascii="Times New Roman" w:hAnsi="Times New Roman"/>
        </w:rPr>
        <w:t>An acceptance of th</w:t>
      </w:r>
      <w:r w:rsidR="00B94EE3" w:rsidRPr="00A04489">
        <w:rPr>
          <w:rFonts w:ascii="Times New Roman" w:hAnsi="Times New Roman"/>
        </w:rPr>
        <w:t>e</w:t>
      </w:r>
      <w:r w:rsidR="00D54C4F" w:rsidRPr="00A04489">
        <w:rPr>
          <w:rFonts w:ascii="Times New Roman" w:hAnsi="Times New Roman"/>
        </w:rPr>
        <w:t xml:space="preserve"> tests of s</w:t>
      </w:r>
      <w:r w:rsidR="00863CCB" w:rsidRPr="00A04489">
        <w:rPr>
          <w:rFonts w:ascii="Times New Roman" w:hAnsi="Times New Roman"/>
        </w:rPr>
        <w:t>tructured proportionality do</w:t>
      </w:r>
      <w:r w:rsidR="00D54C4F" w:rsidRPr="00A04489">
        <w:rPr>
          <w:rFonts w:ascii="Times New Roman" w:hAnsi="Times New Roman"/>
        </w:rPr>
        <w:t>es</w:t>
      </w:r>
      <w:r w:rsidR="00863CCB" w:rsidRPr="00A04489">
        <w:rPr>
          <w:rFonts w:ascii="Times New Roman" w:hAnsi="Times New Roman"/>
        </w:rPr>
        <w:t xml:space="preserve"> not affect what was said in </w:t>
      </w:r>
      <w:r w:rsidR="00863CCB" w:rsidRPr="00A04489">
        <w:rPr>
          <w:rFonts w:ascii="Times New Roman" w:hAnsi="Times New Roman"/>
          <w:i/>
        </w:rPr>
        <w:t>Cole v Whitfield</w:t>
      </w:r>
      <w:r w:rsidR="00863CCB" w:rsidRPr="00A04489">
        <w:rPr>
          <w:rFonts w:ascii="Times New Roman" w:hAnsi="Times New Roman"/>
        </w:rPr>
        <w:t xml:space="preserve">. </w:t>
      </w:r>
      <w:r w:rsidR="00D54C4F" w:rsidRPr="00A04489">
        <w:rPr>
          <w:rFonts w:ascii="Times New Roman" w:hAnsi="Times New Roman"/>
        </w:rPr>
        <w:t xml:space="preserve">It </w:t>
      </w:r>
      <w:r w:rsidR="00863CCB" w:rsidRPr="00A04489">
        <w:rPr>
          <w:rFonts w:ascii="Times New Roman" w:hAnsi="Times New Roman"/>
        </w:rPr>
        <w:t xml:space="preserve">simply </w:t>
      </w:r>
      <w:r w:rsidR="00B94EE3" w:rsidRPr="00A04489">
        <w:rPr>
          <w:rFonts w:ascii="Times New Roman" w:hAnsi="Times New Roman"/>
        </w:rPr>
        <w:t>explicates</w:t>
      </w:r>
      <w:r w:rsidR="00893C3A" w:rsidRPr="00A04489">
        <w:rPr>
          <w:rFonts w:ascii="Times New Roman" w:hAnsi="Times New Roman"/>
        </w:rPr>
        <w:t xml:space="preserve"> the tests for justification</w:t>
      </w:r>
      <w:r w:rsidR="00E61C32" w:rsidRPr="00A04489">
        <w:rPr>
          <w:rFonts w:ascii="Times New Roman" w:hAnsi="Times New Roman"/>
        </w:rPr>
        <w:t>,</w:t>
      </w:r>
      <w:r w:rsidR="00893C3A" w:rsidRPr="00A04489">
        <w:rPr>
          <w:rFonts w:ascii="Times New Roman" w:hAnsi="Times New Roman"/>
        </w:rPr>
        <w:t xml:space="preserve"> as </w:t>
      </w:r>
      <w:r w:rsidR="00893C3A" w:rsidRPr="00A04489">
        <w:rPr>
          <w:rFonts w:ascii="Times New Roman" w:hAnsi="Times New Roman"/>
          <w:i/>
        </w:rPr>
        <w:t>Betfair</w:t>
      </w:r>
      <w:r w:rsidR="00EA4B62" w:rsidRPr="00A04489">
        <w:rPr>
          <w:rFonts w:ascii="Times New Roman" w:hAnsi="Times New Roman"/>
          <w:i/>
        </w:rPr>
        <w:t xml:space="preserve"> No</w:t>
      </w:r>
      <w:r w:rsidR="00990DC2" w:rsidRPr="00A04489">
        <w:rPr>
          <w:rFonts w:ascii="Times New Roman" w:hAnsi="Times New Roman"/>
          <w:i/>
        </w:rPr>
        <w:t xml:space="preserve"> </w:t>
      </w:r>
      <w:r w:rsidR="00EA4B62" w:rsidRPr="00A04489">
        <w:rPr>
          <w:rFonts w:ascii="Times New Roman" w:hAnsi="Times New Roman"/>
          <w:i/>
        </w:rPr>
        <w:t>1</w:t>
      </w:r>
      <w:r w:rsidR="00EA4B62" w:rsidRPr="00A04489">
        <w:rPr>
          <w:rFonts w:ascii="Times New Roman" w:hAnsi="Times New Roman"/>
        </w:rPr>
        <w:t xml:space="preserve"> did.</w:t>
      </w:r>
    </w:p>
    <w:p w14:paraId="2E03D486" w14:textId="05399B03" w:rsidR="00C64C0D" w:rsidRPr="00A04489" w:rsidRDefault="00EA4B62" w:rsidP="00A04489">
      <w:pPr>
        <w:pStyle w:val="FixListStyle"/>
        <w:spacing w:after="260" w:line="280" w:lineRule="exact"/>
        <w:ind w:right="0"/>
        <w:jc w:val="both"/>
        <w:rPr>
          <w:rFonts w:ascii="Times New Roman" w:hAnsi="Times New Roman"/>
        </w:rPr>
      </w:pPr>
      <w:r w:rsidRPr="00A04489">
        <w:rPr>
          <w:rFonts w:ascii="Times New Roman" w:hAnsi="Times New Roman"/>
        </w:rPr>
        <w:tab/>
      </w:r>
      <w:r w:rsidR="00AC39C1" w:rsidRPr="00A04489">
        <w:rPr>
          <w:rFonts w:ascii="Times New Roman" w:hAnsi="Times New Roman"/>
        </w:rPr>
        <w:t xml:space="preserve">Once it is accepted that </w:t>
      </w:r>
      <w:r w:rsidR="00AC39C1" w:rsidRPr="00A04489">
        <w:rPr>
          <w:rFonts w:ascii="Times New Roman" w:hAnsi="Times New Roman"/>
          <w:i/>
        </w:rPr>
        <w:t>Betfair No</w:t>
      </w:r>
      <w:r w:rsidR="00990DC2" w:rsidRPr="00A04489">
        <w:rPr>
          <w:rFonts w:ascii="Times New Roman" w:hAnsi="Times New Roman"/>
          <w:i/>
        </w:rPr>
        <w:t xml:space="preserve"> </w:t>
      </w:r>
      <w:r w:rsidR="00AC39C1" w:rsidRPr="00A04489">
        <w:rPr>
          <w:rFonts w:ascii="Times New Roman" w:hAnsi="Times New Roman"/>
          <w:i/>
        </w:rPr>
        <w:t>1</w:t>
      </w:r>
      <w:r w:rsidR="00AC39C1" w:rsidRPr="00A04489">
        <w:rPr>
          <w:rFonts w:ascii="Times New Roman" w:hAnsi="Times New Roman"/>
        </w:rPr>
        <w:t xml:space="preserve">, </w:t>
      </w:r>
      <w:r w:rsidR="00B94EE3" w:rsidRPr="00A04489">
        <w:rPr>
          <w:rFonts w:ascii="Times New Roman" w:hAnsi="Times New Roman"/>
        </w:rPr>
        <w:t xml:space="preserve">in its </w:t>
      </w:r>
      <w:r w:rsidR="00AC39C1" w:rsidRPr="00A04489">
        <w:rPr>
          <w:rFonts w:ascii="Times New Roman" w:hAnsi="Times New Roman"/>
        </w:rPr>
        <w:t>appli</w:t>
      </w:r>
      <w:r w:rsidR="00B94EE3" w:rsidRPr="00A04489">
        <w:rPr>
          <w:rFonts w:ascii="Times New Roman" w:hAnsi="Times New Roman"/>
        </w:rPr>
        <w:t>cation</w:t>
      </w:r>
      <w:r w:rsidR="00AC39C1" w:rsidRPr="00A04489">
        <w:rPr>
          <w:rFonts w:ascii="Times New Roman" w:hAnsi="Times New Roman"/>
        </w:rPr>
        <w:t xml:space="preserve"> </w:t>
      </w:r>
      <w:r w:rsidRPr="00A04489">
        <w:rPr>
          <w:rFonts w:ascii="Times New Roman" w:hAnsi="Times New Roman"/>
        </w:rPr>
        <w:t xml:space="preserve">to </w:t>
      </w:r>
      <w:r w:rsidR="00313959" w:rsidRPr="00A04489">
        <w:rPr>
          <w:rFonts w:ascii="Times New Roman" w:hAnsi="Times New Roman"/>
        </w:rPr>
        <w:t>all the freedoms protected by s 92, requires that a discriminatory law must be justified as reasonably necessary, in the sense that it is understood in proportionality analysis, there seems no reason why it should not be justified as adequate in its balance</w:t>
      </w:r>
      <w:r w:rsidR="00452672" w:rsidRPr="00A04489">
        <w:rPr>
          <w:rFonts w:ascii="Times New Roman" w:hAnsi="Times New Roman"/>
        </w:rPr>
        <w:t xml:space="preserve">. It may be shown that there is no real alternative to the law, but in some cases </w:t>
      </w:r>
      <w:r w:rsidR="00B63D73" w:rsidRPr="00A04489">
        <w:rPr>
          <w:rFonts w:ascii="Times New Roman" w:hAnsi="Times New Roman"/>
        </w:rPr>
        <w:t xml:space="preserve">the burden on </w:t>
      </w:r>
      <w:r w:rsidR="001C489F" w:rsidRPr="00A04489">
        <w:rPr>
          <w:rFonts w:ascii="Times New Roman" w:hAnsi="Times New Roman"/>
        </w:rPr>
        <w:t>a</w:t>
      </w:r>
      <w:r w:rsidR="00B63D73" w:rsidRPr="00A04489">
        <w:rPr>
          <w:rFonts w:ascii="Times New Roman" w:hAnsi="Times New Roman"/>
        </w:rPr>
        <w:t xml:space="preserve"> freedom will be very great and the measures permitted by the law </w:t>
      </w:r>
      <w:r w:rsidR="0097264C" w:rsidRPr="00A04489">
        <w:rPr>
          <w:rFonts w:ascii="Times New Roman" w:hAnsi="Times New Roman"/>
        </w:rPr>
        <w:t>of evidently little importance</w:t>
      </w:r>
      <w:r w:rsidR="00B63D73" w:rsidRPr="00A04489">
        <w:rPr>
          <w:rFonts w:ascii="Times New Roman" w:hAnsi="Times New Roman"/>
        </w:rPr>
        <w:t xml:space="preserve">, which is to say the burden is out of proportion to the need for it. Why should the burden </w:t>
      </w:r>
      <w:r w:rsidR="001045BF" w:rsidRPr="00A04489">
        <w:rPr>
          <w:rFonts w:ascii="Times New Roman" w:hAnsi="Times New Roman"/>
        </w:rPr>
        <w:t>not be said to be unjustified?</w:t>
      </w:r>
      <w:r w:rsidR="00507DDF" w:rsidRPr="00A04489">
        <w:rPr>
          <w:rFonts w:ascii="Times New Roman" w:hAnsi="Times New Roman"/>
        </w:rPr>
        <w:t xml:space="preserve"> </w:t>
      </w:r>
      <w:r w:rsidR="001045BF" w:rsidRPr="00A04489">
        <w:rPr>
          <w:rFonts w:ascii="Times New Roman" w:hAnsi="Times New Roman"/>
          <w:i/>
        </w:rPr>
        <w:t>Castlemaine</w:t>
      </w:r>
      <w:r w:rsidR="0055176D" w:rsidRPr="00A04489">
        <w:rPr>
          <w:rFonts w:ascii="Times New Roman" w:hAnsi="Times New Roman"/>
          <w:i/>
        </w:rPr>
        <w:t xml:space="preserve"> Tooheys</w:t>
      </w:r>
      <w:r w:rsidR="0055176D" w:rsidRPr="00A04489">
        <w:rPr>
          <w:rFonts w:ascii="Times New Roman" w:hAnsi="Times New Roman"/>
        </w:rPr>
        <w:t xml:space="preserve"> was a case of this kind. </w:t>
      </w:r>
      <w:r w:rsidR="008B5974" w:rsidRPr="00A04489">
        <w:rPr>
          <w:rFonts w:ascii="Times New Roman" w:hAnsi="Times New Roman"/>
        </w:rPr>
        <w:t xml:space="preserve">Proportionality in the strict sense has been </w:t>
      </w:r>
      <w:r w:rsidR="007C19D7" w:rsidRPr="00A04489">
        <w:rPr>
          <w:rFonts w:ascii="Times New Roman" w:hAnsi="Times New Roman"/>
        </w:rPr>
        <w:t xml:space="preserve">considered to be appropriate by a majority of this </w:t>
      </w:r>
      <w:r w:rsidR="00506FF4" w:rsidRPr="00A04489">
        <w:rPr>
          <w:rFonts w:ascii="Times New Roman" w:hAnsi="Times New Roman"/>
        </w:rPr>
        <w:t>C</w:t>
      </w:r>
      <w:r w:rsidR="007C19D7" w:rsidRPr="00A04489">
        <w:rPr>
          <w:rFonts w:ascii="Times New Roman" w:hAnsi="Times New Roman"/>
        </w:rPr>
        <w:t>ourt</w:t>
      </w:r>
      <w:r w:rsidR="00336B22" w:rsidRPr="00A04489">
        <w:rPr>
          <w:rFonts w:ascii="Times New Roman" w:hAnsi="Times New Roman"/>
        </w:rPr>
        <w:t xml:space="preserve"> in implied freedom cases</w:t>
      </w:r>
      <w:r w:rsidR="00336B22" w:rsidRPr="00A04489">
        <w:rPr>
          <w:rStyle w:val="FootnoteReference"/>
          <w:rFonts w:ascii="Times New Roman" w:hAnsi="Times New Roman"/>
          <w:sz w:val="24"/>
        </w:rPr>
        <w:footnoteReference w:id="69"/>
      </w:r>
      <w:r w:rsidR="00336B22" w:rsidRPr="00A04489">
        <w:rPr>
          <w:rFonts w:ascii="Times New Roman" w:hAnsi="Times New Roman"/>
        </w:rPr>
        <w:t>.</w:t>
      </w:r>
      <w:r w:rsidR="00175CF9" w:rsidRPr="00A04489">
        <w:rPr>
          <w:rFonts w:ascii="Times New Roman" w:hAnsi="Times New Roman"/>
        </w:rPr>
        <w:t xml:space="preserve"> It is a justification which the defendant</w:t>
      </w:r>
      <w:r w:rsidR="009764A1" w:rsidRPr="00A04489">
        <w:rPr>
          <w:rFonts w:ascii="Times New Roman" w:hAnsi="Times New Roman"/>
        </w:rPr>
        <w:t>s</w:t>
      </w:r>
      <w:r w:rsidR="00175CF9" w:rsidRPr="00A04489">
        <w:rPr>
          <w:rFonts w:ascii="Times New Roman" w:hAnsi="Times New Roman"/>
        </w:rPr>
        <w:t xml:space="preserve"> s</w:t>
      </w:r>
      <w:r w:rsidR="00302605" w:rsidRPr="00A04489">
        <w:rPr>
          <w:rFonts w:ascii="Times New Roman" w:hAnsi="Times New Roman"/>
        </w:rPr>
        <w:t>ought</w:t>
      </w:r>
      <w:r w:rsidR="00175CF9" w:rsidRPr="00A04489">
        <w:rPr>
          <w:rFonts w:ascii="Times New Roman" w:hAnsi="Times New Roman"/>
        </w:rPr>
        <w:t xml:space="preserve"> to make out </w:t>
      </w:r>
      <w:r w:rsidR="00FD1F43" w:rsidRPr="00A04489">
        <w:rPr>
          <w:rFonts w:ascii="Times New Roman" w:hAnsi="Times New Roman"/>
        </w:rPr>
        <w:t>in this case</w:t>
      </w:r>
      <w:r w:rsidR="00175CF9" w:rsidRPr="00A04489">
        <w:rPr>
          <w:rFonts w:ascii="Times New Roman" w:hAnsi="Times New Roman"/>
        </w:rPr>
        <w:t>.</w:t>
      </w:r>
      <w:r w:rsidR="00122438" w:rsidRPr="00A04489">
        <w:rPr>
          <w:rFonts w:ascii="Times New Roman" w:hAnsi="Times New Roman"/>
        </w:rPr>
        <w:t xml:space="preserve"> It should be understood to reflect the proper role of this Court as the guardian of constitutionally protected freedoms. </w:t>
      </w:r>
    </w:p>
    <w:p w14:paraId="7AC3F137" w14:textId="07EA021E"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This method of justification of a law </w:t>
      </w:r>
      <w:r w:rsidR="004A013D" w:rsidRPr="00A04489">
        <w:rPr>
          <w:rFonts w:ascii="Times New Roman" w:hAnsi="Times New Roman"/>
        </w:rPr>
        <w:t xml:space="preserve">may </w:t>
      </w:r>
      <w:r w:rsidRPr="00A04489">
        <w:rPr>
          <w:rFonts w:ascii="Times New Roman" w:hAnsi="Times New Roman"/>
        </w:rPr>
        <w:t xml:space="preserve">assume special importance where the law has a powerful public, protective purpose. The example given by the Commonwealth in </w:t>
      </w:r>
      <w:r w:rsidRPr="00A04489">
        <w:rPr>
          <w:rFonts w:ascii="Times New Roman" w:hAnsi="Times New Roman"/>
          <w:i/>
        </w:rPr>
        <w:t>McCloy</w:t>
      </w:r>
      <w:r w:rsidRPr="00A04489">
        <w:rPr>
          <w:rStyle w:val="FootnoteReference"/>
          <w:rFonts w:ascii="Times New Roman" w:hAnsi="Times New Roman"/>
          <w:sz w:val="24"/>
        </w:rPr>
        <w:footnoteReference w:id="70"/>
      </w:r>
      <w:r w:rsidRPr="00A04489">
        <w:rPr>
          <w:rFonts w:ascii="Times New Roman" w:hAnsi="Times New Roman"/>
        </w:rPr>
        <w:t xml:space="preserve">, when it sought to invoke this justification, was the object of protecting security of the nation </w:t>
      </w:r>
      <w:r w:rsidR="00771BEE" w:rsidRPr="00A04489">
        <w:rPr>
          <w:rFonts w:ascii="Times New Roman" w:hAnsi="Times New Roman"/>
        </w:rPr>
        <w:t xml:space="preserve">at a </w:t>
      </w:r>
      <w:r w:rsidRPr="00A04489">
        <w:rPr>
          <w:rFonts w:ascii="Times New Roman" w:hAnsi="Times New Roman"/>
        </w:rPr>
        <w:t>time of war. Similar metaphors have been applied in public discussion about the crisis affecting the health of pe</w:t>
      </w:r>
      <w:r w:rsidR="00F56C49" w:rsidRPr="00A04489">
        <w:rPr>
          <w:rFonts w:ascii="Times New Roman" w:hAnsi="Times New Roman"/>
        </w:rPr>
        <w:t>rsons</w:t>
      </w:r>
      <w:r w:rsidRPr="00A04489">
        <w:rPr>
          <w:rFonts w:ascii="Times New Roman" w:hAnsi="Times New Roman"/>
        </w:rPr>
        <w:t xml:space="preserve"> during the COVID</w:t>
      </w:r>
      <w:r w:rsidRPr="00A04489">
        <w:rPr>
          <w:rFonts w:ascii="Times New Roman" w:hAnsi="Times New Roman"/>
        </w:rPr>
        <w:noBreakHyphen/>
        <w:t>19 pandemic.</w:t>
      </w:r>
      <w:r w:rsidR="0015043A" w:rsidRPr="00A04489">
        <w:rPr>
          <w:rFonts w:ascii="Times New Roman" w:hAnsi="Times New Roman"/>
        </w:rPr>
        <w:t xml:space="preserve"> </w:t>
      </w:r>
    </w:p>
    <w:p w14:paraId="4A09CFFA" w14:textId="0477D592"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The plaintiffs, the defendants and </w:t>
      </w:r>
      <w:r w:rsidR="00753BEC" w:rsidRPr="00A04489">
        <w:rPr>
          <w:rFonts w:ascii="Times New Roman" w:hAnsi="Times New Roman"/>
        </w:rPr>
        <w:t xml:space="preserve">at least </w:t>
      </w:r>
      <w:r w:rsidR="001D6996" w:rsidRPr="00A04489">
        <w:rPr>
          <w:rFonts w:ascii="Times New Roman" w:hAnsi="Times New Roman"/>
        </w:rPr>
        <w:t>three</w:t>
      </w:r>
      <w:r w:rsidRPr="00A04489">
        <w:rPr>
          <w:rFonts w:ascii="Times New Roman" w:hAnsi="Times New Roman"/>
        </w:rPr>
        <w:t xml:space="preserve"> of </w:t>
      </w:r>
      <w:r w:rsidR="009F2E64" w:rsidRPr="00A04489">
        <w:rPr>
          <w:rFonts w:ascii="Times New Roman" w:hAnsi="Times New Roman"/>
        </w:rPr>
        <w:t xml:space="preserve">the </w:t>
      </w:r>
      <w:r w:rsidRPr="00A04489">
        <w:rPr>
          <w:rFonts w:ascii="Times New Roman" w:hAnsi="Times New Roman"/>
        </w:rPr>
        <w:t>intervenors accepted that proportionality analysis which includes an analysis of this kind is appropriate to be utilised in considering whether a burden on s 92 is justified. No relevant distinction can be drawn as between the implied freedom of political communication and the s 92 freedoms in this regard. Each are the subject of a constitutional guarantee which has been held not to be absolute. If a burden is effected on a freedom it may be justified by any rational means. Th</w:t>
      </w:r>
      <w:r w:rsidR="00461B89" w:rsidRPr="00A04489">
        <w:rPr>
          <w:rFonts w:ascii="Times New Roman" w:hAnsi="Times New Roman"/>
        </w:rPr>
        <w:t>e balancing exercise</w:t>
      </w:r>
      <w:r w:rsidR="00074EEC" w:rsidRPr="00A04489">
        <w:rPr>
          <w:rFonts w:ascii="Times New Roman" w:hAnsi="Times New Roman"/>
        </w:rPr>
        <w:t xml:space="preserve"> is</w:t>
      </w:r>
      <w:r w:rsidRPr="00A04489">
        <w:rPr>
          <w:rFonts w:ascii="Times New Roman" w:hAnsi="Times New Roman"/>
        </w:rPr>
        <w:t xml:space="preserve"> one such means</w:t>
      </w:r>
      <w:r w:rsidR="00B6374F" w:rsidRPr="00A04489">
        <w:rPr>
          <w:rFonts w:ascii="Times New Roman" w:hAnsi="Times New Roman"/>
        </w:rPr>
        <w:t xml:space="preserve"> and it is likely to assume special importance where statutory measures have a purpose as important as the protection of health and life</w:t>
      </w:r>
      <w:r w:rsidRPr="00A04489">
        <w:rPr>
          <w:rFonts w:ascii="Times New Roman" w:hAnsi="Times New Roman"/>
        </w:rPr>
        <w:t>.</w:t>
      </w:r>
    </w:p>
    <w:p w14:paraId="757C938B" w14:textId="71500376" w:rsidR="00DC2929" w:rsidRPr="00A04489" w:rsidRDefault="00235F79" w:rsidP="00A04489">
      <w:pPr>
        <w:pStyle w:val="HeadingL2"/>
        <w:spacing w:after="260" w:line="280" w:lineRule="exact"/>
        <w:ind w:right="0"/>
        <w:jc w:val="both"/>
        <w:rPr>
          <w:rFonts w:ascii="Times New Roman" w:hAnsi="Times New Roman"/>
        </w:rPr>
      </w:pPr>
      <w:r w:rsidRPr="00A04489">
        <w:rPr>
          <w:rFonts w:ascii="Times New Roman" w:hAnsi="Times New Roman"/>
        </w:rPr>
        <w:t xml:space="preserve">Section 92 precludes </w:t>
      </w:r>
    </w:p>
    <w:p w14:paraId="473520A6" w14:textId="376AD2BB"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Section 92 may be understood to preclude a law which burdens any of the freedoms there stated</w:t>
      </w:r>
      <w:r w:rsidR="007E3662" w:rsidRPr="00A04489">
        <w:rPr>
          <w:rFonts w:ascii="Times New Roman" w:hAnsi="Times New Roman"/>
        </w:rPr>
        <w:t>,</w:t>
      </w:r>
      <w:r w:rsidRPr="00A04489">
        <w:rPr>
          <w:rFonts w:ascii="Times New Roman" w:hAnsi="Times New Roman"/>
        </w:rPr>
        <w:t xml:space="preserve"> as subjects of constitutional protection</w:t>
      </w:r>
      <w:r w:rsidR="007E3662" w:rsidRPr="00A04489">
        <w:rPr>
          <w:rFonts w:ascii="Times New Roman" w:hAnsi="Times New Roman"/>
        </w:rPr>
        <w:t>,</w:t>
      </w:r>
      <w:r w:rsidRPr="00A04489">
        <w:rPr>
          <w:rFonts w:ascii="Times New Roman" w:hAnsi="Times New Roman"/>
        </w:rPr>
        <w:t xml:space="preserve"> where the law discriminates against interstate trade, commerce or intercourse and the burden cannot be justified as proportionate to the non</w:t>
      </w:r>
      <w:r w:rsidRPr="00A04489">
        <w:rPr>
          <w:rFonts w:ascii="Times New Roman" w:hAnsi="Times New Roman"/>
        </w:rPr>
        <w:noBreakHyphen/>
        <w:t>discriminatory, legitimate purpose of the law which is sought to be achieved</w:t>
      </w:r>
      <w:r w:rsidR="00F2403C" w:rsidRPr="00A04489">
        <w:rPr>
          <w:rFonts w:ascii="Times New Roman" w:hAnsi="Times New Roman"/>
        </w:rPr>
        <w:t>.</w:t>
      </w:r>
      <w:r w:rsidR="00BC2C8D" w:rsidRPr="00A04489">
        <w:rPr>
          <w:rFonts w:ascii="Times New Roman" w:hAnsi="Times New Roman"/>
        </w:rPr>
        <w:t xml:space="preserve"> </w:t>
      </w:r>
      <w:r w:rsidR="00F2403C" w:rsidRPr="00A04489">
        <w:rPr>
          <w:rFonts w:ascii="Times New Roman" w:hAnsi="Times New Roman"/>
        </w:rPr>
        <w:t>W</w:t>
      </w:r>
      <w:r w:rsidR="00BC2C8D" w:rsidRPr="00A04489">
        <w:rPr>
          <w:rFonts w:ascii="Times New Roman" w:hAnsi="Times New Roman"/>
        </w:rPr>
        <w:t xml:space="preserve">hether it is proportionate </w:t>
      </w:r>
      <w:r w:rsidR="003B0E8E" w:rsidRPr="00A04489">
        <w:rPr>
          <w:rFonts w:ascii="Times New Roman" w:hAnsi="Times New Roman"/>
        </w:rPr>
        <w:t xml:space="preserve">is to be determined by the tests of structured proportionality as explained by this </w:t>
      </w:r>
      <w:r w:rsidR="00E37A80" w:rsidRPr="00A04489">
        <w:rPr>
          <w:rFonts w:ascii="Times New Roman" w:hAnsi="Times New Roman"/>
        </w:rPr>
        <w:t>C</w:t>
      </w:r>
      <w:r w:rsidR="003B0E8E" w:rsidRPr="00A04489">
        <w:rPr>
          <w:rFonts w:ascii="Times New Roman" w:hAnsi="Times New Roman"/>
        </w:rPr>
        <w:t>ourt</w:t>
      </w:r>
      <w:r w:rsidRPr="00A04489">
        <w:rPr>
          <w:rFonts w:ascii="Times New Roman" w:hAnsi="Times New Roman"/>
        </w:rPr>
        <w:t>.</w:t>
      </w:r>
    </w:p>
    <w:p w14:paraId="5C326289" w14:textId="77777777" w:rsidR="00DC2929" w:rsidRPr="00A04489" w:rsidRDefault="00DC2929" w:rsidP="00A04489">
      <w:pPr>
        <w:pStyle w:val="HeadingL1"/>
        <w:spacing w:after="260" w:line="280" w:lineRule="exact"/>
        <w:ind w:right="0"/>
        <w:jc w:val="both"/>
        <w:rPr>
          <w:rFonts w:ascii="Times New Roman" w:hAnsi="Times New Roman"/>
        </w:rPr>
      </w:pPr>
      <w:r w:rsidRPr="00A04489">
        <w:rPr>
          <w:rFonts w:ascii="Times New Roman" w:hAnsi="Times New Roman"/>
        </w:rPr>
        <w:t>A constitutional limitation</w:t>
      </w:r>
    </w:p>
    <w:p w14:paraId="13FB00A2" w14:textId="282B660A"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Victoria, intervening, submitted that the </w:t>
      </w:r>
      <w:r w:rsidR="00594881" w:rsidRPr="00A04489">
        <w:rPr>
          <w:rFonts w:ascii="Times New Roman" w:hAnsi="Times New Roman"/>
        </w:rPr>
        <w:t xml:space="preserve">principal </w:t>
      </w:r>
      <w:r w:rsidRPr="00A04489">
        <w:rPr>
          <w:rFonts w:ascii="Times New Roman" w:hAnsi="Times New Roman"/>
        </w:rPr>
        <w:t xml:space="preserve">question reserved for this Court can and should be answered by reference to the authorising provisions of the EM Act rather than by reference to any particular exercise of those statutory powers, namely the Directions. The defendants adopted these submissions. The submissions should be accepted. They accord with what was said by this Court in </w:t>
      </w:r>
      <w:r w:rsidRPr="00A04489">
        <w:rPr>
          <w:rFonts w:ascii="Times New Roman" w:hAnsi="Times New Roman"/>
          <w:i/>
        </w:rPr>
        <w:t>Wotton v Queensland</w:t>
      </w:r>
      <w:r w:rsidRPr="00A04489">
        <w:rPr>
          <w:rStyle w:val="FootnoteReference"/>
          <w:rFonts w:ascii="Times New Roman" w:hAnsi="Times New Roman"/>
          <w:sz w:val="24"/>
        </w:rPr>
        <w:footnoteReference w:id="71"/>
      </w:r>
      <w:r w:rsidRPr="00A04489">
        <w:rPr>
          <w:rFonts w:ascii="Times New Roman" w:hAnsi="Times New Roman"/>
        </w:rPr>
        <w:t>.</w:t>
      </w:r>
    </w:p>
    <w:p w14:paraId="1F53F8AE" w14:textId="0632AF4A"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In </w:t>
      </w:r>
      <w:r w:rsidRPr="00A04489">
        <w:rPr>
          <w:rFonts w:ascii="Times New Roman" w:hAnsi="Times New Roman"/>
          <w:i/>
        </w:rPr>
        <w:t>Wotton</w:t>
      </w:r>
      <w:r w:rsidRPr="00A04489">
        <w:rPr>
          <w:rFonts w:ascii="Times New Roman" w:hAnsi="Times New Roman"/>
        </w:rPr>
        <w:t xml:space="preserve">, the </w:t>
      </w:r>
      <w:r w:rsidRPr="00A04489">
        <w:rPr>
          <w:rFonts w:ascii="Times New Roman" w:hAnsi="Times New Roman"/>
          <w:i/>
        </w:rPr>
        <w:t>Corrective Services Act 2006</w:t>
      </w:r>
      <w:r w:rsidRPr="00A04489">
        <w:rPr>
          <w:rFonts w:ascii="Times New Roman" w:hAnsi="Times New Roman"/>
        </w:rPr>
        <w:t xml:space="preserve"> (Qld) conferred a discretion to attach such conditions to a </w:t>
      </w:r>
      <w:r w:rsidR="003F6227" w:rsidRPr="00A04489">
        <w:rPr>
          <w:rFonts w:ascii="Times New Roman" w:hAnsi="Times New Roman"/>
        </w:rPr>
        <w:t>p</w:t>
      </w:r>
      <w:r w:rsidRPr="00A04489">
        <w:rPr>
          <w:rFonts w:ascii="Times New Roman" w:hAnsi="Times New Roman"/>
        </w:rPr>
        <w:t xml:space="preserve">arole </w:t>
      </w:r>
      <w:r w:rsidR="003F6227" w:rsidRPr="00A04489">
        <w:rPr>
          <w:rFonts w:ascii="Times New Roman" w:hAnsi="Times New Roman"/>
        </w:rPr>
        <w:t>o</w:t>
      </w:r>
      <w:r w:rsidRPr="00A04489">
        <w:rPr>
          <w:rFonts w:ascii="Times New Roman" w:hAnsi="Times New Roman"/>
        </w:rPr>
        <w:t xml:space="preserve">rder as a </w:t>
      </w:r>
      <w:r w:rsidR="00C00244" w:rsidRPr="00A04489">
        <w:rPr>
          <w:rFonts w:ascii="Times New Roman" w:hAnsi="Times New Roman"/>
        </w:rPr>
        <w:t>p</w:t>
      </w:r>
      <w:r w:rsidRPr="00A04489">
        <w:rPr>
          <w:rFonts w:ascii="Times New Roman" w:hAnsi="Times New Roman"/>
        </w:rPr>
        <w:t xml:space="preserve">arole </w:t>
      </w:r>
      <w:r w:rsidR="003F6227" w:rsidRPr="00A04489">
        <w:rPr>
          <w:rFonts w:ascii="Times New Roman" w:hAnsi="Times New Roman"/>
        </w:rPr>
        <w:t>b</w:t>
      </w:r>
      <w:r w:rsidRPr="00A04489">
        <w:rPr>
          <w:rFonts w:ascii="Times New Roman" w:hAnsi="Times New Roman"/>
        </w:rPr>
        <w:t xml:space="preserve">oard </w:t>
      </w:r>
      <w:r w:rsidR="00261439" w:rsidRPr="00A04489">
        <w:rPr>
          <w:rFonts w:ascii="Times New Roman" w:hAnsi="Times New Roman"/>
        </w:rPr>
        <w:t xml:space="preserve">reasonably </w:t>
      </w:r>
      <w:r w:rsidRPr="00A04489">
        <w:rPr>
          <w:rFonts w:ascii="Times New Roman" w:hAnsi="Times New Roman"/>
        </w:rPr>
        <w:t xml:space="preserve">considered necessary to ensure the prisoner's good conduct or to prevent </w:t>
      </w:r>
      <w:r w:rsidR="00D86270" w:rsidRPr="00A04489">
        <w:rPr>
          <w:rFonts w:ascii="Times New Roman" w:hAnsi="Times New Roman"/>
        </w:rPr>
        <w:t>the</w:t>
      </w:r>
      <w:r w:rsidRPr="00A04489">
        <w:rPr>
          <w:rFonts w:ascii="Times New Roman" w:hAnsi="Times New Roman"/>
        </w:rPr>
        <w:t xml:space="preserve"> prisoner committing an offence. The discretionary power</w:t>
      </w:r>
      <w:r w:rsidR="00D40D5A" w:rsidRPr="00A04489">
        <w:rPr>
          <w:rFonts w:ascii="Times New Roman" w:hAnsi="Times New Roman"/>
        </w:rPr>
        <w:t>, in its application to prisoners on parole,</w:t>
      </w:r>
      <w:r w:rsidRPr="00A04489">
        <w:rPr>
          <w:rFonts w:ascii="Times New Roman" w:hAnsi="Times New Roman"/>
        </w:rPr>
        <w:t xml:space="preserve"> could effect a burden </w:t>
      </w:r>
      <w:r w:rsidR="00F43FEB" w:rsidRPr="00A04489">
        <w:rPr>
          <w:rFonts w:ascii="Times New Roman" w:hAnsi="Times New Roman"/>
        </w:rPr>
        <w:t xml:space="preserve">on the </w:t>
      </w:r>
      <w:r w:rsidRPr="00A04489">
        <w:rPr>
          <w:rFonts w:ascii="Times New Roman" w:hAnsi="Times New Roman"/>
        </w:rPr>
        <w:t>implied freedom of political communication and the conditions which were attached to the plaintiff's parole order did just that. Although argument was directed to the validity of those conditions</w:t>
      </w:r>
      <w:r w:rsidR="00A763D7" w:rsidRPr="00A04489">
        <w:rPr>
          <w:rFonts w:ascii="Times New Roman" w:hAnsi="Times New Roman"/>
        </w:rPr>
        <w:t>,</w:t>
      </w:r>
      <w:r w:rsidRPr="00A04489">
        <w:rPr>
          <w:rFonts w:ascii="Times New Roman" w:hAnsi="Times New Roman"/>
        </w:rPr>
        <w:t xml:space="preserve"> the question of the constitutional limitation effected by the implied freedom was determined by reference to the statute.</w:t>
      </w:r>
    </w:p>
    <w:p w14:paraId="7377FD08" w14:textId="1AA78871"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Drawing upon what Brennan J said in </w:t>
      </w:r>
      <w:r w:rsidRPr="00A04489">
        <w:rPr>
          <w:rFonts w:ascii="Times New Roman" w:hAnsi="Times New Roman"/>
          <w:i/>
        </w:rPr>
        <w:t>Miller v TCN Channel Nine Pty Ltd</w:t>
      </w:r>
      <w:r w:rsidRPr="00A04489">
        <w:rPr>
          <w:rStyle w:val="FootnoteReference"/>
          <w:rFonts w:ascii="Times New Roman" w:hAnsi="Times New Roman"/>
          <w:sz w:val="24"/>
        </w:rPr>
        <w:footnoteReference w:id="72"/>
      </w:r>
      <w:r w:rsidR="00433842" w:rsidRPr="00A04489">
        <w:rPr>
          <w:rFonts w:ascii="Times New Roman" w:hAnsi="Times New Roman"/>
        </w:rPr>
        <w:t>,</w:t>
      </w:r>
      <w:r w:rsidRPr="00A04489">
        <w:rPr>
          <w:rFonts w:ascii="Times New Roman" w:hAnsi="Times New Roman"/>
          <w:i/>
        </w:rPr>
        <w:t xml:space="preserve"> </w:t>
      </w:r>
      <w:r w:rsidRPr="00A04489">
        <w:rPr>
          <w:rFonts w:ascii="Times New Roman" w:hAnsi="Times New Roman"/>
        </w:rPr>
        <w:t xml:space="preserve">the joint judgment in </w:t>
      </w:r>
      <w:r w:rsidRPr="00A04489">
        <w:rPr>
          <w:rFonts w:ascii="Times New Roman" w:hAnsi="Times New Roman"/>
          <w:i/>
        </w:rPr>
        <w:t>Wotton</w:t>
      </w:r>
      <w:r w:rsidRPr="00A04489">
        <w:rPr>
          <w:rStyle w:val="FootnoteReference"/>
          <w:rFonts w:ascii="Times New Roman" w:hAnsi="Times New Roman"/>
          <w:sz w:val="24"/>
        </w:rPr>
        <w:footnoteReference w:id="73"/>
      </w:r>
      <w:r w:rsidRPr="00A04489">
        <w:rPr>
          <w:rFonts w:ascii="Times New Roman" w:hAnsi="Times New Roman"/>
        </w:rPr>
        <w:t xml:space="preserve"> explained that the exercise of the statutory power to condition the </w:t>
      </w:r>
      <w:r w:rsidR="00A14DBC" w:rsidRPr="00A04489">
        <w:rPr>
          <w:rFonts w:ascii="Times New Roman" w:hAnsi="Times New Roman"/>
        </w:rPr>
        <w:t>p</w:t>
      </w:r>
      <w:r w:rsidRPr="00A04489">
        <w:rPr>
          <w:rFonts w:ascii="Times New Roman" w:hAnsi="Times New Roman"/>
        </w:rPr>
        <w:t xml:space="preserve">arole </w:t>
      </w:r>
      <w:r w:rsidR="00A14DBC" w:rsidRPr="00A04489">
        <w:rPr>
          <w:rFonts w:ascii="Times New Roman" w:hAnsi="Times New Roman"/>
        </w:rPr>
        <w:t>o</w:t>
      </w:r>
      <w:r w:rsidRPr="00A04489">
        <w:rPr>
          <w:rFonts w:ascii="Times New Roman" w:hAnsi="Times New Roman"/>
        </w:rPr>
        <w:t xml:space="preserve">rder might be subject to judicial review under the </w:t>
      </w:r>
      <w:r w:rsidRPr="00A04489">
        <w:rPr>
          <w:rFonts w:ascii="Times New Roman" w:hAnsi="Times New Roman"/>
          <w:i/>
        </w:rPr>
        <w:t xml:space="preserve">Judicial Review Act </w:t>
      </w:r>
      <w:r w:rsidR="005E3775" w:rsidRPr="00A04489">
        <w:rPr>
          <w:rFonts w:ascii="Times New Roman" w:hAnsi="Times New Roman"/>
          <w:i/>
        </w:rPr>
        <w:t>1991</w:t>
      </w:r>
      <w:r w:rsidRPr="00A04489">
        <w:rPr>
          <w:rFonts w:ascii="Times New Roman" w:hAnsi="Times New Roman"/>
        </w:rPr>
        <w:t xml:space="preserve"> (Qld), but the question </w:t>
      </w:r>
      <w:r w:rsidR="007E332A" w:rsidRPr="00A04489">
        <w:rPr>
          <w:rFonts w:ascii="Times New Roman" w:hAnsi="Times New Roman"/>
        </w:rPr>
        <w:t xml:space="preserve">of </w:t>
      </w:r>
      <w:r w:rsidRPr="00A04489">
        <w:rPr>
          <w:rFonts w:ascii="Times New Roman" w:hAnsi="Times New Roman"/>
        </w:rPr>
        <w:t>compl</w:t>
      </w:r>
      <w:r w:rsidR="007E332A" w:rsidRPr="00A04489">
        <w:rPr>
          <w:rFonts w:ascii="Times New Roman" w:hAnsi="Times New Roman"/>
        </w:rPr>
        <w:t>iance</w:t>
      </w:r>
      <w:r w:rsidRPr="00A04489">
        <w:rPr>
          <w:rFonts w:ascii="Times New Roman" w:hAnsi="Times New Roman"/>
        </w:rPr>
        <w:t xml:space="preserve"> with th</w:t>
      </w:r>
      <w:r w:rsidR="00B32D97" w:rsidRPr="00A04489">
        <w:rPr>
          <w:rFonts w:ascii="Times New Roman" w:hAnsi="Times New Roman"/>
        </w:rPr>
        <w:t>e</w:t>
      </w:r>
      <w:r w:rsidRPr="00A04489">
        <w:rPr>
          <w:rFonts w:ascii="Times New Roman" w:hAnsi="Times New Roman"/>
        </w:rPr>
        <w:t xml:space="preserve"> constitutional limitation is answered by the construction of the statute. This is consistent with an understanding that constitutionally guaranteed freedoms operate as limits on legislative and executive power. Their Honours </w:t>
      </w:r>
      <w:r w:rsidR="000413EA" w:rsidRPr="00A04489">
        <w:rPr>
          <w:rFonts w:ascii="Times New Roman" w:hAnsi="Times New Roman"/>
        </w:rPr>
        <w:t>accepted that</w:t>
      </w:r>
      <w:r w:rsidRPr="00A04489">
        <w:rPr>
          <w:rStyle w:val="FootnoteReference"/>
          <w:rFonts w:ascii="Times New Roman" w:hAnsi="Times New Roman"/>
          <w:sz w:val="24"/>
        </w:rPr>
        <w:footnoteReference w:id="74"/>
      </w:r>
      <w:r w:rsidRPr="00A04489">
        <w:rPr>
          <w:rFonts w:ascii="Times New Roman" w:hAnsi="Times New Roman"/>
        </w:rPr>
        <w:t>:</w:t>
      </w:r>
    </w:p>
    <w:p w14:paraId="49E03ADE" w14:textId="77777777" w:rsidR="00A04489" w:rsidRDefault="00DC2929" w:rsidP="00A04489">
      <w:pPr>
        <w:pStyle w:val="LeftrightafterHC"/>
        <w:spacing w:before="0" w:after="260" w:line="280" w:lineRule="exact"/>
        <w:ind w:right="0"/>
        <w:jc w:val="both"/>
        <w:rPr>
          <w:rFonts w:ascii="Times New Roman" w:hAnsi="Times New Roman"/>
        </w:rPr>
      </w:pPr>
      <w:r w:rsidRPr="00A04489">
        <w:rPr>
          <w:rFonts w:ascii="Times New Roman" w:hAnsi="Times New Roman"/>
        </w:rPr>
        <w:t>"</w:t>
      </w:r>
      <w:r w:rsidR="0049010A" w:rsidRPr="00A04489">
        <w:rPr>
          <w:rFonts w:ascii="Times New Roman" w:hAnsi="Times New Roman"/>
        </w:rPr>
        <w:t>i</w:t>
      </w:r>
      <w:r w:rsidRPr="00A04489">
        <w:rPr>
          <w:rFonts w:ascii="Times New Roman" w:hAnsi="Times New Roman"/>
        </w:rPr>
        <w:t>f, on its proper construction, the statute complies with the constitutional limitation, without any need to read it down to save its validity, any complaint respecting the exercise of power thereunder in a given case, such as that in this litigation concerning the conditions attached to the Parole Order, does not raise a constitutional question, as distinct from a question of the exercise of statutory power".</w:t>
      </w:r>
    </w:p>
    <w:p w14:paraId="404BD707" w14:textId="1380A901"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The provisions of the </w:t>
      </w:r>
      <w:r w:rsidRPr="00A04489">
        <w:rPr>
          <w:rFonts w:ascii="Times New Roman" w:hAnsi="Times New Roman"/>
          <w:i/>
        </w:rPr>
        <w:t xml:space="preserve">Corrective Services Act </w:t>
      </w:r>
      <w:r w:rsidRPr="00A04489">
        <w:rPr>
          <w:rFonts w:ascii="Times New Roman" w:hAnsi="Times New Roman"/>
        </w:rPr>
        <w:t xml:space="preserve">were held to comply with the constitutional limitation on State legislative power because they were reasonably necessary or reasonably appropriate and adapted to a legitimate purpose, as </w:t>
      </w:r>
      <w:r w:rsidRPr="00A04489">
        <w:rPr>
          <w:rFonts w:ascii="Times New Roman" w:hAnsi="Times New Roman"/>
          <w:i/>
        </w:rPr>
        <w:t>Lange v Australian Broadcasting Corporation</w:t>
      </w:r>
      <w:r w:rsidRPr="00A04489">
        <w:rPr>
          <w:rStyle w:val="FootnoteReference"/>
          <w:rFonts w:ascii="Times New Roman" w:hAnsi="Times New Roman"/>
          <w:sz w:val="24"/>
        </w:rPr>
        <w:footnoteReference w:id="75"/>
      </w:r>
      <w:r w:rsidRPr="00A04489">
        <w:rPr>
          <w:rFonts w:ascii="Times New Roman" w:hAnsi="Times New Roman"/>
        </w:rPr>
        <w:t xml:space="preserve"> requires, which is to say they were proportionate</w:t>
      </w:r>
      <w:r w:rsidRPr="00A04489">
        <w:rPr>
          <w:rStyle w:val="FootnoteReference"/>
          <w:rFonts w:ascii="Times New Roman" w:hAnsi="Times New Roman"/>
          <w:sz w:val="24"/>
        </w:rPr>
        <w:footnoteReference w:id="76"/>
      </w:r>
      <w:r w:rsidRPr="00A04489">
        <w:rPr>
          <w:rFonts w:ascii="Times New Roman" w:hAnsi="Times New Roman"/>
        </w:rPr>
        <w:t>.</w:t>
      </w:r>
    </w:p>
    <w:p w14:paraId="38850EB8" w14:textId="40F39A67"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The clarification of where the constitutional question involving freedoms resides is admittedly recent. The delay in stating it may in part be explained by difficulties which attended administrative law and its remedies</w:t>
      </w:r>
      <w:r w:rsidRPr="00A04489">
        <w:rPr>
          <w:rStyle w:val="FootnoteReference"/>
          <w:rFonts w:ascii="Times New Roman" w:hAnsi="Times New Roman"/>
          <w:sz w:val="24"/>
        </w:rPr>
        <w:footnoteReference w:id="77"/>
      </w:r>
      <w:r w:rsidRPr="00A04489">
        <w:rPr>
          <w:rFonts w:ascii="Times New Roman" w:hAnsi="Times New Roman"/>
        </w:rPr>
        <w:t xml:space="preserve"> for some time and which have only been resolved relatively recent</w:t>
      </w:r>
      <w:r w:rsidR="007E3440" w:rsidRPr="00A04489">
        <w:rPr>
          <w:rFonts w:ascii="Times New Roman" w:hAnsi="Times New Roman"/>
        </w:rPr>
        <w:t>ly</w:t>
      </w:r>
      <w:r w:rsidRPr="00A04489">
        <w:rPr>
          <w:rFonts w:ascii="Times New Roman" w:hAnsi="Times New Roman"/>
        </w:rPr>
        <w:t xml:space="preserve">. In any event the approach taken in </w:t>
      </w:r>
      <w:r w:rsidRPr="00A04489">
        <w:rPr>
          <w:rFonts w:ascii="Times New Roman" w:hAnsi="Times New Roman"/>
          <w:i/>
        </w:rPr>
        <w:t>Wotton</w:t>
      </w:r>
      <w:r w:rsidRPr="00A04489">
        <w:rPr>
          <w:rFonts w:ascii="Times New Roman" w:hAnsi="Times New Roman"/>
        </w:rPr>
        <w:t xml:space="preserve"> is that which should now be followed.</w:t>
      </w:r>
    </w:p>
    <w:p w14:paraId="63928740" w14:textId="44C477EB" w:rsidR="00DC2929" w:rsidRPr="00A04489" w:rsidRDefault="00DC2929" w:rsidP="00A04489">
      <w:pPr>
        <w:pStyle w:val="FixListStyle"/>
        <w:spacing w:after="260" w:line="280" w:lineRule="exact"/>
        <w:ind w:right="0"/>
        <w:jc w:val="both"/>
        <w:rPr>
          <w:rFonts w:ascii="Times New Roman" w:hAnsi="Times New Roman"/>
        </w:rPr>
      </w:pPr>
      <w:r w:rsidRPr="00A04489">
        <w:rPr>
          <w:rFonts w:ascii="Times New Roman" w:hAnsi="Times New Roman"/>
        </w:rPr>
        <w:tab/>
        <w:t>In some cases difficult questions may arise because the power or discretion given by the statute is broad and general. No such question arises in this matter. As will be seen</w:t>
      </w:r>
      <w:r w:rsidR="00235F48" w:rsidRPr="00A04489">
        <w:rPr>
          <w:rFonts w:ascii="Times New Roman" w:hAnsi="Times New Roman"/>
        </w:rPr>
        <w:t>,</w:t>
      </w:r>
      <w:r w:rsidRPr="00A04489">
        <w:rPr>
          <w:rFonts w:ascii="Times New Roman" w:hAnsi="Times New Roman"/>
        </w:rPr>
        <w:t xml:space="preserve"> the power to prohibit or restrict entry into a declared emergency</w:t>
      </w:r>
      <w:r w:rsidR="00886B87" w:rsidRPr="00A04489">
        <w:rPr>
          <w:rFonts w:ascii="Times New Roman" w:hAnsi="Times New Roman"/>
        </w:rPr>
        <w:t xml:space="preserve"> area</w:t>
      </w:r>
      <w:r w:rsidRPr="00A04489">
        <w:rPr>
          <w:rFonts w:ascii="Times New Roman" w:hAnsi="Times New Roman"/>
        </w:rPr>
        <w:t>, which may be the whole of Western Australia, is largely controlled by the EM Act itself</w:t>
      </w:r>
      <w:r w:rsidR="00A563EC" w:rsidRPr="00A04489">
        <w:rPr>
          <w:rFonts w:ascii="Times New Roman" w:hAnsi="Times New Roman"/>
        </w:rPr>
        <w:t xml:space="preserve"> and is proportionate to its purposes</w:t>
      </w:r>
      <w:r w:rsidRPr="00A04489">
        <w:rPr>
          <w:rFonts w:ascii="Times New Roman" w:hAnsi="Times New Roman"/>
        </w:rPr>
        <w:t>.</w:t>
      </w:r>
    </w:p>
    <w:p w14:paraId="273E6795" w14:textId="775F2194" w:rsidR="00C33A4E" w:rsidRPr="00A04489" w:rsidRDefault="00C33A4E" w:rsidP="00A04489">
      <w:pPr>
        <w:pStyle w:val="HeadingL1"/>
        <w:spacing w:after="260" w:line="280" w:lineRule="exact"/>
        <w:ind w:right="0"/>
        <w:jc w:val="both"/>
        <w:rPr>
          <w:rFonts w:ascii="Times New Roman" w:hAnsi="Times New Roman"/>
        </w:rPr>
      </w:pPr>
      <w:r w:rsidRPr="00A04489">
        <w:rPr>
          <w:rFonts w:ascii="Times New Roman" w:hAnsi="Times New Roman"/>
        </w:rPr>
        <w:t>Discrimination, burden and justification</w:t>
      </w:r>
    </w:p>
    <w:p w14:paraId="20187EAC" w14:textId="463FB89E" w:rsidR="00C33A4E" w:rsidRPr="00A04489" w:rsidRDefault="00C33A4E" w:rsidP="00A04489">
      <w:pPr>
        <w:pStyle w:val="FixListStyle"/>
        <w:spacing w:after="260" w:line="280" w:lineRule="exact"/>
        <w:ind w:right="0"/>
        <w:jc w:val="both"/>
        <w:rPr>
          <w:rFonts w:ascii="Times New Roman" w:hAnsi="Times New Roman"/>
        </w:rPr>
      </w:pPr>
      <w:r w:rsidRPr="00A04489">
        <w:rPr>
          <w:rFonts w:ascii="Times New Roman" w:hAnsi="Times New Roman"/>
        </w:rPr>
        <w:tab/>
        <w:t>The power provided by s 56(1) of the EM Act to make a</w:t>
      </w:r>
      <w:r w:rsidRPr="00A04489" w:rsidDel="006113C0">
        <w:rPr>
          <w:rFonts w:ascii="Times New Roman" w:hAnsi="Times New Roman"/>
        </w:rPr>
        <w:t>n</w:t>
      </w:r>
      <w:r w:rsidRPr="00A04489">
        <w:rPr>
          <w:rFonts w:ascii="Times New Roman" w:hAnsi="Times New Roman"/>
        </w:rPr>
        <w:t xml:space="preserve"> emergency declaration is controlled by s 56(2)</w:t>
      </w:r>
      <w:r w:rsidR="00C613FF" w:rsidRPr="00A04489">
        <w:rPr>
          <w:rFonts w:ascii="Times New Roman" w:hAnsi="Times New Roman"/>
        </w:rPr>
        <w:t>,</w:t>
      </w:r>
      <w:r w:rsidRPr="00A04489">
        <w:rPr>
          <w:rFonts w:ascii="Times New Roman" w:hAnsi="Times New Roman"/>
        </w:rPr>
        <w:t xml:space="preserve"> which requires that </w:t>
      </w:r>
      <w:r w:rsidR="00584A52" w:rsidRPr="00A04489">
        <w:rPr>
          <w:rFonts w:ascii="Times New Roman" w:hAnsi="Times New Roman"/>
        </w:rPr>
        <w:t xml:space="preserve">there </w:t>
      </w:r>
      <w:r w:rsidR="00685384" w:rsidRPr="00A04489">
        <w:rPr>
          <w:rFonts w:ascii="Times New Roman" w:hAnsi="Times New Roman"/>
        </w:rPr>
        <w:t>be</w:t>
      </w:r>
      <w:r w:rsidR="00E75B5C" w:rsidRPr="00A04489">
        <w:rPr>
          <w:rFonts w:ascii="Times New Roman" w:hAnsi="Times New Roman"/>
        </w:rPr>
        <w:t xml:space="preserve"> </w:t>
      </w:r>
      <w:r w:rsidRPr="00A04489">
        <w:rPr>
          <w:rFonts w:ascii="Times New Roman" w:hAnsi="Times New Roman"/>
        </w:rPr>
        <w:t xml:space="preserve">an </w:t>
      </w:r>
      <w:r w:rsidR="0031708C" w:rsidRPr="00A04489">
        <w:rPr>
          <w:rFonts w:ascii="Times New Roman" w:hAnsi="Times New Roman"/>
        </w:rPr>
        <w:t>"</w:t>
      </w:r>
      <w:r w:rsidRPr="00A04489">
        <w:rPr>
          <w:rFonts w:ascii="Times New Roman" w:hAnsi="Times New Roman"/>
        </w:rPr>
        <w:t>emergency</w:t>
      </w:r>
      <w:r w:rsidR="0031708C" w:rsidRPr="00A04489">
        <w:rPr>
          <w:rFonts w:ascii="Times New Roman" w:hAnsi="Times New Roman"/>
        </w:rPr>
        <w:t>"</w:t>
      </w:r>
      <w:r w:rsidRPr="00A04489">
        <w:rPr>
          <w:rFonts w:ascii="Times New Roman" w:hAnsi="Times New Roman"/>
        </w:rPr>
        <w:t xml:space="preserve"> or that one is imminent and that extraordinary measures are </w:t>
      </w:r>
      <w:r w:rsidR="000C01FB" w:rsidRPr="00A04489">
        <w:rPr>
          <w:rFonts w:ascii="Times New Roman" w:hAnsi="Times New Roman"/>
        </w:rPr>
        <w:t>necessary</w:t>
      </w:r>
      <w:r w:rsidR="009A7147" w:rsidRPr="00A04489">
        <w:rPr>
          <w:rFonts w:ascii="Times New Roman" w:hAnsi="Times New Roman"/>
        </w:rPr>
        <w:t xml:space="preserve"> </w:t>
      </w:r>
      <w:r w:rsidRPr="00A04489">
        <w:rPr>
          <w:rFonts w:ascii="Times New Roman" w:hAnsi="Times New Roman"/>
        </w:rPr>
        <w:t xml:space="preserve">to </w:t>
      </w:r>
      <w:r w:rsidR="008E0236" w:rsidRPr="00A04489">
        <w:rPr>
          <w:rFonts w:ascii="Times New Roman" w:hAnsi="Times New Roman"/>
        </w:rPr>
        <w:t>protect the life and</w:t>
      </w:r>
      <w:r w:rsidR="009208FA" w:rsidRPr="00A04489">
        <w:rPr>
          <w:rFonts w:ascii="Times New Roman" w:hAnsi="Times New Roman"/>
        </w:rPr>
        <w:t xml:space="preserve"> </w:t>
      </w:r>
      <w:r w:rsidRPr="00A04489">
        <w:rPr>
          <w:rFonts w:ascii="Times New Roman" w:hAnsi="Times New Roman"/>
        </w:rPr>
        <w:t>health of persons. The definition</w:t>
      </w:r>
      <w:r w:rsidR="008901BF" w:rsidRPr="00A04489">
        <w:rPr>
          <w:rFonts w:ascii="Times New Roman" w:hAnsi="Times New Roman"/>
        </w:rPr>
        <w:t>s</w:t>
      </w:r>
      <w:r w:rsidRPr="00A04489">
        <w:rPr>
          <w:rFonts w:ascii="Times New Roman" w:hAnsi="Times New Roman"/>
        </w:rPr>
        <w:t xml:space="preserve"> of </w:t>
      </w:r>
      <w:r w:rsidR="008901BF" w:rsidRPr="00A04489">
        <w:rPr>
          <w:rFonts w:ascii="Times New Roman" w:hAnsi="Times New Roman"/>
        </w:rPr>
        <w:t>"</w:t>
      </w:r>
      <w:r w:rsidRPr="00A04489">
        <w:rPr>
          <w:rFonts w:ascii="Times New Roman" w:hAnsi="Times New Roman"/>
        </w:rPr>
        <w:t>emergency</w:t>
      </w:r>
      <w:r w:rsidR="008901BF" w:rsidRPr="00A04489">
        <w:rPr>
          <w:rFonts w:ascii="Times New Roman" w:hAnsi="Times New Roman"/>
        </w:rPr>
        <w:t>"</w:t>
      </w:r>
      <w:r w:rsidRPr="00A04489">
        <w:rPr>
          <w:rFonts w:ascii="Times New Roman" w:hAnsi="Times New Roman"/>
        </w:rPr>
        <w:t xml:space="preserve"> and </w:t>
      </w:r>
      <w:r w:rsidR="008901BF" w:rsidRPr="00A04489">
        <w:rPr>
          <w:rFonts w:ascii="Times New Roman" w:hAnsi="Times New Roman"/>
        </w:rPr>
        <w:t>"</w:t>
      </w:r>
      <w:r w:rsidRPr="00A04489">
        <w:rPr>
          <w:rFonts w:ascii="Times New Roman" w:hAnsi="Times New Roman"/>
        </w:rPr>
        <w:t>hazard</w:t>
      </w:r>
      <w:r w:rsidR="008901BF" w:rsidRPr="00A04489">
        <w:rPr>
          <w:rFonts w:ascii="Times New Roman" w:hAnsi="Times New Roman"/>
        </w:rPr>
        <w:t>"</w:t>
      </w:r>
      <w:r w:rsidRPr="00A04489">
        <w:rPr>
          <w:rFonts w:ascii="Times New Roman" w:hAnsi="Times New Roman"/>
        </w:rPr>
        <w:t xml:space="preserve"> identify an epidemic as subject to such measures.</w:t>
      </w:r>
    </w:p>
    <w:p w14:paraId="66C04128" w14:textId="282A165E" w:rsidR="00C33A4E" w:rsidRPr="00A04489" w:rsidRDefault="00C33A4E" w:rsidP="00A04489">
      <w:pPr>
        <w:pStyle w:val="FixListStyle"/>
        <w:spacing w:after="260" w:line="280" w:lineRule="exact"/>
        <w:ind w:right="0"/>
        <w:jc w:val="both"/>
        <w:rPr>
          <w:rFonts w:ascii="Times New Roman" w:hAnsi="Times New Roman"/>
        </w:rPr>
      </w:pPr>
      <w:r w:rsidRPr="00A04489">
        <w:rPr>
          <w:rFonts w:ascii="Times New Roman" w:hAnsi="Times New Roman"/>
        </w:rPr>
        <w:tab/>
        <w:t>When an</w:t>
      </w:r>
      <w:r w:rsidRPr="00A04489" w:rsidDel="00A5573C">
        <w:rPr>
          <w:rFonts w:ascii="Times New Roman" w:hAnsi="Times New Roman"/>
        </w:rPr>
        <w:t xml:space="preserve"> </w:t>
      </w:r>
      <w:r w:rsidRPr="00A04489">
        <w:rPr>
          <w:rFonts w:ascii="Times New Roman" w:hAnsi="Times New Roman"/>
        </w:rPr>
        <w:t xml:space="preserve">emergency declaration is made it remains in effect for only a short period. Its extension for a longer period requires a further declaration by the Minister. Whilst a state of emergency exists action for the purpose of </w:t>
      </w:r>
      <w:r w:rsidR="00526B56" w:rsidRPr="00A04489">
        <w:rPr>
          <w:rFonts w:ascii="Times New Roman" w:hAnsi="Times New Roman"/>
        </w:rPr>
        <w:t xml:space="preserve">management of the </w:t>
      </w:r>
      <w:r w:rsidRPr="00A04489">
        <w:rPr>
          <w:rFonts w:ascii="Times New Roman" w:hAnsi="Times New Roman"/>
        </w:rPr>
        <w:t>emergency</w:t>
      </w:r>
      <w:r w:rsidR="003D0B68" w:rsidRPr="00A04489">
        <w:rPr>
          <w:rFonts w:ascii="Times New Roman" w:hAnsi="Times New Roman"/>
        </w:rPr>
        <w:t xml:space="preserve"> </w:t>
      </w:r>
      <w:r w:rsidRPr="00A04489">
        <w:rPr>
          <w:rFonts w:ascii="Times New Roman" w:hAnsi="Times New Roman"/>
        </w:rPr>
        <w:t xml:space="preserve">may be taken, including for the prevention of the occurrence of </w:t>
      </w:r>
      <w:r w:rsidR="001A2FB3" w:rsidRPr="00A04489">
        <w:rPr>
          <w:rFonts w:ascii="Times New Roman" w:hAnsi="Times New Roman"/>
        </w:rPr>
        <w:t>a plague or an epidemic</w:t>
      </w:r>
      <w:r w:rsidRPr="00A04489">
        <w:rPr>
          <w:rFonts w:ascii="Times New Roman" w:hAnsi="Times New Roman"/>
        </w:rPr>
        <w:t>. By s 67, the prohibition of the movement of persons into a declared emergency area is such an action.</w:t>
      </w:r>
    </w:p>
    <w:p w14:paraId="78908FF7" w14:textId="3B7CC634" w:rsidR="00C33A4E" w:rsidRPr="00A04489" w:rsidRDefault="00C33A4E" w:rsidP="00A04489">
      <w:pPr>
        <w:pStyle w:val="FixListStyle"/>
        <w:spacing w:after="260" w:line="280" w:lineRule="exact"/>
        <w:ind w:right="0"/>
        <w:jc w:val="both"/>
        <w:rPr>
          <w:rFonts w:ascii="Times New Roman" w:hAnsi="Times New Roman"/>
        </w:rPr>
      </w:pPr>
      <w:r w:rsidRPr="00A04489">
        <w:rPr>
          <w:rFonts w:ascii="Times New Roman" w:hAnsi="Times New Roman"/>
        </w:rPr>
        <w:tab/>
        <w:t>The plaintiffs submit</w:t>
      </w:r>
      <w:r w:rsidR="00B75D3D" w:rsidRPr="00A04489">
        <w:rPr>
          <w:rFonts w:ascii="Times New Roman" w:hAnsi="Times New Roman"/>
        </w:rPr>
        <w:t>ted</w:t>
      </w:r>
      <w:r w:rsidRPr="00A04489">
        <w:rPr>
          <w:rFonts w:ascii="Times New Roman" w:hAnsi="Times New Roman"/>
        </w:rPr>
        <w:t xml:space="preserve"> that the Directions </w:t>
      </w:r>
      <w:r w:rsidR="007E2B42" w:rsidRPr="00A04489">
        <w:rPr>
          <w:rFonts w:ascii="Times New Roman" w:hAnsi="Times New Roman"/>
        </w:rPr>
        <w:t>are</w:t>
      </w:r>
      <w:r w:rsidRPr="00A04489">
        <w:rPr>
          <w:rFonts w:ascii="Times New Roman" w:hAnsi="Times New Roman"/>
        </w:rPr>
        <w:t xml:space="preserve"> directed to preventing interstate movement. </w:t>
      </w:r>
      <w:r w:rsidR="007E2B42" w:rsidRPr="00A04489">
        <w:rPr>
          <w:rFonts w:ascii="Times New Roman" w:hAnsi="Times New Roman"/>
        </w:rPr>
        <w:t xml:space="preserve">Conformably with an approach which has regard to the provisions of the EM Act, the plaintiffs may be understood to submit that those provisions in their application to prevent the entry of persons into Western Australia may be seen as directed to preventing interstate movement. </w:t>
      </w:r>
      <w:r w:rsidRPr="00A04489">
        <w:rPr>
          <w:rFonts w:ascii="Times New Roman" w:hAnsi="Times New Roman"/>
        </w:rPr>
        <w:t>The text of these provisions do</w:t>
      </w:r>
      <w:r w:rsidR="001A2174" w:rsidRPr="00A04489">
        <w:rPr>
          <w:rFonts w:ascii="Times New Roman" w:hAnsi="Times New Roman"/>
        </w:rPr>
        <w:t>es</w:t>
      </w:r>
      <w:r w:rsidRPr="00A04489">
        <w:rPr>
          <w:rFonts w:ascii="Times New Roman" w:hAnsi="Times New Roman"/>
        </w:rPr>
        <w:t xml:space="preserve"> not provide support for th</w:t>
      </w:r>
      <w:r w:rsidR="00C21FFF" w:rsidRPr="00A04489">
        <w:rPr>
          <w:rFonts w:ascii="Times New Roman" w:hAnsi="Times New Roman"/>
        </w:rPr>
        <w:t>at</w:t>
      </w:r>
      <w:r w:rsidRPr="00A04489">
        <w:rPr>
          <w:rFonts w:ascii="Times New Roman" w:hAnsi="Times New Roman"/>
        </w:rPr>
        <w:t xml:space="preserve"> submission. They are not directed to the Western Australian border and movement across it. They apply to a</w:t>
      </w:r>
      <w:r w:rsidR="00637B09" w:rsidRPr="00A04489">
        <w:rPr>
          <w:rFonts w:ascii="Times New Roman" w:hAnsi="Times New Roman"/>
        </w:rPr>
        <w:t>n</w:t>
      </w:r>
      <w:r w:rsidRPr="00A04489">
        <w:rPr>
          <w:rFonts w:ascii="Times New Roman" w:hAnsi="Times New Roman"/>
        </w:rPr>
        <w:t xml:space="preserve"> emergency area</w:t>
      </w:r>
      <w:r w:rsidR="00637B09" w:rsidRPr="00A04489">
        <w:rPr>
          <w:rFonts w:ascii="Times New Roman" w:hAnsi="Times New Roman"/>
        </w:rPr>
        <w:t xml:space="preserve"> the subject of a</w:t>
      </w:r>
      <w:r w:rsidR="00D47C97" w:rsidRPr="00A04489">
        <w:rPr>
          <w:rFonts w:ascii="Times New Roman" w:hAnsi="Times New Roman"/>
        </w:rPr>
        <w:t>n</w:t>
      </w:r>
      <w:r w:rsidR="00637B09" w:rsidRPr="00A04489">
        <w:rPr>
          <w:rFonts w:ascii="Times New Roman" w:hAnsi="Times New Roman"/>
        </w:rPr>
        <w:t xml:space="preserve"> emergency declaration</w:t>
      </w:r>
      <w:r w:rsidR="009D17E0" w:rsidRPr="00A04489">
        <w:rPr>
          <w:rFonts w:ascii="Times New Roman" w:hAnsi="Times New Roman"/>
        </w:rPr>
        <w:t>,</w:t>
      </w:r>
      <w:r w:rsidRPr="00A04489">
        <w:rPr>
          <w:rFonts w:ascii="Times New Roman" w:hAnsi="Times New Roman"/>
        </w:rPr>
        <w:t xml:space="preserve"> which may be the whole or part of the State</w:t>
      </w:r>
      <w:r w:rsidR="009D17E0" w:rsidRPr="00A04489">
        <w:rPr>
          <w:rFonts w:ascii="Times New Roman" w:hAnsi="Times New Roman"/>
        </w:rPr>
        <w:t>,</w:t>
      </w:r>
      <w:r w:rsidRPr="00A04489">
        <w:rPr>
          <w:rFonts w:ascii="Times New Roman" w:hAnsi="Times New Roman"/>
        </w:rPr>
        <w:t xml:space="preserve"> and they </w:t>
      </w:r>
      <w:r w:rsidR="00446E88" w:rsidRPr="00A04489">
        <w:rPr>
          <w:rFonts w:ascii="Times New Roman" w:hAnsi="Times New Roman"/>
        </w:rPr>
        <w:t xml:space="preserve">may </w:t>
      </w:r>
      <w:r w:rsidRPr="00A04489">
        <w:rPr>
          <w:rFonts w:ascii="Times New Roman" w:hAnsi="Times New Roman"/>
        </w:rPr>
        <w:t>apply to all persons outside the emergency area who seek to enter the area</w:t>
      </w:r>
      <w:r w:rsidR="00E50C6E" w:rsidRPr="00A04489">
        <w:rPr>
          <w:rFonts w:ascii="Times New Roman" w:hAnsi="Times New Roman"/>
        </w:rPr>
        <w:t>,</w:t>
      </w:r>
      <w:r w:rsidRPr="00A04489">
        <w:rPr>
          <w:rFonts w:ascii="Times New Roman" w:hAnsi="Times New Roman"/>
        </w:rPr>
        <w:t xml:space="preserve"> whether from other States or Territories or from overseas.</w:t>
      </w:r>
    </w:p>
    <w:p w14:paraId="5CF00145" w14:textId="0BADD0BE" w:rsidR="00C33A4E" w:rsidRPr="00A04489" w:rsidRDefault="00C33A4E"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It cannot therefore be said that by their terms ss 56(1) and 67 of the EM Act discriminate against interstate movement. It must be accepted that in </w:t>
      </w:r>
      <w:r w:rsidR="00E03EAD" w:rsidRPr="00A04489">
        <w:rPr>
          <w:rFonts w:ascii="Times New Roman" w:hAnsi="Times New Roman"/>
        </w:rPr>
        <w:t>its</w:t>
      </w:r>
      <w:r w:rsidRPr="00A04489">
        <w:rPr>
          <w:rFonts w:ascii="Times New Roman" w:hAnsi="Times New Roman"/>
        </w:rPr>
        <w:t xml:space="preserve"> application to a person coming to the border of Western Australia from the other States and Territories and seeking entry</w:t>
      </w:r>
      <w:r w:rsidR="00E03EAD" w:rsidRPr="00A04489">
        <w:rPr>
          <w:rFonts w:ascii="Times New Roman" w:hAnsi="Times New Roman"/>
        </w:rPr>
        <w:t>,</w:t>
      </w:r>
      <w:r w:rsidRPr="00A04489">
        <w:rPr>
          <w:rFonts w:ascii="Times New Roman" w:hAnsi="Times New Roman"/>
        </w:rPr>
        <w:t xml:space="preserve"> </w:t>
      </w:r>
      <w:r w:rsidR="00E03EAD" w:rsidRPr="00A04489">
        <w:rPr>
          <w:rFonts w:ascii="Times New Roman" w:hAnsi="Times New Roman"/>
        </w:rPr>
        <w:t>s 67</w:t>
      </w:r>
      <w:r w:rsidR="000A0CEE" w:rsidRPr="00A04489">
        <w:rPr>
          <w:rFonts w:ascii="Times New Roman" w:hAnsi="Times New Roman"/>
        </w:rPr>
        <w:t xml:space="preserve"> </w:t>
      </w:r>
      <w:r w:rsidRPr="00A04489">
        <w:rPr>
          <w:rFonts w:ascii="Times New Roman" w:hAnsi="Times New Roman"/>
        </w:rPr>
        <w:t>will hinder interstate movement and</w:t>
      </w:r>
      <w:r w:rsidR="00314072" w:rsidRPr="00A04489">
        <w:rPr>
          <w:rFonts w:ascii="Times New Roman" w:hAnsi="Times New Roman"/>
        </w:rPr>
        <w:t>,</w:t>
      </w:r>
      <w:r w:rsidRPr="00A04489">
        <w:rPr>
          <w:rFonts w:ascii="Times New Roman" w:hAnsi="Times New Roman"/>
        </w:rPr>
        <w:t xml:space="preserve"> to that extent</w:t>
      </w:r>
      <w:r w:rsidR="00314072" w:rsidRPr="00A04489">
        <w:rPr>
          <w:rFonts w:ascii="Times New Roman" w:hAnsi="Times New Roman"/>
        </w:rPr>
        <w:t>,</w:t>
      </w:r>
      <w:r w:rsidRPr="00A04489">
        <w:rPr>
          <w:rFonts w:ascii="Times New Roman" w:hAnsi="Times New Roman"/>
        </w:rPr>
        <w:t xml:space="preserve"> discriminate against it. For the discrimination to occur in this connection it is not necessary that s 67 be seen to favour intrastate movement, as explained earlier in these reasons. But to the extent that </w:t>
      </w:r>
      <w:r w:rsidR="004729E3" w:rsidRPr="00A04489">
        <w:rPr>
          <w:rFonts w:ascii="Times New Roman" w:hAnsi="Times New Roman"/>
        </w:rPr>
        <w:t>s</w:t>
      </w:r>
      <w:r w:rsidR="00A14039" w:rsidRPr="00A04489">
        <w:rPr>
          <w:rFonts w:ascii="Times New Roman" w:hAnsi="Times New Roman"/>
        </w:rPr>
        <w:t> </w:t>
      </w:r>
      <w:r w:rsidR="004729E3" w:rsidRPr="00A04489">
        <w:rPr>
          <w:rFonts w:ascii="Times New Roman" w:hAnsi="Times New Roman"/>
        </w:rPr>
        <w:t xml:space="preserve">67 </w:t>
      </w:r>
      <w:r w:rsidRPr="00A04489">
        <w:rPr>
          <w:rFonts w:ascii="Times New Roman" w:hAnsi="Times New Roman"/>
        </w:rPr>
        <w:t xml:space="preserve">discriminates against interstate movement by preventing it, </w:t>
      </w:r>
      <w:r w:rsidR="004729E3" w:rsidRPr="00A04489">
        <w:rPr>
          <w:rFonts w:ascii="Times New Roman" w:hAnsi="Times New Roman"/>
        </w:rPr>
        <w:t xml:space="preserve">the provision </w:t>
      </w:r>
      <w:r w:rsidRPr="00A04489">
        <w:rPr>
          <w:rFonts w:ascii="Times New Roman" w:hAnsi="Times New Roman"/>
        </w:rPr>
        <w:t>effects a burden on the freedom.</w:t>
      </w:r>
    </w:p>
    <w:p w14:paraId="7E6DAEB8" w14:textId="1F78A2A8" w:rsidR="00C33A4E" w:rsidRPr="00A04489" w:rsidRDefault="00C33A4E" w:rsidP="00A04489">
      <w:pPr>
        <w:pStyle w:val="FixListStyle"/>
        <w:spacing w:after="260" w:line="280" w:lineRule="exact"/>
        <w:ind w:right="0"/>
        <w:jc w:val="both"/>
        <w:rPr>
          <w:rFonts w:ascii="Times New Roman" w:hAnsi="Times New Roman"/>
        </w:rPr>
      </w:pPr>
      <w:r w:rsidRPr="00A04489">
        <w:rPr>
          <w:rFonts w:ascii="Times New Roman" w:hAnsi="Times New Roman"/>
        </w:rPr>
        <w:tab/>
        <w:t>The plaintiffs contend</w:t>
      </w:r>
      <w:r w:rsidR="00564E05" w:rsidRPr="00A04489">
        <w:rPr>
          <w:rFonts w:ascii="Times New Roman" w:hAnsi="Times New Roman"/>
        </w:rPr>
        <w:t>ed</w:t>
      </w:r>
      <w:r w:rsidRPr="00A04489">
        <w:rPr>
          <w:rFonts w:ascii="Times New Roman" w:hAnsi="Times New Roman"/>
        </w:rPr>
        <w:t xml:space="preserve"> that the decision of this Court in </w:t>
      </w:r>
      <w:r w:rsidRPr="00A04489">
        <w:rPr>
          <w:rFonts w:ascii="Times New Roman" w:hAnsi="Times New Roman"/>
          <w:i/>
        </w:rPr>
        <w:t>Gratwick v Johnson</w:t>
      </w:r>
      <w:r w:rsidRPr="00A04489">
        <w:rPr>
          <w:rStyle w:val="FootnoteReference"/>
          <w:rFonts w:ascii="Times New Roman" w:hAnsi="Times New Roman"/>
          <w:sz w:val="24"/>
        </w:rPr>
        <w:footnoteReference w:id="78"/>
      </w:r>
      <w:r w:rsidRPr="00A04489">
        <w:rPr>
          <w:rFonts w:ascii="Times New Roman" w:hAnsi="Times New Roman"/>
        </w:rPr>
        <w:t xml:space="preserve"> applies to this case. They d</w:t>
      </w:r>
      <w:r w:rsidR="00564E05" w:rsidRPr="00A04489">
        <w:rPr>
          <w:rFonts w:ascii="Times New Roman" w:hAnsi="Times New Roman"/>
        </w:rPr>
        <w:t>id</w:t>
      </w:r>
      <w:r w:rsidRPr="00A04489">
        <w:rPr>
          <w:rFonts w:ascii="Times New Roman" w:hAnsi="Times New Roman"/>
        </w:rPr>
        <w:t xml:space="preserve"> not seek to rely upon </w:t>
      </w:r>
      <w:r w:rsidR="005F2F18" w:rsidRPr="00A04489">
        <w:rPr>
          <w:rFonts w:ascii="Times New Roman" w:hAnsi="Times New Roman"/>
        </w:rPr>
        <w:t xml:space="preserve">the </w:t>
      </w:r>
      <w:r w:rsidRPr="00A04489">
        <w:rPr>
          <w:rFonts w:ascii="Times New Roman" w:hAnsi="Times New Roman"/>
        </w:rPr>
        <w:t>aspect of th</w:t>
      </w:r>
      <w:r w:rsidR="00CA5913" w:rsidRPr="00A04489">
        <w:rPr>
          <w:rFonts w:ascii="Times New Roman" w:hAnsi="Times New Roman"/>
        </w:rPr>
        <w:t>at</w:t>
      </w:r>
      <w:r w:rsidRPr="00A04489">
        <w:rPr>
          <w:rFonts w:ascii="Times New Roman" w:hAnsi="Times New Roman"/>
        </w:rPr>
        <w:t xml:space="preserve"> decision which gave effect to a personal right to pass freely between the States. The plaintiffs d</w:t>
      </w:r>
      <w:r w:rsidR="00564E05" w:rsidRPr="00A04489">
        <w:rPr>
          <w:rFonts w:ascii="Times New Roman" w:hAnsi="Times New Roman"/>
        </w:rPr>
        <w:t>id</w:t>
      </w:r>
      <w:r w:rsidRPr="00A04489">
        <w:rPr>
          <w:rFonts w:ascii="Times New Roman" w:hAnsi="Times New Roman"/>
        </w:rPr>
        <w:t xml:space="preserve"> not contend for such a right in connection with the intercourse limb of s 92. They </w:t>
      </w:r>
      <w:r w:rsidR="00023EA7" w:rsidRPr="00A04489">
        <w:rPr>
          <w:rFonts w:ascii="Times New Roman" w:hAnsi="Times New Roman"/>
        </w:rPr>
        <w:t xml:space="preserve">may be understood to </w:t>
      </w:r>
      <w:r w:rsidRPr="00A04489">
        <w:rPr>
          <w:rFonts w:ascii="Times New Roman" w:hAnsi="Times New Roman"/>
        </w:rPr>
        <w:t xml:space="preserve">submit that the EM Act provisions are not materially different from the regulations which were held to be invalid in </w:t>
      </w:r>
      <w:r w:rsidRPr="00A04489">
        <w:rPr>
          <w:rFonts w:ascii="Times New Roman" w:hAnsi="Times New Roman"/>
          <w:i/>
        </w:rPr>
        <w:t>Gratwick</w:t>
      </w:r>
      <w:r w:rsidRPr="00A04489">
        <w:rPr>
          <w:rFonts w:ascii="Times New Roman" w:hAnsi="Times New Roman"/>
        </w:rPr>
        <w:t>.</w:t>
      </w:r>
    </w:p>
    <w:p w14:paraId="50D4D64F" w14:textId="35001D6E" w:rsidR="00C33A4E" w:rsidRPr="00A04489" w:rsidRDefault="00C33A4E"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The submission cannot be accepted. The regulations in </w:t>
      </w:r>
      <w:r w:rsidRPr="00A04489">
        <w:rPr>
          <w:rFonts w:ascii="Times New Roman" w:hAnsi="Times New Roman"/>
          <w:i/>
        </w:rPr>
        <w:t>Gratwick</w:t>
      </w:r>
      <w:r w:rsidRPr="00A04489">
        <w:rPr>
          <w:rFonts w:ascii="Times New Roman" w:hAnsi="Times New Roman"/>
        </w:rPr>
        <w:t xml:space="preserve"> provided that no person </w:t>
      </w:r>
      <w:r w:rsidR="003A6D2F" w:rsidRPr="00A04489">
        <w:rPr>
          <w:rFonts w:ascii="Times New Roman" w:hAnsi="Times New Roman"/>
        </w:rPr>
        <w:t xml:space="preserve">should </w:t>
      </w:r>
      <w:r w:rsidRPr="00A04489">
        <w:rPr>
          <w:rFonts w:ascii="Times New Roman" w:hAnsi="Times New Roman"/>
        </w:rPr>
        <w:t xml:space="preserve">travel by rail or vehicle between the States without a permit. They were held to be directed </w:t>
      </w:r>
      <w:r w:rsidR="008D666E" w:rsidRPr="00A04489">
        <w:rPr>
          <w:rFonts w:ascii="Times New Roman" w:hAnsi="Times New Roman"/>
        </w:rPr>
        <w:t>against</w:t>
      </w:r>
      <w:r w:rsidRPr="00A04489">
        <w:rPr>
          <w:rFonts w:ascii="Times New Roman" w:hAnsi="Times New Roman"/>
        </w:rPr>
        <w:t xml:space="preserve"> and a direct interference with freedom of intercourse among the States</w:t>
      </w:r>
      <w:r w:rsidR="003D49A6" w:rsidRPr="00A04489">
        <w:rPr>
          <w:rStyle w:val="FootnoteReference"/>
          <w:rFonts w:ascii="Times New Roman" w:hAnsi="Times New Roman"/>
          <w:sz w:val="24"/>
        </w:rPr>
        <w:footnoteReference w:id="79"/>
      </w:r>
      <w:r w:rsidR="00B546FF" w:rsidRPr="00A04489">
        <w:rPr>
          <w:rFonts w:ascii="Times New Roman" w:hAnsi="Times New Roman"/>
        </w:rPr>
        <w:t>.</w:t>
      </w:r>
      <w:r w:rsidRPr="00A04489">
        <w:rPr>
          <w:rFonts w:ascii="Times New Roman" w:hAnsi="Times New Roman"/>
        </w:rPr>
        <w:t xml:space="preserve"> The regulations in </w:t>
      </w:r>
      <w:r w:rsidRPr="00A04489">
        <w:rPr>
          <w:rFonts w:ascii="Times New Roman" w:hAnsi="Times New Roman"/>
          <w:i/>
        </w:rPr>
        <w:t>Gratwick</w:t>
      </w:r>
      <w:r w:rsidRPr="00A04489">
        <w:rPr>
          <w:rFonts w:ascii="Times New Roman" w:hAnsi="Times New Roman"/>
        </w:rPr>
        <w:t xml:space="preserve"> may readily be distinguished from the provisions of the EM Act</w:t>
      </w:r>
      <w:r w:rsidR="00CE4494" w:rsidRPr="00A04489">
        <w:rPr>
          <w:rFonts w:ascii="Times New Roman" w:hAnsi="Times New Roman"/>
        </w:rPr>
        <w:t>,</w:t>
      </w:r>
      <w:r w:rsidRPr="00A04489">
        <w:rPr>
          <w:rFonts w:ascii="Times New Roman" w:hAnsi="Times New Roman"/>
        </w:rPr>
        <w:t xml:space="preserve"> which have a purpose other than t</w:t>
      </w:r>
      <w:r w:rsidR="00557297" w:rsidRPr="00A04489">
        <w:rPr>
          <w:rFonts w:ascii="Times New Roman" w:hAnsi="Times New Roman"/>
        </w:rPr>
        <w:t>o</w:t>
      </w:r>
      <w:r w:rsidRPr="00A04489">
        <w:rPr>
          <w:rFonts w:ascii="Times New Roman" w:hAnsi="Times New Roman"/>
        </w:rPr>
        <w:t xml:space="preserve"> restrict unauthorised movement. The restrictions they </w:t>
      </w:r>
      <w:r w:rsidR="001E62EF" w:rsidRPr="00A04489">
        <w:rPr>
          <w:rFonts w:ascii="Times New Roman" w:hAnsi="Times New Roman"/>
        </w:rPr>
        <w:t>authorise</w:t>
      </w:r>
      <w:r w:rsidR="001A2628" w:rsidRPr="00A04489">
        <w:rPr>
          <w:rFonts w:ascii="Times New Roman" w:hAnsi="Times New Roman"/>
        </w:rPr>
        <w:t xml:space="preserve"> </w:t>
      </w:r>
      <w:r w:rsidRPr="00A04489">
        <w:rPr>
          <w:rFonts w:ascii="Times New Roman" w:hAnsi="Times New Roman"/>
        </w:rPr>
        <w:t>are directed to the protection of the health of residents of Western Australia.</w:t>
      </w:r>
    </w:p>
    <w:p w14:paraId="102E6C25" w14:textId="0EFA920F" w:rsidR="00C33A4E" w:rsidRPr="00A04489" w:rsidRDefault="00C33A4E"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It was not necessary for the Court in </w:t>
      </w:r>
      <w:r w:rsidRPr="00A04489">
        <w:rPr>
          <w:rFonts w:ascii="Times New Roman" w:hAnsi="Times New Roman"/>
          <w:i/>
        </w:rPr>
        <w:t>Gratwick</w:t>
      </w:r>
      <w:r w:rsidRPr="00A04489">
        <w:rPr>
          <w:rFonts w:ascii="Times New Roman" w:hAnsi="Times New Roman"/>
        </w:rPr>
        <w:t xml:space="preserve"> to consider whether the law was necessary for a purpose other than </w:t>
      </w:r>
      <w:r w:rsidR="00300029" w:rsidRPr="00A04489">
        <w:rPr>
          <w:rFonts w:ascii="Times New Roman" w:hAnsi="Times New Roman"/>
        </w:rPr>
        <w:t xml:space="preserve">to </w:t>
      </w:r>
      <w:r w:rsidRPr="00A04489">
        <w:rPr>
          <w:rFonts w:ascii="Times New Roman" w:hAnsi="Times New Roman"/>
        </w:rPr>
        <w:t xml:space="preserve">prevent interstate movement since none was suggested. Earlier authority had held that a State law which restricted interstate movement for other, legitimate reasons might be valid. In </w:t>
      </w:r>
      <w:r w:rsidR="00ED2915" w:rsidRPr="00A04489">
        <w:rPr>
          <w:rFonts w:ascii="Times New Roman" w:hAnsi="Times New Roman"/>
          <w:i/>
        </w:rPr>
        <w:t>R</w:t>
      </w:r>
      <w:r w:rsidRPr="00A04489">
        <w:rPr>
          <w:rFonts w:ascii="Times New Roman" w:hAnsi="Times New Roman"/>
          <w:i/>
        </w:rPr>
        <w:t xml:space="preserve"> v Smithers; </w:t>
      </w:r>
      <w:r w:rsidR="00ED2915" w:rsidRPr="00A04489">
        <w:rPr>
          <w:rFonts w:ascii="Times New Roman" w:hAnsi="Times New Roman"/>
          <w:i/>
        </w:rPr>
        <w:t>E</w:t>
      </w:r>
      <w:r w:rsidRPr="00A04489">
        <w:rPr>
          <w:rFonts w:ascii="Times New Roman" w:hAnsi="Times New Roman"/>
          <w:i/>
        </w:rPr>
        <w:t>x</w:t>
      </w:r>
      <w:r w:rsidR="00ED2915" w:rsidRPr="00A04489">
        <w:rPr>
          <w:rFonts w:ascii="Times New Roman" w:hAnsi="Times New Roman"/>
          <w:i/>
        </w:rPr>
        <w:t xml:space="preserve"> </w:t>
      </w:r>
      <w:r w:rsidRPr="00A04489">
        <w:rPr>
          <w:rFonts w:ascii="Times New Roman" w:hAnsi="Times New Roman"/>
          <w:i/>
        </w:rPr>
        <w:t>parte Benson</w:t>
      </w:r>
      <w:r w:rsidRPr="00A04489">
        <w:rPr>
          <w:rStyle w:val="FootnoteReference"/>
          <w:rFonts w:ascii="Times New Roman" w:hAnsi="Times New Roman"/>
          <w:sz w:val="24"/>
        </w:rPr>
        <w:footnoteReference w:id="80"/>
      </w:r>
      <w:r w:rsidRPr="00A04489">
        <w:rPr>
          <w:rFonts w:ascii="Times New Roman" w:hAnsi="Times New Roman"/>
        </w:rPr>
        <w:t>, Barton J</w:t>
      </w:r>
      <w:r w:rsidR="00DE6AFA" w:rsidRPr="00A04489">
        <w:rPr>
          <w:rFonts w:ascii="Times New Roman" w:hAnsi="Times New Roman"/>
        </w:rPr>
        <w:t>, in describing the scope of</w:t>
      </w:r>
      <w:r w:rsidRPr="00A04489">
        <w:rPr>
          <w:rFonts w:ascii="Times New Roman" w:hAnsi="Times New Roman"/>
        </w:rPr>
        <w:t xml:space="preserve"> the freedom assured to citizens by s 92</w:t>
      </w:r>
      <w:r w:rsidR="00AE1B32" w:rsidRPr="00A04489">
        <w:rPr>
          <w:rFonts w:ascii="Times New Roman" w:hAnsi="Times New Roman"/>
        </w:rPr>
        <w:t>, said that he should not be thought to say that it</w:t>
      </w:r>
      <w:r w:rsidRPr="00A04489">
        <w:rPr>
          <w:rFonts w:ascii="Times New Roman" w:hAnsi="Times New Roman"/>
        </w:rPr>
        <w:t xml:space="preserve"> destroy</w:t>
      </w:r>
      <w:r w:rsidR="00AE1B32" w:rsidRPr="00A04489">
        <w:rPr>
          <w:rFonts w:ascii="Times New Roman" w:hAnsi="Times New Roman"/>
        </w:rPr>
        <w:t>ed</w:t>
      </w:r>
      <w:r w:rsidRPr="00A04489">
        <w:rPr>
          <w:rFonts w:ascii="Times New Roman" w:hAnsi="Times New Roman"/>
        </w:rPr>
        <w:t xml:space="preserve"> the right of States to take "</w:t>
      </w:r>
      <w:r w:rsidR="00D15389" w:rsidRPr="00A04489">
        <w:rPr>
          <w:rFonts w:ascii="Times New Roman" w:hAnsi="Times New Roman"/>
        </w:rPr>
        <w:t xml:space="preserve">any </w:t>
      </w:r>
      <w:r w:rsidRPr="00A04489">
        <w:rPr>
          <w:rFonts w:ascii="Times New Roman" w:hAnsi="Times New Roman"/>
        </w:rPr>
        <w:t xml:space="preserve">precautionary measure </w:t>
      </w:r>
      <w:r w:rsidR="00D330A9" w:rsidRPr="00A04489">
        <w:rPr>
          <w:rFonts w:ascii="Times New Roman" w:hAnsi="Times New Roman"/>
        </w:rPr>
        <w:t>in respect of the</w:t>
      </w:r>
      <w:r w:rsidRPr="00A04489">
        <w:rPr>
          <w:rFonts w:ascii="Times New Roman" w:hAnsi="Times New Roman"/>
        </w:rPr>
        <w:t xml:space="preserve"> intrusion from </w:t>
      </w:r>
      <w:r w:rsidR="00902FC6" w:rsidRPr="00A04489">
        <w:rPr>
          <w:rFonts w:ascii="Times New Roman" w:hAnsi="Times New Roman"/>
        </w:rPr>
        <w:t xml:space="preserve">outside the State of </w:t>
      </w:r>
      <w:r w:rsidRPr="00A04489">
        <w:rPr>
          <w:rFonts w:ascii="Times New Roman" w:hAnsi="Times New Roman"/>
        </w:rPr>
        <w:t xml:space="preserve">persons who are </w:t>
      </w:r>
      <w:r w:rsidR="007F1704" w:rsidRPr="00A04489">
        <w:rPr>
          <w:rFonts w:ascii="Times New Roman" w:hAnsi="Times New Roman"/>
        </w:rPr>
        <w:t xml:space="preserve">or may be </w:t>
      </w:r>
      <w:r w:rsidRPr="00A04489">
        <w:rPr>
          <w:rFonts w:ascii="Times New Roman" w:hAnsi="Times New Roman"/>
        </w:rPr>
        <w:t xml:space="preserve">dangerous to its domestic order, </w:t>
      </w:r>
      <w:r w:rsidR="007F1704" w:rsidRPr="00A04489">
        <w:rPr>
          <w:rFonts w:ascii="Times New Roman" w:hAnsi="Times New Roman"/>
        </w:rPr>
        <w:t xml:space="preserve">its </w:t>
      </w:r>
      <w:r w:rsidRPr="00A04489">
        <w:rPr>
          <w:rFonts w:ascii="Times New Roman" w:hAnsi="Times New Roman"/>
        </w:rPr>
        <w:t>health</w:t>
      </w:r>
      <w:r w:rsidR="00DC61D2" w:rsidRPr="00A04489">
        <w:rPr>
          <w:rFonts w:ascii="Times New Roman" w:hAnsi="Times New Roman"/>
        </w:rPr>
        <w:t>,</w:t>
      </w:r>
      <w:r w:rsidRPr="00A04489">
        <w:rPr>
          <w:rFonts w:ascii="Times New Roman" w:hAnsi="Times New Roman"/>
        </w:rPr>
        <w:t xml:space="preserve"> or </w:t>
      </w:r>
      <w:r w:rsidR="005B280A" w:rsidRPr="00A04489">
        <w:rPr>
          <w:rFonts w:ascii="Times New Roman" w:hAnsi="Times New Roman"/>
        </w:rPr>
        <w:t xml:space="preserve">its </w:t>
      </w:r>
      <w:r w:rsidRPr="00A04489">
        <w:rPr>
          <w:rFonts w:ascii="Times New Roman" w:hAnsi="Times New Roman"/>
        </w:rPr>
        <w:t xml:space="preserve">morals". And in </w:t>
      </w:r>
      <w:r w:rsidRPr="00A04489">
        <w:rPr>
          <w:rFonts w:ascii="Times New Roman" w:hAnsi="Times New Roman"/>
          <w:i/>
        </w:rPr>
        <w:t>Ex</w:t>
      </w:r>
      <w:r w:rsidR="00312F68" w:rsidRPr="00A04489">
        <w:rPr>
          <w:rFonts w:ascii="Times New Roman" w:hAnsi="Times New Roman"/>
          <w:i/>
        </w:rPr>
        <w:t xml:space="preserve"> </w:t>
      </w:r>
      <w:r w:rsidRPr="00A04489">
        <w:rPr>
          <w:rFonts w:ascii="Times New Roman" w:hAnsi="Times New Roman"/>
          <w:i/>
        </w:rPr>
        <w:t xml:space="preserve">parte Nelson </w:t>
      </w:r>
      <w:r w:rsidR="00147D5B" w:rsidRPr="00A04489">
        <w:rPr>
          <w:rFonts w:ascii="Times New Roman" w:hAnsi="Times New Roman"/>
          <w:i/>
        </w:rPr>
        <w:t>[</w:t>
      </w:r>
      <w:r w:rsidRPr="00A04489">
        <w:rPr>
          <w:rFonts w:ascii="Times New Roman" w:hAnsi="Times New Roman"/>
          <w:i/>
        </w:rPr>
        <w:t>No</w:t>
      </w:r>
      <w:r w:rsidR="00ED7D35" w:rsidRPr="00A04489">
        <w:rPr>
          <w:rFonts w:ascii="Times New Roman" w:hAnsi="Times New Roman"/>
          <w:i/>
        </w:rPr>
        <w:t xml:space="preserve"> </w:t>
      </w:r>
      <w:r w:rsidRPr="00A04489">
        <w:rPr>
          <w:rFonts w:ascii="Times New Roman" w:hAnsi="Times New Roman"/>
          <w:i/>
        </w:rPr>
        <w:t>1</w:t>
      </w:r>
      <w:r w:rsidR="00147D5B" w:rsidRPr="00A04489">
        <w:rPr>
          <w:rFonts w:ascii="Times New Roman" w:hAnsi="Times New Roman"/>
          <w:i/>
        </w:rPr>
        <w:t>]</w:t>
      </w:r>
      <w:r w:rsidRPr="00A04489">
        <w:rPr>
          <w:rStyle w:val="FootnoteReference"/>
          <w:rFonts w:ascii="Times New Roman" w:hAnsi="Times New Roman"/>
          <w:sz w:val="24"/>
        </w:rPr>
        <w:footnoteReference w:id="81"/>
      </w:r>
      <w:r w:rsidRPr="00A04489">
        <w:rPr>
          <w:rFonts w:ascii="Times New Roman" w:hAnsi="Times New Roman"/>
        </w:rPr>
        <w:t xml:space="preserve">, which concerned prohibitions on the introduction of infected </w:t>
      </w:r>
      <w:r w:rsidR="00B35F63" w:rsidRPr="00A04489">
        <w:rPr>
          <w:rFonts w:ascii="Times New Roman" w:hAnsi="Times New Roman"/>
        </w:rPr>
        <w:t xml:space="preserve">or </w:t>
      </w:r>
      <w:r w:rsidRPr="00A04489">
        <w:rPr>
          <w:rFonts w:ascii="Times New Roman" w:hAnsi="Times New Roman"/>
        </w:rPr>
        <w:t xml:space="preserve">contagious livestock into a State, it was said that whilst the establishment of freedom of trade between the States is a most notable achievement of the </w:t>
      </w:r>
      <w:r w:rsidRPr="00A04489">
        <w:rPr>
          <w:rFonts w:ascii="Times New Roman" w:hAnsi="Times New Roman"/>
          <w:i/>
        </w:rPr>
        <w:t>Constitution</w:t>
      </w:r>
      <w:r w:rsidRPr="00A04489">
        <w:rPr>
          <w:rFonts w:ascii="Times New Roman" w:hAnsi="Times New Roman"/>
        </w:rPr>
        <w:t>, it would be a strange result if that achievement had the effect of stripping the States of the power to protect their citizens from the dangers of infectio</w:t>
      </w:r>
      <w:r w:rsidR="005D59B1" w:rsidRPr="00A04489">
        <w:rPr>
          <w:rFonts w:ascii="Times New Roman" w:hAnsi="Times New Roman"/>
        </w:rPr>
        <w:t>u</w:t>
      </w:r>
      <w:r w:rsidRPr="00A04489">
        <w:rPr>
          <w:rFonts w:ascii="Times New Roman" w:hAnsi="Times New Roman"/>
        </w:rPr>
        <w:t xml:space="preserve">s diseases, however those dangers might arise. Mason J's view of the measures in the </w:t>
      </w:r>
      <w:r w:rsidRPr="00A04489">
        <w:rPr>
          <w:rFonts w:ascii="Times New Roman" w:hAnsi="Times New Roman"/>
          <w:i/>
        </w:rPr>
        <w:t>North</w:t>
      </w:r>
      <w:r w:rsidR="0078418A" w:rsidRPr="00A04489">
        <w:rPr>
          <w:rFonts w:ascii="Times New Roman" w:hAnsi="Times New Roman"/>
          <w:i/>
        </w:rPr>
        <w:t xml:space="preserve"> </w:t>
      </w:r>
      <w:r w:rsidRPr="00A04489">
        <w:rPr>
          <w:rFonts w:ascii="Times New Roman" w:hAnsi="Times New Roman"/>
          <w:i/>
        </w:rPr>
        <w:t>East</w:t>
      </w:r>
      <w:r w:rsidR="0078418A" w:rsidRPr="00A04489">
        <w:rPr>
          <w:rFonts w:ascii="Times New Roman" w:hAnsi="Times New Roman"/>
          <w:i/>
        </w:rPr>
        <w:t>ern</w:t>
      </w:r>
      <w:r w:rsidRPr="00A04489">
        <w:rPr>
          <w:rFonts w:ascii="Times New Roman" w:hAnsi="Times New Roman"/>
          <w:i/>
        </w:rPr>
        <w:t xml:space="preserve"> Dairy</w:t>
      </w:r>
      <w:r w:rsidR="0078418A" w:rsidRPr="00A04489">
        <w:rPr>
          <w:rFonts w:ascii="Times New Roman" w:hAnsi="Times New Roman"/>
          <w:i/>
        </w:rPr>
        <w:t xml:space="preserve"> Co</w:t>
      </w:r>
      <w:r w:rsidRPr="00A04489">
        <w:rPr>
          <w:rStyle w:val="FootnoteReference"/>
          <w:rFonts w:ascii="Times New Roman" w:hAnsi="Times New Roman"/>
          <w:sz w:val="24"/>
        </w:rPr>
        <w:footnoteReference w:id="82"/>
      </w:r>
      <w:r w:rsidRPr="00A04489">
        <w:rPr>
          <w:rFonts w:ascii="Times New Roman" w:hAnsi="Times New Roman"/>
        </w:rPr>
        <w:t xml:space="preserve"> case may be seen to proceed from a similar viewpoint, although </w:t>
      </w:r>
      <w:r w:rsidR="00237418" w:rsidRPr="00A04489">
        <w:rPr>
          <w:rFonts w:ascii="Times New Roman" w:hAnsi="Times New Roman"/>
        </w:rPr>
        <w:t xml:space="preserve">his Honour </w:t>
      </w:r>
      <w:r w:rsidR="007803E3" w:rsidRPr="00A04489">
        <w:rPr>
          <w:rFonts w:ascii="Times New Roman" w:hAnsi="Times New Roman"/>
        </w:rPr>
        <w:t>concluded</w:t>
      </w:r>
      <w:r w:rsidR="00237418" w:rsidRPr="00A04489">
        <w:rPr>
          <w:rFonts w:ascii="Times New Roman" w:hAnsi="Times New Roman"/>
        </w:rPr>
        <w:t xml:space="preserve"> they </w:t>
      </w:r>
      <w:r w:rsidRPr="00A04489">
        <w:rPr>
          <w:rFonts w:ascii="Times New Roman" w:hAnsi="Times New Roman"/>
        </w:rPr>
        <w:t>went further than was necessary for th</w:t>
      </w:r>
      <w:r w:rsidR="00BF5512" w:rsidRPr="00A04489">
        <w:rPr>
          <w:rFonts w:ascii="Times New Roman" w:hAnsi="Times New Roman"/>
        </w:rPr>
        <w:t>e</w:t>
      </w:r>
      <w:r w:rsidRPr="00A04489">
        <w:rPr>
          <w:rFonts w:ascii="Times New Roman" w:hAnsi="Times New Roman"/>
        </w:rPr>
        <w:t xml:space="preserve"> purpose</w:t>
      </w:r>
      <w:r w:rsidR="00BF5512" w:rsidRPr="00A04489">
        <w:rPr>
          <w:rFonts w:ascii="Times New Roman" w:hAnsi="Times New Roman"/>
        </w:rPr>
        <w:t xml:space="preserve"> of protecting the public from contaminated milk</w:t>
      </w:r>
      <w:r w:rsidRPr="00A04489">
        <w:rPr>
          <w:rFonts w:ascii="Times New Roman" w:hAnsi="Times New Roman"/>
        </w:rPr>
        <w:t>.</w:t>
      </w:r>
    </w:p>
    <w:p w14:paraId="5FF779F1" w14:textId="7204C3CC" w:rsidR="00C33A4E" w:rsidRPr="00A04489" w:rsidRDefault="00C33A4E" w:rsidP="00A04489">
      <w:pPr>
        <w:pStyle w:val="FixListStyle"/>
        <w:spacing w:after="260" w:line="280" w:lineRule="exact"/>
        <w:ind w:right="0"/>
        <w:jc w:val="both"/>
        <w:rPr>
          <w:rFonts w:ascii="Times New Roman" w:hAnsi="Times New Roman"/>
        </w:rPr>
      </w:pPr>
      <w:r w:rsidRPr="00A04489">
        <w:rPr>
          <w:rFonts w:ascii="Times New Roman" w:hAnsi="Times New Roman"/>
        </w:rPr>
        <w:tab/>
        <w:t>The plaintiffs accept</w:t>
      </w:r>
      <w:r w:rsidR="00EB0E0F" w:rsidRPr="00A04489">
        <w:rPr>
          <w:rFonts w:ascii="Times New Roman" w:hAnsi="Times New Roman"/>
        </w:rPr>
        <w:t>ed</w:t>
      </w:r>
      <w:r w:rsidRPr="00A04489">
        <w:rPr>
          <w:rFonts w:ascii="Times New Roman" w:hAnsi="Times New Roman"/>
        </w:rPr>
        <w:t xml:space="preserve"> that if the purpose of the </w:t>
      </w:r>
      <w:r w:rsidR="009537F8" w:rsidRPr="00A04489">
        <w:rPr>
          <w:rFonts w:ascii="Times New Roman" w:hAnsi="Times New Roman"/>
        </w:rPr>
        <w:t xml:space="preserve">restrictions </w:t>
      </w:r>
      <w:r w:rsidRPr="00A04489">
        <w:rPr>
          <w:rFonts w:ascii="Times New Roman" w:hAnsi="Times New Roman"/>
        </w:rPr>
        <w:t>is held to be to prevent infectious diseases such as COVID-19 spreading into the Western Australian community, the question becomes one of justification. They then argue</w:t>
      </w:r>
      <w:r w:rsidR="00EB0E0F" w:rsidRPr="00A04489">
        <w:rPr>
          <w:rFonts w:ascii="Times New Roman" w:hAnsi="Times New Roman"/>
        </w:rPr>
        <w:t>d</w:t>
      </w:r>
      <w:r w:rsidRPr="00A04489">
        <w:rPr>
          <w:rFonts w:ascii="Times New Roman" w:hAnsi="Times New Roman"/>
        </w:rPr>
        <w:t xml:space="preserve"> that it cannot be shown that the power to restrict the entry of persons into Western Australia is suitable or necessary to that purpose. The power</w:t>
      </w:r>
      <w:r w:rsidR="003614DD" w:rsidRPr="00A04489">
        <w:rPr>
          <w:rFonts w:ascii="Times New Roman" w:hAnsi="Times New Roman"/>
        </w:rPr>
        <w:t xml:space="preserve"> to restrict</w:t>
      </w:r>
      <w:r w:rsidRPr="00A04489">
        <w:rPr>
          <w:rFonts w:ascii="Times New Roman" w:hAnsi="Times New Roman"/>
        </w:rPr>
        <w:t xml:space="preserve"> should be capable of being adapted or lessened to accommodate the different levels of risk which persons seeking entry into the State might present.</w:t>
      </w:r>
      <w:r w:rsidR="00FF4F5B" w:rsidRPr="00A04489">
        <w:rPr>
          <w:rFonts w:ascii="Times New Roman" w:hAnsi="Times New Roman"/>
        </w:rPr>
        <w:t xml:space="preserve"> </w:t>
      </w:r>
    </w:p>
    <w:p w14:paraId="340DFCBA" w14:textId="2B06F445" w:rsidR="00C33A4E" w:rsidRPr="00A04489" w:rsidRDefault="00C33A4E"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There can be no doubt that a law restricting the movement of persons into a State is suitable for the purpose of preventing persons infected with COVID-19 from bringing the disease into the community. Further, the matters necessary to be considered before such restrictions can be put in place, including with respect to </w:t>
      </w:r>
      <w:r w:rsidR="00BD4FB7" w:rsidRPr="00A04489">
        <w:rPr>
          <w:rFonts w:ascii="Times New Roman" w:hAnsi="Times New Roman"/>
        </w:rPr>
        <w:t>an</w:t>
      </w:r>
      <w:r w:rsidRPr="00A04489">
        <w:rPr>
          <w:rFonts w:ascii="Times New Roman" w:hAnsi="Times New Roman"/>
        </w:rPr>
        <w:t xml:space="preserve"> emergency declaration and the shortness of the period of an emergency</w:t>
      </w:r>
      <w:r w:rsidR="009166AD" w:rsidRPr="00A04489">
        <w:rPr>
          <w:rFonts w:ascii="Times New Roman" w:hAnsi="Times New Roman"/>
        </w:rPr>
        <w:t xml:space="preserve"> declaration</w:t>
      </w:r>
      <w:r w:rsidRPr="00A04489">
        <w:rPr>
          <w:rFonts w:ascii="Times New Roman" w:hAnsi="Times New Roman"/>
        </w:rPr>
        <w:t>, suggest that these measures are a considered, proportionate response to an emergency such as an epidemic.</w:t>
      </w:r>
    </w:p>
    <w:p w14:paraId="17A52DCF" w14:textId="54A991EF" w:rsidR="00C33A4E" w:rsidRPr="00A04489" w:rsidRDefault="00C33A4E"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The plaintiffs may be understood to contend that there is an alternative to a power of prohibition on persons from outside Western Australia entering the State. Entry could be allowed to persons from States where the disease is largely under control and who present a low risk of bringing it into the community. The underlying premise of this argument is that there is a level of risk which may be regarded as acceptable. This misapprehends </w:t>
      </w:r>
      <w:r w:rsidR="008F2F24" w:rsidRPr="00A04489">
        <w:rPr>
          <w:rFonts w:ascii="Times New Roman" w:hAnsi="Times New Roman"/>
        </w:rPr>
        <w:t>Rangiah</w:t>
      </w:r>
      <w:r w:rsidR="00281826" w:rsidRPr="00A04489">
        <w:rPr>
          <w:rFonts w:ascii="Times New Roman" w:hAnsi="Times New Roman"/>
        </w:rPr>
        <w:t xml:space="preserve"> J</w:t>
      </w:r>
      <w:r w:rsidR="008F2F24" w:rsidRPr="00A04489">
        <w:rPr>
          <w:rFonts w:ascii="Times New Roman" w:hAnsi="Times New Roman"/>
        </w:rPr>
        <w:t xml:space="preserve">'s </w:t>
      </w:r>
      <w:r w:rsidRPr="00A04489">
        <w:rPr>
          <w:rFonts w:ascii="Times New Roman" w:hAnsi="Times New Roman"/>
        </w:rPr>
        <w:t>findings.</w:t>
      </w:r>
    </w:p>
    <w:p w14:paraId="36DB278E" w14:textId="77777777" w:rsidR="00C33A4E" w:rsidRPr="00A04489" w:rsidRDefault="00C33A4E" w:rsidP="00A04489">
      <w:pPr>
        <w:pStyle w:val="FixListStyle"/>
        <w:spacing w:after="260" w:line="280" w:lineRule="exact"/>
        <w:ind w:right="0"/>
        <w:jc w:val="both"/>
        <w:rPr>
          <w:rFonts w:ascii="Times New Roman" w:hAnsi="Times New Roman"/>
        </w:rPr>
      </w:pPr>
      <w:r w:rsidRPr="00A04489">
        <w:rPr>
          <w:rFonts w:ascii="Times New Roman" w:hAnsi="Times New Roman"/>
        </w:rPr>
        <w:tab/>
        <w:t>His Honour did not suggest that a low risk of an infected person entering Western Australia was acceptable from a public health perspective. His Honour considered that once a person infected with COVID-19 enters the community there is a real risk of community transmission and that it may become uncontrollable. Because of the uncertainties about the level of risk and the severe, or even catastrophic, outcomes which might result from community transmission, a precautionary approach should be adopted.</w:t>
      </w:r>
    </w:p>
    <w:p w14:paraId="108945C2" w14:textId="3BD84EDD" w:rsidR="00C33A4E" w:rsidRPr="00A04489" w:rsidRDefault="00C33A4E" w:rsidP="00A04489">
      <w:pPr>
        <w:pStyle w:val="FixListStyle"/>
        <w:spacing w:after="260" w:line="280" w:lineRule="exact"/>
        <w:ind w:right="0"/>
        <w:jc w:val="both"/>
        <w:rPr>
          <w:rFonts w:ascii="Times New Roman" w:hAnsi="Times New Roman"/>
        </w:rPr>
      </w:pPr>
      <w:r w:rsidRPr="00A04489">
        <w:rPr>
          <w:rFonts w:ascii="Times New Roman" w:hAnsi="Times New Roman"/>
        </w:rPr>
        <w:tab/>
        <w:t xml:space="preserve">These findings leave little room for debate about effective alternatives. They provide no warrant for reading the power to prohibit </w:t>
      </w:r>
      <w:r w:rsidR="0083494C" w:rsidRPr="00A04489">
        <w:rPr>
          <w:rFonts w:ascii="Times New Roman" w:hAnsi="Times New Roman"/>
        </w:rPr>
        <w:t>e</w:t>
      </w:r>
      <w:r w:rsidRPr="00A04489">
        <w:rPr>
          <w:rFonts w:ascii="Times New Roman" w:hAnsi="Times New Roman"/>
        </w:rPr>
        <w:t>ntry into Western Australia during a pandemic down to accommodate some undefined level of risk. Accepting that s 67 must accommodate a requirement that it be exercised proportionately, the defendants' submission that there is no effective alternative to a general restriction on entry must be accepted.</w:t>
      </w:r>
    </w:p>
    <w:p w14:paraId="7D45EEC7" w14:textId="74564189" w:rsidR="00C33A4E" w:rsidRPr="00A04489" w:rsidRDefault="00C33A4E" w:rsidP="00A04489">
      <w:pPr>
        <w:pStyle w:val="FixListStyle"/>
        <w:spacing w:after="260" w:line="280" w:lineRule="exact"/>
        <w:ind w:right="0"/>
        <w:jc w:val="both"/>
        <w:rPr>
          <w:rFonts w:ascii="Times New Roman" w:hAnsi="Times New Roman"/>
        </w:rPr>
      </w:pPr>
      <w:r w:rsidRPr="00A04489">
        <w:rPr>
          <w:rFonts w:ascii="Times New Roman" w:hAnsi="Times New Roman"/>
        </w:rPr>
        <w:tab/>
        <w:t>The defendants also submit</w:t>
      </w:r>
      <w:r w:rsidR="00002120" w:rsidRPr="00A04489">
        <w:rPr>
          <w:rFonts w:ascii="Times New Roman" w:hAnsi="Times New Roman"/>
        </w:rPr>
        <w:t>ted</w:t>
      </w:r>
      <w:r w:rsidRPr="00A04489">
        <w:rPr>
          <w:rFonts w:ascii="Times New Roman" w:hAnsi="Times New Roman"/>
        </w:rPr>
        <w:t xml:space="preserve"> that once it is accepted that the purpose of the EM Act provisions is a legitimate, non</w:t>
      </w:r>
      <w:r w:rsidRPr="00A04489">
        <w:rPr>
          <w:rFonts w:ascii="Times New Roman" w:hAnsi="Times New Roman"/>
        </w:rPr>
        <w:noBreakHyphen/>
        <w:t xml:space="preserve">discriminatory purpose of protecting the public health of residents of Western Australia and that there are no other reasonable means available to achieve that purpose, it follows that </w:t>
      </w:r>
      <w:r w:rsidR="003C44BC" w:rsidRPr="00A04489">
        <w:rPr>
          <w:rFonts w:ascii="Times New Roman" w:hAnsi="Times New Roman"/>
        </w:rPr>
        <w:t>they have</w:t>
      </w:r>
      <w:r w:rsidRPr="00A04489">
        <w:rPr>
          <w:rFonts w:ascii="Times New Roman" w:hAnsi="Times New Roman"/>
        </w:rPr>
        <w:t xml:space="preserve"> established that the laws are adequate in the balance. This somewhat misstates the latter justification, proportionality in the strict sense. It requires that the importance of the public health purpose be measured against the extent of the restriction</w:t>
      </w:r>
      <w:r w:rsidR="00B46F50" w:rsidRPr="00A04489">
        <w:rPr>
          <w:rFonts w:ascii="Times New Roman" w:hAnsi="Times New Roman"/>
        </w:rPr>
        <w:t xml:space="preserve"> on the freedom</w:t>
      </w:r>
      <w:r w:rsidRPr="00A04489">
        <w:rPr>
          <w:rFonts w:ascii="Times New Roman" w:hAnsi="Times New Roman"/>
        </w:rPr>
        <w:t>. It must be accepted that the restrictions are severe but it cannot be denied that the importance of the protection of health and life amply justifies the severity of the measures.</w:t>
      </w:r>
    </w:p>
    <w:p w14:paraId="261FB27B" w14:textId="77777777" w:rsidR="00A04489" w:rsidRDefault="00C33A4E" w:rsidP="00A04489">
      <w:pPr>
        <w:pStyle w:val="FixListStyle"/>
        <w:spacing w:after="260" w:line="280" w:lineRule="exact"/>
        <w:ind w:right="0"/>
        <w:jc w:val="both"/>
        <w:rPr>
          <w:rFonts w:ascii="Times New Roman" w:hAnsi="Times New Roman"/>
        </w:rPr>
      </w:pPr>
      <w:r w:rsidRPr="00A04489">
        <w:rPr>
          <w:rFonts w:ascii="Times New Roman" w:hAnsi="Times New Roman"/>
        </w:rPr>
        <w:tab/>
        <w:t>The same conclusions apply to the plaintiffs' case respecting interstate trade and commerce. The plaintiffs did not provide extensive written submissions on this alternative aspect of their case and did not further elaborate on them in oral argument. They did not</w:t>
      </w:r>
      <w:r w:rsidR="00C7729C" w:rsidRPr="00A04489">
        <w:rPr>
          <w:rFonts w:ascii="Times New Roman" w:hAnsi="Times New Roman"/>
        </w:rPr>
        <w:t xml:space="preserve"> rely upon</w:t>
      </w:r>
      <w:r w:rsidRPr="00A04489">
        <w:rPr>
          <w:rFonts w:ascii="Times New Roman" w:hAnsi="Times New Roman"/>
        </w:rPr>
        <w:t xml:space="preserve"> evidence as to economic effects such as might be weighed against effects on health, assuming that is possible. The only additional matter that they raise</w:t>
      </w:r>
      <w:r w:rsidR="007F477B" w:rsidRPr="00A04489">
        <w:rPr>
          <w:rFonts w:ascii="Times New Roman" w:hAnsi="Times New Roman"/>
        </w:rPr>
        <w:t>d</w:t>
      </w:r>
      <w:r w:rsidRPr="00A04489">
        <w:rPr>
          <w:rFonts w:ascii="Times New Roman" w:hAnsi="Times New Roman"/>
        </w:rPr>
        <w:t xml:space="preserve"> respecting the </w:t>
      </w:r>
      <w:r w:rsidR="001942A9" w:rsidRPr="00A04489">
        <w:rPr>
          <w:rFonts w:ascii="Times New Roman" w:hAnsi="Times New Roman"/>
        </w:rPr>
        <w:t>laws</w:t>
      </w:r>
      <w:r w:rsidRPr="00A04489">
        <w:rPr>
          <w:rFonts w:ascii="Times New Roman" w:hAnsi="Times New Roman"/>
        </w:rPr>
        <w:t xml:space="preserve"> so far as concerns interstate trade is that </w:t>
      </w:r>
      <w:r w:rsidR="00EC091E" w:rsidRPr="00A04489">
        <w:rPr>
          <w:rFonts w:ascii="Times New Roman" w:hAnsi="Times New Roman"/>
        </w:rPr>
        <w:t>they have</w:t>
      </w:r>
      <w:r w:rsidRPr="00A04489">
        <w:rPr>
          <w:rFonts w:ascii="Times New Roman" w:hAnsi="Times New Roman"/>
        </w:rPr>
        <w:t xml:space="preserve"> a protectionist purpose in the sense applicable to trade. That is clearly incorrect.</w:t>
      </w:r>
    </w:p>
    <w:p w14:paraId="15A9BE7E" w14:textId="77777777" w:rsidR="002D2334" w:rsidRDefault="002D2334" w:rsidP="00A04489">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jc w:val="both"/>
        <w:rPr>
          <w:rFonts w:ascii="Times New Roman" w:hAnsi="Times New Roman"/>
        </w:rPr>
      </w:pPr>
    </w:p>
    <w:p w14:paraId="659D918F" w14:textId="77777777" w:rsidR="002D2334" w:rsidRDefault="002D2334" w:rsidP="00A04489">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jc w:val="both"/>
        <w:rPr>
          <w:rFonts w:ascii="Times New Roman" w:hAnsi="Times New Roman"/>
        </w:rPr>
        <w:sectPr w:rsidR="002D2334" w:rsidSect="00CA61AF">
          <w:headerReference w:type="even" r:id="rId9"/>
          <w:headerReference w:type="default" r:id="rId10"/>
          <w:footerReference w:type="even" r:id="rId11"/>
          <w:footerReference w:type="default" r:id="rId12"/>
          <w:headerReference w:type="first" r:id="rId13"/>
          <w:footerReference w:type="first" r:id="rId14"/>
          <w:pgSz w:w="11907" w:h="16839" w:code="9"/>
          <w:pgMar w:top="1440" w:right="1701" w:bottom="1984" w:left="1701" w:header="720" w:footer="720" w:gutter="0"/>
          <w:pgNumType w:start="1"/>
          <w:cols w:space="720"/>
          <w:titlePg/>
          <w:docGrid w:linePitch="354"/>
        </w:sectPr>
      </w:pPr>
    </w:p>
    <w:p w14:paraId="169F3258" w14:textId="77777777" w:rsidR="002D2334" w:rsidRPr="00225BAD" w:rsidRDefault="002D2334" w:rsidP="002D2334">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225BAD">
        <w:rPr>
          <w:rFonts w:ascii="Times New Roman" w:hAnsi="Times New Roman"/>
        </w:rPr>
        <w:t xml:space="preserve">GAGELER J.   Section 92 of the </w:t>
      </w:r>
      <w:r w:rsidRPr="00225BAD">
        <w:rPr>
          <w:rFonts w:ascii="Times New Roman" w:hAnsi="Times New Roman"/>
          <w:i/>
        </w:rPr>
        <w:t xml:space="preserve">Constitution </w:t>
      </w:r>
      <w:r w:rsidRPr="00225BAD">
        <w:rPr>
          <w:rFonts w:ascii="Times New Roman" w:hAnsi="Times New Roman"/>
        </w:rPr>
        <w:t>emphatically and imperatively declares that "trade, commerce, and intercourse among the States ... shall be absolutely free". The "riddle of s 92" lies in the question begged by the constitutional text: "absolutely free from what?"</w:t>
      </w:r>
      <w:r w:rsidRPr="00225BAD">
        <w:rPr>
          <w:rStyle w:val="FootnoteReference"/>
          <w:rFonts w:ascii="Times New Roman" w:hAnsi="Times New Roman"/>
          <w:sz w:val="24"/>
        </w:rPr>
        <w:footnoteReference w:id="83"/>
      </w:r>
      <w:r w:rsidRPr="00225BAD">
        <w:rPr>
          <w:rFonts w:ascii="Times New Roman" w:hAnsi="Times New Roman"/>
        </w:rPr>
        <w:t xml:space="preserve"> </w:t>
      </w:r>
    </w:p>
    <w:p w14:paraId="745B1E73"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Cutting through the debris left by some 140 earlier failed judicial attempts to resolve that riddle, </w:t>
      </w:r>
      <w:r w:rsidRPr="00225BAD">
        <w:rPr>
          <w:rFonts w:ascii="Times New Roman" w:hAnsi="Times New Roman"/>
          <w:i/>
        </w:rPr>
        <w:t>Cole v Whitfield</w:t>
      </w:r>
      <w:r w:rsidRPr="00225BAD">
        <w:rPr>
          <w:rStyle w:val="FootnoteReference"/>
          <w:rFonts w:ascii="Times New Roman" w:hAnsi="Times New Roman"/>
          <w:sz w:val="24"/>
        </w:rPr>
        <w:footnoteReference w:id="84"/>
      </w:r>
      <w:r w:rsidRPr="00225BAD">
        <w:rPr>
          <w:rFonts w:ascii="Times New Roman" w:hAnsi="Times New Roman"/>
        </w:rPr>
        <w:t xml:space="preserve"> provided a partial resolution. The partial resolution proceeded on the understanding that "[t]he notions of absolutely free trade and commerce and absolutely free intercourse are quite distinct and neither the history of [s 92] nor the ordinary meaning of its words require that the content of the guarantee of freedom of trade and commerce be seen as governing or governed by the content of the guarantee of freedom of intercourse"</w:t>
      </w:r>
      <w:r w:rsidRPr="00225BAD">
        <w:rPr>
          <w:rStyle w:val="FootnoteReference"/>
          <w:rFonts w:ascii="Times New Roman" w:hAnsi="Times New Roman"/>
          <w:sz w:val="24"/>
        </w:rPr>
        <w:footnoteReference w:id="85"/>
      </w:r>
      <w:r w:rsidRPr="00225BAD">
        <w:rPr>
          <w:rFonts w:ascii="Times New Roman" w:hAnsi="Times New Roman"/>
        </w:rPr>
        <w:t>.</w:t>
      </w:r>
    </w:p>
    <w:p w14:paraId="66AC22BA"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r>
      <w:r w:rsidRPr="00225BAD">
        <w:rPr>
          <w:rFonts w:ascii="Times New Roman" w:hAnsi="Times New Roman"/>
          <w:i/>
        </w:rPr>
        <w:t>Cole v Whitfield</w:t>
      </w:r>
      <w:r w:rsidRPr="00225BAD">
        <w:rPr>
          <w:rFonts w:ascii="Times New Roman" w:hAnsi="Times New Roman"/>
        </w:rPr>
        <w:t xml:space="preserve"> authoritatively determined that trade and commerce among the States is guaranteed by s 92 to be absolutely free from "discriminatory burdens of a protectionist kind"</w:t>
      </w:r>
      <w:r w:rsidRPr="00225BAD">
        <w:rPr>
          <w:rStyle w:val="FootnoteReference"/>
          <w:rFonts w:ascii="Times New Roman" w:hAnsi="Times New Roman"/>
          <w:sz w:val="24"/>
        </w:rPr>
        <w:footnoteReference w:id="86"/>
      </w:r>
      <w:r w:rsidRPr="00225BAD">
        <w:rPr>
          <w:rFonts w:ascii="Times New Roman" w:hAnsi="Times New Roman"/>
        </w:rPr>
        <w:t>. The guarantee of the trade and commerce limb is of absolute freedom from laws imposing differential burdens on interstate trade or commerce (in comparison to intrastate trade or commerce) which cannot be justified as a constitutionally permissible means of pursuing constitutionally permissible non-discriminatory legislative ends and which operate to the competitive advantage of intrastate trade or commerce. Subsequent cases on the trade and commerce limb of the guarantee</w:t>
      </w:r>
      <w:r w:rsidRPr="00225BAD">
        <w:rPr>
          <w:rStyle w:val="FootnoteReference"/>
          <w:rFonts w:ascii="Times New Roman" w:hAnsi="Times New Roman"/>
          <w:sz w:val="24"/>
        </w:rPr>
        <w:footnoteReference w:id="87"/>
      </w:r>
      <w:r w:rsidRPr="00225BAD">
        <w:rPr>
          <w:rFonts w:ascii="Times New Roman" w:hAnsi="Times New Roman"/>
        </w:rPr>
        <w:t xml:space="preserve"> eventually settled on the standard to be met for a differential burden on interstate trade or commerce to be justified as a constitutionally permissible means of pursuing a non-discriminatory legislative end. The standard, authoritatively determined in </w:t>
      </w:r>
      <w:r w:rsidRPr="00225BAD">
        <w:rPr>
          <w:rFonts w:ascii="Times New Roman" w:hAnsi="Times New Roman"/>
          <w:i/>
        </w:rPr>
        <w:t>Betfair Pty Ltd v Western Australia</w:t>
      </w:r>
      <w:r w:rsidRPr="00225BAD">
        <w:rPr>
          <w:rFonts w:ascii="Times New Roman" w:hAnsi="Times New Roman"/>
        </w:rPr>
        <w:t xml:space="preserve"> ("</w:t>
      </w:r>
      <w:r w:rsidRPr="00225BAD">
        <w:rPr>
          <w:rFonts w:ascii="Times New Roman" w:hAnsi="Times New Roman"/>
          <w:i/>
        </w:rPr>
        <w:t>Betfair [No 1]</w:t>
      </w:r>
      <w:r w:rsidRPr="00225BAD">
        <w:rPr>
          <w:rFonts w:ascii="Times New Roman" w:hAnsi="Times New Roman"/>
        </w:rPr>
        <w:t>"), is that of "reasonable necessity"</w:t>
      </w:r>
      <w:r w:rsidRPr="00225BAD">
        <w:rPr>
          <w:rStyle w:val="FootnoteReference"/>
          <w:rFonts w:ascii="Times New Roman" w:hAnsi="Times New Roman"/>
          <w:sz w:val="24"/>
        </w:rPr>
        <w:footnoteReference w:id="88"/>
      </w:r>
      <w:r w:rsidRPr="00225BAD">
        <w:rPr>
          <w:rFonts w:ascii="Times New Roman" w:hAnsi="Times New Roman"/>
        </w:rPr>
        <w:t>.</w:t>
      </w:r>
    </w:p>
    <w:p w14:paraId="74BD2AA2"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What intercourse among the States is guaranteed by s 92 to be absolutely free from, </w:t>
      </w:r>
      <w:r w:rsidRPr="00225BAD">
        <w:rPr>
          <w:rFonts w:ascii="Times New Roman" w:hAnsi="Times New Roman"/>
          <w:i/>
        </w:rPr>
        <w:t>Cole v Whitfield</w:t>
      </w:r>
      <w:r w:rsidRPr="00225BAD">
        <w:rPr>
          <w:rFonts w:ascii="Times New Roman" w:hAnsi="Times New Roman"/>
        </w:rPr>
        <w:t xml:space="preserve"> left to be resolved on another day. Left also for another day was the associated question of how the "intercourse limb" relates to the "trade and commerce limb" in respect of intercourse that occurs in trade or commerce. Subsequent cases touching on the intercourse limb</w:t>
      </w:r>
      <w:r w:rsidRPr="00225BAD">
        <w:rPr>
          <w:rStyle w:val="FootnoteReference"/>
          <w:rFonts w:ascii="Times New Roman" w:hAnsi="Times New Roman"/>
          <w:sz w:val="24"/>
        </w:rPr>
        <w:footnoteReference w:id="89"/>
      </w:r>
      <w:r w:rsidRPr="00225BAD">
        <w:rPr>
          <w:rFonts w:ascii="Times New Roman" w:hAnsi="Times New Roman"/>
        </w:rPr>
        <w:t xml:space="preserve"> have yielded no definitive answer.</w:t>
      </w:r>
    </w:p>
    <w:p w14:paraId="18198CBA"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The occasion for resolution of that part of the riddle of s 92 left unresolved by </w:t>
      </w:r>
      <w:r w:rsidRPr="00225BAD">
        <w:rPr>
          <w:rFonts w:ascii="Times New Roman" w:hAnsi="Times New Roman"/>
          <w:i/>
        </w:rPr>
        <w:t>Cole v Whitfield</w:t>
      </w:r>
      <w:r w:rsidRPr="00225BAD">
        <w:rPr>
          <w:rFonts w:ascii="Times New Roman" w:hAnsi="Times New Roman"/>
        </w:rPr>
        <w:t xml:space="preserve"> arose in the midst of a pandemic in the context of determining a proceeding brought by a resident of Queensland against the State of Western Australia, in the original jurisdiction conferred on the High Court by s 75(iv) and under s 76(i) of the </w:t>
      </w:r>
      <w:r w:rsidRPr="00225BAD">
        <w:rPr>
          <w:rFonts w:ascii="Times New Roman" w:hAnsi="Times New Roman"/>
          <w:i/>
        </w:rPr>
        <w:t>Constitution</w:t>
      </w:r>
      <w:r w:rsidRPr="00225BAD">
        <w:rPr>
          <w:rFonts w:ascii="Times New Roman" w:hAnsi="Times New Roman"/>
        </w:rPr>
        <w:t xml:space="preserve">, challenging directions contained in the </w:t>
      </w:r>
      <w:r w:rsidRPr="00225BAD">
        <w:rPr>
          <w:rFonts w:ascii="Times New Roman" w:hAnsi="Times New Roman"/>
          <w:i/>
        </w:rPr>
        <w:t>Quarantine</w:t>
      </w:r>
      <w:r w:rsidRPr="00225BAD">
        <w:rPr>
          <w:rFonts w:ascii="Times New Roman" w:hAnsi="Times New Roman"/>
        </w:rPr>
        <w:t xml:space="preserve"> </w:t>
      </w:r>
      <w:r w:rsidRPr="00225BAD">
        <w:rPr>
          <w:rFonts w:ascii="Times New Roman" w:hAnsi="Times New Roman"/>
          <w:i/>
        </w:rPr>
        <w:t>(Closing the Border) Directions</w:t>
      </w:r>
      <w:r w:rsidRPr="00225BAD">
        <w:rPr>
          <w:rFonts w:ascii="Times New Roman" w:hAnsi="Times New Roman"/>
        </w:rPr>
        <w:t xml:space="preserve"> (WA) ("the Directions") made under the </w:t>
      </w:r>
      <w:r w:rsidRPr="00225BAD">
        <w:rPr>
          <w:rFonts w:ascii="Times New Roman" w:hAnsi="Times New Roman"/>
          <w:i/>
        </w:rPr>
        <w:t xml:space="preserve">Emergency Management Act 2005 </w:t>
      </w:r>
      <w:r w:rsidRPr="00225BAD">
        <w:rPr>
          <w:rFonts w:ascii="Times New Roman" w:hAnsi="Times New Roman"/>
        </w:rPr>
        <w:t xml:space="preserve">(WA) ("the Act"). </w:t>
      </w:r>
    </w:p>
    <w:p w14:paraId="2738896C"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The Act, to the detail of which I will in due course turn, relevantly empowers the Western Australian Minister for Emergency Services to make and periodically renew a declaration that a state of emergency exists in an "emergency area", comprising the whole or any area or areas of Western Australia, in respect of the occurrence of a plague or epidemic of a nature that requires a significant and coordinated response</w:t>
      </w:r>
      <w:r w:rsidRPr="00225BAD">
        <w:rPr>
          <w:rStyle w:val="FootnoteReference"/>
          <w:rFonts w:ascii="Times New Roman" w:hAnsi="Times New Roman"/>
          <w:sz w:val="24"/>
        </w:rPr>
        <w:footnoteReference w:id="90"/>
      </w:r>
      <w:r w:rsidRPr="00225BAD">
        <w:rPr>
          <w:rFonts w:ascii="Times New Roman" w:hAnsi="Times New Roman"/>
        </w:rPr>
        <w:t>. For so long as a state of emergency declaration is in force, the Act empowers an authorised officer to give a general direction prohibiting movement of persons into or out of the declared emergency area for the purpose of combating the effects of the declared emergency</w:t>
      </w:r>
      <w:r w:rsidRPr="00225BAD">
        <w:rPr>
          <w:rStyle w:val="FootnoteReference"/>
          <w:rFonts w:ascii="Times New Roman" w:hAnsi="Times New Roman"/>
          <w:sz w:val="24"/>
        </w:rPr>
        <w:footnoteReference w:id="91"/>
      </w:r>
      <w:r w:rsidRPr="00225BAD">
        <w:rPr>
          <w:rFonts w:ascii="Times New Roman" w:hAnsi="Times New Roman"/>
        </w:rPr>
        <w:t xml:space="preserve">. </w:t>
      </w:r>
    </w:p>
    <w:p w14:paraId="3EFCC382"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On 15 March 2020, the Minister for Emergency Services made, and afterwards periodically renewed, a declaration that a state of emergency existed in the whole of Western Australia in respect of "the pandemic caused by COVID-19". For the express purpose of "limit[ing] the spread of COVID-19"</w:t>
      </w:r>
      <w:r w:rsidRPr="00225BAD">
        <w:rPr>
          <w:rStyle w:val="FootnoteReference"/>
          <w:rFonts w:ascii="Times New Roman" w:hAnsi="Times New Roman"/>
          <w:sz w:val="24"/>
        </w:rPr>
        <w:footnoteReference w:id="92"/>
      </w:r>
      <w:r w:rsidRPr="00225BAD">
        <w:rPr>
          <w:rFonts w:ascii="Times New Roman" w:hAnsi="Times New Roman"/>
        </w:rPr>
        <w:t>, the State Emergency Coordinator soon afterwards made, and then periodically revised, the Directions. The impugned directions were expressed to prohibit entry of persons into Western Australia</w:t>
      </w:r>
      <w:r w:rsidRPr="00225BAD">
        <w:rPr>
          <w:rStyle w:val="FootnoteReference"/>
          <w:rFonts w:ascii="Times New Roman" w:hAnsi="Times New Roman"/>
          <w:sz w:val="24"/>
        </w:rPr>
        <w:footnoteReference w:id="93"/>
      </w:r>
      <w:r w:rsidRPr="00225BAD">
        <w:rPr>
          <w:rFonts w:ascii="Times New Roman" w:hAnsi="Times New Roman"/>
        </w:rPr>
        <w:t>.</w:t>
      </w:r>
    </w:p>
    <w:p w14:paraId="01E532D0"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On 6 November 2020, I joined in answering questions reserved in the proceeding for the consideration of the Full Court. The answer to the sole substantive question in which I then joined was to the effect that the provisions of the Act which authorised the making of directions of the kind impugned comply with both limbs of s 92 in all their potential applications. The consequence was that the validity of the impugned directions raised no constitutional question. The plaintiffs had disavowed any argument that the impugned directions were not authorised by the Act. The challenge to the impugned directions therefore failed.</w:t>
      </w:r>
    </w:p>
    <w:p w14:paraId="50DB0E35"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Now giving reasons for the decision I then reached, I proceed immediately to explain my reasoning on the substantive issues. The structure of my reasoning is as follows.</w:t>
      </w:r>
    </w:p>
    <w:p w14:paraId="7EBCED61"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At the outset, I deal with the resolution of that part of the riddle of s 92 left unresolved by </w:t>
      </w:r>
      <w:r w:rsidRPr="00225BAD">
        <w:rPr>
          <w:rFonts w:ascii="Times New Roman" w:hAnsi="Times New Roman"/>
          <w:i/>
        </w:rPr>
        <w:t>Cole v Whitfield</w:t>
      </w:r>
      <w:r w:rsidRPr="00225BAD">
        <w:rPr>
          <w:rFonts w:ascii="Times New Roman" w:hAnsi="Times New Roman"/>
        </w:rPr>
        <w:t xml:space="preserve">. I address what it means for intercourse among the States to be absolutely free: it means interstate intercourse must be absolutely free from discriminatory burdens of </w:t>
      </w:r>
      <w:r w:rsidRPr="00225BAD">
        <w:rPr>
          <w:rFonts w:ascii="Times New Roman" w:hAnsi="Times New Roman"/>
          <w:i/>
        </w:rPr>
        <w:t>any</w:t>
      </w:r>
      <w:r w:rsidRPr="00225BAD">
        <w:rPr>
          <w:rFonts w:ascii="Times New Roman" w:hAnsi="Times New Roman"/>
        </w:rPr>
        <w:t xml:space="preserve"> kind. The guarantee of the intercourse limb is of absolute freedom from laws imposing differential burdens on interstate intercourse (in comparison to intrastate intercourse) which cannot be justified as a constitutionally permissible means of pursuing constitutionally permissible non-discriminatory legislative ends. I explain as well that the guarantees of absolute freedom of trade and commerce and absolute freedom of intercourse each apply to intercourse that occurs in trade or commerce. </w:t>
      </w:r>
    </w:p>
    <w:p w14:paraId="30EBA92F"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Next, I explain why compliance with the guarantees of absolute freedom of trade and commerce and absolute freedom of intercourse was appropriately determined by considering whether the provisions of the Act which authorise the making of directions of the kind impugned met the standard of reasonable necessity required to comply with both limbs of s 92 in all their potential applications, rather than by considering whether the impugned directions directly complied with that standard.</w:t>
      </w:r>
    </w:p>
    <w:p w14:paraId="5BC64F28"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Next, I turn to "structured proportionality". In short, I reject it. My view is that the standard to be met for a differential burden on interstate trade or commerce or on interstate intercourse to be justified as a constitutionally permissible means of pursuing a constitutionally permissible non-discriminatory legislative end should remain the standard of reasonable necessity authoritatively determined in </w:t>
      </w:r>
      <w:r w:rsidRPr="00225BAD">
        <w:rPr>
          <w:rFonts w:ascii="Times New Roman" w:hAnsi="Times New Roman"/>
          <w:i/>
        </w:rPr>
        <w:t>Betfair [No 1]</w:t>
      </w:r>
      <w:r w:rsidRPr="00225BAD">
        <w:rPr>
          <w:rFonts w:ascii="Times New Roman" w:hAnsi="Times New Roman"/>
        </w:rPr>
        <w:t xml:space="preserve">.  </w:t>
      </w:r>
    </w:p>
    <w:p w14:paraId="61D79EA0"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Finally, having established the parameters of what I consider to be the appropriate analysis, I explain quite briefly how the relevant provisions of the Act meet the requisite standard of constitutional justification.</w:t>
      </w:r>
    </w:p>
    <w:p w14:paraId="27ED4BF3" w14:textId="77777777" w:rsidR="002D2334" w:rsidRPr="00225BAD" w:rsidRDefault="002D2334" w:rsidP="00225BAD">
      <w:pPr>
        <w:pStyle w:val="HeadingL1"/>
        <w:spacing w:after="260" w:line="280" w:lineRule="exact"/>
        <w:ind w:right="0"/>
        <w:jc w:val="both"/>
        <w:rPr>
          <w:rFonts w:ascii="Times New Roman" w:hAnsi="Times New Roman"/>
        </w:rPr>
      </w:pPr>
      <w:r w:rsidRPr="00225BAD">
        <w:rPr>
          <w:rFonts w:ascii="Times New Roman" w:hAnsi="Times New Roman"/>
        </w:rPr>
        <w:t>Interstate intercourse: absolutely free from what?</w:t>
      </w:r>
    </w:p>
    <w:p w14:paraId="55876B5D"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The resolution of that part of the riddle of s 92 left unresolved by </w:t>
      </w:r>
      <w:r w:rsidRPr="00225BAD">
        <w:rPr>
          <w:rFonts w:ascii="Times New Roman" w:hAnsi="Times New Roman"/>
          <w:i/>
        </w:rPr>
        <w:t>Cole v Whitfield</w:t>
      </w:r>
      <w:r w:rsidRPr="00225BAD">
        <w:rPr>
          <w:rFonts w:ascii="Times New Roman" w:hAnsi="Times New Roman"/>
        </w:rPr>
        <w:t xml:space="preserve"> was provided by Jeremy Kirk SC in an essay published on the eve of the onset of the pandemic</w:t>
      </w:r>
      <w:r w:rsidRPr="00225BAD">
        <w:rPr>
          <w:rStyle w:val="FootnoteReference"/>
          <w:rFonts w:ascii="Times New Roman" w:hAnsi="Times New Roman"/>
          <w:sz w:val="24"/>
        </w:rPr>
        <w:footnoteReference w:id="94"/>
      </w:r>
      <w:r w:rsidRPr="00225BAD">
        <w:rPr>
          <w:rFonts w:ascii="Times New Roman" w:hAnsi="Times New Roman"/>
        </w:rPr>
        <w:t xml:space="preserve">. The argument presented in the essay was an elaboration of an argument put by the Attorney-General of the Commonwealth intervening in </w:t>
      </w:r>
      <w:r w:rsidRPr="00225BAD">
        <w:rPr>
          <w:rFonts w:ascii="Times New Roman" w:hAnsi="Times New Roman"/>
          <w:i/>
        </w:rPr>
        <w:t>Cole v Whitfield</w:t>
      </w:r>
      <w:r w:rsidRPr="00225BAD">
        <w:rPr>
          <w:rStyle w:val="FootnoteReference"/>
          <w:rFonts w:ascii="Times New Roman" w:hAnsi="Times New Roman"/>
          <w:sz w:val="24"/>
        </w:rPr>
        <w:footnoteReference w:id="95"/>
      </w:r>
      <w:r w:rsidRPr="00225BAD">
        <w:rPr>
          <w:rFonts w:ascii="Times New Roman" w:hAnsi="Times New Roman"/>
        </w:rPr>
        <w:t>. The argument was adopted by the Attorney-General of Queensland intervening in the present proceeding, and was ultimately accepted by the plaintiffs in reply. I am persuaded that the argument is sound.</w:t>
      </w:r>
    </w:p>
    <w:p w14:paraId="472EB091"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The argument, which I accept, is to the effect that intercourse among the States is guaranteed by s 92 to be absolutely free from all discriminatory burdens. The guarantee of the intercourse limb is of absolute freedom from laws imposing differential burdens on interstate intercourse (in comparison to intrastate intercourse) which cannot be justified as a constitutionally permissible means of pursuing non-discriminatory legislative ends. The standard to be met for a differential burden on interstate intercourse to be justified as a constitutionally permissible means of pursuing a non-discriminatory legislative end, no differently from the standard to be met for a differential burden on interstate trade or commerce to be justified as a constitutionally permissible means of pursuing a non-discriminatory legislative end, is the standard of reasonable necessity. </w:t>
      </w:r>
    </w:p>
    <w:p w14:paraId="65388616"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Understood in that way, the guarantee of absolute freedom of interstate intercourse mirrors the guarantee of absolute freedom of interstate trade and commerce to the extent that: each invokes the same essential notion of discrimination as lying in "the unequal treatment of equals, and, conversely, in the equal treatment of unequals"</w:t>
      </w:r>
      <w:r w:rsidRPr="00225BAD">
        <w:rPr>
          <w:rStyle w:val="FootnoteReference"/>
          <w:rFonts w:ascii="Times New Roman" w:hAnsi="Times New Roman"/>
          <w:sz w:val="24"/>
        </w:rPr>
        <w:footnoteReference w:id="96"/>
      </w:r>
      <w:r w:rsidRPr="00225BAD">
        <w:rPr>
          <w:rFonts w:ascii="Times New Roman" w:hAnsi="Times New Roman"/>
        </w:rPr>
        <w:t>; each posits the same essential comparison between that which is interstate and that which is intrastate; each demands "an acceptable explanation or justification for [any] differential treatment"</w:t>
      </w:r>
      <w:r w:rsidRPr="00225BAD">
        <w:rPr>
          <w:rStyle w:val="FootnoteReference"/>
          <w:rFonts w:ascii="Times New Roman" w:hAnsi="Times New Roman"/>
          <w:sz w:val="24"/>
        </w:rPr>
        <w:footnoteReference w:id="97"/>
      </w:r>
      <w:r w:rsidRPr="00225BAD">
        <w:rPr>
          <w:rFonts w:ascii="Times New Roman" w:hAnsi="Times New Roman"/>
        </w:rPr>
        <w:t>; and each imposes, as the measure of justification for differential treatment, satisfaction of the same standard of reasonable necessity.</w:t>
      </w:r>
    </w:p>
    <w:p w14:paraId="447CEAE9"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The guarantee of absolute freedom of interstate intercourse differs from the guarantee of absolute freedom of interstate trade and commerce only to the extent that absolute freedom of interstate intercourse extends to freedom from discriminatory burdens of any kind. That is to say, the guarantee of absolute freedom of interstate intercourse is infringed by any differential burden on interstate intercourse that cannot be justified. An unjustified differential burden on interstate intercourse need not operate to the competitive advantage of intrastate trade or commerce.</w:t>
      </w:r>
    </w:p>
    <w:p w14:paraId="074CBC39"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That understanding of the intercourse limb fits comfortably with the imputed constitutional purpose of s 92 indicated by the pre</w:t>
      </w:r>
      <w:r w:rsidRPr="00225BAD">
        <w:rPr>
          <w:rFonts w:ascii="Times New Roman" w:hAnsi="Times New Roman"/>
        </w:rPr>
        <w:noBreakHyphen/>
        <w:t xml:space="preserve">federation history expounded in </w:t>
      </w:r>
      <w:r w:rsidRPr="00225BAD">
        <w:rPr>
          <w:rFonts w:ascii="Times New Roman" w:hAnsi="Times New Roman"/>
          <w:i/>
        </w:rPr>
        <w:t>Cole v Whitfield</w:t>
      </w:r>
      <w:r w:rsidRPr="00225BAD">
        <w:rPr>
          <w:rStyle w:val="FootnoteReference"/>
          <w:rFonts w:ascii="Times New Roman" w:hAnsi="Times New Roman"/>
          <w:sz w:val="24"/>
        </w:rPr>
        <w:footnoteReference w:id="98"/>
      </w:r>
      <w:r w:rsidRPr="00225BAD">
        <w:rPr>
          <w:rFonts w:ascii="Times New Roman" w:hAnsi="Times New Roman"/>
        </w:rPr>
        <w:t xml:space="preserve"> and elaborated in </w:t>
      </w:r>
      <w:r w:rsidRPr="00225BAD">
        <w:rPr>
          <w:rFonts w:ascii="Times New Roman" w:hAnsi="Times New Roman"/>
          <w:i/>
        </w:rPr>
        <w:t>Betfair [No 1]</w:t>
      </w:r>
      <w:r w:rsidRPr="00225BAD">
        <w:rPr>
          <w:rStyle w:val="FootnoteReference"/>
          <w:rFonts w:ascii="Times New Roman" w:hAnsi="Times New Roman"/>
          <w:sz w:val="24"/>
        </w:rPr>
        <w:footnoteReference w:id="99"/>
      </w:r>
      <w:r w:rsidRPr="00225BAD">
        <w:rPr>
          <w:rFonts w:ascii="Times New Roman" w:hAnsi="Times New Roman"/>
          <w:i/>
        </w:rPr>
        <w:t xml:space="preserve">. </w:t>
      </w:r>
      <w:r w:rsidRPr="00225BAD">
        <w:rPr>
          <w:rFonts w:ascii="Times New Roman" w:hAnsi="Times New Roman"/>
        </w:rPr>
        <w:t>The purpose was "to create a free trade area throughout the Commonwealth and to deny to Commonwealth and States alike a power to prevent or obstruct the free movement of people, goods and communications across State boundaries"</w:t>
      </w:r>
      <w:r w:rsidRPr="00225BAD">
        <w:rPr>
          <w:rStyle w:val="FootnoteReference"/>
          <w:rFonts w:ascii="Times New Roman" w:hAnsi="Times New Roman"/>
          <w:sz w:val="24"/>
        </w:rPr>
        <w:footnoteReference w:id="100"/>
      </w:r>
      <w:r w:rsidRPr="00225BAD">
        <w:rPr>
          <w:rFonts w:ascii="Times New Roman" w:hAnsi="Times New Roman"/>
        </w:rPr>
        <w:t xml:space="preserve">.    </w:t>
      </w:r>
    </w:p>
    <w:p w14:paraId="25DD8670"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The constitutional purpose derives from a structural imperative. </w:t>
      </w:r>
      <w:r w:rsidRPr="00225BAD">
        <w:rPr>
          <w:rFonts w:ascii="Times New Roman" w:hAnsi="Times New Roman"/>
          <w:i/>
        </w:rPr>
        <w:t xml:space="preserve">Betfair [No 1] </w:t>
      </w:r>
      <w:r w:rsidRPr="00225BAD">
        <w:rPr>
          <w:rFonts w:ascii="Times New Roman" w:hAnsi="Times New Roman"/>
        </w:rPr>
        <w:t>drew attention to the "apparent, albeit at times inconvenient, truth" that democratically elected legislatures in a political subdivision of a federal system have a structural incentive to "protect and promote the interests of their own constituents"</w:t>
      </w:r>
      <w:r w:rsidRPr="00225BAD">
        <w:rPr>
          <w:rStyle w:val="FootnoteReference"/>
          <w:rFonts w:ascii="Times New Roman" w:hAnsi="Times New Roman"/>
          <w:sz w:val="24"/>
        </w:rPr>
        <w:footnoteReference w:id="101"/>
      </w:r>
      <w:r w:rsidRPr="00225BAD">
        <w:rPr>
          <w:rFonts w:ascii="Times New Roman" w:hAnsi="Times New Roman"/>
        </w:rPr>
        <w:t>. The Constitution</w:t>
      </w:r>
      <w:r w:rsidRPr="00225BAD">
        <w:rPr>
          <w:rFonts w:ascii="Times New Roman" w:hAnsi="Times New Roman"/>
          <w:i/>
        </w:rPr>
        <w:t xml:space="preserve"> </w:t>
      </w:r>
      <w:r w:rsidRPr="00225BAD">
        <w:rPr>
          <w:rFonts w:ascii="Times New Roman" w:hAnsi="Times New Roman"/>
        </w:rPr>
        <w:t>of the Commonwealth of Australia, like that of the United States, "was framed under the dominion of a political philosophy less parochial in range"</w:t>
      </w:r>
      <w:r w:rsidRPr="00225BAD">
        <w:rPr>
          <w:rStyle w:val="FootnoteReference"/>
          <w:rFonts w:ascii="Times New Roman" w:hAnsi="Times New Roman"/>
          <w:sz w:val="24"/>
        </w:rPr>
        <w:footnoteReference w:id="102"/>
      </w:r>
      <w:r w:rsidRPr="00225BAD">
        <w:rPr>
          <w:rFonts w:ascii="Times New Roman" w:hAnsi="Times New Roman"/>
        </w:rPr>
        <w:t>.</w:t>
      </w:r>
    </w:p>
    <w:p w14:paraId="3E7B4536"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By 1891, when the First National Australasian Convention, on the motion of Sir Henry Parkes, resolved principles "to establish and secure an enduring foundation for the structure of a federal government"</w:t>
      </w:r>
      <w:r w:rsidRPr="00225BAD">
        <w:rPr>
          <w:rStyle w:val="FootnoteReference"/>
          <w:rFonts w:ascii="Times New Roman" w:hAnsi="Times New Roman"/>
          <w:sz w:val="24"/>
        </w:rPr>
        <w:footnoteReference w:id="103"/>
      </w:r>
      <w:r w:rsidRPr="00225BAD">
        <w:rPr>
          <w:rFonts w:ascii="Times New Roman" w:hAnsi="Times New Roman"/>
        </w:rPr>
        <w:t>, the inconvenient truth of democratically elected legislatures in political subdivisions of a federal system having a structural incentive to protect and promote the interests of their own constituents had been demonstrated through long experience in the United States. There, forces of localism had repeatedly been experienced to result in State laws protecting in-State traders and producers against out-of-State traders and producers. The Supreme Court had repeatedly held State laws of that protectionist character to be within the purview of the freedom of trade guaranteed by the "dormant" operation of the "commerce clause"</w:t>
      </w:r>
      <w:r w:rsidRPr="00225BAD">
        <w:rPr>
          <w:rStyle w:val="FootnoteReference"/>
          <w:rFonts w:ascii="Times New Roman" w:hAnsi="Times New Roman"/>
          <w:sz w:val="24"/>
        </w:rPr>
        <w:footnoteReference w:id="104"/>
      </w:r>
      <w:r w:rsidRPr="00225BAD">
        <w:rPr>
          <w:rFonts w:ascii="Times New Roman" w:hAnsi="Times New Roman"/>
        </w:rPr>
        <w:t>, relevantly expressed to confer power on the United States Congress "[t]o regulate Commerce with foreign Nations, and among the several States"</w:t>
      </w:r>
      <w:r w:rsidRPr="00225BAD">
        <w:rPr>
          <w:rStyle w:val="FootnoteReference"/>
          <w:rFonts w:ascii="Times New Roman" w:hAnsi="Times New Roman"/>
          <w:sz w:val="24"/>
        </w:rPr>
        <w:footnoteReference w:id="105"/>
      </w:r>
      <w:r w:rsidRPr="00225BAD">
        <w:rPr>
          <w:rFonts w:ascii="Times New Roman" w:hAnsi="Times New Roman"/>
        </w:rPr>
        <w:t>. But much the same forces of localism had also been experienced to result in State laws prohibiting entry into a State by non-State citizens within categories considered to be undesirable</w:t>
      </w:r>
      <w:r w:rsidRPr="00225BAD">
        <w:rPr>
          <w:rStyle w:val="FootnoteReference"/>
          <w:rFonts w:ascii="Times New Roman" w:hAnsi="Times New Roman"/>
          <w:sz w:val="24"/>
        </w:rPr>
        <w:footnoteReference w:id="106"/>
      </w:r>
      <w:r w:rsidRPr="00225BAD">
        <w:rPr>
          <w:rFonts w:ascii="Times New Roman" w:hAnsi="Times New Roman"/>
        </w:rPr>
        <w:t>, taxing entry into a State by non-State citizens</w:t>
      </w:r>
      <w:r w:rsidRPr="00225BAD">
        <w:rPr>
          <w:rStyle w:val="FootnoteReference"/>
          <w:rFonts w:ascii="Times New Roman" w:hAnsi="Times New Roman"/>
          <w:sz w:val="24"/>
        </w:rPr>
        <w:footnoteReference w:id="107"/>
      </w:r>
      <w:r w:rsidRPr="00225BAD">
        <w:rPr>
          <w:rFonts w:ascii="Times New Roman" w:hAnsi="Times New Roman"/>
        </w:rPr>
        <w:t>, taxing citizens seeking to leave a State and taxing non-State citizens seeking simply to pass through a State</w:t>
      </w:r>
      <w:r w:rsidRPr="00225BAD">
        <w:rPr>
          <w:rStyle w:val="FootnoteReference"/>
          <w:rFonts w:ascii="Times New Roman" w:hAnsi="Times New Roman"/>
          <w:sz w:val="24"/>
        </w:rPr>
        <w:footnoteReference w:id="108"/>
      </w:r>
      <w:r w:rsidRPr="00225BAD">
        <w:rPr>
          <w:rFonts w:ascii="Times New Roman" w:hAnsi="Times New Roman"/>
        </w:rPr>
        <w:t>. Countering those forces in a non-commercial context, the Supreme Court had declared in 1867 that, independently of the dormant operation of the commerce clause, all citizens of the United States, "as members of the same community, must have the right to pass and repass through every part of it without interruption, as freely as in [their] own States"</w:t>
      </w:r>
      <w:r w:rsidRPr="00225BAD">
        <w:rPr>
          <w:rStyle w:val="FootnoteReference"/>
          <w:rFonts w:ascii="Times New Roman" w:hAnsi="Times New Roman"/>
          <w:sz w:val="24"/>
        </w:rPr>
        <w:footnoteReference w:id="109"/>
      </w:r>
      <w:r w:rsidRPr="00225BAD">
        <w:rPr>
          <w:rFonts w:ascii="Times New Roman" w:hAnsi="Times New Roman"/>
        </w:rPr>
        <w:t>.</w:t>
      </w:r>
    </w:p>
    <w:p w14:paraId="1A1B103F"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Of the principles proposed by Sir Henry Parkes, and that were later adopted by the First National Australasian Convention, the first was "[t]hat the powers and privileges and territorial rights of the several existing colonies shall remain intact, except in respect to such surrenders as may be agreed upon as necessary and incidental to the power and authority of the National Federal Government". The second, which necessarily qualified the first and which came to be embodied in s 92, was "[t]hat the trade and intercourse between the federated colonies ... shall be absolutely free"</w:t>
      </w:r>
      <w:r w:rsidRPr="00225BAD">
        <w:rPr>
          <w:rStyle w:val="FootnoteReference"/>
          <w:rFonts w:ascii="Times New Roman" w:hAnsi="Times New Roman"/>
          <w:sz w:val="24"/>
        </w:rPr>
        <w:footnoteReference w:id="110"/>
      </w:r>
      <w:r w:rsidRPr="00225BAD">
        <w:rPr>
          <w:rFonts w:ascii="Times New Roman" w:hAnsi="Times New Roman"/>
        </w:rPr>
        <w:t xml:space="preserve">.   </w:t>
      </w:r>
    </w:p>
    <w:p w14:paraId="1B4AFC62"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Speaking to the second of those principles, and of its centrality to the Australian federal project, Sir Henry Parkes said</w:t>
      </w:r>
      <w:r w:rsidRPr="00225BAD">
        <w:rPr>
          <w:rStyle w:val="FootnoteReference"/>
          <w:rFonts w:ascii="Times New Roman" w:hAnsi="Times New Roman"/>
          <w:sz w:val="24"/>
        </w:rPr>
        <w:footnoteReference w:id="111"/>
      </w:r>
      <w:r w:rsidRPr="00225BAD">
        <w:rPr>
          <w:rFonts w:ascii="Times New Roman" w:hAnsi="Times New Roman"/>
        </w:rPr>
        <w:t>:</w:t>
      </w:r>
    </w:p>
    <w:p w14:paraId="26C0F79F" w14:textId="77777777" w:rsidR="002D2334" w:rsidRDefault="002D2334" w:rsidP="00225BAD">
      <w:pPr>
        <w:pStyle w:val="leftright"/>
        <w:spacing w:before="0" w:after="260" w:line="280" w:lineRule="exact"/>
        <w:ind w:right="0"/>
        <w:jc w:val="both"/>
        <w:rPr>
          <w:rFonts w:ascii="Times New Roman" w:hAnsi="Times New Roman"/>
        </w:rPr>
      </w:pPr>
      <w:r w:rsidRPr="00225BAD">
        <w:rPr>
          <w:rFonts w:ascii="Times New Roman" w:hAnsi="Times New Roman"/>
        </w:rPr>
        <w:t xml:space="preserve">"By my next condition I seek to define what seems to me an absolutely necessary condition of anything like perfect federation, that is, that Australia, as Australia, shall be free </w:t>
      </w:r>
      <w:r w:rsidRPr="00225BAD">
        <w:rPr>
          <w:rFonts w:ascii="Times New Roman" w:hAnsi="Times New Roman"/>
        </w:rPr>
        <w:sym w:font="Symbol" w:char="F02D"/>
      </w:r>
      <w:r w:rsidRPr="00225BAD">
        <w:rPr>
          <w:rFonts w:ascii="Times New Roman" w:hAnsi="Times New Roman"/>
        </w:rPr>
        <w:t xml:space="preserve"> free on the borders, free everywhere </w:t>
      </w:r>
      <w:r w:rsidRPr="00225BAD">
        <w:rPr>
          <w:rFonts w:ascii="Times New Roman" w:hAnsi="Times New Roman"/>
        </w:rPr>
        <w:sym w:font="Symbol" w:char="F02D"/>
      </w:r>
      <w:r w:rsidRPr="00225BAD">
        <w:rPr>
          <w:rFonts w:ascii="Times New Roman" w:hAnsi="Times New Roman"/>
        </w:rPr>
        <w:t xml:space="preserve"> in its trade and intercourse between its own people; that there shall be no impediment of any kind </w:t>
      </w:r>
      <w:r w:rsidRPr="00225BAD">
        <w:rPr>
          <w:rFonts w:ascii="Times New Roman" w:hAnsi="Times New Roman"/>
        </w:rPr>
        <w:sym w:font="Symbol" w:char="F02D"/>
      </w:r>
      <w:r w:rsidRPr="00225BAD">
        <w:rPr>
          <w:rFonts w:ascii="Times New Roman" w:hAnsi="Times New Roman"/>
        </w:rPr>
        <w:t xml:space="preserve"> that there shall be no barrier of any kind between one section of the Australian people and another; but, that the trade and the general communication of these people shall flow on from one end of the continent to the other, with no one to stay its progress or to call it to account; in other words, if this is carried, it must necessarily take with it the shifting of the power of legislation on all fiscal questions from the local or provincial parliaments to the great national Parliament sought to be created. To my mind, it would be futile to talk of union if we keep up these causes of disunion. It is, indeed, quite apparent that time, and thought, and philosophy, and the knowledge of what other nations have done, have settled this question in that great country to which we must constantly look, the United States of America."</w:t>
      </w:r>
    </w:p>
    <w:p w14:paraId="53E85532" w14:textId="77777777" w:rsidR="002D2334" w:rsidRPr="00225BAD" w:rsidRDefault="002D2334" w:rsidP="00225BAD">
      <w:pPr>
        <w:pStyle w:val="NormalBody"/>
        <w:spacing w:after="260" w:line="280" w:lineRule="exact"/>
        <w:ind w:right="0"/>
        <w:jc w:val="both"/>
        <w:rPr>
          <w:rFonts w:ascii="Times New Roman" w:hAnsi="Times New Roman"/>
        </w:rPr>
      </w:pPr>
      <w:r w:rsidRPr="00225BAD">
        <w:rPr>
          <w:rFonts w:ascii="Times New Roman" w:hAnsi="Times New Roman"/>
        </w:rPr>
        <w:t>As noted by Professor La Nauze</w:t>
      </w:r>
      <w:r w:rsidRPr="00225BAD">
        <w:rPr>
          <w:rStyle w:val="FootnoteReference"/>
          <w:rFonts w:ascii="Times New Roman" w:hAnsi="Times New Roman"/>
          <w:sz w:val="24"/>
        </w:rPr>
        <w:footnoteReference w:id="112"/>
      </w:r>
      <w:r w:rsidRPr="00225BAD">
        <w:rPr>
          <w:rFonts w:ascii="Times New Roman" w:hAnsi="Times New Roman"/>
        </w:rPr>
        <w:t>, the second principle was agreed to without discussion and "'absolutely free' was, to coin a phrase, absolutely free of legal criticism in open Convention".</w:t>
      </w:r>
    </w:p>
    <w:p w14:paraId="13192F1E"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Understanding the intercourse limb of s 92 as a guarantee of absolute freedom from discriminatory burdens also fits well with </w:t>
      </w:r>
      <w:r w:rsidRPr="00225BAD">
        <w:rPr>
          <w:rFonts w:ascii="Times New Roman" w:hAnsi="Times New Roman"/>
          <w:i/>
        </w:rPr>
        <w:t>Cole v Whitfield</w:t>
      </w:r>
      <w:r w:rsidRPr="00225BAD">
        <w:rPr>
          <w:rFonts w:ascii="Times New Roman" w:hAnsi="Times New Roman"/>
        </w:rPr>
        <w:t>'s reference</w:t>
      </w:r>
      <w:r w:rsidRPr="00225BAD">
        <w:rPr>
          <w:rFonts w:ascii="Times New Roman" w:hAnsi="Times New Roman"/>
          <w:i/>
        </w:rPr>
        <w:t xml:space="preserve"> </w:t>
      </w:r>
      <w:r w:rsidRPr="00225BAD">
        <w:rPr>
          <w:rFonts w:ascii="Times New Roman" w:hAnsi="Times New Roman"/>
        </w:rPr>
        <w:t>to the intercourse limb extending to "a guarantee of personal freedom"</w:t>
      </w:r>
      <w:r w:rsidRPr="00225BAD">
        <w:rPr>
          <w:rStyle w:val="FootnoteReference"/>
          <w:rFonts w:ascii="Times New Roman" w:hAnsi="Times New Roman"/>
          <w:sz w:val="24"/>
        </w:rPr>
        <w:footnoteReference w:id="113"/>
      </w:r>
      <w:r w:rsidRPr="00225BAD">
        <w:rPr>
          <w:rFonts w:ascii="Times New Roman" w:hAnsi="Times New Roman"/>
        </w:rPr>
        <w:t xml:space="preserve">, the content of which was indicated by </w:t>
      </w:r>
      <w:r w:rsidRPr="00225BAD">
        <w:rPr>
          <w:rFonts w:ascii="Times New Roman" w:hAnsi="Times New Roman"/>
          <w:i/>
        </w:rPr>
        <w:t>Gratwick v Johnson</w:t>
      </w:r>
      <w:r w:rsidRPr="00225BAD">
        <w:rPr>
          <w:rFonts w:ascii="Times New Roman" w:hAnsi="Times New Roman"/>
        </w:rPr>
        <w:t>, where the operation of s 92 was described as protecting against legislation "pointed directly at the passing of people to and fro among the States"</w:t>
      </w:r>
      <w:r w:rsidRPr="00225BAD">
        <w:rPr>
          <w:rStyle w:val="FootnoteReference"/>
          <w:rFonts w:ascii="Times New Roman" w:hAnsi="Times New Roman"/>
          <w:sz w:val="24"/>
        </w:rPr>
        <w:footnoteReference w:id="114"/>
      </w:r>
      <w:r w:rsidRPr="00225BAD">
        <w:rPr>
          <w:rFonts w:ascii="Times New Roman" w:hAnsi="Times New Roman"/>
        </w:rPr>
        <w:t xml:space="preserve">. That reference to personal freedom was plainly to freedom of movement of persons and cannot be taken to suggest the conferral of an individual right. The language used in </w:t>
      </w:r>
      <w:r w:rsidRPr="00225BAD">
        <w:rPr>
          <w:rFonts w:ascii="Times New Roman" w:hAnsi="Times New Roman"/>
          <w:i/>
        </w:rPr>
        <w:t>Gratwick</w:t>
      </w:r>
      <w:r w:rsidRPr="00225BAD">
        <w:rPr>
          <w:rFonts w:ascii="Times New Roman" w:hAnsi="Times New Roman"/>
        </w:rPr>
        <w:t xml:space="preserve"> to describe the freedom was drawn from </w:t>
      </w:r>
      <w:r w:rsidRPr="00225BAD">
        <w:rPr>
          <w:rFonts w:ascii="Times New Roman" w:hAnsi="Times New Roman"/>
          <w:i/>
        </w:rPr>
        <w:t>James v The Commonwealth</w:t>
      </w:r>
      <w:r w:rsidRPr="00225BAD">
        <w:rPr>
          <w:rStyle w:val="FootnoteReference"/>
          <w:rFonts w:ascii="Times New Roman" w:hAnsi="Times New Roman"/>
          <w:sz w:val="24"/>
        </w:rPr>
        <w:footnoteReference w:id="115"/>
      </w:r>
      <w:r w:rsidRPr="00225BAD">
        <w:rPr>
          <w:rFonts w:ascii="Times New Roman" w:hAnsi="Times New Roman"/>
        </w:rPr>
        <w:t xml:space="preserve"> which, as</w:t>
      </w:r>
      <w:r w:rsidRPr="00225BAD">
        <w:rPr>
          <w:rFonts w:ascii="Times New Roman" w:hAnsi="Times New Roman"/>
          <w:i/>
        </w:rPr>
        <w:t xml:space="preserve"> Cole v Whitfield </w:t>
      </w:r>
      <w:r w:rsidRPr="00225BAD">
        <w:rPr>
          <w:rFonts w:ascii="Times New Roman" w:hAnsi="Times New Roman"/>
        </w:rPr>
        <w:t>went on to observe, employed a "notion of freedom as at the frontier" on one view little different from "the notion of freedom from burdens of a discriminatory kind"</w:t>
      </w:r>
      <w:r w:rsidRPr="00225BAD">
        <w:rPr>
          <w:rStyle w:val="FootnoteReference"/>
          <w:rFonts w:ascii="Times New Roman" w:hAnsi="Times New Roman"/>
          <w:sz w:val="24"/>
        </w:rPr>
        <w:footnoteReference w:id="116"/>
      </w:r>
      <w:r w:rsidRPr="00225BAD">
        <w:rPr>
          <w:rFonts w:ascii="Times New Roman" w:hAnsi="Times New Roman"/>
        </w:rPr>
        <w:t>.</w:t>
      </w:r>
    </w:p>
    <w:p w14:paraId="48313E1B"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r>
      <w:r w:rsidRPr="00225BAD">
        <w:rPr>
          <w:rFonts w:ascii="Times New Roman" w:hAnsi="Times New Roman"/>
          <w:i/>
        </w:rPr>
        <w:t xml:space="preserve">Gratwick </w:t>
      </w:r>
      <w:r w:rsidRPr="00225BAD">
        <w:rPr>
          <w:rFonts w:ascii="Times New Roman" w:hAnsi="Times New Roman"/>
        </w:rPr>
        <w:t>usefully illustrates a differential burden on interstate intercourse which was not justified as a constitutionally permissible means of pursuing a constitutionally permissible non-discriminatory legislative end. Found wanting in that case was a statutory order purporting to prohibit interstate, but not intrastate, travel by rail or commercial passenger vehicle during a time of war. As put by Dixon J, the prohibition imposed by the statutory order was "simply based on the 'inter-Stateness' of the journeys it assume[d] to control"</w:t>
      </w:r>
      <w:r w:rsidRPr="00225BAD">
        <w:rPr>
          <w:rStyle w:val="FootnoteReference"/>
          <w:rFonts w:ascii="Times New Roman" w:hAnsi="Times New Roman"/>
          <w:sz w:val="24"/>
        </w:rPr>
        <w:footnoteReference w:id="117"/>
      </w:r>
      <w:r w:rsidRPr="00225BAD">
        <w:rPr>
          <w:rFonts w:ascii="Times New Roman" w:hAnsi="Times New Roman"/>
        </w:rPr>
        <w:t xml:space="preserve">. Although the statutory order was purportedly made pursuant to a statutory regime confining orders restricting movement to those in the interests of defence of the Commonwealth and effectual prosecution of the war, his Honour observed that it was "going a long way to suggest that the imperative demands of national safety necessitate a general prohibition operating in every part of the continent of travelling without a permit by public conveyance, but only if it is a journey with its terminus </w:t>
      </w:r>
      <w:r w:rsidRPr="00225BAD">
        <w:rPr>
          <w:rStyle w:val="Emphasis"/>
          <w:rFonts w:ascii="Times New Roman" w:hAnsi="Times New Roman"/>
        </w:rPr>
        <w:t>a quo</w:t>
      </w:r>
      <w:r w:rsidRPr="00225BAD">
        <w:rPr>
          <w:rFonts w:ascii="Times New Roman" w:hAnsi="Times New Roman"/>
        </w:rPr>
        <w:t xml:space="preserve"> in one State and its terminus </w:t>
      </w:r>
      <w:r w:rsidRPr="00225BAD">
        <w:rPr>
          <w:rStyle w:val="Emphasis"/>
          <w:rFonts w:ascii="Times New Roman" w:hAnsi="Times New Roman"/>
        </w:rPr>
        <w:t>ad quem</w:t>
      </w:r>
      <w:r w:rsidRPr="00225BAD">
        <w:rPr>
          <w:rFonts w:ascii="Times New Roman" w:hAnsi="Times New Roman"/>
        </w:rPr>
        <w:t xml:space="preserve"> in another State"</w:t>
      </w:r>
      <w:r w:rsidRPr="00225BAD">
        <w:rPr>
          <w:rStyle w:val="FootnoteReference"/>
          <w:rFonts w:ascii="Times New Roman" w:hAnsi="Times New Roman"/>
          <w:sz w:val="24"/>
        </w:rPr>
        <w:footnoteReference w:id="118"/>
      </w:r>
      <w:r w:rsidRPr="00225BAD">
        <w:rPr>
          <w:rFonts w:ascii="Times New Roman" w:hAnsi="Times New Roman"/>
        </w:rPr>
        <w:t>.</w:t>
      </w:r>
    </w:p>
    <w:p w14:paraId="24287218"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Three other pre-</w:t>
      </w:r>
      <w:r w:rsidRPr="00225BAD">
        <w:rPr>
          <w:rFonts w:ascii="Times New Roman" w:hAnsi="Times New Roman"/>
          <w:i/>
        </w:rPr>
        <w:t xml:space="preserve">Cole v Whitfield </w:t>
      </w:r>
      <w:r w:rsidRPr="00225BAD">
        <w:rPr>
          <w:rFonts w:ascii="Times New Roman" w:hAnsi="Times New Roman"/>
        </w:rPr>
        <w:t>cases can be seen in retrospect as turning on the application of the intercourse limb of s 92. Each of them also serves as an example of a differential burden on interstate intercourse which, to comply with the guarantee of absolute freedom of interstate intercourse, needed to be justified as reasonably necessary to the pursuit of a non</w:t>
      </w:r>
      <w:r w:rsidRPr="00225BAD">
        <w:rPr>
          <w:rFonts w:ascii="Times New Roman" w:hAnsi="Times New Roman"/>
        </w:rPr>
        <w:noBreakHyphen/>
        <w:t xml:space="preserve">discriminatory legislative end. </w:t>
      </w:r>
    </w:p>
    <w:p w14:paraId="3EADC5DB"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The earliest was </w:t>
      </w:r>
      <w:r w:rsidRPr="00225BAD">
        <w:rPr>
          <w:rFonts w:ascii="Times New Roman" w:hAnsi="Times New Roman"/>
          <w:i/>
        </w:rPr>
        <w:t>R v Smithers; Ex parte Benson</w:t>
      </w:r>
      <w:r w:rsidRPr="00225BAD">
        <w:rPr>
          <w:rStyle w:val="FootnoteReference"/>
          <w:rFonts w:ascii="Times New Roman" w:hAnsi="Times New Roman"/>
          <w:sz w:val="24"/>
        </w:rPr>
        <w:footnoteReference w:id="119"/>
      </w:r>
      <w:r w:rsidRPr="00225BAD">
        <w:rPr>
          <w:rFonts w:ascii="Times New Roman" w:hAnsi="Times New Roman"/>
        </w:rPr>
        <w:t>. There, a law prohibited the "coming into" New South Wales of persons convicted of serious offences in other States. The law thereby imposed a differential burden on persons entering the State in comparison to persons having equivalent antecedents already in the State. The burden can be seen in retrospect to have been incapable of justification by reference to a standard of reasonable necessity. The burden was in fact sought to be justified on the basis that its imposition was a permissible means of pursuing the amorphous end of "the self-protection of the State"</w:t>
      </w:r>
      <w:r w:rsidRPr="00225BAD">
        <w:rPr>
          <w:rStyle w:val="FootnoteReference"/>
          <w:rFonts w:ascii="Times New Roman" w:hAnsi="Times New Roman"/>
          <w:sz w:val="24"/>
        </w:rPr>
        <w:footnoteReference w:id="120"/>
      </w:r>
      <w:r w:rsidRPr="00225BAD">
        <w:rPr>
          <w:rFonts w:ascii="Times New Roman" w:hAnsi="Times New Roman"/>
        </w:rPr>
        <w:t>. The reasoning of Griffith CJ</w:t>
      </w:r>
      <w:r w:rsidRPr="00225BAD">
        <w:rPr>
          <w:rStyle w:val="FootnoteReference"/>
          <w:rFonts w:ascii="Times New Roman" w:hAnsi="Times New Roman"/>
          <w:sz w:val="24"/>
        </w:rPr>
        <w:footnoteReference w:id="121"/>
      </w:r>
      <w:r w:rsidRPr="00225BAD">
        <w:rPr>
          <w:rFonts w:ascii="Times New Roman" w:hAnsi="Times New Roman"/>
        </w:rPr>
        <w:t xml:space="preserve"> and of Barton J</w:t>
      </w:r>
      <w:r w:rsidRPr="00225BAD">
        <w:rPr>
          <w:rStyle w:val="FootnoteReference"/>
          <w:rFonts w:ascii="Times New Roman" w:hAnsi="Times New Roman"/>
          <w:sz w:val="24"/>
        </w:rPr>
        <w:footnoteReference w:id="122"/>
      </w:r>
      <w:r w:rsidRPr="00225BAD">
        <w:rPr>
          <w:rFonts w:ascii="Times New Roman" w:hAnsi="Times New Roman"/>
        </w:rPr>
        <w:t xml:space="preserve"> directly picked up the approach of the Supreme Court of the United States to the implication of freedom of movement between States. Although the expression of their reasoning was redolent of an attitude towards constitutional interpretation now long rejected, their preparedness to recognise an implication along those lines underscores Sir Henry Parkes' emphasis on the criticality of freedom of interstate intercourse to the Australian federal system. Had it not been expressed, freedom of interstate intercourse under the </w:t>
      </w:r>
      <w:r w:rsidRPr="00225BAD">
        <w:rPr>
          <w:rFonts w:ascii="Times New Roman" w:hAnsi="Times New Roman"/>
          <w:i/>
        </w:rPr>
        <w:t>Constitution</w:t>
      </w:r>
      <w:r w:rsidRPr="00225BAD">
        <w:rPr>
          <w:rFonts w:ascii="Times New Roman" w:hAnsi="Times New Roman"/>
        </w:rPr>
        <w:t xml:space="preserve"> would have had to have been implied. Higgins J, who like Isaacs J saw the case as turning solely on the application of s 92, said that the freedom of movement held by the Supreme Court of the United States to be implied in the Constitution of the United States "is expressed in sec 92 of our Constitution, so far as regards State boundaries"</w:t>
      </w:r>
      <w:r w:rsidRPr="00225BAD">
        <w:rPr>
          <w:rStyle w:val="FootnoteReference"/>
          <w:rFonts w:ascii="Times New Roman" w:hAnsi="Times New Roman"/>
          <w:sz w:val="24"/>
        </w:rPr>
        <w:footnoteReference w:id="123"/>
      </w:r>
      <w:r w:rsidRPr="00225BAD">
        <w:rPr>
          <w:rFonts w:ascii="Times New Roman" w:hAnsi="Times New Roman"/>
        </w:rPr>
        <w:t>.</w:t>
      </w:r>
    </w:p>
    <w:p w14:paraId="2B8C32CF"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The other two cases, </w:t>
      </w:r>
      <w:r w:rsidRPr="00225BAD">
        <w:rPr>
          <w:rFonts w:ascii="Times New Roman" w:hAnsi="Times New Roman"/>
          <w:i/>
        </w:rPr>
        <w:t>Ex parte Nelson</w:t>
      </w:r>
      <w:r w:rsidRPr="00225BAD">
        <w:rPr>
          <w:rFonts w:ascii="Times New Roman" w:hAnsi="Times New Roman"/>
        </w:rPr>
        <w:t xml:space="preserve"> </w:t>
      </w:r>
      <w:r w:rsidRPr="00225BAD">
        <w:rPr>
          <w:rFonts w:ascii="Times New Roman" w:hAnsi="Times New Roman"/>
          <w:i/>
        </w:rPr>
        <w:t>[No 1]</w:t>
      </w:r>
      <w:r w:rsidRPr="00225BAD">
        <w:rPr>
          <w:rStyle w:val="FootnoteReference"/>
          <w:rFonts w:ascii="Times New Roman" w:hAnsi="Times New Roman"/>
          <w:sz w:val="24"/>
        </w:rPr>
        <w:footnoteReference w:id="124"/>
      </w:r>
      <w:r w:rsidRPr="00225BAD">
        <w:rPr>
          <w:rFonts w:ascii="Times New Roman" w:hAnsi="Times New Roman"/>
        </w:rPr>
        <w:t xml:space="preserve"> and </w:t>
      </w:r>
      <w:r w:rsidRPr="00225BAD">
        <w:rPr>
          <w:rFonts w:ascii="Times New Roman" w:hAnsi="Times New Roman"/>
          <w:i/>
        </w:rPr>
        <w:t>Tasmania v Victoria</w:t>
      </w:r>
      <w:r w:rsidRPr="00225BAD">
        <w:rPr>
          <w:rStyle w:val="FootnoteReference"/>
          <w:rFonts w:ascii="Times New Roman" w:hAnsi="Times New Roman"/>
          <w:sz w:val="24"/>
        </w:rPr>
        <w:footnoteReference w:id="125"/>
      </w:r>
      <w:r w:rsidRPr="00225BAD">
        <w:rPr>
          <w:rFonts w:ascii="Times New Roman" w:hAnsi="Times New Roman"/>
        </w:rPr>
        <w:t>, both concerned State phytosanitary legislation empowering prohibition of importation into a State of animals or vegetables sourced from an area of another State affected by contagious diseases. In the first, a qualified prohibition of limited duration, during a period in which there existed "reason to believe" that a contagious disease existed, was held valid by a statutory majority. In the second, a blanket prohibition of unlimited duration was held invalid unanimously.</w:t>
      </w:r>
    </w:p>
    <w:p w14:paraId="3C85F748"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After </w:t>
      </w:r>
      <w:r w:rsidRPr="00225BAD">
        <w:rPr>
          <w:rFonts w:ascii="Times New Roman" w:hAnsi="Times New Roman"/>
          <w:i/>
        </w:rPr>
        <w:t>Cole v Whitfield</w:t>
      </w:r>
      <w:r w:rsidRPr="00225BAD">
        <w:rPr>
          <w:rFonts w:ascii="Times New Roman" w:hAnsi="Times New Roman"/>
        </w:rPr>
        <w:t xml:space="preserve">, in </w:t>
      </w:r>
      <w:r w:rsidRPr="00225BAD">
        <w:rPr>
          <w:rFonts w:ascii="Times New Roman" w:hAnsi="Times New Roman"/>
          <w:i/>
        </w:rPr>
        <w:t>Nationwide News Pty Ltd v Wills</w:t>
      </w:r>
      <w:r w:rsidRPr="00225BAD">
        <w:rPr>
          <w:rStyle w:val="FootnoteReference"/>
          <w:rFonts w:ascii="Times New Roman" w:hAnsi="Times New Roman"/>
          <w:sz w:val="24"/>
        </w:rPr>
        <w:footnoteReference w:id="126"/>
      </w:r>
      <w:r w:rsidRPr="00225BAD">
        <w:rPr>
          <w:rFonts w:ascii="Times New Roman" w:hAnsi="Times New Roman"/>
        </w:rPr>
        <w:t>, despite disavowing the proposition that discrimination is an "essential feature of an impermissible burden imposed on interstate intercourse"</w:t>
      </w:r>
      <w:r w:rsidRPr="00225BAD">
        <w:rPr>
          <w:rStyle w:val="FootnoteReference"/>
          <w:rFonts w:ascii="Times New Roman" w:hAnsi="Times New Roman"/>
          <w:sz w:val="24"/>
        </w:rPr>
        <w:footnoteReference w:id="127"/>
      </w:r>
      <w:r w:rsidRPr="00225BAD">
        <w:rPr>
          <w:rFonts w:ascii="Times New Roman" w:hAnsi="Times New Roman"/>
        </w:rPr>
        <w:t>, Brennan J in effect articulated an understanding of the intercourse limb as a guarantee of freedom from discriminatory burdens. His Honour explained that s 92 does not "purport to place interstate intercourse in a position where it is immune from the operation of laws of general application which are not aimed at interstate intercourse". He went on to describe the object of the section as being "to preclude the crossing of the border from attracting a burden which the transaction would not otherwise have to bear" as distinct from being "to remove a burden which the transaction would otherwise have to bear if there were no border crossing"</w:t>
      </w:r>
      <w:r w:rsidRPr="00225BAD">
        <w:rPr>
          <w:rStyle w:val="FootnoteReference"/>
          <w:rFonts w:ascii="Times New Roman" w:hAnsi="Times New Roman"/>
          <w:sz w:val="24"/>
        </w:rPr>
        <w:footnoteReference w:id="128"/>
      </w:r>
      <w:r w:rsidRPr="00225BAD">
        <w:rPr>
          <w:rFonts w:ascii="Times New Roman" w:hAnsi="Times New Roman"/>
        </w:rPr>
        <w:t xml:space="preserve">. </w:t>
      </w:r>
    </w:p>
    <w:p w14:paraId="7A6C54F4"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That understanding of the intercourse limb as a guarantee of freedom from discriminatory burdens was applied by Brennan J in </w:t>
      </w:r>
      <w:r w:rsidRPr="00225BAD">
        <w:rPr>
          <w:rFonts w:ascii="Times New Roman" w:hAnsi="Times New Roman"/>
          <w:i/>
        </w:rPr>
        <w:t>Nationwide News</w:t>
      </w:r>
      <w:r w:rsidRPr="00225BAD">
        <w:rPr>
          <w:rStyle w:val="FootnoteReference"/>
          <w:rFonts w:ascii="Times New Roman" w:hAnsi="Times New Roman"/>
          <w:sz w:val="24"/>
        </w:rPr>
        <w:footnoteReference w:id="129"/>
      </w:r>
      <w:r w:rsidRPr="00225BAD">
        <w:rPr>
          <w:rFonts w:ascii="Times New Roman" w:hAnsi="Times New Roman"/>
        </w:rPr>
        <w:t xml:space="preserve"> to hold that s 92 had nothing</w:t>
      </w:r>
      <w:r w:rsidRPr="00225BAD" w:rsidDel="00EF4858">
        <w:rPr>
          <w:rFonts w:ascii="Times New Roman" w:hAnsi="Times New Roman"/>
        </w:rPr>
        <w:t xml:space="preserve"> </w:t>
      </w:r>
      <w:r w:rsidRPr="00225BAD">
        <w:rPr>
          <w:rFonts w:ascii="Times New Roman" w:hAnsi="Times New Roman"/>
        </w:rPr>
        <w:t xml:space="preserve">to say about a law of general application which burdened interstate political communication in precisely the same way as it burdened intrastate political communication, with the consequence that there was no need to consider whether the burden on interstate communication was justified in order to determine that the section was not infringed. In </w:t>
      </w:r>
      <w:r w:rsidRPr="00225BAD">
        <w:rPr>
          <w:rFonts w:ascii="Times New Roman" w:hAnsi="Times New Roman"/>
          <w:i/>
        </w:rPr>
        <w:t>Cunliffe v The Commonwealth</w:t>
      </w:r>
      <w:r w:rsidRPr="00225BAD">
        <w:rPr>
          <w:rStyle w:val="FootnoteReference"/>
          <w:rFonts w:ascii="Times New Roman" w:hAnsi="Times New Roman"/>
          <w:sz w:val="24"/>
        </w:rPr>
        <w:footnoteReference w:id="130"/>
      </w:r>
      <w:r w:rsidRPr="00225BAD">
        <w:rPr>
          <w:rFonts w:ascii="Times New Roman" w:hAnsi="Times New Roman"/>
        </w:rPr>
        <w:t>, the same understanding was again applied by Brennan J</w:t>
      </w:r>
      <w:r w:rsidRPr="00225BAD">
        <w:rPr>
          <w:rStyle w:val="FootnoteReference"/>
          <w:rFonts w:ascii="Times New Roman" w:hAnsi="Times New Roman"/>
          <w:sz w:val="24"/>
        </w:rPr>
        <w:footnoteReference w:id="131"/>
      </w:r>
      <w:r w:rsidRPr="00225BAD">
        <w:rPr>
          <w:rFonts w:ascii="Times New Roman" w:hAnsi="Times New Roman"/>
        </w:rPr>
        <w:t>, as well as by Toohey J</w:t>
      </w:r>
      <w:r w:rsidRPr="00225BAD">
        <w:rPr>
          <w:rStyle w:val="FootnoteReference"/>
          <w:rFonts w:ascii="Times New Roman" w:hAnsi="Times New Roman"/>
          <w:sz w:val="24"/>
        </w:rPr>
        <w:footnoteReference w:id="132"/>
      </w:r>
      <w:r w:rsidRPr="00225BAD">
        <w:rPr>
          <w:rFonts w:ascii="Times New Roman" w:hAnsi="Times New Roman"/>
        </w:rPr>
        <w:t>, to hold that the intercourse limb had nothing to say about a law of general application which burdened interstate non</w:t>
      </w:r>
      <w:r w:rsidRPr="00225BAD">
        <w:rPr>
          <w:rFonts w:ascii="Times New Roman" w:hAnsi="Times New Roman"/>
        </w:rPr>
        <w:noBreakHyphen/>
        <w:t>commercial communication in the same way as it burdened intrastate non-commercial communication, although Deane J</w:t>
      </w:r>
      <w:r w:rsidRPr="00225BAD">
        <w:rPr>
          <w:rStyle w:val="FootnoteReference"/>
          <w:rFonts w:ascii="Times New Roman" w:hAnsi="Times New Roman"/>
          <w:sz w:val="24"/>
        </w:rPr>
        <w:footnoteReference w:id="133"/>
      </w:r>
      <w:r w:rsidRPr="00225BAD">
        <w:rPr>
          <w:rFonts w:ascii="Times New Roman" w:hAnsi="Times New Roman"/>
        </w:rPr>
        <w:t xml:space="preserve"> (with whom Gaudron J expressed agreement</w:t>
      </w:r>
      <w:r w:rsidRPr="00225BAD">
        <w:rPr>
          <w:rStyle w:val="FootnoteReference"/>
          <w:rFonts w:ascii="Times New Roman" w:hAnsi="Times New Roman"/>
          <w:sz w:val="24"/>
        </w:rPr>
        <w:footnoteReference w:id="134"/>
      </w:r>
      <w:r w:rsidRPr="00225BAD">
        <w:rPr>
          <w:rFonts w:ascii="Times New Roman" w:hAnsi="Times New Roman"/>
        </w:rPr>
        <w:t>), Dawson J</w:t>
      </w:r>
      <w:r w:rsidRPr="00225BAD">
        <w:rPr>
          <w:rStyle w:val="FootnoteReference"/>
          <w:rFonts w:ascii="Times New Roman" w:hAnsi="Times New Roman"/>
          <w:sz w:val="24"/>
        </w:rPr>
        <w:footnoteReference w:id="135"/>
      </w:r>
      <w:r w:rsidRPr="00225BAD">
        <w:rPr>
          <w:rFonts w:ascii="Times New Roman" w:hAnsi="Times New Roman"/>
        </w:rPr>
        <w:t>, and McHugh J</w:t>
      </w:r>
      <w:r w:rsidRPr="00225BAD">
        <w:rPr>
          <w:rStyle w:val="FootnoteReference"/>
          <w:rFonts w:ascii="Times New Roman" w:hAnsi="Times New Roman"/>
          <w:sz w:val="24"/>
        </w:rPr>
        <w:footnoteReference w:id="136"/>
      </w:r>
      <w:r w:rsidRPr="00225BAD">
        <w:rPr>
          <w:rFonts w:ascii="Times New Roman" w:hAnsi="Times New Roman"/>
        </w:rPr>
        <w:t xml:space="preserve"> all proceeded explicitly or implicitly on the understanding that the intercourse limb, unlike the trade and commerce limb, was capable of being infringed by a law of general application.</w:t>
      </w:r>
    </w:p>
    <w:p w14:paraId="2903FFA4" w14:textId="1DB7A1FE"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In </w:t>
      </w:r>
      <w:r w:rsidRPr="00225BAD">
        <w:rPr>
          <w:rFonts w:ascii="Times New Roman" w:hAnsi="Times New Roman"/>
          <w:i/>
        </w:rPr>
        <w:t>AMS v AIF</w:t>
      </w:r>
      <w:r w:rsidRPr="00225BAD">
        <w:rPr>
          <w:rStyle w:val="FootnoteReference"/>
          <w:rFonts w:ascii="Times New Roman" w:hAnsi="Times New Roman"/>
          <w:sz w:val="24"/>
        </w:rPr>
        <w:footnoteReference w:id="137"/>
      </w:r>
      <w:r w:rsidRPr="00225BAD">
        <w:rPr>
          <w:rFonts w:ascii="Times New Roman" w:hAnsi="Times New Roman"/>
        </w:rPr>
        <w:t>, an issue arose about the application of the equivalent statutory guarantee of absolute freedom of trade, commerce and intercourse between a State and the Northern Territory</w:t>
      </w:r>
      <w:r w:rsidRPr="00225BAD">
        <w:rPr>
          <w:rStyle w:val="FootnoteReference"/>
          <w:rFonts w:ascii="Times New Roman" w:hAnsi="Times New Roman"/>
          <w:sz w:val="24"/>
        </w:rPr>
        <w:footnoteReference w:id="138"/>
      </w:r>
      <w:r w:rsidRPr="00225BAD">
        <w:rPr>
          <w:rFonts w:ascii="Times New Roman" w:hAnsi="Times New Roman"/>
        </w:rPr>
        <w:t xml:space="preserve"> to a differential burden on intercourse imposed by a judicial order made in an exercise of statutory discretion. The order had the practical effect of impeding the individual to whom it was directed moving from Perth to Darwin</w:t>
      </w:r>
      <w:r w:rsidRPr="00225BAD">
        <w:rPr>
          <w:rStyle w:val="FootnoteReference"/>
          <w:rFonts w:ascii="Times New Roman" w:hAnsi="Times New Roman"/>
          <w:sz w:val="24"/>
        </w:rPr>
        <w:footnoteReference w:id="139"/>
      </w:r>
      <w:r w:rsidRPr="00225BAD">
        <w:rPr>
          <w:rFonts w:ascii="Times New Roman" w:hAnsi="Times New Roman"/>
        </w:rPr>
        <w:t>. The question raised by the guarantee, which did not need to be answered because the judicial order was to be set aside on appeal for other reasons, was framed by Gleeson CJ, McHugh and Gummow</w:t>
      </w:r>
      <w:r w:rsidR="00D824B4">
        <w:rPr>
          <w:rFonts w:ascii="Times New Roman" w:hAnsi="Times New Roman"/>
        </w:rPr>
        <w:t> </w:t>
      </w:r>
      <w:r w:rsidRPr="00225BAD">
        <w:rPr>
          <w:rFonts w:ascii="Times New Roman" w:hAnsi="Times New Roman"/>
        </w:rPr>
        <w:t>JJ in terms of whether the impediment imposed was greater than that "reasonably required" to achieve the statutory objective</w:t>
      </w:r>
      <w:r w:rsidRPr="00225BAD">
        <w:rPr>
          <w:rStyle w:val="FootnoteReference"/>
          <w:rFonts w:ascii="Times New Roman" w:hAnsi="Times New Roman"/>
          <w:sz w:val="24"/>
        </w:rPr>
        <w:footnoteReference w:id="140"/>
      </w:r>
      <w:r w:rsidRPr="00225BAD">
        <w:rPr>
          <w:rFonts w:ascii="Times New Roman" w:hAnsi="Times New Roman"/>
        </w:rPr>
        <w:t>.</w:t>
      </w:r>
    </w:p>
    <w:p w14:paraId="1972F8BE"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The framing of the question in </w:t>
      </w:r>
      <w:r w:rsidRPr="00225BAD">
        <w:rPr>
          <w:rFonts w:ascii="Times New Roman" w:hAnsi="Times New Roman"/>
          <w:i/>
        </w:rPr>
        <w:t xml:space="preserve">AMS </w:t>
      </w:r>
      <w:r w:rsidRPr="00225BAD">
        <w:rPr>
          <w:rFonts w:ascii="Times New Roman" w:hAnsi="Times New Roman"/>
        </w:rPr>
        <w:t xml:space="preserve">in terms of whether a burden imposed on interstate intercourse was "reasonably required" to achieve the statutory objective, was subsequently adopted and applied by a majority in </w:t>
      </w:r>
      <w:r w:rsidRPr="00225BAD">
        <w:rPr>
          <w:rFonts w:ascii="Times New Roman" w:hAnsi="Times New Roman"/>
          <w:i/>
        </w:rPr>
        <w:t>APLA Ltd v Legal Services Commissioner (NSW)</w:t>
      </w:r>
      <w:r w:rsidRPr="00225BAD">
        <w:rPr>
          <w:rStyle w:val="FootnoteReference"/>
          <w:rFonts w:ascii="Times New Roman" w:hAnsi="Times New Roman"/>
          <w:sz w:val="24"/>
        </w:rPr>
        <w:footnoteReference w:id="141"/>
      </w:r>
      <w:r w:rsidRPr="00225BAD">
        <w:rPr>
          <w:rFonts w:ascii="Times New Roman" w:hAnsi="Times New Roman"/>
        </w:rPr>
        <w:t xml:space="preserve">. Minor linguistic divergences aside, the "reasonably required" standard as then adopted and applied was indistinguishable in substance from the "reasonable necessity" standard settled upon in relation to the trade and commerce limb three years later in </w:t>
      </w:r>
      <w:r w:rsidRPr="00225BAD">
        <w:rPr>
          <w:rFonts w:ascii="Times New Roman" w:hAnsi="Times New Roman"/>
          <w:i/>
        </w:rPr>
        <w:t>Betfair [No 1]</w:t>
      </w:r>
      <w:r w:rsidRPr="00225BAD">
        <w:rPr>
          <w:rFonts w:ascii="Times New Roman" w:hAnsi="Times New Roman"/>
        </w:rPr>
        <w:t xml:space="preserve">. The standard was applied in </w:t>
      </w:r>
      <w:r w:rsidRPr="00225BAD">
        <w:rPr>
          <w:rFonts w:ascii="Times New Roman" w:hAnsi="Times New Roman"/>
          <w:i/>
        </w:rPr>
        <w:t xml:space="preserve">APLA </w:t>
      </w:r>
      <w:r w:rsidRPr="00225BAD">
        <w:rPr>
          <w:rFonts w:ascii="Times New Roman" w:hAnsi="Times New Roman"/>
        </w:rPr>
        <w:t xml:space="preserve">to legislative provisions which operated to burden interstate intercourse in the same way as they burdened intrastate intercourse. However, no argument was put in </w:t>
      </w:r>
      <w:r w:rsidRPr="00225BAD">
        <w:rPr>
          <w:rFonts w:ascii="Times New Roman" w:hAnsi="Times New Roman"/>
          <w:i/>
        </w:rPr>
        <w:t>APLA</w:t>
      </w:r>
      <w:r w:rsidRPr="00225BAD">
        <w:rPr>
          <w:rFonts w:ascii="Times New Roman" w:hAnsi="Times New Roman"/>
        </w:rPr>
        <w:t xml:space="preserve"> that the burden on interstate intercourse did not need to be justified because the burden was not differential. Neither the outcome nor the reasoning therefore stands in the way of now recognising the intercourse limb to be confined to discriminatory burdens.</w:t>
      </w:r>
    </w:p>
    <w:p w14:paraId="6ABD5368"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By way of summation, the constitutional purpose of s 92 identified in </w:t>
      </w:r>
      <w:r w:rsidRPr="00225BAD">
        <w:rPr>
          <w:rFonts w:ascii="Times New Roman" w:hAnsi="Times New Roman"/>
          <w:i/>
        </w:rPr>
        <w:t>Cole v Whitfield</w:t>
      </w:r>
      <w:r w:rsidRPr="00225BAD">
        <w:rPr>
          <w:rFonts w:ascii="Times New Roman" w:hAnsi="Times New Roman"/>
        </w:rPr>
        <w:t xml:space="preserve"> is best served by "re-integrating"</w:t>
      </w:r>
      <w:r w:rsidRPr="00225BAD">
        <w:rPr>
          <w:rStyle w:val="FootnoteReference"/>
          <w:rFonts w:ascii="Times New Roman" w:hAnsi="Times New Roman"/>
          <w:sz w:val="24"/>
        </w:rPr>
        <w:footnoteReference w:id="142"/>
      </w:r>
      <w:r w:rsidRPr="00225BAD">
        <w:rPr>
          <w:rFonts w:ascii="Times New Roman" w:hAnsi="Times New Roman"/>
        </w:rPr>
        <w:t xml:space="preserve"> its two limbs: by continuing to accept the trade and commerce limb as a guarantee that interstate trade and commerce is to be absolutely free from discriminatory burdens of a protectionist kind, and by recognising the intercourse limb as a guarantee that interstate intercourse is to be absolutely free from discriminatory burdens of any kind. Re-integration is supported by the reasoning of Brennan J in </w:t>
      </w:r>
      <w:r w:rsidRPr="00225BAD">
        <w:rPr>
          <w:rFonts w:ascii="Times New Roman" w:hAnsi="Times New Roman"/>
          <w:i/>
        </w:rPr>
        <w:t xml:space="preserve">Nationwide News </w:t>
      </w:r>
      <w:r w:rsidRPr="00225BAD">
        <w:rPr>
          <w:rFonts w:ascii="Times New Roman" w:hAnsi="Times New Roman"/>
        </w:rPr>
        <w:t xml:space="preserve">and by the reasoning of Brennan and Toohey JJ in </w:t>
      </w:r>
      <w:r w:rsidRPr="00225BAD">
        <w:rPr>
          <w:rFonts w:ascii="Times New Roman" w:hAnsi="Times New Roman"/>
          <w:i/>
        </w:rPr>
        <w:t>Cunliffe</w:t>
      </w:r>
      <w:r w:rsidRPr="00225BAD">
        <w:rPr>
          <w:rFonts w:ascii="Times New Roman" w:hAnsi="Times New Roman"/>
        </w:rPr>
        <w:t>, is consistent with the reasoning of Gleeson CJ, McHugh and Gummow JJ in</w:t>
      </w:r>
      <w:r w:rsidRPr="00225BAD">
        <w:rPr>
          <w:rFonts w:ascii="Times New Roman" w:hAnsi="Times New Roman"/>
          <w:i/>
        </w:rPr>
        <w:t xml:space="preserve"> AMS </w:t>
      </w:r>
      <w:r w:rsidRPr="00225BAD">
        <w:rPr>
          <w:rFonts w:ascii="Times New Roman" w:hAnsi="Times New Roman"/>
        </w:rPr>
        <w:t xml:space="preserve">and is not prevented by the approach taken in the absence of contrary argument in </w:t>
      </w:r>
      <w:r w:rsidRPr="00225BAD">
        <w:rPr>
          <w:rFonts w:ascii="Times New Roman" w:hAnsi="Times New Roman"/>
          <w:i/>
        </w:rPr>
        <w:t>APLA</w:t>
      </w:r>
      <w:r w:rsidRPr="00225BAD">
        <w:rPr>
          <w:rFonts w:ascii="Times New Roman" w:hAnsi="Times New Roman"/>
        </w:rPr>
        <w:t>.</w:t>
      </w:r>
    </w:p>
    <w:p w14:paraId="7C35BA6F" w14:textId="77777777" w:rsidR="002D2334" w:rsidRPr="00225BAD" w:rsidRDefault="002D2334" w:rsidP="00225BAD">
      <w:pPr>
        <w:pStyle w:val="HeadingL1"/>
        <w:spacing w:after="260" w:line="280" w:lineRule="exact"/>
        <w:ind w:right="0"/>
        <w:jc w:val="both"/>
        <w:rPr>
          <w:rFonts w:ascii="Times New Roman" w:hAnsi="Times New Roman"/>
        </w:rPr>
      </w:pPr>
      <w:r w:rsidRPr="00225BAD">
        <w:rPr>
          <w:rFonts w:ascii="Times New Roman" w:hAnsi="Times New Roman"/>
        </w:rPr>
        <w:t>Intercourse occurring in trade or commerce</w:t>
      </w:r>
    </w:p>
    <w:p w14:paraId="343E259E"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Re-integration brings complementarity. Recognising that each limb of s 92 of the </w:t>
      </w:r>
      <w:r w:rsidRPr="00225BAD">
        <w:rPr>
          <w:rFonts w:ascii="Times New Roman" w:hAnsi="Times New Roman"/>
          <w:i/>
        </w:rPr>
        <w:t xml:space="preserve">Constitution </w:t>
      </w:r>
      <w:r w:rsidRPr="00225BAD">
        <w:rPr>
          <w:rFonts w:ascii="Times New Roman" w:hAnsi="Times New Roman"/>
        </w:rPr>
        <w:t xml:space="preserve">guarantees freedom from discriminatory burdens, and that each limb demands the same standard of justification for a law imposing a differential burden, harmonises the operation of the two limbs in a manner that meets concerns expressed in </w:t>
      </w:r>
      <w:r w:rsidRPr="00225BAD">
        <w:rPr>
          <w:rFonts w:ascii="Times New Roman" w:hAnsi="Times New Roman"/>
          <w:i/>
        </w:rPr>
        <w:t>Nationwide News</w:t>
      </w:r>
      <w:r w:rsidRPr="00225BAD">
        <w:rPr>
          <w:rStyle w:val="FootnoteReference"/>
          <w:rFonts w:ascii="Times New Roman" w:hAnsi="Times New Roman"/>
          <w:sz w:val="24"/>
        </w:rPr>
        <w:footnoteReference w:id="143"/>
      </w:r>
      <w:r w:rsidRPr="00225BAD">
        <w:rPr>
          <w:rFonts w:ascii="Times New Roman" w:hAnsi="Times New Roman"/>
          <w:i/>
        </w:rPr>
        <w:t xml:space="preserve"> </w:t>
      </w:r>
      <w:r w:rsidRPr="00225BAD">
        <w:rPr>
          <w:rFonts w:ascii="Times New Roman" w:hAnsi="Times New Roman"/>
        </w:rPr>
        <w:t xml:space="preserve">and in </w:t>
      </w:r>
      <w:r w:rsidRPr="00225BAD">
        <w:rPr>
          <w:rFonts w:ascii="Times New Roman" w:hAnsi="Times New Roman"/>
          <w:i/>
        </w:rPr>
        <w:t>APLA</w:t>
      </w:r>
      <w:r w:rsidRPr="00225BAD">
        <w:rPr>
          <w:rStyle w:val="FootnoteReference"/>
          <w:rFonts w:ascii="Times New Roman" w:hAnsi="Times New Roman"/>
          <w:sz w:val="24"/>
        </w:rPr>
        <w:footnoteReference w:id="144"/>
      </w:r>
      <w:r w:rsidRPr="00225BAD">
        <w:rPr>
          <w:rFonts w:ascii="Times New Roman" w:hAnsi="Times New Roman"/>
          <w:i/>
        </w:rPr>
        <w:t xml:space="preserve"> </w:t>
      </w:r>
      <w:r w:rsidRPr="00225BAD">
        <w:rPr>
          <w:rFonts w:ascii="Times New Roman" w:hAnsi="Times New Roman"/>
        </w:rPr>
        <w:t xml:space="preserve">that each limb might have the potential to subsume the other. Each limb has a separate operation. In respect of intercourse occurring in trade or commerce, the two limbs overlap. To the extent they overlap, the guarantee of each must be observed. </w:t>
      </w:r>
    </w:p>
    <w:p w14:paraId="4F35EA73"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The result, in the language of Spigelman CJ in </w:t>
      </w:r>
      <w:r w:rsidRPr="00225BAD">
        <w:rPr>
          <w:rFonts w:ascii="Times New Roman" w:hAnsi="Times New Roman"/>
          <w:i/>
        </w:rPr>
        <w:t>Cross v Barnes Towing and Salvage</w:t>
      </w:r>
      <w:r w:rsidRPr="00225BAD">
        <w:rPr>
          <w:rFonts w:ascii="Times New Roman" w:hAnsi="Times New Roman"/>
        </w:rPr>
        <w:t xml:space="preserve"> </w:t>
      </w:r>
      <w:r w:rsidRPr="00225BAD">
        <w:rPr>
          <w:rFonts w:ascii="Times New Roman" w:hAnsi="Times New Roman"/>
          <w:i/>
        </w:rPr>
        <w:t>(Qld)</w:t>
      </w:r>
      <w:r w:rsidRPr="00225BAD">
        <w:rPr>
          <w:rFonts w:ascii="Times New Roman" w:hAnsi="Times New Roman"/>
        </w:rPr>
        <w:t xml:space="preserve"> </w:t>
      </w:r>
      <w:r w:rsidRPr="00225BAD">
        <w:rPr>
          <w:rFonts w:ascii="Times New Roman" w:hAnsi="Times New Roman"/>
          <w:i/>
        </w:rPr>
        <w:t>Pty Ltd</w:t>
      </w:r>
      <w:r w:rsidRPr="00225BAD">
        <w:rPr>
          <w:rStyle w:val="FootnoteReference"/>
          <w:rFonts w:ascii="Times New Roman" w:hAnsi="Times New Roman"/>
          <w:sz w:val="24"/>
        </w:rPr>
        <w:footnoteReference w:id="145"/>
      </w:r>
      <w:r w:rsidRPr="00225BAD">
        <w:rPr>
          <w:rFonts w:ascii="Times New Roman" w:hAnsi="Times New Roman"/>
        </w:rPr>
        <w:t>, is that "a law which operates ... so that it regulates behaviour that may, but need not necessarily, be trade and commerce, will have to pass both tests". Compliance with both limbs will be required of a law which differentially burdens a form of interstate intercourse which occurs in trade or commerce or which may, but need not necessarily, occur in trade or commerce.</w:t>
      </w:r>
    </w:p>
    <w:p w14:paraId="627025A0" w14:textId="77777777" w:rsidR="002D2334" w:rsidRPr="00225BAD" w:rsidRDefault="002D2334" w:rsidP="00225BAD">
      <w:pPr>
        <w:pStyle w:val="HeadingL1"/>
        <w:spacing w:after="260" w:line="280" w:lineRule="exact"/>
        <w:ind w:right="0"/>
        <w:jc w:val="both"/>
        <w:rPr>
          <w:rFonts w:ascii="Times New Roman" w:hAnsi="Times New Roman"/>
        </w:rPr>
      </w:pPr>
      <w:r w:rsidRPr="00225BAD">
        <w:rPr>
          <w:rFonts w:ascii="Times New Roman" w:hAnsi="Times New Roman"/>
        </w:rPr>
        <w:t>The appropriate level of analysis</w:t>
      </w:r>
    </w:p>
    <w:p w14:paraId="036061E4"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Like the implied constitutional guarantee of freedom of political communication, the express constitutional guarantee of absolute freedom of trade, commerce and intercourse among the States</w:t>
      </w:r>
      <w:r w:rsidRPr="00225BAD">
        <w:rPr>
          <w:rFonts w:ascii="Times New Roman" w:hAnsi="Times New Roman"/>
          <w:i/>
        </w:rPr>
        <w:t xml:space="preserve"> </w:t>
      </w:r>
      <w:r w:rsidRPr="00225BAD">
        <w:rPr>
          <w:rFonts w:ascii="Times New Roman" w:hAnsi="Times New Roman"/>
        </w:rPr>
        <w:t>is a limitation on Commonwealth, State and Territory executive power as much as it is a limitation on Commonwealth, State and Territory legislative power</w:t>
      </w:r>
      <w:r w:rsidRPr="00225BAD">
        <w:rPr>
          <w:rStyle w:val="FootnoteReference"/>
          <w:rFonts w:ascii="Times New Roman" w:hAnsi="Times New Roman"/>
          <w:sz w:val="24"/>
        </w:rPr>
        <w:footnoteReference w:id="146"/>
      </w:r>
      <w:r w:rsidRPr="00225BAD">
        <w:rPr>
          <w:rFonts w:ascii="Times New Roman" w:hAnsi="Times New Roman"/>
        </w:rPr>
        <w:t xml:space="preserve">. </w:t>
      </w:r>
    </w:p>
    <w:p w14:paraId="2398177C"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In respect of executive action which takes such legal force or effect as it may have only from legislation, however, the relevant operation of each constitutional guarantee is solely as a limitation on legislative power. The specifically relevant operation of each is as a limitation on the power to enact the legislation which purports to give the executive action legal force or effect.</w:t>
      </w:r>
    </w:p>
    <w:p w14:paraId="1CC9B79B"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Where executive action purporting to be taken pursuant to statute imposes a burden argued to infringe the implied constitutional guarantee of freedom of political communication or the express constitutional guarantee of absolute freedom of trade, commerce and intercourse among the States, two distinct questions accordingly arise: one constitutional, the other statutory. The statutory question is whether the executive action is authorised by the statute. The constitutional question is whether the statute complies with the constitutional guarantee if, and insofar as, the statute authorises the executive action.</w:t>
      </w:r>
    </w:p>
    <w:p w14:paraId="01957AB2"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Those two distinct questions arise in respect of the making of subordinate or delegated legislation in the same way as they arise in respect of any other executive action pursuant to statute. Our conception of subordinate legislation, as Dixon J explained in </w:t>
      </w:r>
      <w:r w:rsidRPr="00225BAD">
        <w:rPr>
          <w:rFonts w:ascii="Times New Roman" w:hAnsi="Times New Roman"/>
          <w:i/>
        </w:rPr>
        <w:t>Victorian Stevedoring and General Contracting Co Pty Ltd and Meakes v Dignan</w:t>
      </w:r>
      <w:r w:rsidRPr="00225BAD">
        <w:rPr>
          <w:rStyle w:val="FootnoteReference"/>
          <w:rFonts w:ascii="Times New Roman" w:hAnsi="Times New Roman"/>
          <w:sz w:val="24"/>
        </w:rPr>
        <w:footnoteReference w:id="147"/>
      </w:r>
      <w:r w:rsidRPr="00225BAD">
        <w:rPr>
          <w:rFonts w:ascii="Times New Roman" w:hAnsi="Times New Roman"/>
        </w:rPr>
        <w:t xml:space="preserve">, is that it is wholly dependent for its force and effect on the enactment, and the continuing operation of the statute by which it is authorised.  </w:t>
      </w:r>
    </w:p>
    <w:p w14:paraId="5E90B9C8"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The distinction between the two questions has not been universally observed. The distinction was perhaps less apparent in theory and less workable in practice when judicial review of executive action undertaken in the exercise of discretionary powers conferred by statute was less developed</w:t>
      </w:r>
      <w:r w:rsidRPr="00225BAD">
        <w:rPr>
          <w:rStyle w:val="FootnoteReference"/>
          <w:rFonts w:ascii="Times New Roman" w:hAnsi="Times New Roman"/>
          <w:sz w:val="24"/>
        </w:rPr>
        <w:footnoteReference w:id="148"/>
      </w:r>
      <w:r w:rsidRPr="00225BAD">
        <w:rPr>
          <w:rFonts w:ascii="Times New Roman" w:hAnsi="Times New Roman"/>
        </w:rPr>
        <w:t xml:space="preserve">. Only in </w:t>
      </w:r>
      <w:r w:rsidRPr="00225BAD">
        <w:rPr>
          <w:rFonts w:ascii="Times New Roman" w:hAnsi="Times New Roman"/>
          <w:i/>
        </w:rPr>
        <w:t>R v Toohey; Ex parte Northern Land Council</w:t>
      </w:r>
      <w:r w:rsidRPr="00225BAD">
        <w:rPr>
          <w:rStyle w:val="FootnoteReference"/>
          <w:rFonts w:ascii="Times New Roman" w:hAnsi="Times New Roman"/>
          <w:sz w:val="24"/>
        </w:rPr>
        <w:footnoteReference w:id="149"/>
      </w:r>
      <w:r w:rsidRPr="00225BAD">
        <w:rPr>
          <w:rFonts w:ascii="Times New Roman" w:hAnsi="Times New Roman"/>
          <w:i/>
        </w:rPr>
        <w:t xml:space="preserve"> </w:t>
      </w:r>
      <w:r w:rsidRPr="00225BAD">
        <w:rPr>
          <w:rFonts w:ascii="Times New Roman" w:hAnsi="Times New Roman"/>
        </w:rPr>
        <w:t xml:space="preserve">was the position established that an exercise of statutory discretion by a vice-regal representative in ministerial council is reviewable on the basis that it exceeds the scope of statutory discretion or is undertaken for a purpose not authorised by the statute. And only in </w:t>
      </w:r>
      <w:r w:rsidRPr="00225BAD">
        <w:rPr>
          <w:rFonts w:ascii="Times New Roman" w:hAnsi="Times New Roman"/>
          <w:i/>
        </w:rPr>
        <w:t>Kirk v Industrial Court</w:t>
      </w:r>
      <w:r w:rsidRPr="00225BAD">
        <w:rPr>
          <w:rFonts w:ascii="Times New Roman" w:hAnsi="Times New Roman"/>
        </w:rPr>
        <w:t xml:space="preserve"> </w:t>
      </w:r>
      <w:r w:rsidRPr="00225BAD">
        <w:rPr>
          <w:rFonts w:ascii="Times New Roman" w:hAnsi="Times New Roman"/>
          <w:i/>
        </w:rPr>
        <w:t>(NSW)</w:t>
      </w:r>
      <w:r w:rsidRPr="00225BAD">
        <w:rPr>
          <w:rStyle w:val="FootnoteReference"/>
          <w:rFonts w:ascii="Times New Roman" w:hAnsi="Times New Roman"/>
          <w:sz w:val="24"/>
        </w:rPr>
        <w:footnoteReference w:id="150"/>
      </w:r>
      <w:r w:rsidRPr="00225BAD">
        <w:rPr>
          <w:rFonts w:ascii="Times New Roman" w:hAnsi="Times New Roman"/>
        </w:rPr>
        <w:t xml:space="preserve"> was the position established that a State Supreme Court has constitutionally entrenched jurisdiction to remedy State executive action undertaken in excess of power conferred by State legislation.</w:t>
      </w:r>
    </w:p>
    <w:p w14:paraId="7134138F"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Even now, the statutory question can converge with the constitutional question in respect of executive action undertaken in the exercise of a discretionary power conferred by a statutory provision that is so broadly expressed as to require it to be read down as a matter of statutory construction to permit only those exercises of discretion that are within constitutional limits</w:t>
      </w:r>
      <w:r w:rsidRPr="00225BAD">
        <w:rPr>
          <w:rStyle w:val="FootnoteReference"/>
          <w:rFonts w:ascii="Times New Roman" w:hAnsi="Times New Roman"/>
          <w:sz w:val="24"/>
        </w:rPr>
        <w:footnoteReference w:id="151"/>
      </w:r>
      <w:r w:rsidRPr="00225BAD">
        <w:rPr>
          <w:rFonts w:ascii="Times New Roman" w:hAnsi="Times New Roman"/>
        </w:rPr>
        <w:t xml:space="preserve">.  </w:t>
      </w:r>
    </w:p>
    <w:p w14:paraId="75DF3B73"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And even now, prudential considerations can favour framing the statutory question raised for determination on the facts of a case in a manner that minimally confines the scope of the constitutional question needing to be addressed</w:t>
      </w:r>
      <w:r w:rsidRPr="00225BAD">
        <w:rPr>
          <w:rStyle w:val="FootnoteReference"/>
          <w:rFonts w:ascii="Times New Roman" w:hAnsi="Times New Roman"/>
          <w:sz w:val="24"/>
        </w:rPr>
        <w:footnoteReference w:id="152"/>
      </w:r>
      <w:r w:rsidRPr="00225BAD">
        <w:rPr>
          <w:rFonts w:ascii="Times New Roman" w:hAnsi="Times New Roman"/>
        </w:rPr>
        <w:t>. The question</w:t>
      </w:r>
      <w:r w:rsidRPr="00225BAD">
        <w:rPr>
          <w:rFonts w:ascii="Times New Roman" w:hAnsi="Times New Roman"/>
          <w:color w:val="000000"/>
          <w:shd w:val="clear" w:color="auto" w:fill="FFFFFF"/>
        </w:rPr>
        <w:t xml:space="preserve"> whether a burden imposed through the exercise of a statutory discretion is justified across the range of potential outcomes of the exercise of that discretion might not yield a ready answer. </w:t>
      </w:r>
      <w:r w:rsidRPr="00225BAD">
        <w:rPr>
          <w:rFonts w:ascii="Times New Roman" w:hAnsi="Times New Roman"/>
        </w:rPr>
        <w:t>The severable operation of the provision conferring the discretion in the event of non</w:t>
      </w:r>
      <w:r w:rsidRPr="00225BAD">
        <w:rPr>
          <w:rFonts w:ascii="Times New Roman" w:hAnsi="Times New Roman"/>
        </w:rPr>
        <w:noBreakHyphen/>
        <w:t>compliance of some exercises of the discretion with the constitutional guarantee might be clear-cut. In that combination of circumstances, a court called upon to determine whether a legislative provision conferring the discretion complies with a constitutional guarantee to the extent that the provision purports to authorise particular discretionary executive action in issue might well proceed to answer the statutory and constitutional questions compendiously by focusing on the particular exercise of statutory discretion without embarking on a consideration of whether the provision conferring the discretion is compliant or non-compliant in all its applications.</w:t>
      </w:r>
    </w:p>
    <w:p w14:paraId="0FF89734"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Thus, as Gummow J pointed out in </w:t>
      </w:r>
      <w:r w:rsidRPr="00225BAD">
        <w:rPr>
          <w:rFonts w:ascii="Times New Roman" w:hAnsi="Times New Roman"/>
          <w:i/>
        </w:rPr>
        <w:t>APLA</w:t>
      </w:r>
      <w:r w:rsidRPr="00225BAD">
        <w:rPr>
          <w:rStyle w:val="FootnoteReference"/>
          <w:rFonts w:ascii="Times New Roman" w:hAnsi="Times New Roman"/>
          <w:sz w:val="24"/>
        </w:rPr>
        <w:footnoteReference w:id="153"/>
      </w:r>
      <w:r w:rsidRPr="00225BAD">
        <w:rPr>
          <w:rFonts w:ascii="Times New Roman" w:hAnsi="Times New Roman"/>
          <w:i/>
        </w:rPr>
        <w:t xml:space="preserve"> </w:t>
      </w:r>
      <w:r w:rsidRPr="00225BAD">
        <w:rPr>
          <w:rFonts w:ascii="Times New Roman" w:hAnsi="Times New Roman"/>
        </w:rPr>
        <w:t>in the context of a challenge to subordinate legislation, there can still be cases in which the statutory and constitutional questions can be appropriately determined by melding them into a composite hypothetical question. If the subordinate legislation in issue had been enacted as legislation, would that legislation have been compliant with the constitutional guarantee in issue?</w:t>
      </w:r>
    </w:p>
    <w:p w14:paraId="4ECD5312"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The parties were content to adopt just that approach in the present case. Proceeding as if the Directions had been enacted as Western Australian legislation, and accepting the prohibition by the Directions of the entry of persons into Western Australia to impose a differential burden on interstate intercourse which might or might not be in trade or commerce, the parties joined issue on the factually intensive question of whether that prohibition could be justified at the time of the hearing as a constitutionally permissible means of pursuing the constitutionally permissible non-discriminatory legislative end of safeguarding the health of persons in Western Australia. The plaintiffs sought for that purpose to unpick and restitch the findings of fact made on remittal by Rangiah J</w:t>
      </w:r>
      <w:r w:rsidRPr="00225BAD">
        <w:rPr>
          <w:rStyle w:val="FootnoteReference"/>
          <w:rFonts w:ascii="Times New Roman" w:hAnsi="Times New Roman"/>
          <w:sz w:val="24"/>
        </w:rPr>
        <w:footnoteReference w:id="154"/>
      </w:r>
      <w:r w:rsidRPr="00225BAD">
        <w:rPr>
          <w:rFonts w:ascii="Times New Roman" w:hAnsi="Times New Roman"/>
        </w:rPr>
        <w:t>. The defendants sought to adopt, update and supplement his Honour's conclusions.</w:t>
      </w:r>
    </w:p>
    <w:p w14:paraId="35F8C7AF"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The problem with conflating the statutory and constitutional questions in that manner, however, was that treating the Directions as if they had been enacted as Western Australian legislation failed to acknowledge the constitutional significance of critical constraints built into the scheme of the Act which sustained the Directions. The hypothetical analysis simplified the constitutional question to the point of obscuring the manner of its answer.</w:t>
      </w:r>
    </w:p>
    <w:p w14:paraId="24115EDD"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Better in the circumstances of the case was to adopt the approach urged by the Attorney-General of Victoria, with the support of the Attorneys-General of Tasmania and Queensland, all of whom intervened in the proceeding, of squarely addressing the constitutional question at the level and in the manner indicated in </w:t>
      </w:r>
      <w:r w:rsidRPr="00225BAD">
        <w:rPr>
          <w:rFonts w:ascii="Times New Roman" w:hAnsi="Times New Roman"/>
          <w:i/>
          <w:color w:val="000000"/>
          <w:sz w:val="27"/>
          <w:szCs w:val="27"/>
          <w:shd w:val="clear" w:color="auto" w:fill="FFFFFF"/>
        </w:rPr>
        <w:t>Wotton v Queensland</w:t>
      </w:r>
      <w:r w:rsidRPr="00225BAD">
        <w:rPr>
          <w:rStyle w:val="FootnoteReference"/>
          <w:rFonts w:ascii="Times New Roman" w:hAnsi="Times New Roman"/>
          <w:color w:val="000000"/>
          <w:sz w:val="24"/>
          <w:szCs w:val="27"/>
          <w:shd w:val="clear" w:color="auto" w:fill="FFFFFF"/>
        </w:rPr>
        <w:footnoteReference w:id="155"/>
      </w:r>
      <w:r w:rsidRPr="00225BAD">
        <w:rPr>
          <w:rFonts w:ascii="Times New Roman" w:hAnsi="Times New Roman"/>
          <w:i/>
          <w:color w:val="000000"/>
          <w:sz w:val="27"/>
          <w:szCs w:val="27"/>
          <w:shd w:val="clear" w:color="auto" w:fill="FFFFFF"/>
        </w:rPr>
        <w:t xml:space="preserve"> </w:t>
      </w:r>
      <w:r w:rsidRPr="00225BAD">
        <w:rPr>
          <w:rFonts w:ascii="Times New Roman" w:hAnsi="Times New Roman"/>
          <w:color w:val="000000"/>
          <w:sz w:val="27"/>
          <w:szCs w:val="27"/>
          <w:shd w:val="clear" w:color="auto" w:fill="FFFFFF"/>
        </w:rPr>
        <w:t xml:space="preserve">and applied there and in </w:t>
      </w:r>
      <w:r w:rsidRPr="00225BAD">
        <w:rPr>
          <w:rFonts w:ascii="Times New Roman" w:hAnsi="Times New Roman"/>
          <w:i/>
          <w:color w:val="000000"/>
          <w:sz w:val="27"/>
          <w:szCs w:val="27"/>
          <w:shd w:val="clear" w:color="auto" w:fill="FFFFFF"/>
        </w:rPr>
        <w:t>Comcare v Banerji</w:t>
      </w:r>
      <w:r w:rsidRPr="00225BAD">
        <w:rPr>
          <w:rStyle w:val="FootnoteReference"/>
          <w:rFonts w:ascii="Times New Roman" w:hAnsi="Times New Roman"/>
          <w:color w:val="000000"/>
          <w:sz w:val="24"/>
          <w:szCs w:val="27"/>
          <w:shd w:val="clear" w:color="auto" w:fill="FFFFFF"/>
        </w:rPr>
        <w:footnoteReference w:id="156"/>
      </w:r>
      <w:r w:rsidRPr="00225BAD">
        <w:rPr>
          <w:rFonts w:ascii="Times New Roman" w:hAnsi="Times New Roman"/>
          <w:i/>
        </w:rPr>
        <w:t xml:space="preserve">. </w:t>
      </w:r>
      <w:r w:rsidRPr="00225BAD">
        <w:rPr>
          <w:rFonts w:ascii="Times New Roman" w:hAnsi="Times New Roman"/>
        </w:rPr>
        <w:t xml:space="preserve">The constitutional question so isolated was whether the provisions of the Act, insofar as they authorised the making of directions imposing a differential burden on interstate intercourse, are sufficiently constrained in their terms to allow a conclusion to be reached that imposition of a burden of that nature meets the requisite standard of justification across the range of potential outcomes. </w:t>
      </w:r>
    </w:p>
    <w:p w14:paraId="49711967"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The answer to that constitutional question being in the affirmative for reasons to which I will eventually come, and no separate statutory question being raised in the proceeding as to whether the Directions complied with the Act, no further factual analysis was required in order to answer the principal question reserved.</w:t>
      </w:r>
    </w:p>
    <w:p w14:paraId="12E86B73" w14:textId="77777777" w:rsidR="002D2334" w:rsidRPr="00225BAD" w:rsidRDefault="002D2334" w:rsidP="00225BAD">
      <w:pPr>
        <w:pStyle w:val="HeadingL1"/>
        <w:spacing w:after="260" w:line="280" w:lineRule="exact"/>
        <w:ind w:right="0"/>
        <w:jc w:val="both"/>
        <w:rPr>
          <w:rFonts w:ascii="Times New Roman" w:hAnsi="Times New Roman"/>
        </w:rPr>
      </w:pPr>
      <w:r w:rsidRPr="00225BAD">
        <w:rPr>
          <w:rFonts w:ascii="Times New Roman" w:hAnsi="Times New Roman"/>
        </w:rPr>
        <w:t>The requisite standard of justification</w:t>
      </w:r>
    </w:p>
    <w:p w14:paraId="796EC4E2"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Explained in </w:t>
      </w:r>
      <w:r w:rsidRPr="00225BAD">
        <w:rPr>
          <w:rFonts w:ascii="Times New Roman" w:hAnsi="Times New Roman"/>
          <w:i/>
        </w:rPr>
        <w:t>Cole v Whitfield</w:t>
      </w:r>
      <w:r w:rsidRPr="00225BAD">
        <w:rPr>
          <w:rFonts w:ascii="Times New Roman" w:hAnsi="Times New Roman"/>
        </w:rPr>
        <w:t xml:space="preserve"> was that its re-interpretation of s 92 involved "a belated acknowledgment of the implications of the long</w:t>
      </w:r>
      <w:r w:rsidRPr="00225BAD">
        <w:rPr>
          <w:rFonts w:ascii="Times New Roman" w:hAnsi="Times New Roman"/>
        </w:rPr>
        <w:noBreakHyphen/>
        <w:t>accepted perception that 'although the decision [whether an impugned law infringes s 92] was one for a court of law the problems were likely to be largely political, social or economic'"</w:t>
      </w:r>
      <w:r w:rsidRPr="00225BAD">
        <w:rPr>
          <w:rStyle w:val="FootnoteReference"/>
          <w:rFonts w:ascii="Times New Roman" w:hAnsi="Times New Roman"/>
          <w:sz w:val="24"/>
        </w:rPr>
        <w:footnoteReference w:id="157"/>
      </w:r>
      <w:r w:rsidRPr="00225BAD">
        <w:rPr>
          <w:rFonts w:ascii="Times New Roman" w:hAnsi="Times New Roman"/>
        </w:rPr>
        <w:t>. Foreseen was that the approach it ushered in would bring "a new array of questions in its wake"</w:t>
      </w:r>
      <w:r w:rsidRPr="00225BAD">
        <w:rPr>
          <w:rStyle w:val="FootnoteReference"/>
          <w:rFonts w:ascii="Times New Roman" w:hAnsi="Times New Roman"/>
          <w:sz w:val="24"/>
        </w:rPr>
        <w:footnoteReference w:id="158"/>
      </w:r>
      <w:r w:rsidRPr="00225BAD">
        <w:rPr>
          <w:rFonts w:ascii="Times New Roman" w:hAnsi="Times New Roman"/>
        </w:rPr>
        <w:t xml:space="preserve"> and give rise to "questions of fact and degree on which minds might legitimately differ"</w:t>
      </w:r>
      <w:r w:rsidRPr="00225BAD">
        <w:rPr>
          <w:rStyle w:val="FootnoteReference"/>
          <w:rFonts w:ascii="Times New Roman" w:hAnsi="Times New Roman"/>
          <w:sz w:val="24"/>
        </w:rPr>
        <w:footnoteReference w:id="159"/>
      </w:r>
      <w:r w:rsidRPr="00225BAD">
        <w:rPr>
          <w:rFonts w:ascii="Times New Roman" w:hAnsi="Times New Roman"/>
        </w:rPr>
        <w:t xml:space="preserve">. </w:t>
      </w:r>
    </w:p>
    <w:p w14:paraId="29841574"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Further explained in </w:t>
      </w:r>
      <w:r w:rsidRPr="00225BAD">
        <w:rPr>
          <w:rFonts w:ascii="Times New Roman" w:hAnsi="Times New Roman"/>
          <w:i/>
        </w:rPr>
        <w:t xml:space="preserve">Castlemaine Tooheys Ltd v South Australia </w:t>
      </w:r>
      <w:r w:rsidRPr="00225BAD">
        <w:rPr>
          <w:rFonts w:ascii="Times New Roman" w:hAnsi="Times New Roman"/>
        </w:rPr>
        <w:t>was that "[t]he question whether a particular legislative enactment is a necessary or even a desirable solution to a particular problem is in large measure a political question best left for resolution to the political process" and that a court would be in an invidious position were it to hold "that only such regulation of interstate trade as is in fact necessary for the protection of the community is consistent with the freedom ordained by s 92"</w:t>
      </w:r>
      <w:r w:rsidRPr="00225BAD">
        <w:rPr>
          <w:rStyle w:val="FootnoteReference"/>
          <w:rFonts w:ascii="Times New Roman" w:hAnsi="Times New Roman"/>
          <w:sz w:val="24"/>
        </w:rPr>
        <w:footnoteReference w:id="160"/>
      </w:r>
      <w:r w:rsidRPr="00225BAD">
        <w:rPr>
          <w:rFonts w:ascii="Times New Roman" w:hAnsi="Times New Roman"/>
        </w:rPr>
        <w:t xml:space="preserve">. Drawing on a mode of analysis long adopted in the Supreme Court of the United States in relation to the dormant operation of the commerce clause, </w:t>
      </w:r>
      <w:r w:rsidRPr="00225BAD">
        <w:rPr>
          <w:rFonts w:ascii="Times New Roman" w:hAnsi="Times New Roman"/>
          <w:i/>
        </w:rPr>
        <w:t>Castlemaine Tooheys</w:t>
      </w:r>
      <w:r w:rsidRPr="00225BAD">
        <w:rPr>
          <w:rFonts w:ascii="Times New Roman" w:hAnsi="Times New Roman"/>
        </w:rPr>
        <w:t xml:space="preserve"> addressed the question of whether there existed "an acceptable explanation or justification" for the differential burdening of interstate trade by the legislation in issue in that case by accepting that the legislature had "rational and legitimate grounds" for apprehending that the legislation imposing the differential burden contributed to the resolution of a legislatively identified problem. The manner in which the question was answered was by examining whether the legislative scheme imposing the differential burden was "appropriate and adapted" to the achievement of its legislative purpose such that the "burden imposed on interstate trade was incidental and not disproportionate"</w:t>
      </w:r>
      <w:r w:rsidRPr="00225BAD">
        <w:rPr>
          <w:rStyle w:val="FootnoteReference"/>
          <w:rFonts w:ascii="Times New Roman" w:hAnsi="Times New Roman"/>
          <w:sz w:val="24"/>
        </w:rPr>
        <w:footnoteReference w:id="161"/>
      </w:r>
      <w:r w:rsidRPr="00225BAD">
        <w:rPr>
          <w:rFonts w:ascii="Times New Roman" w:hAnsi="Times New Roman"/>
        </w:rPr>
        <w:t>. Examined in that manner, the legislative scheme was found wanting because the burden it imposed on interstate trade was significantly greater than that sufficient to achieve the legislative object</w:t>
      </w:r>
      <w:r w:rsidRPr="00225BAD">
        <w:rPr>
          <w:rStyle w:val="FootnoteReference"/>
          <w:rFonts w:ascii="Times New Roman" w:hAnsi="Times New Roman"/>
          <w:sz w:val="24"/>
        </w:rPr>
        <w:footnoteReference w:id="162"/>
      </w:r>
      <w:r w:rsidRPr="00225BAD">
        <w:rPr>
          <w:rFonts w:ascii="Times New Roman" w:hAnsi="Times New Roman"/>
        </w:rPr>
        <w:t xml:space="preserve"> and because it contained a wholly unexplained provision for exemption to be granted to intrastate traders</w:t>
      </w:r>
      <w:r w:rsidRPr="00225BAD">
        <w:rPr>
          <w:rStyle w:val="FootnoteReference"/>
          <w:rFonts w:ascii="Times New Roman" w:hAnsi="Times New Roman"/>
          <w:sz w:val="24"/>
        </w:rPr>
        <w:footnoteReference w:id="163"/>
      </w:r>
      <w:r w:rsidRPr="00225BAD">
        <w:rPr>
          <w:rFonts w:ascii="Times New Roman" w:hAnsi="Times New Roman"/>
        </w:rPr>
        <w:t>.</w:t>
      </w:r>
    </w:p>
    <w:p w14:paraId="4B37C6A7"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r>
      <w:r w:rsidRPr="00225BAD">
        <w:rPr>
          <w:rFonts w:ascii="Times New Roman" w:hAnsi="Times New Roman"/>
          <w:i/>
        </w:rPr>
        <w:t xml:space="preserve">Betfair [No 1] </w:t>
      </w:r>
      <w:r w:rsidRPr="00225BAD">
        <w:rPr>
          <w:rFonts w:ascii="Times New Roman" w:hAnsi="Times New Roman"/>
        </w:rPr>
        <w:t xml:space="preserve">refined the standard of appropriateness and adaptedness referred to in </w:t>
      </w:r>
      <w:r w:rsidRPr="00225BAD">
        <w:rPr>
          <w:rFonts w:ascii="Times New Roman" w:hAnsi="Times New Roman"/>
          <w:i/>
        </w:rPr>
        <w:t>Castlemaine Tooheys</w:t>
      </w:r>
      <w:r w:rsidRPr="00225BAD">
        <w:rPr>
          <w:rFonts w:ascii="Times New Roman" w:hAnsi="Times New Roman"/>
        </w:rPr>
        <w:t xml:space="preserve"> into one of reasonable necessity</w:t>
      </w:r>
      <w:r w:rsidRPr="00225BAD">
        <w:rPr>
          <w:rStyle w:val="FootnoteReference"/>
          <w:rFonts w:ascii="Times New Roman" w:hAnsi="Times New Roman"/>
          <w:sz w:val="24"/>
        </w:rPr>
        <w:footnoteReference w:id="164"/>
      </w:r>
      <w:r w:rsidRPr="00225BAD">
        <w:rPr>
          <w:rFonts w:ascii="Times New Roman" w:hAnsi="Times New Roman"/>
        </w:rPr>
        <w:t>. The measure of reasonable necessity, it was then said, "should be accepted as the doctrine of the Court"</w:t>
      </w:r>
      <w:r w:rsidRPr="00225BAD">
        <w:rPr>
          <w:rStyle w:val="FootnoteReference"/>
          <w:rFonts w:ascii="Times New Roman" w:hAnsi="Times New Roman"/>
          <w:sz w:val="24"/>
        </w:rPr>
        <w:footnoteReference w:id="165"/>
      </w:r>
      <w:r w:rsidRPr="00225BAD">
        <w:rPr>
          <w:rFonts w:ascii="Times New Roman" w:hAnsi="Times New Roman"/>
        </w:rPr>
        <w:t>.</w:t>
      </w:r>
    </w:p>
    <w:p w14:paraId="35CCC165"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The significance of </w:t>
      </w:r>
      <w:r w:rsidRPr="00225BAD">
        <w:rPr>
          <w:rFonts w:ascii="Times New Roman" w:hAnsi="Times New Roman"/>
          <w:i/>
        </w:rPr>
        <w:t>Betfair [No 1]</w:t>
      </w:r>
      <w:r w:rsidRPr="00225BAD">
        <w:rPr>
          <w:rFonts w:ascii="Times New Roman" w:hAnsi="Times New Roman"/>
        </w:rPr>
        <w:t xml:space="preserve">'s refinement of </w:t>
      </w:r>
      <w:r w:rsidRPr="00225BAD">
        <w:rPr>
          <w:rFonts w:ascii="Times New Roman" w:hAnsi="Times New Roman"/>
          <w:i/>
        </w:rPr>
        <w:t>Castlemaine Tooheys</w:t>
      </w:r>
      <w:r w:rsidRPr="00225BAD">
        <w:rPr>
          <w:rFonts w:ascii="Times New Roman" w:hAnsi="Times New Roman"/>
        </w:rPr>
        <w:t xml:space="preserve">' standard of appropriateness and adaptedness into one of reasonable necessity needs to be understood against the background of the intervening formulation in </w:t>
      </w:r>
      <w:r w:rsidRPr="00225BAD">
        <w:rPr>
          <w:rFonts w:ascii="Times New Roman" w:hAnsi="Times New Roman"/>
          <w:i/>
        </w:rPr>
        <w:t>Lange v Australian Broadcasting Corporation</w:t>
      </w:r>
      <w:r w:rsidRPr="00225BAD">
        <w:rPr>
          <w:rStyle w:val="FootnoteReference"/>
          <w:rFonts w:ascii="Times New Roman" w:hAnsi="Times New Roman"/>
          <w:sz w:val="24"/>
        </w:rPr>
        <w:footnoteReference w:id="166"/>
      </w:r>
      <w:r w:rsidRPr="00225BAD">
        <w:rPr>
          <w:rFonts w:ascii="Times New Roman" w:hAnsi="Times New Roman"/>
        </w:rPr>
        <w:t xml:space="preserve">, and refinement in </w:t>
      </w:r>
      <w:r w:rsidRPr="00225BAD">
        <w:rPr>
          <w:rFonts w:ascii="Times New Roman" w:hAnsi="Times New Roman"/>
          <w:i/>
        </w:rPr>
        <w:t>Coleman v Power</w:t>
      </w:r>
      <w:r w:rsidRPr="00225BAD">
        <w:rPr>
          <w:rStyle w:val="FootnoteReference"/>
          <w:rFonts w:ascii="Times New Roman" w:hAnsi="Times New Roman"/>
          <w:sz w:val="24"/>
        </w:rPr>
        <w:footnoteReference w:id="167"/>
      </w:r>
      <w:r w:rsidRPr="00225BAD">
        <w:rPr>
          <w:rFonts w:ascii="Times New Roman" w:hAnsi="Times New Roman"/>
        </w:rPr>
        <w:t xml:space="preserve">, of the analytical framework for determining whether a law infringes the implied freedom of political communication. The </w:t>
      </w:r>
      <w:r w:rsidRPr="00225BAD">
        <w:rPr>
          <w:rFonts w:ascii="Times New Roman" w:hAnsi="Times New Roman"/>
          <w:i/>
        </w:rPr>
        <w:t>Lange</w:t>
      </w:r>
      <w:r w:rsidRPr="00225BAD">
        <w:rPr>
          <w:rFonts w:ascii="Times New Roman" w:hAnsi="Times New Roman"/>
        </w:rPr>
        <w:t>-</w:t>
      </w:r>
      <w:r w:rsidRPr="00225BAD">
        <w:rPr>
          <w:rFonts w:ascii="Times New Roman" w:hAnsi="Times New Roman"/>
          <w:i/>
        </w:rPr>
        <w:t>Coleman</w:t>
      </w:r>
      <w:r w:rsidRPr="00225BAD">
        <w:rPr>
          <w:rFonts w:ascii="Times New Roman" w:hAnsi="Times New Roman"/>
        </w:rPr>
        <w:t xml:space="preserve"> analytical framework requires a law burdening political communication, whether differentially or not, to be justified as "reasonably appropriate and adapted" to the advancement of a legitimate purpose in a manner compatible with the maintenance of the constitutionally prescribed system of government. </w:t>
      </w:r>
    </w:p>
    <w:p w14:paraId="0B241989"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r>
      <w:r w:rsidRPr="00225BAD">
        <w:rPr>
          <w:rFonts w:ascii="Times New Roman" w:hAnsi="Times New Roman"/>
          <w:i/>
        </w:rPr>
        <w:t>Lange</w:t>
      </w:r>
      <w:r w:rsidRPr="00225BAD">
        <w:rPr>
          <w:rFonts w:ascii="Times New Roman" w:hAnsi="Times New Roman"/>
        </w:rPr>
        <w:t xml:space="preserve"> had contained the following notation on terminology</w:t>
      </w:r>
      <w:r w:rsidRPr="00225BAD">
        <w:rPr>
          <w:rStyle w:val="FootnoteReference"/>
          <w:rFonts w:ascii="Times New Roman" w:hAnsi="Times New Roman"/>
          <w:sz w:val="24"/>
        </w:rPr>
        <w:footnoteReference w:id="168"/>
      </w:r>
      <w:r w:rsidRPr="00225BAD">
        <w:rPr>
          <w:rFonts w:ascii="Times New Roman" w:hAnsi="Times New Roman"/>
        </w:rPr>
        <w:t>:</w:t>
      </w:r>
    </w:p>
    <w:p w14:paraId="02F44815" w14:textId="77777777" w:rsidR="002D2334" w:rsidRDefault="002D2334" w:rsidP="00225BAD">
      <w:pPr>
        <w:pStyle w:val="leftright"/>
        <w:spacing w:before="0" w:after="260" w:line="280" w:lineRule="exact"/>
        <w:ind w:right="0"/>
        <w:jc w:val="both"/>
        <w:rPr>
          <w:rFonts w:ascii="Times New Roman" w:hAnsi="Times New Roman"/>
        </w:rPr>
      </w:pPr>
      <w:r w:rsidRPr="00225BAD">
        <w:rPr>
          <w:rFonts w:ascii="Times New Roman" w:hAnsi="Times New Roman"/>
        </w:rPr>
        <w:t>"Different formulae have been used by members of this Court in other cases to express the test whether the freedom provided by the Constitution has been infringed. Some judges have expressed the test as whether the law is reasonably appropriate and adapted to the fulfilment of a legitimate purpose. Others have favoured different expressions, including proportionality. In the context of the questions raised by the case stated, there is no need to distinguish these concepts. For ease of expression, throughout these reasons we have used the formulation of reasonably appropriate and adapted."</w:t>
      </w:r>
    </w:p>
    <w:p w14:paraId="707E00A7"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r>
      <w:r w:rsidRPr="00225BAD">
        <w:rPr>
          <w:rFonts w:ascii="Times New Roman" w:hAnsi="Times New Roman"/>
          <w:iCs/>
        </w:rPr>
        <w:t xml:space="preserve">Gleeson CJ had returned to </w:t>
      </w:r>
      <w:r w:rsidRPr="00225BAD">
        <w:rPr>
          <w:rFonts w:ascii="Times New Roman" w:hAnsi="Times New Roman"/>
        </w:rPr>
        <w:t xml:space="preserve">the competing formulae in </w:t>
      </w:r>
      <w:r w:rsidRPr="00225BAD">
        <w:rPr>
          <w:rFonts w:ascii="Times New Roman" w:hAnsi="Times New Roman"/>
          <w:i/>
          <w:iCs/>
        </w:rPr>
        <w:t>Mulholland v Australian Electoral Commission</w:t>
      </w:r>
      <w:r w:rsidRPr="00225BAD">
        <w:rPr>
          <w:rStyle w:val="FootnoteReference"/>
          <w:rFonts w:ascii="Times New Roman" w:hAnsi="Times New Roman"/>
          <w:iCs/>
          <w:sz w:val="24"/>
        </w:rPr>
        <w:footnoteReference w:id="169"/>
      </w:r>
      <w:r w:rsidRPr="00225BAD">
        <w:rPr>
          <w:rFonts w:ascii="Times New Roman" w:hAnsi="Times New Roman"/>
          <w:iCs/>
        </w:rPr>
        <w:t xml:space="preserve">: </w:t>
      </w:r>
    </w:p>
    <w:p w14:paraId="2CEBFB43" w14:textId="77777777" w:rsidR="002D2334" w:rsidRDefault="002D2334" w:rsidP="00225BAD">
      <w:pPr>
        <w:pStyle w:val="LRIndentafterHC"/>
        <w:spacing w:before="0" w:after="260" w:line="280" w:lineRule="exact"/>
        <w:ind w:right="0"/>
        <w:jc w:val="both"/>
        <w:rPr>
          <w:rFonts w:ascii="Times New Roman" w:hAnsi="Times New Roman"/>
        </w:rPr>
      </w:pPr>
      <w:r w:rsidRPr="00225BAD">
        <w:rPr>
          <w:rFonts w:ascii="Times New Roman" w:hAnsi="Times New Roman"/>
        </w:rPr>
        <w:t>"Whichever expression is used, what is important is the substance of the idea it is intended to convey. Judicial review of legislative action, for the purpose of deciding whether it conforms to the limitations on power imposed by the Constitution, does not involve the substitution of the opinions of judges for those of legislators upon contestable issues of policy. When this Court declares legislation to be beyond power, or to infringe some freedom required by the Constitution to be respected, it applies an external standard. Individual judgments as to the application of that standard may differ, but differences of judicial opinion about the application of a constitutional standard do not imply that the Constitution means what judges want it to mean, or that the Constitution says what judges would prefer it to say."</w:t>
      </w:r>
    </w:p>
    <w:p w14:paraId="7412F5CE"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Gleeson CJ had observed that "[f]or a court to describe a law as reasonably appropriate and adapted to a legitimate end is to use a formula which is intended, among other things, to express the limits between legitimate judicial scrutiny, and illegitimate judicial encroachment upon an area of legislative power"</w:t>
      </w:r>
      <w:r w:rsidRPr="00225BAD">
        <w:rPr>
          <w:rStyle w:val="FootnoteReference"/>
          <w:rFonts w:ascii="Times New Roman" w:hAnsi="Times New Roman"/>
          <w:sz w:val="24"/>
        </w:rPr>
        <w:footnoteReference w:id="170"/>
      </w:r>
      <w:r w:rsidRPr="00225BAD">
        <w:rPr>
          <w:rFonts w:ascii="Times New Roman" w:hAnsi="Times New Roman"/>
        </w:rPr>
        <w:t xml:space="preserve">. His Honour had observed that "[t]he concept of proportionality has both the advantage that it is commonly used in other jurisdictions in similar fields of discourse, and the disadvantage that, in the course of such use, it has taken on elaborations that vary in content, and that may be imported </w:t>
      </w:r>
      <w:r w:rsidRPr="00225BAD">
        <w:rPr>
          <w:rFonts w:ascii="Times New Roman" w:hAnsi="Times New Roman"/>
          <w:iCs/>
        </w:rPr>
        <w:t>sub silentio</w:t>
      </w:r>
      <w:r w:rsidRPr="00225BAD">
        <w:rPr>
          <w:rFonts w:ascii="Times New Roman" w:hAnsi="Times New Roman"/>
        </w:rPr>
        <w:t xml:space="preserve"> into a different context without explanation"</w:t>
      </w:r>
      <w:r w:rsidRPr="00225BAD">
        <w:rPr>
          <w:rStyle w:val="FootnoteReference"/>
          <w:rFonts w:ascii="Times New Roman" w:hAnsi="Times New Roman"/>
          <w:sz w:val="24"/>
        </w:rPr>
        <w:footnoteReference w:id="171"/>
      </w:r>
      <w:r w:rsidRPr="00225BAD">
        <w:rPr>
          <w:rFonts w:ascii="Times New Roman" w:hAnsi="Times New Roman"/>
        </w:rPr>
        <w:t xml:space="preserve">. </w:t>
      </w:r>
    </w:p>
    <w:p w14:paraId="166CD015"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Having treated appropriateness and adaptedness and proportionality as broadly equivalent expressions of the constitutional standard, however, Gleeson CJ had gone on in </w:t>
      </w:r>
      <w:r w:rsidRPr="00225BAD">
        <w:rPr>
          <w:rFonts w:ascii="Times New Roman" w:hAnsi="Times New Roman"/>
          <w:i/>
          <w:iCs/>
        </w:rPr>
        <w:t>Mulholland</w:t>
      </w:r>
      <w:r w:rsidRPr="00225BAD">
        <w:rPr>
          <w:rFonts w:ascii="Times New Roman" w:hAnsi="Times New Roman"/>
        </w:rPr>
        <w:t xml:space="preserve"> to adopt the terminology of reasonable necessity as the appropriate expression of the measure of justification required of a law which targeted political communication, as distinct from a law of general application which merely burdened political communication in the same way as it burdened other communication. His Honour had explained the application of that more stringent measure "to involve close scrutiny, congruent with a search for 'compelling justification'"</w:t>
      </w:r>
      <w:r w:rsidRPr="00225BAD">
        <w:rPr>
          <w:rStyle w:val="FootnoteReference"/>
          <w:rFonts w:ascii="Times New Roman" w:hAnsi="Times New Roman"/>
          <w:sz w:val="24"/>
        </w:rPr>
        <w:footnoteReference w:id="172"/>
      </w:r>
      <w:r w:rsidRPr="00225BAD">
        <w:rPr>
          <w:rFonts w:ascii="Times New Roman" w:hAnsi="Times New Roman"/>
        </w:rPr>
        <w:t xml:space="preserve">. In a subsequent discussion in </w:t>
      </w:r>
      <w:r w:rsidRPr="00225BAD">
        <w:rPr>
          <w:rFonts w:ascii="Times New Roman" w:hAnsi="Times New Roman"/>
          <w:i/>
        </w:rPr>
        <w:t>Thomas v Mowbray</w:t>
      </w:r>
      <w:r w:rsidRPr="00225BAD">
        <w:rPr>
          <w:rStyle w:val="FootnoteReference"/>
          <w:rFonts w:ascii="Times New Roman" w:hAnsi="Times New Roman"/>
          <w:sz w:val="24"/>
        </w:rPr>
        <w:footnoteReference w:id="173"/>
      </w:r>
      <w:r w:rsidRPr="00225BAD">
        <w:rPr>
          <w:rFonts w:ascii="Times New Roman" w:hAnsi="Times New Roman"/>
        </w:rPr>
        <w:t xml:space="preserve">, </w:t>
      </w:r>
      <w:r w:rsidRPr="00225BAD" w:rsidDel="0019706C">
        <w:rPr>
          <w:rFonts w:ascii="Times New Roman" w:hAnsi="Times New Roman"/>
        </w:rPr>
        <w:t>to</w:t>
      </w:r>
      <w:r w:rsidRPr="00225BAD">
        <w:rPr>
          <w:rFonts w:ascii="Times New Roman" w:hAnsi="Times New Roman"/>
        </w:rPr>
        <w:t xml:space="preserve"> which attention was drawn </w:t>
      </w:r>
      <w:r w:rsidRPr="00225BAD" w:rsidDel="0019706C">
        <w:rPr>
          <w:rFonts w:ascii="Times New Roman" w:hAnsi="Times New Roman"/>
        </w:rPr>
        <w:t>in</w:t>
      </w:r>
      <w:r w:rsidRPr="00225BAD">
        <w:rPr>
          <w:rFonts w:ascii="Times New Roman" w:hAnsi="Times New Roman"/>
        </w:rPr>
        <w:t xml:space="preserve"> </w:t>
      </w:r>
      <w:r w:rsidRPr="00225BAD">
        <w:rPr>
          <w:rFonts w:ascii="Times New Roman" w:hAnsi="Times New Roman"/>
          <w:i/>
        </w:rPr>
        <w:t>Betfair [No 1]</w:t>
      </w:r>
      <w:r w:rsidRPr="00225BAD">
        <w:rPr>
          <w:rStyle w:val="FootnoteReference"/>
          <w:rFonts w:ascii="Times New Roman" w:hAnsi="Times New Roman"/>
          <w:sz w:val="24"/>
        </w:rPr>
        <w:footnoteReference w:id="174"/>
      </w:r>
      <w:r w:rsidRPr="00225BAD">
        <w:rPr>
          <w:rFonts w:ascii="Times New Roman" w:hAnsi="Times New Roman"/>
        </w:rPr>
        <w:t xml:space="preserve">, Gleeson CJ noted that "reasonable necessity" conveys a standard for the making of an evaluative judgment of a nature not uncommonly undertaken in the judicial process across a range of subject-matters. </w:t>
      </w:r>
    </w:p>
    <w:p w14:paraId="67776D00"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Reasonable necessity, it is important to recognise, expresses a standard that guides the making of an evaluative judgment as distinct from a test that substitutes for the making of an evaluative judgment. The standard cannot be reduced to the presence or absence of a single factor or of a predetermined range of factors. Justification of a burden by reference to the more general standard of appropriateness and adaptedness or proportionality being a matter of degree, reasonable necessity signifies that the requisite degree of justification is high. Correspondingly, reasonable necessity indicates a need for a heightened level of scrutiny. </w:t>
      </w:r>
    </w:p>
    <w:p w14:paraId="6B9D7BC1"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Against that background, the standard of reasonable necessity can be seen to have been adopted in </w:t>
      </w:r>
      <w:r w:rsidRPr="00225BAD">
        <w:rPr>
          <w:rFonts w:ascii="Times New Roman" w:hAnsi="Times New Roman"/>
          <w:i/>
        </w:rPr>
        <w:t>Betfair [No 1]</w:t>
      </w:r>
      <w:r w:rsidRPr="00225BAD">
        <w:rPr>
          <w:rFonts w:ascii="Times New Roman" w:hAnsi="Times New Roman"/>
        </w:rPr>
        <w:t>, in preference to continuing with the more general expressions of appropriateness and adaptedness or proportionality, in order to convey the stringency of the scrutiny to be applied to determine the acceptability of a proffered justification for a differential burden on interstate trade or commerce. Then pointed out</w:t>
      </w:r>
      <w:r w:rsidRPr="00225BAD">
        <w:rPr>
          <w:rStyle w:val="FootnoteReference"/>
          <w:rFonts w:ascii="Times New Roman" w:hAnsi="Times New Roman"/>
          <w:sz w:val="24"/>
        </w:rPr>
        <w:footnoteReference w:id="175"/>
      </w:r>
      <w:r w:rsidRPr="00225BAD">
        <w:rPr>
          <w:rFonts w:ascii="Times New Roman" w:hAnsi="Times New Roman"/>
        </w:rPr>
        <w:t xml:space="preserve"> was that the heightened standard of reasonable necessity had in fact been met by the differential burden on interstate trade held to comply with the trade and commerce limb in </w:t>
      </w:r>
      <w:r w:rsidRPr="00225BAD">
        <w:rPr>
          <w:rFonts w:ascii="Times New Roman" w:hAnsi="Times New Roman"/>
          <w:i/>
        </w:rPr>
        <w:t>Cole v Whitfield</w:t>
      </w:r>
      <w:r w:rsidRPr="00225BAD">
        <w:rPr>
          <w:rFonts w:ascii="Times New Roman" w:hAnsi="Times New Roman"/>
        </w:rPr>
        <w:t>. Also pointed out</w:t>
      </w:r>
      <w:r w:rsidRPr="00225BAD">
        <w:rPr>
          <w:rStyle w:val="FootnoteReference"/>
          <w:rFonts w:ascii="Times New Roman" w:hAnsi="Times New Roman"/>
          <w:sz w:val="24"/>
        </w:rPr>
        <w:footnoteReference w:id="176"/>
      </w:r>
      <w:r w:rsidRPr="00225BAD">
        <w:rPr>
          <w:rFonts w:ascii="Times New Roman" w:hAnsi="Times New Roman"/>
        </w:rPr>
        <w:t xml:space="preserve"> was that the heightened standard had been applied by Mason J in </w:t>
      </w:r>
      <w:r w:rsidRPr="00225BAD">
        <w:rPr>
          <w:rFonts w:ascii="Times New Roman" w:hAnsi="Times New Roman"/>
          <w:i/>
        </w:rPr>
        <w:t>North Eastern Dairy Co Ltd v Dairy Industry Authority of NSW</w:t>
      </w:r>
      <w:r w:rsidRPr="00225BAD">
        <w:rPr>
          <w:rStyle w:val="FootnoteReference"/>
          <w:rFonts w:ascii="Times New Roman" w:hAnsi="Times New Roman"/>
          <w:sz w:val="24"/>
        </w:rPr>
        <w:footnoteReference w:id="177"/>
      </w:r>
      <w:r w:rsidRPr="00225BAD">
        <w:rPr>
          <w:rFonts w:ascii="Times New Roman" w:hAnsi="Times New Roman"/>
          <w:i/>
        </w:rPr>
        <w:t xml:space="preserve"> </w:t>
      </w:r>
      <w:r w:rsidRPr="00225BAD">
        <w:rPr>
          <w:rFonts w:ascii="Times New Roman" w:hAnsi="Times New Roman"/>
        </w:rPr>
        <w:t>to hold that the differential burden on interstate trade in that case had not been justified as "necessary for the protection of public health".</w:t>
      </w:r>
    </w:p>
    <w:p w14:paraId="13A18464"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The standard of reasonable necessity so accepted for the purpose of s 92 as expressing the measure of justification demanded by the trade and commerce limb for a law imposing a differential burden on interstate trade or commerce, as I have already noted, equally expresses the measure of justification demanded by the intercourse limb for a law imposing a differential burden on interstate intercourse.</w:t>
      </w:r>
    </w:p>
    <w:p w14:paraId="3660ABBF"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The question to which I now turn is whether the standard of reasonable necessity should be supplemented or supplanted by structured proportionality of the kind imported as a "tool of analysis" or "test" for considering the application of the implied freedom of political communication in </w:t>
      </w:r>
      <w:r w:rsidRPr="00225BAD">
        <w:rPr>
          <w:rFonts w:ascii="Times New Roman" w:hAnsi="Times New Roman"/>
          <w:i/>
        </w:rPr>
        <w:t>McCloy v New South Wales</w:t>
      </w:r>
      <w:r w:rsidRPr="00225BAD">
        <w:rPr>
          <w:rStyle w:val="FootnoteReference"/>
          <w:rFonts w:ascii="Times New Roman" w:hAnsi="Times New Roman"/>
          <w:sz w:val="24"/>
        </w:rPr>
        <w:footnoteReference w:id="178"/>
      </w:r>
      <w:r w:rsidRPr="00225BAD">
        <w:rPr>
          <w:rFonts w:ascii="Times New Roman" w:hAnsi="Times New Roman"/>
        </w:rPr>
        <w:t>. Here I am conscious of being drawn yet again into an abstracted debate about methodology more appropriate to the pages of a law review than to the pages of a law report.</w:t>
      </w:r>
    </w:p>
    <w:p w14:paraId="35A999CD"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Over the years, I have followed the march of structured proportionality from its German homeland, first to South Africa, then to Canada, and then to other common law jurisdictions, before its entry into Australia in </w:t>
      </w:r>
      <w:r w:rsidRPr="00225BAD">
        <w:rPr>
          <w:rFonts w:ascii="Times New Roman" w:hAnsi="Times New Roman"/>
          <w:i/>
        </w:rPr>
        <w:t>McCloy</w:t>
      </w:r>
      <w:r w:rsidRPr="00225BAD">
        <w:rPr>
          <w:rFonts w:ascii="Times New Roman" w:hAnsi="Times New Roman"/>
        </w:rPr>
        <w:t xml:space="preserve">. I understand its attraction. I unreservedly share the aspiration of those who adhere to it to produce predictable outcomes through a transparent process of reasoning employing judicially manageable standards. </w:t>
      </w:r>
    </w:p>
    <w:p w14:paraId="467E1807"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Going further, I embrace the need to distinguish legislatively chosen means (what the law does) from legislatively chosen ends (what the law is designed to achieve) when applying any standard of justification in novel circumstances to determine whether a law infringes a constitutional guarantee. I embrace the need to consider how and to what extent the legislatively chosen means impact on the freedom protected by the constitutional guarantee. I embrace the need to consider the degree of connection between the legislatively chosen means and the legislatively chosen ends. I accept that, in so doing, there can often be utility in considering whether, and if so what, other means of achieving the same or similar ends might have a less drastic impact on the freedom protected by the constitutional guarantee. And I accept that need can arise to consider the systemic benefit of achieving the legislatively chosen ends relative to the systemic detriment caused by the impact of the legislatively chosen means on the freedom protected by the constitutional guarantee. All of that is to acknowledge the dimensions of the overall inquiry inherent in a novel application of the standard. I can even concede that there might be utility in attaching standardised labels to subsidiary inquiries indicated by those dimensions. </w:t>
      </w:r>
    </w:p>
    <w:p w14:paraId="6E6C941D"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To be clear, my concern is with </w:t>
      </w:r>
      <w:r w:rsidRPr="00225BAD">
        <w:rPr>
          <w:rFonts w:ascii="Times New Roman" w:hAnsi="Times New Roman"/>
          <w:i/>
        </w:rPr>
        <w:t>structured</w:t>
      </w:r>
      <w:r w:rsidRPr="00225BAD">
        <w:rPr>
          <w:rFonts w:ascii="Times New Roman" w:hAnsi="Times New Roman"/>
        </w:rPr>
        <w:t xml:space="preserve"> proportionality ("Verhältnismäßigkeit"), of the kind translated and presented in tabular form in </w:t>
      </w:r>
      <w:r w:rsidRPr="00225BAD">
        <w:rPr>
          <w:rFonts w:ascii="Times New Roman" w:hAnsi="Times New Roman"/>
          <w:i/>
        </w:rPr>
        <w:t>McCloy</w:t>
      </w:r>
      <w:r w:rsidRPr="00225BAD">
        <w:rPr>
          <w:rStyle w:val="FootnoteReference"/>
          <w:rFonts w:ascii="Times New Roman" w:hAnsi="Times New Roman"/>
          <w:sz w:val="24"/>
        </w:rPr>
        <w:footnoteReference w:id="179"/>
      </w:r>
      <w:r w:rsidRPr="00225BAD">
        <w:rPr>
          <w:rFonts w:ascii="Times New Roman" w:hAnsi="Times New Roman"/>
        </w:rPr>
        <w:t>, and of the kind which the Second Senate of the German Federal Constitutional Court recently castigated the European Court of Justice for failing to understand</w:t>
      </w:r>
      <w:r w:rsidRPr="00225BAD">
        <w:rPr>
          <w:rStyle w:val="FootnoteReference"/>
          <w:rFonts w:ascii="Times New Roman" w:hAnsi="Times New Roman"/>
          <w:sz w:val="24"/>
        </w:rPr>
        <w:footnoteReference w:id="180"/>
      </w:r>
      <w:r w:rsidRPr="00225BAD">
        <w:rPr>
          <w:rFonts w:ascii="Times New Roman" w:hAnsi="Times New Roman"/>
        </w:rPr>
        <w:t>. Structured proportionality commands the undertaking of consecutive inquiries into "suitability" ("Geeignetheit"), "necessity" ("Erforderlichkeit"), and "adequacy of balance" ("Zumutbarkeit") or "appropriateness" ("Angemessenheit"). Structured proportionality exhaustively defines, and in so doing confines, each of those standardised inquiries. Relevant considerations not captured within "suitability", as strictly defined, or "necessity", as strictly defined, are pushed down to be swept up in the residual inquiry into "adequacy of balance" or "appropriateness".</w:t>
      </w:r>
    </w:p>
    <w:p w14:paraId="567B18FD"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Quite apart from my reservations about judicial importation of a tool of legal analysis forged in a different institutional setting within a different intellectual tradition and social and political milieu where it has been deployed for different purposes, my concern about structured proportionality as a tool of legal analysis, as I have sought to explain before</w:t>
      </w:r>
      <w:r w:rsidRPr="00225BAD">
        <w:rPr>
          <w:rStyle w:val="FootnoteReference"/>
          <w:rFonts w:ascii="Times New Roman" w:hAnsi="Times New Roman"/>
          <w:sz w:val="24"/>
        </w:rPr>
        <w:footnoteReference w:id="181"/>
      </w:r>
      <w:r w:rsidRPr="00225BAD">
        <w:rPr>
          <w:rFonts w:ascii="Times New Roman" w:hAnsi="Times New Roman"/>
        </w:rPr>
        <w:t xml:space="preserve">, is with its rigidity. </w:t>
      </w:r>
    </w:p>
    <w:p w14:paraId="4B7A96DF"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Part of my concern is that the sequencing and linguistic precision of the standardised three-stage test tends to obscure the purpose for which the overall inquiry is undertaken. In consequence, it tends to lessen the sensitivity of the overall inquiry to the constitutional values which underlie the constitutional freedom protected by the constitutional guarantee at stake</w:t>
      </w:r>
      <w:r w:rsidRPr="00225BAD">
        <w:rPr>
          <w:rStyle w:val="FootnoteReference"/>
          <w:rFonts w:ascii="Times New Roman" w:hAnsi="Times New Roman"/>
          <w:sz w:val="24"/>
        </w:rPr>
        <w:footnoteReference w:id="182"/>
      </w:r>
      <w:r w:rsidRPr="00225BAD">
        <w:rPr>
          <w:rFonts w:ascii="Times New Roman" w:hAnsi="Times New Roman"/>
        </w:rPr>
        <w:t>. Oliver Wendell Holmes emphasised "the need of scrutinizing the reasons for the rules which we follow". "We must", as he put it, "think things not words, or at least we must constantly translate our words into the facts for which they stand, if we are to keep to the real and the true."</w:t>
      </w:r>
      <w:r w:rsidRPr="00225BAD">
        <w:rPr>
          <w:rStyle w:val="FootnoteReference"/>
          <w:rFonts w:ascii="Times New Roman" w:hAnsi="Times New Roman"/>
          <w:sz w:val="24"/>
        </w:rPr>
        <w:footnoteReference w:id="183"/>
      </w:r>
      <w:r w:rsidRPr="00225BAD">
        <w:rPr>
          <w:rFonts w:ascii="Times New Roman" w:hAnsi="Times New Roman"/>
        </w:rPr>
        <w:t xml:space="preserve"> </w:t>
      </w:r>
    </w:p>
    <w:p w14:paraId="38FAD79B"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Another part of my concern is that the limited scope of the analysis required and permitted at each stage of the standardised three-stage test tends to shape the overall inquiry in ways that actually work against the goal of producing predictable outcomes through a transparent process of reasoning. Factors having no, or little, bearing on the true inquiry thrown up by the facts and the law in a particular case that are required by the standardised verbal formulae to be considered in sequence end up receiving unwarranted analytical prominence. Factors bearing on the true inquiry thrown up by the facts and the law in a particular case that do not readily fit within any of the standardised verbal formulae end up suffering one or more of a number of possible fates. They get ignored or suppressed or downplayed. They get squeezed into one or more of the standardised verbal formulae in a manner that distorts the identification of the factors themselves or that distorts the language in which the formulae are expressed. Or they get accommodated through the creation of qualifications, which get patched onto, or carved out of, the standardised verbal formulae, creating rules upon rules</w:t>
      </w:r>
      <w:r w:rsidRPr="00225BAD">
        <w:rPr>
          <w:rStyle w:val="FootnoteReference"/>
          <w:rFonts w:ascii="Times New Roman" w:hAnsi="Times New Roman"/>
          <w:sz w:val="24"/>
        </w:rPr>
        <w:footnoteReference w:id="184"/>
      </w:r>
      <w:r w:rsidRPr="00225BAD">
        <w:rPr>
          <w:rFonts w:ascii="Times New Roman" w:hAnsi="Times New Roman"/>
        </w:rPr>
        <w:t xml:space="preserve">. </w:t>
      </w:r>
    </w:p>
    <w:p w14:paraId="0A2E330C"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Australian constitutional history has taught us, the hard way, that evaluative judgment is inescapable in constitutional adjudication and that no good can come of attempting to avoid it or unduly to canalise it. The natural judicial tendency to the creation of rules in the hope of generating predictable outcomes on constitutional issues of social and economic significance drove the adoption of both the "criterion of operation" doctrine formulated to govern application of s 92</w:t>
      </w:r>
      <w:r w:rsidRPr="00225BAD">
        <w:rPr>
          <w:rStyle w:val="FootnoteReference"/>
          <w:rFonts w:ascii="Times New Roman" w:hAnsi="Times New Roman"/>
          <w:sz w:val="24"/>
        </w:rPr>
        <w:footnoteReference w:id="185"/>
      </w:r>
      <w:r w:rsidRPr="00225BAD">
        <w:rPr>
          <w:rFonts w:ascii="Times New Roman" w:hAnsi="Times New Roman"/>
        </w:rPr>
        <w:t xml:space="preserve"> and the associated "criterion of liability" doctrine formulated to govern application of s 90 of the </w:t>
      </w:r>
      <w:r w:rsidRPr="00225BAD">
        <w:rPr>
          <w:rFonts w:ascii="Times New Roman" w:hAnsi="Times New Roman"/>
          <w:i/>
        </w:rPr>
        <w:t>Constitution</w:t>
      </w:r>
      <w:r w:rsidRPr="00225BAD">
        <w:rPr>
          <w:rStyle w:val="FootnoteReference"/>
          <w:rFonts w:ascii="Times New Roman" w:hAnsi="Times New Roman"/>
          <w:sz w:val="24"/>
        </w:rPr>
        <w:footnoteReference w:id="186"/>
      </w:r>
      <w:r w:rsidRPr="00225BAD">
        <w:rPr>
          <w:rFonts w:ascii="Times New Roman" w:hAnsi="Times New Roman"/>
        </w:rPr>
        <w:t>. Both doctrines were shown through experience to produce neither predictability nor transparency but only confusion</w:t>
      </w:r>
      <w:r w:rsidRPr="00225BAD">
        <w:rPr>
          <w:rStyle w:val="FootnoteReference"/>
          <w:rFonts w:ascii="Times New Roman" w:hAnsi="Times New Roman"/>
          <w:sz w:val="24"/>
        </w:rPr>
        <w:footnoteReference w:id="187"/>
      </w:r>
      <w:r w:rsidRPr="00225BAD">
        <w:rPr>
          <w:rFonts w:ascii="Times New Roman" w:hAnsi="Times New Roman"/>
        </w:rPr>
        <w:t xml:space="preserve">. Both were ultimately discarded: the first in </w:t>
      </w:r>
      <w:r w:rsidRPr="00225BAD">
        <w:rPr>
          <w:rFonts w:ascii="Times New Roman" w:hAnsi="Times New Roman"/>
          <w:i/>
        </w:rPr>
        <w:t>Cole v Whitfield</w:t>
      </w:r>
      <w:r w:rsidRPr="00225BAD">
        <w:rPr>
          <w:rFonts w:ascii="Times New Roman" w:hAnsi="Times New Roman"/>
        </w:rPr>
        <w:t xml:space="preserve">, the second in </w:t>
      </w:r>
      <w:r w:rsidRPr="00225BAD">
        <w:rPr>
          <w:rFonts w:ascii="Times New Roman" w:hAnsi="Times New Roman"/>
          <w:i/>
        </w:rPr>
        <w:t>Ha v New South Wales</w:t>
      </w:r>
      <w:r w:rsidRPr="00225BAD">
        <w:rPr>
          <w:rStyle w:val="FootnoteReference"/>
          <w:rFonts w:ascii="Times New Roman" w:hAnsi="Times New Roman"/>
          <w:sz w:val="24"/>
        </w:rPr>
        <w:footnoteReference w:id="188"/>
      </w:r>
      <w:r w:rsidRPr="00225BAD">
        <w:rPr>
          <w:rFonts w:ascii="Times New Roman" w:hAnsi="Times New Roman"/>
        </w:rPr>
        <w:t>.</w:t>
      </w:r>
    </w:p>
    <w:p w14:paraId="29690FC1"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Of the criterion of operation doctrine, </w:t>
      </w:r>
      <w:r w:rsidRPr="00225BAD">
        <w:rPr>
          <w:rFonts w:ascii="Times New Roman" w:hAnsi="Times New Roman"/>
          <w:i/>
        </w:rPr>
        <w:t>Cole v Whitfield</w:t>
      </w:r>
      <w:r w:rsidRPr="00225BAD">
        <w:rPr>
          <w:rFonts w:ascii="Times New Roman" w:hAnsi="Times New Roman"/>
        </w:rPr>
        <w:t xml:space="preserve"> noted that it "appeared to have the advantage of certainty, but that advantage proved to be illusory"</w:t>
      </w:r>
      <w:r w:rsidRPr="00225BAD">
        <w:rPr>
          <w:rStyle w:val="FootnoteReference"/>
          <w:rFonts w:ascii="Times New Roman" w:hAnsi="Times New Roman"/>
          <w:sz w:val="24"/>
        </w:rPr>
        <w:footnoteReference w:id="189"/>
      </w:r>
      <w:r w:rsidRPr="00225BAD">
        <w:rPr>
          <w:rFonts w:ascii="Times New Roman" w:hAnsi="Times New Roman"/>
        </w:rPr>
        <w:t xml:space="preserve">. </w:t>
      </w:r>
      <w:r w:rsidRPr="00225BAD">
        <w:rPr>
          <w:rFonts w:ascii="Times New Roman" w:hAnsi="Times New Roman"/>
          <w:i/>
        </w:rPr>
        <w:t xml:space="preserve">Cole v Whitfield </w:t>
      </w:r>
      <w:r w:rsidRPr="00225BAD">
        <w:rPr>
          <w:rFonts w:ascii="Times New Roman" w:hAnsi="Times New Roman"/>
        </w:rPr>
        <w:t>elaborated</w:t>
      </w:r>
      <w:r w:rsidRPr="00225BAD">
        <w:rPr>
          <w:rStyle w:val="FootnoteReference"/>
          <w:rFonts w:ascii="Times New Roman" w:hAnsi="Times New Roman"/>
          <w:sz w:val="24"/>
        </w:rPr>
        <w:footnoteReference w:id="190"/>
      </w:r>
      <w:r w:rsidRPr="00225BAD">
        <w:rPr>
          <w:rFonts w:ascii="Times New Roman" w:hAnsi="Times New Roman"/>
        </w:rPr>
        <w:t xml:space="preserve">: </w:t>
      </w:r>
    </w:p>
    <w:p w14:paraId="3E8E2206" w14:textId="77777777" w:rsidR="002D2334" w:rsidRDefault="002D2334" w:rsidP="00225BAD">
      <w:pPr>
        <w:pStyle w:val="leftright"/>
        <w:spacing w:before="0" w:after="260" w:line="280" w:lineRule="exact"/>
        <w:ind w:right="0"/>
        <w:jc w:val="both"/>
        <w:rPr>
          <w:rFonts w:ascii="Times New Roman" w:hAnsi="Times New Roman"/>
        </w:rPr>
      </w:pPr>
      <w:r w:rsidRPr="00225BAD">
        <w:rPr>
          <w:rFonts w:ascii="Times New Roman" w:hAnsi="Times New Roman"/>
        </w:rPr>
        <w:t>"In truth the history of the doctrine is an indication of the hazards of seeking certainty of operation of a constitutional guarantee through the medium of an artificial formula. Either the formula is consistently applied and subverts the substance of the guarantee; or an attempt is made to achieve uniformly satisfactory outcomes and the formula becomes uncertain in its application."</w:t>
      </w:r>
    </w:p>
    <w:p w14:paraId="6DBC21E2"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Writing extra-judicially at a time when the criterion of operation and criterion of liability doctrines were unravelling, Sir Kenneth Jacobs (in a passage to which I have drawn attention in the past</w:t>
      </w:r>
      <w:r w:rsidRPr="00225BAD">
        <w:rPr>
          <w:rStyle w:val="FootnoteReference"/>
          <w:rFonts w:ascii="Times New Roman" w:hAnsi="Times New Roman"/>
          <w:sz w:val="24"/>
        </w:rPr>
        <w:footnoteReference w:id="191"/>
      </w:r>
      <w:r w:rsidRPr="00225BAD">
        <w:rPr>
          <w:rFonts w:ascii="Times New Roman" w:hAnsi="Times New Roman"/>
        </w:rPr>
        <w:t>) stated</w:t>
      </w:r>
      <w:r w:rsidRPr="00225BAD">
        <w:rPr>
          <w:rStyle w:val="FootnoteReference"/>
          <w:rFonts w:ascii="Times New Roman" w:hAnsi="Times New Roman"/>
          <w:sz w:val="24"/>
        </w:rPr>
        <w:footnoteReference w:id="192"/>
      </w:r>
      <w:r w:rsidRPr="00225BAD">
        <w:rPr>
          <w:rFonts w:ascii="Times New Roman" w:hAnsi="Times New Roman"/>
        </w:rPr>
        <w:t>:</w:t>
      </w:r>
    </w:p>
    <w:p w14:paraId="656CD5E8" w14:textId="77777777" w:rsidR="002D2334" w:rsidRDefault="002D2334" w:rsidP="00225BAD">
      <w:pPr>
        <w:pStyle w:val="leftright"/>
        <w:spacing w:before="0" w:after="260" w:line="280" w:lineRule="exact"/>
        <w:ind w:right="0"/>
        <w:jc w:val="both"/>
        <w:rPr>
          <w:rFonts w:ascii="Times New Roman" w:hAnsi="Times New Roman"/>
        </w:rPr>
      </w:pPr>
      <w:r w:rsidRPr="00225BAD">
        <w:rPr>
          <w:rFonts w:ascii="Times New Roman" w:hAnsi="Times New Roman"/>
        </w:rPr>
        <w:t>"Linguistic refinement of concept (much less mere verbalisation) is no substitute for social reality; it can, indeed, result in fineness of distinction which makes it ever more difficult to predict a course of judicial decision. On the other hand, an overtly imprecise concept can yield a degree of certainty in application, provided the reasons for choice are also made as overt as we can. The test of reasonableness and unreasonableness may often yield more certainty than many rules of law couched in terms of apparent precision and decisiveness."</w:t>
      </w:r>
    </w:p>
    <w:p w14:paraId="1B571A66" w14:textId="77777777" w:rsidR="002D2334" w:rsidRPr="00225BAD" w:rsidRDefault="002D2334" w:rsidP="00225BAD">
      <w:pPr>
        <w:pStyle w:val="NormalBody"/>
        <w:spacing w:after="260" w:line="280" w:lineRule="exact"/>
        <w:ind w:right="0"/>
        <w:jc w:val="both"/>
        <w:rPr>
          <w:rFonts w:ascii="Times New Roman" w:hAnsi="Times New Roman"/>
        </w:rPr>
      </w:pPr>
      <w:r w:rsidRPr="00225BAD">
        <w:rPr>
          <w:rFonts w:ascii="Times New Roman" w:hAnsi="Times New Roman"/>
        </w:rPr>
        <w:t>After making the point that "[i]n the law of negligence the uncertain test of reasonableness gives much more predictability of outcome for a particular case than can be found when such a prediction must be based on some rules of law, in the conditions to which the games which lawyers play have reduced these rules", Sir Kenneth continued:</w:t>
      </w:r>
    </w:p>
    <w:p w14:paraId="779C6ADB" w14:textId="77777777" w:rsidR="002D2334" w:rsidRDefault="002D2334" w:rsidP="00225BAD">
      <w:pPr>
        <w:pStyle w:val="LRIndentafterHC"/>
        <w:spacing w:before="0" w:after="260" w:line="280" w:lineRule="exact"/>
        <w:ind w:right="0"/>
        <w:jc w:val="both"/>
        <w:rPr>
          <w:rFonts w:ascii="Times New Roman" w:hAnsi="Times New Roman"/>
        </w:rPr>
      </w:pPr>
      <w:r w:rsidRPr="00225BAD">
        <w:rPr>
          <w:rFonts w:ascii="Times New Roman" w:hAnsi="Times New Roman"/>
        </w:rPr>
        <w:t>"The law which seeks certainty in reasoning, which attends to verbal distinction while ignoring or affecting to ignore social reality, becomes truly uncertain in the sense that it becomes increasingly impossible to predict the course which decisions are likely to take. It is only as the area of choice becomes recognised and the factors operating to determine that choice are also then recognised, that one can feel any assurance upon the likely course of legal decision. This may not have been of such great importance in a society where the law-makers constituted by and large a single socially conscious group, as it surely is in the pluralist society which we now have."</w:t>
      </w:r>
    </w:p>
    <w:p w14:paraId="46BC4F6A"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Since </w:t>
      </w:r>
      <w:r w:rsidRPr="00225BAD">
        <w:rPr>
          <w:rFonts w:ascii="Times New Roman" w:hAnsi="Times New Roman"/>
          <w:i/>
        </w:rPr>
        <w:t>McCloy</w:t>
      </w:r>
      <w:r w:rsidRPr="00225BAD">
        <w:rPr>
          <w:rFonts w:ascii="Times New Roman" w:hAnsi="Times New Roman"/>
        </w:rPr>
        <w:t xml:space="preserve">, structured proportionality has not come to dominate all facets of our constitutional analysis. It was treated as "inapposite" in determining whether electoral procedures were compatible with the constitutionally prescribed system of representative government in </w:t>
      </w:r>
      <w:r w:rsidRPr="00225BAD">
        <w:rPr>
          <w:rFonts w:ascii="Times New Roman" w:hAnsi="Times New Roman"/>
          <w:i/>
          <w:iCs/>
        </w:rPr>
        <w:t>Murphy v Electoral Commissioner</w:t>
      </w:r>
      <w:r w:rsidRPr="00225BAD">
        <w:rPr>
          <w:rStyle w:val="FootnoteReference"/>
          <w:rFonts w:ascii="Times New Roman" w:hAnsi="Times New Roman"/>
          <w:iCs/>
          <w:sz w:val="24"/>
        </w:rPr>
        <w:footnoteReference w:id="193"/>
      </w:r>
      <w:r w:rsidRPr="00225BAD">
        <w:rPr>
          <w:rFonts w:ascii="Times New Roman" w:hAnsi="Times New Roman"/>
          <w:iCs/>
        </w:rPr>
        <w:t>.</w:t>
      </w:r>
      <w:r w:rsidRPr="00225BAD">
        <w:rPr>
          <w:rFonts w:ascii="Times New Roman" w:hAnsi="Times New Roman"/>
        </w:rPr>
        <w:t xml:space="preserve"> Its application to Ch III of the </w:t>
      </w:r>
      <w:r w:rsidRPr="00225BAD">
        <w:rPr>
          <w:rFonts w:ascii="Times New Roman" w:hAnsi="Times New Roman"/>
          <w:i/>
        </w:rPr>
        <w:t>Constitution</w:t>
      </w:r>
      <w:r w:rsidRPr="00225BAD">
        <w:rPr>
          <w:rFonts w:ascii="Times New Roman" w:hAnsi="Times New Roman"/>
        </w:rPr>
        <w:t xml:space="preserve"> was rejected in </w:t>
      </w:r>
      <w:r w:rsidRPr="00225BAD">
        <w:rPr>
          <w:rFonts w:ascii="Times New Roman" w:hAnsi="Times New Roman"/>
          <w:i/>
        </w:rPr>
        <w:t>Falzon v Minister for Immigration and Border Protection</w:t>
      </w:r>
      <w:r w:rsidRPr="00225BAD">
        <w:rPr>
          <w:rStyle w:val="FootnoteReference"/>
          <w:rFonts w:ascii="Times New Roman" w:hAnsi="Times New Roman"/>
          <w:sz w:val="24"/>
        </w:rPr>
        <w:footnoteReference w:id="194"/>
      </w:r>
      <w:r w:rsidRPr="00225BAD">
        <w:rPr>
          <w:rFonts w:ascii="Times New Roman" w:hAnsi="Times New Roman"/>
        </w:rPr>
        <w:t xml:space="preserve">. </w:t>
      </w:r>
    </w:p>
    <w:p w14:paraId="413F7916"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The present question is whether structured proportionality should now be incorporated into our analysis of the application of s 92. My answer is in the words of Sir Anthony Mason: "the </w:t>
      </w:r>
      <w:r w:rsidRPr="00225BAD">
        <w:rPr>
          <w:rFonts w:ascii="Times New Roman" w:hAnsi="Times New Roman"/>
          <w:i/>
        </w:rPr>
        <w:t xml:space="preserve">Cole v Whitfield </w:t>
      </w:r>
      <w:r w:rsidRPr="00225BAD">
        <w:rPr>
          <w:rFonts w:ascii="Times New Roman" w:hAnsi="Times New Roman"/>
        </w:rPr>
        <w:t>interpretation has brought an element of certainty and stability to a question which was a source of confusion over a long period of time. So why abandon that interpretation?"</w:t>
      </w:r>
      <w:r w:rsidRPr="00225BAD">
        <w:rPr>
          <w:rStyle w:val="FootnoteReference"/>
          <w:rFonts w:ascii="Times New Roman" w:hAnsi="Times New Roman"/>
          <w:sz w:val="24"/>
        </w:rPr>
        <w:footnoteReference w:id="195"/>
      </w:r>
      <w:r w:rsidRPr="00225BAD">
        <w:rPr>
          <w:rFonts w:ascii="Times New Roman" w:hAnsi="Times New Roman"/>
        </w:rPr>
        <w:t xml:space="preserve"> Nothing is broken; nothing should be fixed.</w:t>
      </w:r>
    </w:p>
    <w:p w14:paraId="3B152A31" w14:textId="77777777" w:rsidR="002D2334" w:rsidRPr="00225BAD" w:rsidRDefault="002D2334" w:rsidP="00225BAD">
      <w:pPr>
        <w:pStyle w:val="HeadingL1"/>
        <w:spacing w:after="260" w:line="280" w:lineRule="exact"/>
        <w:ind w:right="0"/>
        <w:jc w:val="both"/>
        <w:rPr>
          <w:rFonts w:ascii="Times New Roman" w:hAnsi="Times New Roman"/>
        </w:rPr>
      </w:pPr>
      <w:r w:rsidRPr="00225BAD">
        <w:rPr>
          <w:rFonts w:ascii="Times New Roman" w:hAnsi="Times New Roman"/>
        </w:rPr>
        <w:t>The empowering provisions conform to the standard of reasonable necessity</w:t>
      </w:r>
    </w:p>
    <w:p w14:paraId="3600748A"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That brings me at last to explain how I came to form the evaluative judgment that the provisions of the Act which authorise the making of directions prohibiting movement of persons into Western Australia comply with the guarantee of each limb of s 92 in all their potential applications.</w:t>
      </w:r>
    </w:p>
    <w:p w14:paraId="4A83AAB3"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My analysis began by looking to the legislatively identified end to be achieved by directions of that nature. The legislatively identified ends of the Act emerge from its interlocking statutory definitions of "emergency" and "hazard" and "emergency management"</w:t>
      </w:r>
      <w:r w:rsidRPr="00225BAD">
        <w:rPr>
          <w:rStyle w:val="FootnoteReference"/>
          <w:rFonts w:ascii="Times New Roman" w:hAnsi="Times New Roman"/>
          <w:sz w:val="24"/>
        </w:rPr>
        <w:footnoteReference w:id="196"/>
      </w:r>
      <w:r w:rsidRPr="00225BAD">
        <w:rPr>
          <w:rFonts w:ascii="Times New Roman" w:hAnsi="Times New Roman"/>
        </w:rPr>
        <w:t xml:space="preserve">. The relevant end to emerge from those definitions is that of managing the adverse effects of a plague or epidemic of a nature that requires a significant and coordinated response. </w:t>
      </w:r>
    </w:p>
    <w:p w14:paraId="38386354"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There being no contextual reason to doubt that legislative identification of the relevant legislative end, my analysis took me next to an examination of the means legislatively chosen to pursue that legislative end. The legislated means comprise two principal components. Each is hedged with constitutionally significant qualifications.</w:t>
      </w:r>
    </w:p>
    <w:p w14:paraId="6647603C"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The foundational component is the conferral of power on the Minister for Emergency Services to make a "state of emergency declaration": a declaration in writing to the effect that a state of emergency, constituted by the occurrence or imminent occurrence of a hazard (relevantly being a plague or epidemic) of a nature that requires a significant and coordinated response, exists in an "emergency area" which comprises the whole or any area or areas of Western Australia</w:t>
      </w:r>
      <w:r w:rsidRPr="00225BAD">
        <w:rPr>
          <w:rStyle w:val="FootnoteReference"/>
          <w:rFonts w:ascii="Times New Roman" w:hAnsi="Times New Roman"/>
          <w:sz w:val="24"/>
        </w:rPr>
        <w:footnoteReference w:id="197"/>
      </w:r>
      <w:r w:rsidRPr="00225BAD">
        <w:rPr>
          <w:rFonts w:ascii="Times New Roman" w:hAnsi="Times New Roman"/>
        </w:rPr>
        <w:t>. Reposing a power of that nature in a Minister reflects the reality that, within our constitutional system of representative and responsible government, at the State level as at the Commonwealth level, "[t]he Executive Government is the arm of government capable of and empowered to respond to a crisis"</w:t>
      </w:r>
      <w:r w:rsidRPr="00225BAD">
        <w:rPr>
          <w:rStyle w:val="FootnoteReference"/>
          <w:rFonts w:ascii="Times New Roman" w:hAnsi="Times New Roman"/>
          <w:sz w:val="24"/>
        </w:rPr>
        <w:footnoteReference w:id="198"/>
      </w:r>
      <w:r w:rsidRPr="00225BAD">
        <w:rPr>
          <w:rFonts w:ascii="Times New Roman" w:hAnsi="Times New Roman"/>
        </w:rPr>
        <w:t>.</w:t>
      </w:r>
    </w:p>
    <w:p w14:paraId="5B43CC04"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That ministerial power to make a state of emergency declaration is subject to two significant limitations.</w:t>
      </w:r>
    </w:p>
    <w:p w14:paraId="52F696B6"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The first is a jurisdictional limitation to be found in the express and implied preconditions to the exercise of the power. The express preconditions are that the Minister has considered the advice of the State Emergency Coordinator</w:t>
      </w:r>
      <w:r w:rsidRPr="00225BAD">
        <w:rPr>
          <w:rStyle w:val="FootnoteReference"/>
          <w:rFonts w:ascii="Times New Roman" w:hAnsi="Times New Roman"/>
          <w:sz w:val="24"/>
        </w:rPr>
        <w:footnoteReference w:id="199"/>
      </w:r>
      <w:r w:rsidRPr="00225BAD">
        <w:rPr>
          <w:rFonts w:ascii="Times New Roman" w:hAnsi="Times New Roman"/>
        </w:rPr>
        <w:t xml:space="preserve"> (who has statutory responsibility for coordinating the response to an emergency during a state of emergency</w:t>
      </w:r>
      <w:r w:rsidRPr="00225BAD">
        <w:rPr>
          <w:rStyle w:val="FootnoteReference"/>
          <w:rFonts w:ascii="Times New Roman" w:hAnsi="Times New Roman"/>
          <w:sz w:val="24"/>
        </w:rPr>
        <w:footnoteReference w:id="200"/>
      </w:r>
      <w:r w:rsidRPr="00225BAD">
        <w:rPr>
          <w:rFonts w:ascii="Times New Roman" w:hAnsi="Times New Roman"/>
        </w:rPr>
        <w:t>), is "satisfied" that "an emergency has occurred, is occurring or is imminent"</w:t>
      </w:r>
      <w:r w:rsidRPr="00225BAD">
        <w:rPr>
          <w:rStyle w:val="FootnoteReference"/>
          <w:rFonts w:ascii="Times New Roman" w:hAnsi="Times New Roman"/>
          <w:sz w:val="24"/>
        </w:rPr>
        <w:footnoteReference w:id="201"/>
      </w:r>
      <w:r w:rsidRPr="00225BAD">
        <w:rPr>
          <w:rFonts w:ascii="Times New Roman" w:hAnsi="Times New Roman"/>
        </w:rPr>
        <w:t>, and is further "satisfied" relevantly that "extraordinary measures are required to prevent or minimise ... loss of life, ... or harm to the health, of persons"</w:t>
      </w:r>
      <w:r w:rsidRPr="00225BAD">
        <w:rPr>
          <w:rStyle w:val="FootnoteReference"/>
          <w:rFonts w:ascii="Times New Roman" w:hAnsi="Times New Roman"/>
          <w:sz w:val="24"/>
        </w:rPr>
        <w:footnoteReference w:id="202"/>
      </w:r>
      <w:r w:rsidRPr="00225BAD">
        <w:rPr>
          <w:rFonts w:ascii="Times New Roman" w:hAnsi="Times New Roman"/>
        </w:rPr>
        <w:t>. Combined with the requirement for the state of emergency declaration to specify the emergency area within which the declared state of emergency exists, those preconditions operate to impose what has elsewhere been referred to as a "triple lock" of "seriousness, necessity and geographical proportionality"</w:t>
      </w:r>
      <w:r w:rsidRPr="00225BAD">
        <w:rPr>
          <w:rStyle w:val="FootnoteReference"/>
          <w:rFonts w:ascii="Times New Roman" w:hAnsi="Times New Roman"/>
          <w:sz w:val="24"/>
        </w:rPr>
        <w:footnoteReference w:id="203"/>
      </w:r>
      <w:r w:rsidRPr="00225BAD">
        <w:rPr>
          <w:rFonts w:ascii="Times New Roman" w:hAnsi="Times New Roman"/>
        </w:rPr>
        <w:t xml:space="preserve"> on the ministerial power to make a state of emergency declaration, each of the components of which is subject to judicial review.</w:t>
      </w:r>
    </w:p>
    <w:p w14:paraId="5900951D"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The requirement for the Minister to be "satisfied", both of the occurrence or imminence of an emergency and of the need for extraordinary measures to prevent or minimise loss of human life or harm to human health, requires that the Minister in fact form a state of mind that can be described as one of satisfaction and implies that the Minister must form the requisite state of mind reasonably and on a correct understanding of the Act</w:t>
      </w:r>
      <w:r w:rsidRPr="00225BAD">
        <w:rPr>
          <w:rStyle w:val="FootnoteReference"/>
          <w:rFonts w:ascii="Times New Roman" w:hAnsi="Times New Roman"/>
          <w:sz w:val="24"/>
        </w:rPr>
        <w:footnoteReference w:id="204"/>
      </w:r>
      <w:r w:rsidRPr="00225BAD">
        <w:rPr>
          <w:rFonts w:ascii="Times New Roman" w:hAnsi="Times New Roman"/>
        </w:rPr>
        <w:t xml:space="preserve">. To fulfil the condition of reasonableness, the state of mind formed by the Minister </w:t>
      </w:r>
      <w:r w:rsidRPr="00225BAD">
        <w:rPr>
          <w:rFonts w:ascii="Times New Roman" w:hAnsi="Times New Roman"/>
          <w:color w:val="000000"/>
          <w:sz w:val="27"/>
          <w:szCs w:val="27"/>
          <w:shd w:val="clear" w:color="auto" w:fill="FFFFFF"/>
        </w:rPr>
        <w:t xml:space="preserve">must be one that is open to be formed by a reasonable person in the position of </w:t>
      </w:r>
      <w:r w:rsidRPr="00225BAD">
        <w:rPr>
          <w:rFonts w:ascii="Times New Roman" w:hAnsi="Times New Roman"/>
        </w:rPr>
        <w:t xml:space="preserve">the Minister </w:t>
      </w:r>
      <w:r w:rsidRPr="00225BAD">
        <w:rPr>
          <w:rFonts w:ascii="Times New Roman" w:hAnsi="Times New Roman"/>
          <w:color w:val="000000"/>
          <w:sz w:val="27"/>
          <w:szCs w:val="27"/>
          <w:shd w:val="clear" w:color="auto" w:fill="FFFFFF"/>
        </w:rPr>
        <w:t>on the basis of the information available to the Minister and must be one that is in fact formed by the Minister through an intelligible process of reasoning on the basis of that available information</w:t>
      </w:r>
      <w:r w:rsidRPr="00225BAD">
        <w:rPr>
          <w:rStyle w:val="FootnoteReference"/>
          <w:rFonts w:ascii="Times New Roman" w:hAnsi="Times New Roman"/>
          <w:color w:val="000000"/>
          <w:sz w:val="24"/>
          <w:szCs w:val="27"/>
          <w:shd w:val="clear" w:color="auto" w:fill="FFFFFF"/>
        </w:rPr>
        <w:footnoteReference w:id="205"/>
      </w:r>
      <w:r w:rsidRPr="00225BAD">
        <w:rPr>
          <w:rFonts w:ascii="Times New Roman" w:hAnsi="Times New Roman"/>
          <w:color w:val="000000"/>
          <w:sz w:val="27"/>
          <w:szCs w:val="27"/>
          <w:shd w:val="clear" w:color="auto" w:fill="FFFFFF"/>
        </w:rPr>
        <w:t>.</w:t>
      </w:r>
    </w:p>
    <w:p w14:paraId="066560F1"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The second significant limitation is a temporal limitation on the legal effect of an exercise of the ministerial power. A state of emergency declaration has a finite duration. Unless sooner revoked by the Minister</w:t>
      </w:r>
      <w:r w:rsidRPr="00225BAD">
        <w:rPr>
          <w:rStyle w:val="FootnoteReference"/>
          <w:rFonts w:ascii="Times New Roman" w:hAnsi="Times New Roman"/>
          <w:sz w:val="24"/>
        </w:rPr>
        <w:footnoteReference w:id="206"/>
      </w:r>
      <w:r w:rsidRPr="00225BAD">
        <w:rPr>
          <w:rFonts w:ascii="Times New Roman" w:hAnsi="Times New Roman"/>
        </w:rPr>
        <w:t>, the declaration remains in force for an initial period of only three days</w:t>
      </w:r>
      <w:r w:rsidRPr="00225BAD">
        <w:rPr>
          <w:rStyle w:val="FootnoteReference"/>
          <w:rFonts w:ascii="Times New Roman" w:hAnsi="Times New Roman"/>
          <w:sz w:val="24"/>
        </w:rPr>
        <w:footnoteReference w:id="207"/>
      </w:r>
      <w:r w:rsidRPr="00225BAD">
        <w:rPr>
          <w:rFonts w:ascii="Times New Roman" w:hAnsi="Times New Roman"/>
        </w:rPr>
        <w:t>. Thereafter, the declaration can be extended and further extended by further ministerial declarations in writing but only for incremental periods each generally not exceeding 14 days</w:t>
      </w:r>
      <w:r w:rsidRPr="00225BAD">
        <w:rPr>
          <w:rStyle w:val="FootnoteReference"/>
          <w:rFonts w:ascii="Times New Roman" w:hAnsi="Times New Roman"/>
          <w:sz w:val="24"/>
        </w:rPr>
        <w:footnoteReference w:id="208"/>
      </w:r>
      <w:r w:rsidRPr="00225BAD">
        <w:rPr>
          <w:rFonts w:ascii="Times New Roman" w:hAnsi="Times New Roman"/>
        </w:rPr>
        <w:t>. Implicit in the statutory scheme, as accepted by the defendants in argument, is that the ministerial power of extension is subject to the same preconditions as those that govern exercise of the power to declare an initial state of emergency.</w:t>
      </w:r>
    </w:p>
    <w:p w14:paraId="7A44A423"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The power to give directions prohibiting movement of persons into, out of, or around an emergency area or part of an emergency area</w:t>
      </w:r>
      <w:r w:rsidRPr="00225BAD">
        <w:rPr>
          <w:rStyle w:val="FootnoteReference"/>
          <w:rFonts w:ascii="Times New Roman" w:hAnsi="Times New Roman"/>
          <w:sz w:val="24"/>
        </w:rPr>
        <w:footnoteReference w:id="209"/>
      </w:r>
      <w:r w:rsidRPr="00225BAD">
        <w:rPr>
          <w:rFonts w:ascii="Times New Roman" w:hAnsi="Times New Roman"/>
        </w:rPr>
        <w:t xml:space="preserve"> is one of a suite of emergency powers capable of being exercised only during such period as a declaration of a state of emergency remains in force</w:t>
      </w:r>
      <w:r w:rsidRPr="00225BAD">
        <w:rPr>
          <w:rStyle w:val="FootnoteReference"/>
          <w:rFonts w:ascii="Times New Roman" w:hAnsi="Times New Roman"/>
          <w:sz w:val="24"/>
        </w:rPr>
        <w:footnoteReference w:id="210"/>
      </w:r>
      <w:r w:rsidRPr="00225BAD">
        <w:rPr>
          <w:rFonts w:ascii="Times New Roman" w:hAnsi="Times New Roman"/>
        </w:rPr>
        <w:t>. The power is reposed in the State Emergency Coordinator or another officer authorised by the State Emergency Coordinator</w:t>
      </w:r>
      <w:r w:rsidRPr="00225BAD">
        <w:rPr>
          <w:rStyle w:val="FootnoteReference"/>
          <w:rFonts w:ascii="Times New Roman" w:hAnsi="Times New Roman"/>
          <w:sz w:val="24"/>
        </w:rPr>
        <w:footnoteReference w:id="211"/>
      </w:r>
      <w:r w:rsidRPr="00225BAD">
        <w:rPr>
          <w:rFonts w:ascii="Times New Roman" w:hAnsi="Times New Roman"/>
        </w:rPr>
        <w:t>.</w:t>
      </w:r>
    </w:p>
    <w:p w14:paraId="3659C176"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The power of direction is expressly limited to being exercised "[f]or the purpose of emergency management". "Emergency management" refers to management of the adverse effects of the declared emergency, including by way of preventing (including mitigating the probability of the occurrence of) or responding to (meaning combating the effect of) the declared emergency</w:t>
      </w:r>
      <w:r w:rsidRPr="00225BAD">
        <w:rPr>
          <w:rStyle w:val="FootnoteReference"/>
          <w:rFonts w:ascii="Times New Roman" w:hAnsi="Times New Roman"/>
          <w:sz w:val="24"/>
        </w:rPr>
        <w:footnoteReference w:id="212"/>
      </w:r>
      <w:r w:rsidRPr="00225BAD">
        <w:rPr>
          <w:rFonts w:ascii="Times New Roman" w:hAnsi="Times New Roman"/>
        </w:rPr>
        <w:t xml:space="preserve">. </w:t>
      </w:r>
    </w:p>
    <w:p w14:paraId="2C5F9154"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How far the authorised officer might choose to go to prevent or respond to the adverse effects of a declared emergency is not the subject of express statutory prescription. Nor is there a requirement that a particular direction prohibiting movement to be given must be (or must be considered by the authorised officer to be) the least restrictive means of preventing or responding to the adverse effects of the declared emergency to the chosen extent. </w:t>
      </w:r>
    </w:p>
    <w:p w14:paraId="6957059A"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No doubt, the discretion of the authorised officer could have been more tightly confined. But "[t]he reason why such a discretion is left at large is not hard to conjecture": it is that "legislative foresight cannot trust itself to formulate in advance standards that will prove apt and sufficient in all the infinite variety of facts which may present themselves"</w:t>
      </w:r>
      <w:r w:rsidRPr="00225BAD">
        <w:rPr>
          <w:rStyle w:val="FootnoteReference"/>
          <w:rFonts w:ascii="Times New Roman" w:hAnsi="Times New Roman"/>
          <w:sz w:val="24"/>
        </w:rPr>
        <w:footnoteReference w:id="213"/>
      </w:r>
      <w:r w:rsidRPr="00225BAD">
        <w:rPr>
          <w:rFonts w:ascii="Times New Roman" w:hAnsi="Times New Roman"/>
        </w:rPr>
        <w:t>.</w:t>
      </w:r>
    </w:p>
    <w:p w14:paraId="4A7EC6BA"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rPr>
        <w:tab/>
        <w:t xml:space="preserve">What is significant is that the purpose of emergency management is the sole purpose for which the power of direction can be exercised. And the discretion to exercise the power for that purpose is subject to the standard implied condition that it can only ever be exercised by the authorised officer reasonably </w:t>
      </w:r>
      <w:r w:rsidRPr="00225BAD">
        <w:rPr>
          <w:rFonts w:ascii="Times New Roman" w:hAnsi="Times New Roman"/>
          <w:color w:val="000000"/>
          <w:sz w:val="27"/>
          <w:szCs w:val="27"/>
          <w:shd w:val="clear" w:color="auto" w:fill="FFFFFF"/>
        </w:rPr>
        <w:t>on the basis of the information available to the authorised officer.</w:t>
      </w:r>
    </w:p>
    <w:p w14:paraId="7C9AA8FB"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color w:val="000000"/>
          <w:sz w:val="27"/>
          <w:szCs w:val="27"/>
          <w:shd w:val="clear" w:color="auto" w:fill="FFFFFF"/>
        </w:rPr>
        <w:tab/>
        <w:t>The result is that, whilst the discretionary power of direction can extend to authorise the giving of a direction which on its face or in its practical effect imposes a differential burden on interstate intercourse (which might or might not be in trade or commerce), the power can only ever be exercised reasonably for the sole purpose of managing a designated emergency in a designated emergency area for so long as there is in force a state of emergency declaration, of the continuing need for which the Minister must periodically be stringently satisfied.</w:t>
      </w:r>
    </w:p>
    <w:p w14:paraId="5451961A" w14:textId="77777777" w:rsidR="002D2334" w:rsidRPr="00225BAD" w:rsidRDefault="002D2334" w:rsidP="002D2334">
      <w:pPr>
        <w:pStyle w:val="FixListStyle"/>
        <w:numPr>
          <w:ilvl w:val="0"/>
          <w:numId w:val="18"/>
        </w:numPr>
        <w:spacing w:after="260" w:line="280" w:lineRule="exact"/>
        <w:ind w:left="0" w:right="0" w:hanging="720"/>
        <w:jc w:val="both"/>
        <w:rPr>
          <w:rFonts w:ascii="Times New Roman" w:hAnsi="Times New Roman"/>
        </w:rPr>
      </w:pPr>
      <w:r w:rsidRPr="00225BAD">
        <w:rPr>
          <w:rFonts w:ascii="Times New Roman" w:hAnsi="Times New Roman"/>
          <w:color w:val="000000"/>
          <w:sz w:val="27"/>
          <w:szCs w:val="27"/>
          <w:shd w:val="clear" w:color="auto" w:fill="FFFFFF"/>
        </w:rPr>
        <w:tab/>
        <w:t xml:space="preserve">My conclusion was, and remains, that the cumulation of those statutory constraints means that a </w:t>
      </w:r>
      <w:r w:rsidRPr="00225BAD">
        <w:rPr>
          <w:rFonts w:ascii="Times New Roman" w:hAnsi="Times New Roman"/>
        </w:rPr>
        <w:t xml:space="preserve">differential burden </w:t>
      </w:r>
      <w:r w:rsidRPr="00225BAD">
        <w:rPr>
          <w:rFonts w:ascii="Times New Roman" w:hAnsi="Times New Roman"/>
          <w:color w:val="000000"/>
          <w:sz w:val="27"/>
          <w:szCs w:val="27"/>
          <w:shd w:val="clear" w:color="auto" w:fill="FFFFFF"/>
        </w:rPr>
        <w:t>on interstate intercourse</w:t>
      </w:r>
      <w:r w:rsidRPr="00225BAD">
        <w:rPr>
          <w:rFonts w:ascii="Times New Roman" w:hAnsi="Times New Roman"/>
        </w:rPr>
        <w:t xml:space="preserve"> that might result from an exercise of the power of direction is justified according to the requisite standard of reasonable necessity across the range of potential exercises of the power. Being justified, such a differential burden is not discriminatory. Much less is it protectionist.</w:t>
      </w:r>
    </w:p>
    <w:p w14:paraId="0F5A72FD" w14:textId="77777777" w:rsidR="002D2334" w:rsidRDefault="002D2334" w:rsidP="00A04489">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jc w:val="both"/>
        <w:rPr>
          <w:rFonts w:ascii="Times New Roman" w:hAnsi="Times New Roman"/>
        </w:rPr>
      </w:pPr>
    </w:p>
    <w:p w14:paraId="6597C8FE" w14:textId="77777777" w:rsidR="002D2334" w:rsidRDefault="002D2334" w:rsidP="00A04489">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jc w:val="both"/>
        <w:rPr>
          <w:rFonts w:ascii="Times New Roman" w:hAnsi="Times New Roman"/>
        </w:rPr>
        <w:sectPr w:rsidR="002D2334" w:rsidSect="002D2334">
          <w:headerReference w:type="even" r:id="rId15"/>
          <w:headerReference w:type="default" r:id="rId16"/>
          <w:headerReference w:type="first" r:id="rId17"/>
          <w:pgSz w:w="11907" w:h="16839" w:code="9"/>
          <w:pgMar w:top="1440" w:right="1701" w:bottom="1984" w:left="1701" w:header="720" w:footer="720" w:gutter="0"/>
          <w:cols w:space="720"/>
          <w:docGrid w:linePitch="354"/>
        </w:sectPr>
      </w:pPr>
    </w:p>
    <w:p w14:paraId="1F7855FD" w14:textId="77777777" w:rsidR="002D2334" w:rsidRPr="002F0E54" w:rsidRDefault="002D2334" w:rsidP="002D2334">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2F0E54">
        <w:rPr>
          <w:rFonts w:ascii="Times New Roman" w:hAnsi="Times New Roman"/>
        </w:rPr>
        <w:t xml:space="preserve">GORDON J.   The plaintiffs challenged the </w:t>
      </w:r>
      <w:r w:rsidRPr="002F0E54">
        <w:rPr>
          <w:rFonts w:ascii="Times New Roman" w:hAnsi="Times New Roman"/>
          <w:i/>
        </w:rPr>
        <w:t>Quarantine (Closing the Border) Directions</w:t>
      </w:r>
      <w:r w:rsidRPr="002F0E54">
        <w:rPr>
          <w:rFonts w:ascii="Times New Roman" w:hAnsi="Times New Roman"/>
        </w:rPr>
        <w:t xml:space="preserve"> (WA) made by the State Emergency Coordinator</w:t>
      </w:r>
      <w:r w:rsidRPr="002F0E54">
        <w:rPr>
          <w:rStyle w:val="FootnoteReference"/>
          <w:rFonts w:ascii="Times New Roman" w:hAnsi="Times New Roman"/>
          <w:sz w:val="24"/>
        </w:rPr>
        <w:footnoteReference w:id="214"/>
      </w:r>
      <w:r w:rsidRPr="002F0E54">
        <w:rPr>
          <w:rFonts w:ascii="Times New Roman" w:hAnsi="Times New Roman"/>
        </w:rPr>
        <w:t xml:space="preserve"> under the </w:t>
      </w:r>
      <w:r w:rsidRPr="002F0E54">
        <w:rPr>
          <w:rFonts w:ascii="Times New Roman" w:hAnsi="Times New Roman"/>
          <w:i/>
        </w:rPr>
        <w:t xml:space="preserve">Emergency Management Act 2005 </w:t>
      </w:r>
      <w:r w:rsidRPr="002F0E54">
        <w:rPr>
          <w:rFonts w:ascii="Times New Roman" w:hAnsi="Times New Roman"/>
        </w:rPr>
        <w:t>(WA).</w:t>
      </w:r>
      <w:r w:rsidRPr="002F0E54">
        <w:rPr>
          <w:rStyle w:val="CommentReference"/>
          <w:rFonts w:ascii="Times New Roman" w:hAnsi="Times New Roman"/>
          <w:sz w:val="26"/>
          <w:szCs w:val="26"/>
        </w:rPr>
        <w:t xml:space="preserve"> </w:t>
      </w:r>
      <w:r w:rsidRPr="002F0E54">
        <w:rPr>
          <w:rFonts w:ascii="Times New Roman" w:hAnsi="Times New Roman"/>
        </w:rPr>
        <w:t xml:space="preserve">The Directions prevented movement of most people into Western Australia from elsewhere (whether overseas or other parts of Australia). </w:t>
      </w:r>
    </w:p>
    <w:p w14:paraId="66878ECB"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The Directions could not lawfully be made unless certain statutory conditions were met. A state of emergency had to be declared by the Minister for Emergency Services ("the Minister")</w:t>
      </w:r>
      <w:r w:rsidRPr="002F0E54">
        <w:rPr>
          <w:rStyle w:val="FootnoteReference"/>
          <w:rFonts w:ascii="Times New Roman" w:hAnsi="Times New Roman"/>
          <w:sz w:val="24"/>
        </w:rPr>
        <w:footnoteReference w:id="215"/>
      </w:r>
      <w:r w:rsidRPr="002F0E54">
        <w:rPr>
          <w:rFonts w:ascii="Times New Roman" w:hAnsi="Times New Roman"/>
        </w:rPr>
        <w:t>. The Minister could do that only if they had considered the advice of the State Emergency Coordinator</w:t>
      </w:r>
      <w:r w:rsidRPr="002F0E54">
        <w:rPr>
          <w:rStyle w:val="FootnoteReference"/>
          <w:rFonts w:ascii="Times New Roman" w:hAnsi="Times New Roman"/>
          <w:sz w:val="24"/>
        </w:rPr>
        <w:footnoteReference w:id="216"/>
      </w:r>
      <w:r w:rsidRPr="002F0E54">
        <w:rPr>
          <w:rFonts w:ascii="Times New Roman" w:hAnsi="Times New Roman"/>
        </w:rPr>
        <w:t xml:space="preserve"> and if satisfied that, relevantly, extraordinary measures were required to prevent or minimise loss of life, prejudice to the safety, or harm to the health, of persons</w:t>
      </w:r>
      <w:r w:rsidRPr="002F0E54">
        <w:rPr>
          <w:rStyle w:val="FootnoteReference"/>
          <w:rFonts w:ascii="Times New Roman" w:hAnsi="Times New Roman"/>
          <w:sz w:val="24"/>
        </w:rPr>
        <w:footnoteReference w:id="217"/>
      </w:r>
      <w:r w:rsidRPr="002F0E54">
        <w:rPr>
          <w:rFonts w:ascii="Times New Roman" w:hAnsi="Times New Roman"/>
        </w:rPr>
        <w:t xml:space="preserve"> from, in this case, an epidemic</w:t>
      </w:r>
      <w:r w:rsidRPr="002F0E54">
        <w:rPr>
          <w:rStyle w:val="FootnoteReference"/>
          <w:rFonts w:ascii="Times New Roman" w:hAnsi="Times New Roman"/>
          <w:sz w:val="24"/>
        </w:rPr>
        <w:footnoteReference w:id="218"/>
      </w:r>
      <w:r w:rsidRPr="002F0E54">
        <w:rPr>
          <w:rFonts w:ascii="Times New Roman" w:hAnsi="Times New Roman"/>
        </w:rPr>
        <w:t>. That declaration being in place, the State Emergency Coordinator had then to be satisfied that, for the management of the adverse effects of the epidemic (including mitigation or prevention of the potential adverse effects)</w:t>
      </w:r>
      <w:r w:rsidRPr="002F0E54">
        <w:rPr>
          <w:rStyle w:val="FootnoteReference"/>
          <w:rFonts w:ascii="Times New Roman" w:hAnsi="Times New Roman"/>
          <w:sz w:val="24"/>
        </w:rPr>
        <w:footnoteReference w:id="219"/>
      </w:r>
      <w:r w:rsidRPr="002F0E54">
        <w:rPr>
          <w:rFonts w:ascii="Times New Roman" w:hAnsi="Times New Roman"/>
        </w:rPr>
        <w:t>, the</w:t>
      </w:r>
      <w:r>
        <w:rPr>
          <w:rFonts w:ascii="Times New Roman" w:hAnsi="Times New Roman"/>
        </w:rPr>
        <w:t> </w:t>
      </w:r>
      <w:r w:rsidRPr="002F0E54">
        <w:rPr>
          <w:rFonts w:ascii="Times New Roman" w:hAnsi="Times New Roman"/>
        </w:rPr>
        <w:t>nature and magnitude of the epidemic required a significant and coordinated response</w:t>
      </w:r>
      <w:r w:rsidRPr="002F0E54">
        <w:rPr>
          <w:rStyle w:val="FootnoteReference"/>
          <w:rFonts w:ascii="Times New Roman" w:hAnsi="Times New Roman"/>
          <w:sz w:val="24"/>
        </w:rPr>
        <w:footnoteReference w:id="220"/>
      </w:r>
      <w:r w:rsidRPr="002F0E54">
        <w:rPr>
          <w:rFonts w:ascii="Times New Roman" w:hAnsi="Times New Roman"/>
        </w:rPr>
        <w:t>, which included, by direction, prohibiting the movement of most people into Western Australia</w:t>
      </w:r>
      <w:r w:rsidRPr="002F0E54">
        <w:rPr>
          <w:rStyle w:val="FootnoteReference"/>
          <w:rFonts w:ascii="Times New Roman" w:hAnsi="Times New Roman"/>
          <w:sz w:val="24"/>
        </w:rPr>
        <w:footnoteReference w:id="221"/>
      </w:r>
      <w:r w:rsidRPr="002F0E54">
        <w:rPr>
          <w:rFonts w:ascii="Times New Roman" w:hAnsi="Times New Roman"/>
        </w:rPr>
        <w:t xml:space="preserve">. </w:t>
      </w:r>
    </w:p>
    <w:p w14:paraId="797DF150"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 xml:space="preserve">The plaintiffs did not allege that these statutory conditions had not been met but did submit that paras 4 and 5 of the Directions infringed s 92 of the </w:t>
      </w:r>
      <w:r w:rsidRPr="002F0E54">
        <w:rPr>
          <w:rFonts w:ascii="Times New Roman" w:hAnsi="Times New Roman"/>
          <w:i/>
        </w:rPr>
        <w:t>Constitution</w:t>
      </w:r>
      <w:r w:rsidRPr="002F0E54">
        <w:rPr>
          <w:rFonts w:ascii="Times New Roman" w:hAnsi="Times New Roman"/>
        </w:rPr>
        <w:t>. On their proper construction, the provisions of the Act authorising the Directions comply with the constitutional limitation in s 92. Thus, the plaintiffs not alleging that the Directions were beyond the powers given by the Act, the</w:t>
      </w:r>
      <w:r>
        <w:rPr>
          <w:rFonts w:ascii="Times New Roman" w:hAnsi="Times New Roman"/>
        </w:rPr>
        <w:t> </w:t>
      </w:r>
      <w:r w:rsidRPr="002F0E54">
        <w:rPr>
          <w:rFonts w:ascii="Times New Roman" w:hAnsi="Times New Roman"/>
        </w:rPr>
        <w:t xml:space="preserve">plaintiffs' challenge failed. </w:t>
      </w:r>
    </w:p>
    <w:p w14:paraId="6F9F75A8"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The factual background and procedural history, which I gratefully adopt, are set out in the reasons of Kiefel CJ</w:t>
      </w:r>
      <w:r w:rsidRPr="002F0E54" w:rsidDel="001A7D18">
        <w:rPr>
          <w:rFonts w:ascii="Times New Roman" w:hAnsi="Times New Roman"/>
        </w:rPr>
        <w:t xml:space="preserve"> </w:t>
      </w:r>
      <w:r w:rsidRPr="002F0E54">
        <w:rPr>
          <w:rFonts w:ascii="Times New Roman" w:hAnsi="Times New Roman"/>
        </w:rPr>
        <w:t>and Keane J</w:t>
      </w:r>
      <w:r w:rsidRPr="002F0E54">
        <w:rPr>
          <w:rStyle w:val="FootnoteReference"/>
          <w:rFonts w:ascii="Times New Roman" w:hAnsi="Times New Roman"/>
          <w:sz w:val="24"/>
        </w:rPr>
        <w:footnoteReference w:id="222"/>
      </w:r>
      <w:r w:rsidRPr="002F0E54">
        <w:rPr>
          <w:rFonts w:ascii="Times New Roman" w:hAnsi="Times New Roman"/>
        </w:rPr>
        <w:t>. These are my reasons for joining in the answers given on 6 November 2020 to the questions stated for the opinion of the Full Court.</w:t>
      </w:r>
    </w:p>
    <w:p w14:paraId="5371A7F0"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 xml:space="preserve">The substantive question stated for the opinion of the Full Court raised two issues: the relationship between the two limbs of s 92 of the </w:t>
      </w:r>
      <w:r w:rsidRPr="002F0E54">
        <w:rPr>
          <w:rFonts w:ascii="Times New Roman" w:hAnsi="Times New Roman"/>
          <w:i/>
        </w:rPr>
        <w:t xml:space="preserve">Constitution </w:t>
      </w:r>
      <w:r w:rsidRPr="002F0E54">
        <w:rPr>
          <w:rFonts w:ascii="Times New Roman" w:hAnsi="Times New Roman"/>
        </w:rPr>
        <w:t xml:space="preserve">where an impugned law is said to infringe both limbs; and the analytical framework for assessing the plaintiffs' submission that the Directions infringed s 92, when the plaintiffs did not challenge the constitutional validity of the provisions of the Act under which the Directions were made and did not allege that the express statutory conditions for the exercise of the power to make the Directions had not been met. Before turning to those issues, it is necessary to address the Act. </w:t>
      </w:r>
    </w:p>
    <w:p w14:paraId="4A449068" w14:textId="77777777" w:rsidR="002D2334" w:rsidRPr="002F0E54" w:rsidRDefault="002D2334" w:rsidP="002F0E54">
      <w:pPr>
        <w:pStyle w:val="HeadingL1"/>
        <w:spacing w:after="260" w:line="280" w:lineRule="exact"/>
        <w:ind w:right="0"/>
        <w:jc w:val="both"/>
        <w:rPr>
          <w:rFonts w:ascii="Times New Roman" w:hAnsi="Times New Roman"/>
        </w:rPr>
      </w:pPr>
      <w:r w:rsidRPr="002F0E54">
        <w:rPr>
          <w:rFonts w:ascii="Times New Roman" w:hAnsi="Times New Roman"/>
          <w:i/>
        </w:rPr>
        <w:t>Emergency Management Act</w:t>
      </w:r>
    </w:p>
    <w:p w14:paraId="4364C70A"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The Act provides for the "prompt and coordinated organisation of emergency management" in Western Australia</w:t>
      </w:r>
      <w:r w:rsidRPr="002F0E54">
        <w:rPr>
          <w:rStyle w:val="FootnoteReference"/>
          <w:rFonts w:ascii="Times New Roman" w:hAnsi="Times New Roman"/>
          <w:sz w:val="24"/>
        </w:rPr>
        <w:footnoteReference w:id="223"/>
      </w:r>
      <w:r w:rsidRPr="002F0E54">
        <w:rPr>
          <w:rFonts w:ascii="Times New Roman" w:hAnsi="Times New Roman"/>
        </w:rPr>
        <w:t xml:space="preserve">. It was common ground that ss 56 and 67 of the Act were the source of the power to make paras 4 and 5 of the Directions. </w:t>
      </w:r>
    </w:p>
    <w:p w14:paraId="0C349BA2"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Part 5 of the Act is headed "State of emergency". Within Div 1 of Pt 5, s 56(1) confers power on the Minister to "declare that a state of emergency exists in the whole or in any area or areas of the State". On 15 March 2020, four days after the World Health Organization declared COVID-19 to be a pandemic, the Minister declared a state of emergency over Western Australia in respect of the pandemic.</w:t>
      </w:r>
    </w:p>
    <w:p w14:paraId="594356E3"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The statutory conditions for the exercise of the power to declare a state of emergency are prescriptive and cumulative: the Minister must have considered the advice of the State Emergency Coordinator</w:t>
      </w:r>
      <w:r w:rsidRPr="002F0E54">
        <w:rPr>
          <w:rStyle w:val="FootnoteReference"/>
          <w:rFonts w:ascii="Times New Roman" w:hAnsi="Times New Roman"/>
          <w:sz w:val="24"/>
        </w:rPr>
        <w:footnoteReference w:id="224"/>
      </w:r>
      <w:r w:rsidRPr="002F0E54">
        <w:rPr>
          <w:rFonts w:ascii="Times New Roman" w:hAnsi="Times New Roman"/>
        </w:rPr>
        <w:t xml:space="preserve">; the Minister must be satisfied that an </w:t>
      </w:r>
      <w:r w:rsidRPr="002F0E54">
        <w:rPr>
          <w:rFonts w:ascii="Times New Roman" w:hAnsi="Times New Roman"/>
          <w:i/>
        </w:rPr>
        <w:t>emergency</w:t>
      </w:r>
      <w:r w:rsidRPr="002F0E54">
        <w:rPr>
          <w:rFonts w:ascii="Times New Roman" w:hAnsi="Times New Roman"/>
        </w:rPr>
        <w:t xml:space="preserve"> has occurred, is occurring or is imminent</w:t>
      </w:r>
      <w:r w:rsidRPr="002F0E54">
        <w:rPr>
          <w:rStyle w:val="FootnoteReference"/>
          <w:rFonts w:ascii="Times New Roman" w:hAnsi="Times New Roman"/>
          <w:sz w:val="24"/>
        </w:rPr>
        <w:footnoteReference w:id="225"/>
      </w:r>
      <w:r w:rsidRPr="002F0E54">
        <w:rPr>
          <w:rFonts w:ascii="Times New Roman" w:hAnsi="Times New Roman"/>
        </w:rPr>
        <w:t>; and the Minister must be satisfied that extraordinary measures are required to prevent or minimise, among other things, loss of life, prejudice to the safety, or harm to the health, of</w:t>
      </w:r>
      <w:r>
        <w:rPr>
          <w:rFonts w:ascii="Times New Roman" w:hAnsi="Times New Roman"/>
        </w:rPr>
        <w:t> </w:t>
      </w:r>
      <w:r w:rsidRPr="002F0E54">
        <w:rPr>
          <w:rFonts w:ascii="Times New Roman" w:hAnsi="Times New Roman"/>
        </w:rPr>
        <w:t>persons</w:t>
      </w:r>
      <w:r w:rsidRPr="002F0E54">
        <w:rPr>
          <w:rStyle w:val="FootnoteReference"/>
          <w:rFonts w:ascii="Times New Roman" w:hAnsi="Times New Roman"/>
          <w:sz w:val="24"/>
        </w:rPr>
        <w:footnoteReference w:id="226"/>
      </w:r>
      <w:r w:rsidRPr="002F0E54">
        <w:rPr>
          <w:rFonts w:ascii="Times New Roman" w:hAnsi="Times New Roman"/>
        </w:rPr>
        <w:t xml:space="preserve">. The term "emergency" is defined as "the occurrence or imminent occurrence of a </w:t>
      </w:r>
      <w:r w:rsidRPr="002F0E54">
        <w:rPr>
          <w:rFonts w:ascii="Times New Roman" w:hAnsi="Times New Roman"/>
          <w:i/>
        </w:rPr>
        <w:t>hazard</w:t>
      </w:r>
      <w:r w:rsidRPr="002F0E54">
        <w:rPr>
          <w:rFonts w:ascii="Times New Roman" w:hAnsi="Times New Roman"/>
        </w:rPr>
        <w:t xml:space="preserve"> which is of such a nature or magnitude that it requires a significant and coordinated response"</w:t>
      </w:r>
      <w:r w:rsidRPr="002F0E54">
        <w:rPr>
          <w:rStyle w:val="FootnoteReference"/>
          <w:rFonts w:ascii="Times New Roman" w:hAnsi="Times New Roman"/>
          <w:sz w:val="24"/>
        </w:rPr>
        <w:footnoteReference w:id="227"/>
      </w:r>
      <w:r w:rsidRPr="002F0E54">
        <w:rPr>
          <w:rFonts w:ascii="Times New Roman" w:hAnsi="Times New Roman"/>
        </w:rPr>
        <w:t xml:space="preserve"> (emphasis added). The term "hazard" is in turn defined to include "a plague or an epidemic" and any other event, situation or condition that is capable of causing or resulting in loss of life, prejudice to the safety, or harm to the health, of persons</w:t>
      </w:r>
      <w:r w:rsidRPr="002F0E54">
        <w:rPr>
          <w:rStyle w:val="FootnoteReference"/>
          <w:rFonts w:ascii="Times New Roman" w:hAnsi="Times New Roman"/>
          <w:sz w:val="24"/>
        </w:rPr>
        <w:footnoteReference w:id="228"/>
      </w:r>
      <w:r w:rsidRPr="002F0E54">
        <w:rPr>
          <w:rFonts w:ascii="Times New Roman" w:hAnsi="Times New Roman"/>
        </w:rPr>
        <w:t xml:space="preserve">. And it is the </w:t>
      </w:r>
      <w:r w:rsidRPr="002F0E54">
        <w:rPr>
          <w:rFonts w:ascii="Times New Roman" w:hAnsi="Times New Roman"/>
          <w:i/>
        </w:rPr>
        <w:t>hazard</w:t>
      </w:r>
      <w:r w:rsidRPr="002F0E54">
        <w:rPr>
          <w:rFonts w:ascii="Times New Roman" w:hAnsi="Times New Roman"/>
        </w:rPr>
        <w:t xml:space="preserve"> – the </w:t>
      </w:r>
      <w:r w:rsidRPr="002F0E54">
        <w:rPr>
          <w:rFonts w:ascii="Times New Roman" w:hAnsi="Times New Roman"/>
          <w:i/>
        </w:rPr>
        <w:t>emergency</w:t>
      </w:r>
      <w:r w:rsidRPr="002F0E54">
        <w:rPr>
          <w:rFonts w:ascii="Times New Roman" w:hAnsi="Times New Roman"/>
        </w:rPr>
        <w:t xml:space="preserve"> – that has occurred, is occurring or is imminent in respect of which the Minister must be satisfied that extraordinary measures are required to prevent or minimise, among other things, loss of life, prejudice to the safety, or harm to the health, of</w:t>
      </w:r>
      <w:r>
        <w:rPr>
          <w:rFonts w:ascii="Times New Roman" w:hAnsi="Times New Roman"/>
        </w:rPr>
        <w:t> </w:t>
      </w:r>
      <w:r w:rsidRPr="002F0E54">
        <w:rPr>
          <w:rFonts w:ascii="Times New Roman" w:hAnsi="Times New Roman"/>
        </w:rPr>
        <w:t>persons, before the Minister can declare a state of emergency. The Minister's satisfaction as to these matters must be formed reasonably and on a correct understanding of the law</w:t>
      </w:r>
      <w:r w:rsidRPr="002F0E54">
        <w:rPr>
          <w:rStyle w:val="FootnoteReference"/>
          <w:rFonts w:ascii="Times New Roman" w:hAnsi="Times New Roman"/>
          <w:sz w:val="24"/>
        </w:rPr>
        <w:footnoteReference w:id="229"/>
      </w:r>
      <w:r w:rsidRPr="002F0E54">
        <w:rPr>
          <w:rFonts w:ascii="Times New Roman" w:hAnsi="Times New Roman"/>
        </w:rPr>
        <w:t>. In this case, but for the Minister being satisfied that an epidemic</w:t>
      </w:r>
      <w:r w:rsidRPr="002F0E54" w:rsidDel="00805B95">
        <w:rPr>
          <w:rFonts w:ascii="Times New Roman" w:hAnsi="Times New Roman"/>
        </w:rPr>
        <w:t xml:space="preserve"> </w:t>
      </w:r>
      <w:r w:rsidRPr="002F0E54">
        <w:rPr>
          <w:rFonts w:ascii="Times New Roman" w:hAnsi="Times New Roman"/>
        </w:rPr>
        <w:t>has occurred, is occurring or is imminent and that extraordinary measures are required to prevent or minimise loss of life, prejudice to the safety, or harm to the health, of persons, there could be no state of emergency declaration.</w:t>
      </w:r>
    </w:p>
    <w:p w14:paraId="076935C9"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And, of no less significance, any state of emergency declaration is of limited duration</w:t>
      </w:r>
      <w:r w:rsidRPr="002F0E54">
        <w:rPr>
          <w:rStyle w:val="FootnoteReference"/>
          <w:rFonts w:ascii="Times New Roman" w:hAnsi="Times New Roman"/>
          <w:sz w:val="24"/>
        </w:rPr>
        <w:footnoteReference w:id="230"/>
      </w:r>
      <w:r w:rsidRPr="002F0E54">
        <w:rPr>
          <w:rFonts w:ascii="Times New Roman" w:hAnsi="Times New Roman"/>
        </w:rPr>
        <w:t>. The initial state of emergency declaration remains in force for three days (unless sooner revoked)</w:t>
      </w:r>
      <w:r w:rsidRPr="002F0E54">
        <w:rPr>
          <w:rStyle w:val="FootnoteReference"/>
          <w:rFonts w:ascii="Times New Roman" w:hAnsi="Times New Roman"/>
          <w:sz w:val="24"/>
        </w:rPr>
        <w:footnoteReference w:id="231"/>
      </w:r>
      <w:r w:rsidRPr="002F0E54">
        <w:rPr>
          <w:rFonts w:ascii="Times New Roman" w:hAnsi="Times New Roman"/>
        </w:rPr>
        <w:t xml:space="preserve"> and then can only be extended by the Minister by further written declaration, relevantly, for a period that must not exceed 14 days</w:t>
      </w:r>
      <w:r w:rsidRPr="002F0E54">
        <w:rPr>
          <w:rStyle w:val="FootnoteReference"/>
          <w:rFonts w:ascii="Times New Roman" w:hAnsi="Times New Roman"/>
          <w:sz w:val="24"/>
        </w:rPr>
        <w:footnoteReference w:id="232"/>
      </w:r>
      <w:r w:rsidRPr="002F0E54">
        <w:rPr>
          <w:rFonts w:ascii="Times New Roman" w:hAnsi="Times New Roman"/>
        </w:rPr>
        <w:t xml:space="preserve">. Each time the state of emergency declaration is extended, the prescriptive and cumulative statutory conditions to the making of such a declaration must be satisfied. </w:t>
      </w:r>
    </w:p>
    <w:p w14:paraId="6A410209"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The powers that may be available if a state of emergency declaration is in force are addressed in Div 1 of Pt 6 of the Act, headed "Powers during emergency situation or state of emergency"</w:t>
      </w:r>
      <w:r w:rsidRPr="002F0E54">
        <w:rPr>
          <w:rStyle w:val="FootnoteReference"/>
          <w:rFonts w:ascii="Times New Roman" w:hAnsi="Times New Roman"/>
          <w:sz w:val="24"/>
        </w:rPr>
        <w:footnoteReference w:id="233"/>
      </w:r>
      <w:r w:rsidRPr="002F0E54">
        <w:rPr>
          <w:rFonts w:ascii="Times New Roman" w:hAnsi="Times New Roman"/>
        </w:rPr>
        <w:t xml:space="preserve">. Section 67(a) provides that, for the purpose of </w:t>
      </w:r>
      <w:r w:rsidRPr="002F0E54">
        <w:rPr>
          <w:rFonts w:ascii="Times New Roman" w:hAnsi="Times New Roman"/>
          <w:i/>
        </w:rPr>
        <w:t>emergency management</w:t>
      </w:r>
      <w:r w:rsidRPr="002F0E54">
        <w:rPr>
          <w:rFonts w:ascii="Times New Roman" w:hAnsi="Times New Roman"/>
        </w:rPr>
        <w:t xml:space="preserve"> during a state of emergency</w:t>
      </w:r>
      <w:r w:rsidRPr="002F0E54">
        <w:rPr>
          <w:rStyle w:val="FootnoteReference"/>
          <w:rFonts w:ascii="Times New Roman" w:hAnsi="Times New Roman"/>
          <w:sz w:val="24"/>
        </w:rPr>
        <w:footnoteReference w:id="234"/>
      </w:r>
      <w:r w:rsidRPr="002F0E54">
        <w:rPr>
          <w:rFonts w:ascii="Times New Roman" w:hAnsi="Times New Roman"/>
        </w:rPr>
        <w:t>, an authorised officer</w:t>
      </w:r>
      <w:r w:rsidRPr="002F0E54">
        <w:rPr>
          <w:rStyle w:val="FootnoteReference"/>
          <w:rFonts w:ascii="Times New Roman" w:hAnsi="Times New Roman"/>
          <w:sz w:val="24"/>
        </w:rPr>
        <w:footnoteReference w:id="235"/>
      </w:r>
      <w:r w:rsidRPr="002F0E54">
        <w:rPr>
          <w:rFonts w:ascii="Times New Roman" w:hAnsi="Times New Roman"/>
        </w:rPr>
        <w:t xml:space="preserve"> may, among other things, "direct or, by direction, prohibit, the movement of persons ... within, into, out of or around an emergency area</w:t>
      </w:r>
      <w:r w:rsidRPr="002F0E54">
        <w:rPr>
          <w:rFonts w:ascii="Times New Roman" w:hAnsi="Times New Roman"/>
          <w:sz w:val="24"/>
          <w:vertAlign w:val="superscript"/>
        </w:rPr>
        <w:t>[</w:t>
      </w:r>
      <w:r w:rsidRPr="002F0E54">
        <w:rPr>
          <w:rStyle w:val="FootnoteReference"/>
          <w:rFonts w:ascii="Times New Roman" w:eastAsia="Calibri" w:hAnsi="Times New Roman"/>
          <w:sz w:val="24"/>
        </w:rPr>
        <w:footnoteReference w:id="236"/>
      </w:r>
      <w:r w:rsidRPr="002F0E54">
        <w:rPr>
          <w:rFonts w:ascii="Times New Roman" w:hAnsi="Times New Roman"/>
          <w:sz w:val="24"/>
          <w:vertAlign w:val="superscript"/>
        </w:rPr>
        <w:t>]</w:t>
      </w:r>
      <w:r w:rsidRPr="002F0E54">
        <w:rPr>
          <w:rFonts w:ascii="Times New Roman" w:hAnsi="Times New Roman"/>
        </w:rPr>
        <w:t xml:space="preserve"> or any part of the emergency area". The term "emergency management" is defined</w:t>
      </w:r>
      <w:r w:rsidRPr="002F0E54">
        <w:rPr>
          <w:rStyle w:val="FootnoteReference"/>
          <w:rFonts w:ascii="Times New Roman" w:hAnsi="Times New Roman"/>
          <w:sz w:val="24"/>
        </w:rPr>
        <w:footnoteReference w:id="237"/>
      </w:r>
      <w:r w:rsidRPr="002F0E54">
        <w:rPr>
          <w:rFonts w:ascii="Times New Roman" w:hAnsi="Times New Roman"/>
        </w:rPr>
        <w:t xml:space="preserve"> to mean:</w:t>
      </w:r>
    </w:p>
    <w:p w14:paraId="5AF7FEF1" w14:textId="77777777" w:rsidR="002D2334" w:rsidRPr="002F0E54" w:rsidRDefault="002D2334" w:rsidP="002F0E54">
      <w:pPr>
        <w:pStyle w:val="LRIndent"/>
        <w:spacing w:before="0" w:after="260" w:line="280" w:lineRule="exact"/>
        <w:ind w:right="0" w:firstLine="0"/>
        <w:jc w:val="both"/>
        <w:rPr>
          <w:rFonts w:ascii="Times New Roman" w:hAnsi="Times New Roman"/>
        </w:rPr>
      </w:pPr>
      <w:r w:rsidRPr="002F0E54">
        <w:rPr>
          <w:rFonts w:ascii="Times New Roman" w:hAnsi="Times New Roman"/>
        </w:rPr>
        <w:t xml:space="preserve">"the management of the adverse effects of an emergency including – </w:t>
      </w:r>
    </w:p>
    <w:p w14:paraId="76FC3E10" w14:textId="77777777" w:rsidR="002D2334" w:rsidRPr="002F0E54" w:rsidRDefault="002D2334" w:rsidP="002F0E54">
      <w:pPr>
        <w:pStyle w:val="LRIndent"/>
        <w:spacing w:before="0" w:after="260" w:line="280" w:lineRule="exact"/>
        <w:ind w:left="1440" w:right="0" w:hanging="720"/>
        <w:jc w:val="both"/>
        <w:rPr>
          <w:rFonts w:ascii="Times New Roman" w:hAnsi="Times New Roman"/>
        </w:rPr>
      </w:pPr>
      <w:r w:rsidRPr="002F0E54">
        <w:rPr>
          <w:rFonts w:ascii="Times New Roman" w:hAnsi="Times New Roman"/>
        </w:rPr>
        <w:t>(a)</w:t>
      </w:r>
      <w:r w:rsidRPr="002F0E54">
        <w:rPr>
          <w:rFonts w:ascii="Times New Roman" w:hAnsi="Times New Roman"/>
        </w:rPr>
        <w:tab/>
        <w:t>prevention – the mitigation or prevention of the probability of the occurrence of, and the potential adverse effects of, an emergency; and</w:t>
      </w:r>
    </w:p>
    <w:p w14:paraId="45E5D5D6" w14:textId="77777777" w:rsidR="002D2334" w:rsidRPr="002F0E54" w:rsidRDefault="002D2334" w:rsidP="002F0E54">
      <w:pPr>
        <w:pStyle w:val="LRIndent"/>
        <w:spacing w:before="0" w:after="260" w:line="280" w:lineRule="exact"/>
        <w:ind w:left="1440" w:right="0" w:hanging="720"/>
        <w:jc w:val="both"/>
        <w:rPr>
          <w:rFonts w:ascii="Times New Roman" w:hAnsi="Times New Roman"/>
        </w:rPr>
      </w:pPr>
      <w:r w:rsidRPr="002F0E54">
        <w:rPr>
          <w:rFonts w:ascii="Times New Roman" w:hAnsi="Times New Roman"/>
        </w:rPr>
        <w:t>(b)</w:t>
      </w:r>
      <w:r w:rsidRPr="002F0E54">
        <w:rPr>
          <w:rFonts w:ascii="Times New Roman" w:hAnsi="Times New Roman"/>
        </w:rPr>
        <w:tab/>
        <w:t>preparedness – preparation for response to an emergency; and</w:t>
      </w:r>
    </w:p>
    <w:p w14:paraId="1D494D7C" w14:textId="77777777" w:rsidR="002D2334" w:rsidRPr="002F0E54" w:rsidRDefault="002D2334" w:rsidP="002F0E54">
      <w:pPr>
        <w:pStyle w:val="LRIndent"/>
        <w:spacing w:before="0" w:after="260" w:line="280" w:lineRule="exact"/>
        <w:ind w:left="1440" w:right="0" w:hanging="720"/>
        <w:jc w:val="both"/>
        <w:rPr>
          <w:rFonts w:ascii="Times New Roman" w:hAnsi="Times New Roman"/>
        </w:rPr>
      </w:pPr>
      <w:r w:rsidRPr="002F0E54">
        <w:rPr>
          <w:rFonts w:ascii="Times New Roman" w:hAnsi="Times New Roman"/>
        </w:rPr>
        <w:t>(c)</w:t>
      </w:r>
      <w:r w:rsidRPr="002F0E54">
        <w:rPr>
          <w:rFonts w:ascii="Times New Roman" w:hAnsi="Times New Roman"/>
        </w:rPr>
        <w:tab/>
        <w:t>response – the combating of the effects of an emergency, provision</w:t>
      </w:r>
      <w:r>
        <w:rPr>
          <w:rFonts w:ascii="Times New Roman" w:hAnsi="Times New Roman"/>
        </w:rPr>
        <w:t> </w:t>
      </w:r>
      <w:r w:rsidRPr="002F0E54">
        <w:rPr>
          <w:rFonts w:ascii="Times New Roman" w:hAnsi="Times New Roman"/>
        </w:rPr>
        <w:t>of emergency assistance for casualties, reduction of further damage ... and</w:t>
      </w:r>
    </w:p>
    <w:p w14:paraId="202E4040" w14:textId="77777777" w:rsidR="002D2334" w:rsidRDefault="002D2334" w:rsidP="002F0E54">
      <w:pPr>
        <w:pStyle w:val="LRIndent"/>
        <w:spacing w:before="0" w:after="260" w:line="280" w:lineRule="exact"/>
        <w:ind w:right="0" w:firstLine="0"/>
        <w:jc w:val="both"/>
        <w:rPr>
          <w:rFonts w:ascii="Times New Roman" w:hAnsi="Times New Roman"/>
        </w:rPr>
      </w:pPr>
      <w:r w:rsidRPr="002F0E54">
        <w:rPr>
          <w:rFonts w:ascii="Times New Roman" w:hAnsi="Times New Roman"/>
        </w:rPr>
        <w:t>(d)</w:t>
      </w:r>
      <w:r w:rsidRPr="002F0E54">
        <w:rPr>
          <w:rFonts w:ascii="Times New Roman" w:hAnsi="Times New Roman"/>
        </w:rPr>
        <w:tab/>
        <w:t>recovery ...".</w:t>
      </w:r>
    </w:p>
    <w:p w14:paraId="2963A58D"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The state of emergency took effect from midnight on 16 March 2020 and, pursuant to s 58 of the Act, every 14 days has been extended by the Minister. During the state of emergency, the State Emergency Coordinator issued the Directions, which were amended from time to time. At the time of the hearing before this Court, the Directions relevantly provided that "[a] person must not enter Western Australia unless the person is an exempt traveller"</w:t>
      </w:r>
      <w:r w:rsidRPr="002F0E54">
        <w:rPr>
          <w:rStyle w:val="FootnoteReference"/>
          <w:rFonts w:ascii="Times New Roman" w:hAnsi="Times New Roman"/>
          <w:sz w:val="24"/>
        </w:rPr>
        <w:footnoteReference w:id="238"/>
      </w:r>
      <w:r w:rsidRPr="002F0E54">
        <w:rPr>
          <w:rFonts w:ascii="Times New Roman" w:hAnsi="Times New Roman"/>
        </w:rPr>
        <w:t xml:space="preserve"> and that an exempt traveller must not enter Western Australia if the person has certain COVID-19 symptoms, has been notified that they are a "close contact" of a person with COVID-19, is awaiting a test result after having been tested for COVID-19, or has received a positive test and has not received certification that they have recovered from COVID</w:t>
      </w:r>
      <w:r w:rsidRPr="002F0E54">
        <w:rPr>
          <w:rFonts w:ascii="Times New Roman" w:hAnsi="Times New Roman"/>
        </w:rPr>
        <w:noBreakHyphen/>
        <w:t>19</w:t>
      </w:r>
      <w:r w:rsidRPr="002F0E54">
        <w:rPr>
          <w:rStyle w:val="FootnoteReference"/>
          <w:rFonts w:ascii="Times New Roman" w:hAnsi="Times New Roman"/>
          <w:sz w:val="24"/>
        </w:rPr>
        <w:footnoteReference w:id="239"/>
      </w:r>
      <w:r w:rsidRPr="002F0E54">
        <w:rPr>
          <w:rFonts w:ascii="Times New Roman" w:hAnsi="Times New Roman"/>
        </w:rPr>
        <w:t>. The preamble confirmed that "[t]he purpose of these directions is to limit the spread of COVID</w:t>
      </w:r>
      <w:r w:rsidRPr="002F0E54">
        <w:rPr>
          <w:rFonts w:ascii="Times New Roman" w:hAnsi="Times New Roman"/>
        </w:rPr>
        <w:noBreakHyphen/>
        <w:t>19". That was consistent with the observation, in</w:t>
      </w:r>
      <w:r>
        <w:rPr>
          <w:rFonts w:ascii="Times New Roman" w:hAnsi="Times New Roman"/>
        </w:rPr>
        <w:t> </w:t>
      </w:r>
      <w:r w:rsidRPr="002F0E54">
        <w:rPr>
          <w:rFonts w:ascii="Times New Roman" w:hAnsi="Times New Roman"/>
        </w:rPr>
        <w:t>the paragraphs prior to the preamble, that the World Health Organization had declared COVID-19 a pandemic on 11 March 2020.</w:t>
      </w:r>
    </w:p>
    <w:p w14:paraId="6ED2E4F1" w14:textId="77777777" w:rsidR="002D2334" w:rsidRPr="002F0E54" w:rsidRDefault="002D2334" w:rsidP="002F0E54">
      <w:pPr>
        <w:pStyle w:val="HeadingL1"/>
        <w:spacing w:after="260" w:line="280" w:lineRule="exact"/>
        <w:ind w:right="0"/>
        <w:jc w:val="both"/>
        <w:rPr>
          <w:rFonts w:ascii="Times New Roman" w:hAnsi="Times New Roman"/>
        </w:rPr>
      </w:pPr>
      <w:r w:rsidRPr="002F0E54">
        <w:rPr>
          <w:rFonts w:ascii="Times New Roman" w:hAnsi="Times New Roman"/>
        </w:rPr>
        <w:t xml:space="preserve">Section 92 of the </w:t>
      </w:r>
      <w:r w:rsidRPr="002F0E54">
        <w:rPr>
          <w:rFonts w:ascii="Times New Roman" w:hAnsi="Times New Roman"/>
          <w:i/>
        </w:rPr>
        <w:t>Constitution</w:t>
      </w:r>
    </w:p>
    <w:p w14:paraId="2BA5DFC6"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 xml:space="preserve">The difficulties that inhere in s 92 of the </w:t>
      </w:r>
      <w:r w:rsidRPr="002F0E54">
        <w:rPr>
          <w:rFonts w:ascii="Times New Roman" w:hAnsi="Times New Roman"/>
          <w:i/>
        </w:rPr>
        <w:t>Constitution</w:t>
      </w:r>
      <w:r w:rsidRPr="002F0E54">
        <w:rPr>
          <w:rFonts w:ascii="Times New Roman" w:hAnsi="Times New Roman"/>
        </w:rPr>
        <w:t xml:space="preserve"> are longstanding</w:t>
      </w:r>
      <w:r w:rsidRPr="002F0E54">
        <w:rPr>
          <w:rStyle w:val="FootnoteReference"/>
          <w:rFonts w:ascii="Times New Roman" w:hAnsi="Times New Roman"/>
          <w:sz w:val="24"/>
        </w:rPr>
        <w:footnoteReference w:id="240"/>
      </w:r>
      <w:r w:rsidRPr="002F0E54">
        <w:rPr>
          <w:rFonts w:ascii="Times New Roman" w:hAnsi="Times New Roman"/>
        </w:rPr>
        <w:t>. A</w:t>
      </w:r>
      <w:r>
        <w:rPr>
          <w:rFonts w:ascii="Times New Roman" w:hAnsi="Times New Roman"/>
        </w:rPr>
        <w:t> </w:t>
      </w:r>
      <w:r w:rsidRPr="002F0E54">
        <w:rPr>
          <w:rFonts w:ascii="Times New Roman" w:hAnsi="Times New Roman"/>
        </w:rPr>
        <w:t>cause of the difficulties is that s 92 applies to the "diverse and changing nature" of interstate trade, commerce and intercourse</w:t>
      </w:r>
      <w:r w:rsidRPr="002F0E54">
        <w:rPr>
          <w:rStyle w:val="FootnoteReference"/>
          <w:rFonts w:ascii="Times New Roman" w:hAnsi="Times New Roman"/>
          <w:sz w:val="24"/>
        </w:rPr>
        <w:footnoteReference w:id="241"/>
      </w:r>
      <w:r w:rsidRPr="002F0E54">
        <w:rPr>
          <w:rFonts w:ascii="Times New Roman" w:hAnsi="Times New Roman"/>
        </w:rPr>
        <w:t xml:space="preserve"> and, thus, the principles applied in the decided cases have evolved from specific circumstances and features raising unique considerations</w:t>
      </w:r>
      <w:r w:rsidRPr="002F0E54">
        <w:rPr>
          <w:rStyle w:val="FootnoteReference"/>
          <w:rFonts w:ascii="Times New Roman" w:hAnsi="Times New Roman"/>
          <w:sz w:val="24"/>
        </w:rPr>
        <w:footnoteReference w:id="242"/>
      </w:r>
      <w:r w:rsidRPr="002F0E54">
        <w:rPr>
          <w:rFonts w:ascii="Times New Roman" w:hAnsi="Times New Roman"/>
        </w:rPr>
        <w:t>. This case is the next in line. It concerns steps taken by one State in response to the global pandemic of COVID-19. The steps taken were extraordinary (in effect closing Western Australia at its borders by generally preventing persons from entering the State). But the circumstances in which these steps were taken were extraordinary – a global pandemic that had killed many people, where the vector of the pandemic was human and the disease could be transmitted by a person who was asymptomatic</w:t>
      </w:r>
      <w:r w:rsidRPr="002F0E54">
        <w:rPr>
          <w:rStyle w:val="FootnoteReference"/>
          <w:rFonts w:ascii="Times New Roman" w:hAnsi="Times New Roman"/>
          <w:sz w:val="24"/>
        </w:rPr>
        <w:footnoteReference w:id="243"/>
      </w:r>
      <w:r w:rsidRPr="002F0E54">
        <w:rPr>
          <w:rFonts w:ascii="Times New Roman" w:hAnsi="Times New Roman"/>
        </w:rPr>
        <w:t xml:space="preserve">. </w:t>
      </w:r>
    </w:p>
    <w:p w14:paraId="158669E7"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 xml:space="preserve">Despite the extraordinary circumstances giving rise to the extraordinary measures, the constitutional limitation of s 92 continues to apply and must be satisfied. Aspects of the guarantee in s 92 must frame the analysis. </w:t>
      </w:r>
    </w:p>
    <w:p w14:paraId="60997485"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Section 92 does not confer a personal right to engage in interstate trade, commerce and intercourse</w:t>
      </w:r>
      <w:r w:rsidRPr="002F0E54">
        <w:rPr>
          <w:rStyle w:val="FootnoteReference"/>
          <w:rFonts w:ascii="Times New Roman" w:hAnsi="Times New Roman"/>
          <w:sz w:val="24"/>
        </w:rPr>
        <w:footnoteReference w:id="244"/>
      </w:r>
      <w:r w:rsidRPr="002F0E54">
        <w:rPr>
          <w:rFonts w:ascii="Times New Roman" w:hAnsi="Times New Roman"/>
        </w:rPr>
        <w:t>; it is a limit on legislative and executive power</w:t>
      </w:r>
      <w:r w:rsidRPr="002F0E54">
        <w:rPr>
          <w:rStyle w:val="FootnoteReference"/>
          <w:rFonts w:ascii="Times New Roman" w:hAnsi="Times New Roman"/>
          <w:sz w:val="24"/>
        </w:rPr>
        <w:footnoteReference w:id="245"/>
      </w:r>
      <w:r w:rsidRPr="002F0E54">
        <w:rPr>
          <w:rFonts w:ascii="Times New Roman" w:hAnsi="Times New Roman"/>
        </w:rPr>
        <w:t>. And the guarantee in s 92 that "trade, commerce, and intercourse among the States ... shall be absolutely free" does not confer immunity from all regulation</w:t>
      </w:r>
      <w:r w:rsidRPr="002F0E54">
        <w:rPr>
          <w:rStyle w:val="FootnoteReference"/>
          <w:rFonts w:ascii="Times New Roman" w:hAnsi="Times New Roman"/>
          <w:sz w:val="24"/>
        </w:rPr>
        <w:footnoteReference w:id="246"/>
      </w:r>
      <w:r w:rsidRPr="002F0E54">
        <w:rPr>
          <w:rFonts w:ascii="Times New Roman" w:hAnsi="Times New Roman"/>
        </w:rPr>
        <w:t>. It does not prevent the making of laws which impose a differential burden on interstate trade, commerce and intercourse if the differential burden is reasonably necessary to achieve a legitimate object of the law</w:t>
      </w:r>
      <w:r w:rsidRPr="002F0E54">
        <w:rPr>
          <w:rStyle w:val="FootnoteReference"/>
          <w:rFonts w:ascii="Times New Roman" w:hAnsi="Times New Roman"/>
          <w:sz w:val="24"/>
        </w:rPr>
        <w:footnoteReference w:id="247"/>
      </w:r>
      <w:r w:rsidRPr="002F0E54">
        <w:rPr>
          <w:rFonts w:ascii="Times New Roman" w:hAnsi="Times New Roman"/>
        </w:rPr>
        <w:t xml:space="preserve">. </w:t>
      </w:r>
    </w:p>
    <w:p w14:paraId="7A17F598" w14:textId="77777777" w:rsidR="002D2334" w:rsidRPr="002F0E54" w:rsidRDefault="002D2334" w:rsidP="002F0E54">
      <w:pPr>
        <w:pStyle w:val="HeadingL2"/>
        <w:spacing w:after="260" w:line="280" w:lineRule="exact"/>
        <w:ind w:right="0"/>
        <w:jc w:val="both"/>
        <w:rPr>
          <w:rFonts w:ascii="Times New Roman" w:hAnsi="Times New Roman"/>
        </w:rPr>
      </w:pPr>
      <w:r w:rsidRPr="002F0E54">
        <w:rPr>
          <w:rFonts w:ascii="Times New Roman" w:hAnsi="Times New Roman"/>
        </w:rPr>
        <w:t>Interstate "trade, commerce, and intercourse" – composite or to be divided?</w:t>
      </w:r>
    </w:p>
    <w:p w14:paraId="0435BBE9"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 xml:space="preserve">Although this Court in </w:t>
      </w:r>
      <w:r w:rsidRPr="002F0E54">
        <w:rPr>
          <w:rFonts w:ascii="Times New Roman" w:hAnsi="Times New Roman"/>
          <w:i/>
        </w:rPr>
        <w:t xml:space="preserve">Cole v Whitfield </w:t>
      </w:r>
      <w:r w:rsidRPr="002F0E54">
        <w:rPr>
          <w:rFonts w:ascii="Times New Roman" w:hAnsi="Times New Roman"/>
        </w:rPr>
        <w:t>said that "[t]he notions of absolutely free trade and commerce and absolutely free intercourse are quite distinct"</w:t>
      </w:r>
      <w:r w:rsidRPr="002F0E54">
        <w:rPr>
          <w:rStyle w:val="FootnoteReference"/>
          <w:rFonts w:ascii="Times New Roman" w:hAnsi="Times New Roman"/>
          <w:sz w:val="24"/>
        </w:rPr>
        <w:footnoteReference w:id="248"/>
      </w:r>
      <w:r w:rsidRPr="002F0E54">
        <w:rPr>
          <w:rFonts w:ascii="Times New Roman" w:hAnsi="Times New Roman"/>
        </w:rPr>
        <w:t xml:space="preserve"> and</w:t>
      </w:r>
      <w:r>
        <w:rPr>
          <w:rFonts w:ascii="Times New Roman" w:hAnsi="Times New Roman"/>
        </w:rPr>
        <w:t> </w:t>
      </w:r>
      <w:r w:rsidRPr="002F0E54">
        <w:rPr>
          <w:rFonts w:ascii="Times New Roman" w:hAnsi="Times New Roman"/>
        </w:rPr>
        <w:t>that the content of one limb need not govern the content of the other</w:t>
      </w:r>
      <w:r w:rsidRPr="002F0E54">
        <w:rPr>
          <w:rStyle w:val="FootnoteReference"/>
          <w:rFonts w:ascii="Times New Roman" w:hAnsi="Times New Roman"/>
          <w:sz w:val="24"/>
        </w:rPr>
        <w:footnoteReference w:id="249"/>
      </w:r>
      <w:r w:rsidRPr="002F0E54">
        <w:rPr>
          <w:rFonts w:ascii="Times New Roman" w:hAnsi="Times New Roman"/>
        </w:rPr>
        <w:t>, the</w:t>
      </w:r>
      <w:r>
        <w:rPr>
          <w:rFonts w:ascii="Times New Roman" w:hAnsi="Times New Roman"/>
        </w:rPr>
        <w:t> </w:t>
      </w:r>
      <w:r w:rsidRPr="002F0E54">
        <w:rPr>
          <w:rFonts w:ascii="Times New Roman" w:hAnsi="Times New Roman"/>
        </w:rPr>
        <w:t xml:space="preserve">phrase "trade, commerce, and intercourse" should </w:t>
      </w:r>
      <w:r w:rsidRPr="002F0E54" w:rsidDel="00BB00A3">
        <w:rPr>
          <w:rFonts w:ascii="Times New Roman" w:hAnsi="Times New Roman"/>
        </w:rPr>
        <w:t xml:space="preserve">be treated as a composite and </w:t>
      </w:r>
      <w:r w:rsidRPr="002F0E54">
        <w:rPr>
          <w:rFonts w:ascii="Times New Roman" w:hAnsi="Times New Roman"/>
        </w:rPr>
        <w:t xml:space="preserve">not be divided. </w:t>
      </w:r>
      <w:r w:rsidRPr="002F0E54">
        <w:rPr>
          <w:rFonts w:ascii="Times New Roman" w:hAnsi="Times New Roman"/>
          <w:i/>
        </w:rPr>
        <w:t>Cole</w:t>
      </w:r>
      <w:r w:rsidRPr="002F0E54">
        <w:rPr>
          <w:rFonts w:ascii="Times New Roman" w:hAnsi="Times New Roman"/>
        </w:rPr>
        <w:t xml:space="preserve"> and the cases since do not provide any compelling reason why the content of the trade and commerce limb and the content of the intercourse limb should be different. For the following reasons, it should now be accepted that s 92 is to be treated as a whole and is centrally concerned with discrimination – an unjustified differential burden</w:t>
      </w:r>
      <w:r w:rsidRPr="002F0E54">
        <w:rPr>
          <w:rStyle w:val="FootnoteReference"/>
          <w:rFonts w:ascii="Times New Roman" w:hAnsi="Times New Roman"/>
          <w:sz w:val="24"/>
        </w:rPr>
        <w:footnoteReference w:id="250"/>
      </w:r>
      <w:r w:rsidRPr="002F0E54">
        <w:rPr>
          <w:rFonts w:ascii="Times New Roman" w:hAnsi="Times New Roman"/>
        </w:rPr>
        <w:t xml:space="preserve"> on interstate trade, commerce and intercourse, compared with intrastate trade, commerce and intercourse. </w:t>
      </w:r>
    </w:p>
    <w:p w14:paraId="1C769E82"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 xml:space="preserve">First, there is no textual basis for separating the components of s 92. As Hayne J said in </w:t>
      </w:r>
      <w:r w:rsidRPr="002F0E54">
        <w:rPr>
          <w:rFonts w:ascii="Times New Roman" w:hAnsi="Times New Roman"/>
          <w:i/>
        </w:rPr>
        <w:t>APLA Ltd v Legal Services Commissioner (NSW)</w:t>
      </w:r>
      <w:r w:rsidRPr="002F0E54">
        <w:rPr>
          <w:rStyle w:val="FootnoteReference"/>
          <w:rFonts w:ascii="Times New Roman" w:hAnsi="Times New Roman"/>
          <w:sz w:val="24"/>
        </w:rPr>
        <w:footnoteReference w:id="251"/>
      </w:r>
      <w:r w:rsidRPr="002F0E54">
        <w:rPr>
          <w:rFonts w:ascii="Times New Roman" w:hAnsi="Times New Roman"/>
        </w:rPr>
        <w:t xml:space="preserve">, the text of s 92 does not readily yield a distinction between interstate trade and commerce, and interstate intercourse. Any distinction between the trade and commerce limb on one hand and the intercourse limb on </w:t>
      </w:r>
      <w:r w:rsidRPr="00740AA5">
        <w:rPr>
          <w:rFonts w:ascii="Times New Roman" w:hAnsi="Times New Roman"/>
        </w:rPr>
        <w:t>the</w:t>
      </w:r>
      <w:r w:rsidRPr="002F0E54">
        <w:rPr>
          <w:rFonts w:ascii="Times New Roman" w:hAnsi="Times New Roman"/>
        </w:rPr>
        <w:t xml:space="preserve"> other can have purpose and utility only if it leads to different content being given to the freedom s 92 provides in relation </w:t>
      </w:r>
      <w:r w:rsidRPr="002F0E54" w:rsidDel="00761157">
        <w:rPr>
          <w:rFonts w:ascii="Times New Roman" w:hAnsi="Times New Roman"/>
        </w:rPr>
        <w:t xml:space="preserve">to </w:t>
      </w:r>
      <w:r w:rsidRPr="002F0E54">
        <w:rPr>
          <w:rFonts w:ascii="Times New Roman" w:hAnsi="Times New Roman"/>
        </w:rPr>
        <w:t>each limb</w:t>
      </w:r>
      <w:r w:rsidRPr="002F0E54">
        <w:rPr>
          <w:rStyle w:val="FootnoteReference"/>
          <w:rFonts w:ascii="Times New Roman" w:hAnsi="Times New Roman"/>
          <w:sz w:val="24"/>
        </w:rPr>
        <w:footnoteReference w:id="252"/>
      </w:r>
      <w:r w:rsidRPr="002F0E54">
        <w:rPr>
          <w:rFonts w:ascii="Times New Roman" w:hAnsi="Times New Roman"/>
        </w:rPr>
        <w:t>. As his Honour said, nothing in the text of s 92 reveals why that should be so and, in particular, nothing in the text readily reveals any basis for treating one of three elements of a composite expression which forms the subject of the guarantee as "connoting, let alone requiring, the application of some different test from the test to be applied to the other elements"</w:t>
      </w:r>
      <w:r w:rsidRPr="002F0E54">
        <w:rPr>
          <w:rStyle w:val="FootnoteReference"/>
          <w:rFonts w:ascii="Times New Roman" w:hAnsi="Times New Roman"/>
          <w:sz w:val="24"/>
        </w:rPr>
        <w:footnoteReference w:id="253"/>
      </w:r>
      <w:r w:rsidRPr="002F0E54">
        <w:rPr>
          <w:rFonts w:ascii="Times New Roman" w:hAnsi="Times New Roman"/>
        </w:rPr>
        <w:t>. Indeed, the phrase "trade, commerce, and intercourse among the States" is part of a constitutional guarantee concerned to protect the composite concept – interstate "trade,</w:t>
      </w:r>
      <w:r>
        <w:rPr>
          <w:rFonts w:ascii="Times New Roman" w:hAnsi="Times New Roman"/>
        </w:rPr>
        <w:t xml:space="preserve"> </w:t>
      </w:r>
      <w:r w:rsidRPr="002F0E54">
        <w:rPr>
          <w:rFonts w:ascii="Times New Roman" w:hAnsi="Times New Roman"/>
        </w:rPr>
        <w:t>commerce, and intercourse". Impugned laws sometimes burden interstate trade and commerce and interstate intercourse</w:t>
      </w:r>
      <w:r w:rsidRPr="002F0E54">
        <w:rPr>
          <w:rStyle w:val="FootnoteReference"/>
          <w:rFonts w:ascii="Times New Roman" w:hAnsi="Times New Roman"/>
          <w:sz w:val="24"/>
        </w:rPr>
        <w:footnoteReference w:id="254"/>
      </w:r>
      <w:r w:rsidRPr="002F0E54">
        <w:rPr>
          <w:rFonts w:ascii="Times New Roman" w:hAnsi="Times New Roman"/>
        </w:rPr>
        <w:t xml:space="preserve">. So much was argued in this case. </w:t>
      </w:r>
    </w:p>
    <w:p w14:paraId="0DAB91EF"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Second, considering the guarantee as a composite concept is consistent with the purpose of s 92, which is "to create a free trade area throughout the Commonwealth and to deny to [the] Commonwealth and States alike a power to prevent or obstruct the free movement of people, goods and communications across State boundaries"</w:t>
      </w:r>
      <w:r w:rsidRPr="002F0E54">
        <w:rPr>
          <w:rStyle w:val="FootnoteReference"/>
          <w:rFonts w:ascii="Times New Roman" w:hAnsi="Times New Roman"/>
          <w:sz w:val="24"/>
        </w:rPr>
        <w:footnoteReference w:id="255"/>
      </w:r>
      <w:r w:rsidRPr="002F0E54">
        <w:rPr>
          <w:rFonts w:ascii="Times New Roman" w:hAnsi="Times New Roman"/>
        </w:rPr>
        <w:t>. To accept that s 92 protects interstate trade, commerce and intercourse from laws which discriminate against – impose an unjustified differential burden on – interstate trade, commerce and intercourse, thus</w:t>
      </w:r>
      <w:r w:rsidRPr="002F0E54" w:rsidDel="005E3782">
        <w:rPr>
          <w:rFonts w:ascii="Times New Roman" w:hAnsi="Times New Roman"/>
        </w:rPr>
        <w:t xml:space="preserve"> </w:t>
      </w:r>
      <w:r w:rsidRPr="002F0E54">
        <w:rPr>
          <w:rFonts w:ascii="Times New Roman" w:hAnsi="Times New Roman"/>
        </w:rPr>
        <w:t>accords with its purpose. As has rightly been said in relation to interstate intercourse</w:t>
      </w:r>
      <w:r w:rsidRPr="002F0E54">
        <w:rPr>
          <w:rStyle w:val="FootnoteReference"/>
          <w:rFonts w:ascii="Times New Roman" w:hAnsi="Times New Roman"/>
          <w:sz w:val="24"/>
        </w:rPr>
        <w:footnoteReference w:id="256"/>
      </w:r>
      <w:r w:rsidRPr="002F0E54">
        <w:rPr>
          <w:rFonts w:ascii="Times New Roman" w:hAnsi="Times New Roman"/>
        </w:rPr>
        <w:t xml:space="preserve">: </w:t>
      </w:r>
    </w:p>
    <w:p w14:paraId="0A0A33DA" w14:textId="77777777" w:rsidR="002D2334" w:rsidRDefault="002D2334" w:rsidP="002F0E54">
      <w:pPr>
        <w:pStyle w:val="leftright"/>
        <w:spacing w:before="0" w:after="260" w:line="280" w:lineRule="exact"/>
        <w:ind w:right="0"/>
        <w:jc w:val="both"/>
        <w:rPr>
          <w:rFonts w:ascii="Times New Roman" w:hAnsi="Times New Roman"/>
        </w:rPr>
      </w:pPr>
      <w:r w:rsidRPr="002F0E54">
        <w:rPr>
          <w:rFonts w:ascii="Times New Roman" w:hAnsi="Times New Roman"/>
        </w:rPr>
        <w:t>"That purpose does not require that the guarantee apply to general laws which do not seek to employ State borders as a barrier to free movement ... Section 92 should be understood not so much as a guarantee of freedom of movement per se, but as a restriction on using State borders to keep outsiders out, or keep insiders in. It is that which is offensive to the federal nation."</w:t>
      </w:r>
    </w:p>
    <w:p w14:paraId="4473E43F"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Put in different terms, a discriminatory element – an unjustified differential burden on interstate trade, commerce and intercourse, compared with intrastate trade, commerce and intercourse – is what underpins s 92. The "essence of the legal notion of discrimination" is in "the unequal treatment of equals, and, conversely, in the equal treatment of unequals"</w:t>
      </w:r>
      <w:r w:rsidRPr="002F0E54">
        <w:rPr>
          <w:rStyle w:val="FootnoteReference"/>
          <w:rFonts w:ascii="Times New Roman" w:hAnsi="Times New Roman"/>
          <w:sz w:val="24"/>
        </w:rPr>
        <w:footnoteReference w:id="257"/>
      </w:r>
      <w:r w:rsidRPr="002F0E54">
        <w:rPr>
          <w:rFonts w:ascii="Times New Roman" w:hAnsi="Times New Roman"/>
        </w:rPr>
        <w:t>, or "a departure from equality of treatment"</w:t>
      </w:r>
      <w:r w:rsidRPr="002F0E54">
        <w:rPr>
          <w:rStyle w:val="FootnoteReference"/>
          <w:rFonts w:ascii="Times New Roman" w:hAnsi="Times New Roman"/>
          <w:sz w:val="24"/>
        </w:rPr>
        <w:footnoteReference w:id="258"/>
      </w:r>
      <w:r w:rsidRPr="002F0E54">
        <w:rPr>
          <w:rFonts w:ascii="Times New Roman" w:hAnsi="Times New Roman"/>
        </w:rPr>
        <w:t>. It may be accepted that the nature of the discrimination differs between the two limbs. For trade and commerce, the discrimination is protectionist, namely the "protection of domestic [intrastate] industries against foreign [interstate] competition"</w:t>
      </w:r>
      <w:r w:rsidRPr="002F0E54">
        <w:rPr>
          <w:rStyle w:val="FootnoteReference"/>
          <w:rFonts w:ascii="Times New Roman" w:hAnsi="Times New Roman"/>
          <w:sz w:val="24"/>
        </w:rPr>
        <w:footnoteReference w:id="259"/>
      </w:r>
      <w:r w:rsidRPr="002F0E54">
        <w:rPr>
          <w:rFonts w:ascii="Times New Roman" w:hAnsi="Times New Roman"/>
        </w:rPr>
        <w:t xml:space="preserve">. For intercourse, the discrimination is between intrastate as distinct from interstate movement or activity. Although the nature of the discrimination may differ, that does not detract from the fact that discrimination must exist and create an unjustified differential burden in favour of intrastate – as distinct from interstate – trade, commerce and intercourse. </w:t>
      </w:r>
    </w:p>
    <w:p w14:paraId="2D082B9D"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Third, recognising that the concern of the guarantee is to protect against laws which impose an unjustified differential burden on interstate trade, commerce</w:t>
      </w:r>
      <w:r>
        <w:rPr>
          <w:rFonts w:ascii="Times New Roman" w:hAnsi="Times New Roman"/>
        </w:rPr>
        <w:t> </w:t>
      </w:r>
      <w:r w:rsidRPr="002F0E54">
        <w:rPr>
          <w:rFonts w:ascii="Times New Roman" w:hAnsi="Times New Roman"/>
        </w:rPr>
        <w:t>and intercourse in favour of intrastate trade, commerce and intercourse is no new idea. It has long been accepted that laws infringing the guarantee of free interstate trade and commerce are those that discriminate (in a protectionist sense) against interstate trade and commerce, in favour of intrastate trade and commerce</w:t>
      </w:r>
      <w:r w:rsidRPr="002F0E54">
        <w:rPr>
          <w:rStyle w:val="FootnoteReference"/>
          <w:rFonts w:ascii="Times New Roman" w:hAnsi="Times New Roman"/>
          <w:sz w:val="24"/>
        </w:rPr>
        <w:footnoteReference w:id="260"/>
      </w:r>
      <w:r w:rsidRPr="002F0E54">
        <w:rPr>
          <w:rFonts w:ascii="Times New Roman" w:hAnsi="Times New Roman"/>
        </w:rPr>
        <w:t xml:space="preserve">. </w:t>
      </w:r>
    </w:p>
    <w:p w14:paraId="2D7E0100"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 xml:space="preserve">But the discriminatory element has also featured in intercourse cases. As Brennan J said in </w:t>
      </w:r>
      <w:r w:rsidRPr="002F0E54">
        <w:rPr>
          <w:rFonts w:ascii="Times New Roman" w:hAnsi="Times New Roman"/>
          <w:i/>
        </w:rPr>
        <w:t>Nationwide News Pty Ltd v Wills</w:t>
      </w:r>
      <w:r w:rsidRPr="002F0E54">
        <w:rPr>
          <w:rFonts w:ascii="Times New Roman" w:hAnsi="Times New Roman"/>
        </w:rPr>
        <w:t>, "discrimination against interstate intercourse of a particular kind and in favour of intrastate intercourse of a like kind would be a badge of invalidity"</w:t>
      </w:r>
      <w:r w:rsidRPr="002F0E54">
        <w:rPr>
          <w:rStyle w:val="FootnoteReference"/>
          <w:rFonts w:ascii="Times New Roman" w:hAnsi="Times New Roman"/>
          <w:sz w:val="24"/>
        </w:rPr>
        <w:footnoteReference w:id="261"/>
      </w:r>
      <w:r w:rsidRPr="002F0E54">
        <w:rPr>
          <w:rFonts w:ascii="Times New Roman" w:hAnsi="Times New Roman"/>
        </w:rPr>
        <w:t>. In </w:t>
      </w:r>
      <w:r w:rsidRPr="002F0E54">
        <w:rPr>
          <w:rFonts w:ascii="Times New Roman" w:hAnsi="Times New Roman"/>
          <w:i/>
        </w:rPr>
        <w:t>Cunliffe v The Commonwealth</w:t>
      </w:r>
      <w:r w:rsidRPr="002F0E54">
        <w:rPr>
          <w:rStyle w:val="FootnoteReference"/>
          <w:rFonts w:ascii="Times New Roman" w:hAnsi="Times New Roman"/>
          <w:sz w:val="24"/>
        </w:rPr>
        <w:footnoteReference w:id="262"/>
      </w:r>
      <w:r w:rsidRPr="002F0E54">
        <w:rPr>
          <w:rFonts w:ascii="Times New Roman" w:hAnsi="Times New Roman"/>
        </w:rPr>
        <w:t>,</w:t>
      </w:r>
      <w:r w:rsidRPr="002F0E54">
        <w:rPr>
          <w:rFonts w:ascii="Times New Roman" w:hAnsi="Times New Roman"/>
          <w:i/>
        </w:rPr>
        <w:t xml:space="preserve"> </w:t>
      </w:r>
      <w:r w:rsidRPr="002F0E54">
        <w:rPr>
          <w:rFonts w:ascii="Times New Roman" w:hAnsi="Times New Roman"/>
        </w:rPr>
        <w:t xml:space="preserve">Toohey J recognised that s 92 was also concerned with protecting interstate intercourse from laws which discriminate against it in favour of intrastate intercourse. His Honour rejected a submission that freedom of interstate intercourse could be impaired "by a law of general application, that is, </w:t>
      </w:r>
      <w:r w:rsidRPr="002F0E54">
        <w:rPr>
          <w:rFonts w:ascii="Times New Roman" w:hAnsi="Times New Roman"/>
          <w:i/>
        </w:rPr>
        <w:t>a law which applies indifferently</w:t>
      </w:r>
      <w:r w:rsidRPr="002F0E54">
        <w:rPr>
          <w:rFonts w:ascii="Times New Roman" w:hAnsi="Times New Roman"/>
        </w:rPr>
        <w:t xml:space="preserve"> to communications </w:t>
      </w:r>
      <w:r w:rsidRPr="002F0E54">
        <w:rPr>
          <w:rFonts w:ascii="Times New Roman" w:hAnsi="Times New Roman"/>
          <w:i/>
        </w:rPr>
        <w:t>regardless of whether they are intrastate or interstate communications</w:t>
      </w:r>
      <w:r w:rsidRPr="002F0E54">
        <w:rPr>
          <w:rFonts w:ascii="Times New Roman" w:hAnsi="Times New Roman"/>
        </w:rPr>
        <w:t>" (emphasis added)</w:t>
      </w:r>
      <w:r w:rsidRPr="002F0E54">
        <w:rPr>
          <w:rStyle w:val="FootnoteReference"/>
          <w:rFonts w:ascii="Times New Roman" w:hAnsi="Times New Roman"/>
          <w:sz w:val="24"/>
        </w:rPr>
        <w:footnoteReference w:id="263"/>
      </w:r>
      <w:r w:rsidRPr="002F0E54">
        <w:rPr>
          <w:rFonts w:ascii="Times New Roman" w:hAnsi="Times New Roman"/>
        </w:rPr>
        <w:t>. And, as has been observed, what is offensive to the federal nation, recognised in s 92, is an</w:t>
      </w:r>
      <w:r w:rsidRPr="002F0E54" w:rsidDel="00FB2FE6">
        <w:rPr>
          <w:rFonts w:ascii="Times New Roman" w:hAnsi="Times New Roman"/>
        </w:rPr>
        <w:t xml:space="preserve"> </w:t>
      </w:r>
      <w:r w:rsidRPr="002F0E54">
        <w:rPr>
          <w:rFonts w:ascii="Times New Roman" w:hAnsi="Times New Roman"/>
        </w:rPr>
        <w:t xml:space="preserve">unjustified differential burden imposed by a law which </w:t>
      </w:r>
      <w:r w:rsidRPr="002F0E54" w:rsidDel="000938B4">
        <w:rPr>
          <w:rFonts w:ascii="Times New Roman" w:hAnsi="Times New Roman"/>
        </w:rPr>
        <w:t>extends to</w:t>
      </w:r>
      <w:r w:rsidRPr="002F0E54">
        <w:rPr>
          <w:rFonts w:ascii="Times New Roman" w:hAnsi="Times New Roman"/>
        </w:rPr>
        <w:t xml:space="preserve"> "using State borders to keep outsiders out, or keep insiders in"</w:t>
      </w:r>
      <w:r w:rsidRPr="002F0E54">
        <w:rPr>
          <w:rStyle w:val="FootnoteReference"/>
          <w:rFonts w:ascii="Times New Roman" w:hAnsi="Times New Roman"/>
          <w:sz w:val="24"/>
        </w:rPr>
        <w:footnoteReference w:id="264"/>
      </w:r>
      <w:r w:rsidRPr="002F0E54">
        <w:rPr>
          <w:rFonts w:ascii="Times New Roman" w:hAnsi="Times New Roman"/>
        </w:rPr>
        <w:t xml:space="preserve">. </w:t>
      </w:r>
    </w:p>
    <w:p w14:paraId="55F9241B"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Fourth, if the intercourse limb of the guarantee is not concerned with differential burdens, then the intercourse limb may be too broad. It could undermine the limited scope of the trade and commerce limb</w:t>
      </w:r>
      <w:r w:rsidRPr="002F0E54">
        <w:rPr>
          <w:rStyle w:val="FootnoteReference"/>
          <w:rFonts w:ascii="Times New Roman" w:hAnsi="Times New Roman"/>
          <w:sz w:val="24"/>
        </w:rPr>
        <w:footnoteReference w:id="265"/>
      </w:r>
      <w:r w:rsidRPr="002F0E54">
        <w:rPr>
          <w:rFonts w:ascii="Times New Roman" w:hAnsi="Times New Roman"/>
        </w:rPr>
        <w:t>. Thus, unless the intercourse limb of s 92 is confined to laws which impose differential burdens on interstate intercourse, a law which does not impose a differential burden on interstate trade, commerce or intercourse would not burden the trade and commerce limb, yet it might burden the intercourse limb if it restricts movement across a border.</w:t>
      </w:r>
    </w:p>
    <w:p w14:paraId="51EB081C"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Similarly, if the intercourse limb is not confined to differential burdens, it</w:t>
      </w:r>
      <w:r>
        <w:rPr>
          <w:rFonts w:ascii="Times New Roman" w:hAnsi="Times New Roman"/>
        </w:rPr>
        <w:t> </w:t>
      </w:r>
      <w:r w:rsidRPr="002F0E54">
        <w:rPr>
          <w:rFonts w:ascii="Times New Roman" w:hAnsi="Times New Roman"/>
        </w:rPr>
        <w:t>could also give greater protection than is required, for the purpose of s 92, to</w:t>
      </w:r>
      <w:r>
        <w:rPr>
          <w:rFonts w:ascii="Times New Roman" w:hAnsi="Times New Roman"/>
        </w:rPr>
        <w:t> </w:t>
      </w:r>
      <w:r w:rsidRPr="002F0E54">
        <w:rPr>
          <w:rFonts w:ascii="Times New Roman" w:hAnsi="Times New Roman"/>
        </w:rPr>
        <w:t>interstate intercourse compared with intrastate intercourse. Laws that restrict both interstate and intrastate intercourse (and do not impose a differential burden on interstate intercourse as compared with intrastate intercourse) may be held to burden interstate intercourse but not intrastate intercourse, thereby privileging interstate over intrastate movement</w:t>
      </w:r>
      <w:r w:rsidRPr="002F0E54">
        <w:rPr>
          <w:rStyle w:val="FootnoteReference"/>
          <w:rFonts w:ascii="Times New Roman" w:hAnsi="Times New Roman"/>
          <w:sz w:val="24"/>
        </w:rPr>
        <w:footnoteReference w:id="266"/>
      </w:r>
      <w:r w:rsidRPr="002F0E54">
        <w:rPr>
          <w:rFonts w:ascii="Times New Roman" w:hAnsi="Times New Roman"/>
        </w:rPr>
        <w:t>. That would go beyond s 92's purpose of preventing State borders from being used as barriers to trade, commerce and intercourse in a manner that is offensive to the federal nation</w:t>
      </w:r>
      <w:r w:rsidRPr="002F0E54">
        <w:rPr>
          <w:rStyle w:val="FootnoteReference"/>
          <w:rFonts w:ascii="Times New Roman" w:hAnsi="Times New Roman"/>
          <w:sz w:val="24"/>
        </w:rPr>
        <w:footnoteReference w:id="267"/>
      </w:r>
      <w:r w:rsidRPr="002F0E54">
        <w:rPr>
          <w:rFonts w:ascii="Times New Roman" w:hAnsi="Times New Roman"/>
        </w:rPr>
        <w:t>. Thus,</w:t>
      </w:r>
      <w:r>
        <w:rPr>
          <w:rFonts w:ascii="Times New Roman" w:hAnsi="Times New Roman"/>
        </w:rPr>
        <w:t> </w:t>
      </w:r>
      <w:r w:rsidRPr="002F0E54">
        <w:rPr>
          <w:rFonts w:ascii="Times New Roman" w:hAnsi="Times New Roman"/>
        </w:rPr>
        <w:t>as</w:t>
      </w:r>
      <w:r>
        <w:rPr>
          <w:rFonts w:ascii="Times New Roman" w:hAnsi="Times New Roman"/>
        </w:rPr>
        <w:t> </w:t>
      </w:r>
      <w:r w:rsidRPr="002F0E54">
        <w:rPr>
          <w:rFonts w:ascii="Times New Roman" w:hAnsi="Times New Roman"/>
        </w:rPr>
        <w:t>foreshadowed, in the context of the constitutional guarantee in s 92, the burden on interstate trade, commerce and intercourse must be a differential one.</w:t>
      </w:r>
    </w:p>
    <w:p w14:paraId="40A2EE04"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And, as has long been established, the unjustified differential burden, the</w:t>
      </w:r>
      <w:r>
        <w:rPr>
          <w:rFonts w:ascii="Times New Roman" w:hAnsi="Times New Roman"/>
        </w:rPr>
        <w:t> </w:t>
      </w:r>
      <w:r w:rsidRPr="002F0E54">
        <w:rPr>
          <w:rFonts w:ascii="Times New Roman" w:hAnsi="Times New Roman"/>
        </w:rPr>
        <w:t>discriminatory burden, can arise from the legal operation as well as the practical operation of the law</w:t>
      </w:r>
      <w:r w:rsidRPr="002F0E54">
        <w:rPr>
          <w:rStyle w:val="FootnoteReference"/>
          <w:rFonts w:ascii="Times New Roman" w:hAnsi="Times New Roman"/>
          <w:sz w:val="24"/>
        </w:rPr>
        <w:footnoteReference w:id="268"/>
      </w:r>
      <w:r w:rsidRPr="002F0E54">
        <w:rPr>
          <w:rFonts w:ascii="Times New Roman" w:hAnsi="Times New Roman"/>
        </w:rPr>
        <w:t>. Where the impugned law arguably burdens both limbs of s 92, it is necessary for the law to satisfy both limbs. The trade and commerce limb does not prevail</w:t>
      </w:r>
      <w:r w:rsidRPr="002F0E54">
        <w:rPr>
          <w:rStyle w:val="FootnoteReference"/>
          <w:rFonts w:ascii="Times New Roman" w:hAnsi="Times New Roman"/>
          <w:sz w:val="24"/>
        </w:rPr>
        <w:footnoteReference w:id="269"/>
      </w:r>
      <w:r w:rsidRPr="002F0E54">
        <w:rPr>
          <w:rFonts w:ascii="Times New Roman" w:hAnsi="Times New Roman"/>
        </w:rPr>
        <w:t>. Neither limb subsumes the other. To the extent that earlier decisions of this Court hold otherwise</w:t>
      </w:r>
      <w:r w:rsidRPr="002F0E54">
        <w:rPr>
          <w:rStyle w:val="FootnoteReference"/>
          <w:rFonts w:ascii="Times New Roman" w:hAnsi="Times New Roman"/>
          <w:sz w:val="24"/>
        </w:rPr>
        <w:footnoteReference w:id="270"/>
      </w:r>
      <w:r w:rsidRPr="002F0E54">
        <w:rPr>
          <w:rFonts w:ascii="Times New Roman" w:hAnsi="Times New Roman"/>
        </w:rPr>
        <w:t>, they no longer reflect the law on s 92.</w:t>
      </w:r>
    </w:p>
    <w:p w14:paraId="4591F31C" w14:textId="77777777" w:rsidR="002D2334" w:rsidRPr="002F0E54" w:rsidRDefault="002D2334" w:rsidP="002F0E54">
      <w:pPr>
        <w:pStyle w:val="HeadingL2"/>
        <w:spacing w:after="260" w:line="280" w:lineRule="exact"/>
        <w:ind w:right="0"/>
        <w:jc w:val="both"/>
        <w:rPr>
          <w:rFonts w:ascii="Times New Roman" w:hAnsi="Times New Roman"/>
        </w:rPr>
      </w:pPr>
      <w:r w:rsidRPr="002F0E54">
        <w:rPr>
          <w:rFonts w:ascii="Times New Roman" w:hAnsi="Times New Roman"/>
        </w:rPr>
        <w:t>Section 92 analysis</w:t>
      </w:r>
    </w:p>
    <w:p w14:paraId="0B2842FB"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The first step is to ask whether the impugned law, in its legal or practical operation, imposes a differential burden on interstate trade, commerce or intercourse in favour of intrastate trade, commerce or intercourse. If there is no such differential burden, that is the end of the inquiry and the law does not infringe the constitutional guarantee in s 92.</w:t>
      </w:r>
    </w:p>
    <w:p w14:paraId="229E4771"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Where, however, the law does impose a differential burden of that kind on interstate trade, commerce or intercourse, it is necessary to identify the law's object or objects. That entails "an objective inquiry answered by reference to the meaning of the law or to its effect"</w:t>
      </w:r>
      <w:r w:rsidRPr="002F0E54">
        <w:rPr>
          <w:rStyle w:val="FootnoteReference"/>
          <w:rFonts w:ascii="Times New Roman" w:hAnsi="Times New Roman"/>
          <w:sz w:val="24"/>
        </w:rPr>
        <w:footnoteReference w:id="271"/>
      </w:r>
      <w:r w:rsidRPr="002F0E54">
        <w:rPr>
          <w:rFonts w:ascii="Times New Roman" w:hAnsi="Times New Roman"/>
        </w:rPr>
        <w:t>. The inquiry resembles that used "when seeking to identify the mischief to redress of which a law is directed or when speaking of 'the</w:t>
      </w:r>
      <w:r>
        <w:rPr>
          <w:rFonts w:ascii="Times New Roman" w:hAnsi="Times New Roman"/>
        </w:rPr>
        <w:t> </w:t>
      </w:r>
      <w:r w:rsidRPr="002F0E54">
        <w:rPr>
          <w:rFonts w:ascii="Times New Roman" w:hAnsi="Times New Roman"/>
        </w:rPr>
        <w:t>objects of the legislation'"</w:t>
      </w:r>
      <w:r w:rsidRPr="002F0E54">
        <w:rPr>
          <w:rStyle w:val="FootnoteReference"/>
          <w:rFonts w:ascii="Times New Roman" w:hAnsi="Times New Roman"/>
          <w:sz w:val="24"/>
        </w:rPr>
        <w:footnoteReference w:id="272"/>
      </w:r>
      <w:r w:rsidRPr="002F0E54">
        <w:rPr>
          <w:rFonts w:ascii="Times New Roman" w:hAnsi="Times New Roman"/>
        </w:rPr>
        <w:t>. It is a search for "what the law is designed to achieve in fact"</w:t>
      </w:r>
      <w:r w:rsidRPr="002F0E54">
        <w:rPr>
          <w:rStyle w:val="FootnoteReference"/>
          <w:rFonts w:ascii="Times New Roman" w:hAnsi="Times New Roman"/>
          <w:sz w:val="24"/>
        </w:rPr>
        <w:footnoteReference w:id="273"/>
      </w:r>
      <w:r w:rsidRPr="002F0E54">
        <w:rPr>
          <w:rFonts w:ascii="Times New Roman" w:hAnsi="Times New Roman"/>
        </w:rPr>
        <w:t>. The object or purpose of the law is not merely relevant, it is "the</w:t>
      </w:r>
      <w:r>
        <w:rPr>
          <w:rFonts w:ascii="Times New Roman" w:hAnsi="Times New Roman"/>
        </w:rPr>
        <w:t> </w:t>
      </w:r>
      <w:r w:rsidRPr="002F0E54">
        <w:rPr>
          <w:rFonts w:ascii="Times New Roman" w:hAnsi="Times New Roman"/>
        </w:rPr>
        <w:t>crucial determinant of validity"</w:t>
      </w:r>
      <w:r w:rsidRPr="002F0E54">
        <w:rPr>
          <w:rStyle w:val="FootnoteReference"/>
          <w:rFonts w:ascii="Times New Roman" w:hAnsi="Times New Roman"/>
          <w:sz w:val="24"/>
        </w:rPr>
        <w:footnoteReference w:id="274"/>
      </w:r>
      <w:r w:rsidRPr="002F0E54">
        <w:rPr>
          <w:rFonts w:ascii="Times New Roman" w:hAnsi="Times New Roman"/>
        </w:rPr>
        <w:t>. If the only object of the law is to erect State borders as barriers against freedom of trade, commerce or intercourse, that will be the end of the inquiry</w:t>
      </w:r>
      <w:r w:rsidRPr="002F0E54">
        <w:rPr>
          <w:rStyle w:val="FootnoteReference"/>
          <w:rFonts w:ascii="Times New Roman" w:hAnsi="Times New Roman"/>
          <w:sz w:val="24"/>
        </w:rPr>
        <w:footnoteReference w:id="275"/>
      </w:r>
      <w:r w:rsidRPr="002F0E54">
        <w:rPr>
          <w:rFonts w:ascii="Times New Roman" w:hAnsi="Times New Roman"/>
        </w:rPr>
        <w:t xml:space="preserve">. Without more, the law is discriminatory; it will infringe the constitutional guarantee in s 92 and be invalid. </w:t>
      </w:r>
    </w:p>
    <w:p w14:paraId="2D276CA1"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But where the law has a legitimate object, the question then is whether the differential burden imposed by that law is justified</w:t>
      </w:r>
      <w:r w:rsidRPr="002F0E54">
        <w:rPr>
          <w:rStyle w:val="FootnoteReference"/>
          <w:rFonts w:ascii="Times New Roman" w:hAnsi="Times New Roman"/>
          <w:sz w:val="24"/>
        </w:rPr>
        <w:footnoteReference w:id="276"/>
      </w:r>
      <w:r w:rsidRPr="002F0E54">
        <w:rPr>
          <w:rFonts w:ascii="Times New Roman" w:hAnsi="Times New Roman"/>
        </w:rPr>
        <w:t>. The test of justification applied in the past, to which reference has been made, and which continues to apply, is whether the differential burden imposed by the impugned law is reasonably necessary to achieve a legitimate object of that law</w:t>
      </w:r>
      <w:r w:rsidRPr="002F0E54">
        <w:rPr>
          <w:rStyle w:val="FootnoteReference"/>
          <w:rFonts w:ascii="Times New Roman" w:hAnsi="Times New Roman"/>
          <w:sz w:val="24"/>
        </w:rPr>
        <w:footnoteReference w:id="277"/>
      </w:r>
      <w:r w:rsidRPr="002F0E54">
        <w:rPr>
          <w:rFonts w:ascii="Times New Roman" w:hAnsi="Times New Roman"/>
        </w:rPr>
        <w:t xml:space="preserve"> or, in other words, whether it constitutes reasonable regulation</w:t>
      </w:r>
      <w:r w:rsidRPr="002F0E54">
        <w:rPr>
          <w:rStyle w:val="FootnoteReference"/>
          <w:rFonts w:ascii="Times New Roman" w:hAnsi="Times New Roman"/>
          <w:sz w:val="24"/>
        </w:rPr>
        <w:footnoteReference w:id="278"/>
      </w:r>
      <w:r w:rsidRPr="002F0E54">
        <w:rPr>
          <w:rFonts w:ascii="Times New Roman" w:hAnsi="Times New Roman"/>
        </w:rPr>
        <w:t>. If yes, the constitutional guarantee in s 92 will not be infringed; if no, it will be infringed.</w:t>
      </w:r>
    </w:p>
    <w:p w14:paraId="5C7F2744"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 xml:space="preserve">The idea of "reasonable regulation" has been approved by this Court in relation to both intercourse and trade and commerce. As to the former, </w:t>
      </w:r>
      <w:r w:rsidRPr="002F0E54">
        <w:rPr>
          <w:rFonts w:ascii="Times New Roman" w:eastAsia="Calibri" w:hAnsi="Times New Roman"/>
        </w:rPr>
        <w:t>the Court has asked whether the burden on interstate intercourse is greater than "reasonably</w:t>
      </w:r>
      <w:r>
        <w:rPr>
          <w:rFonts w:ascii="Times New Roman" w:eastAsia="Calibri" w:hAnsi="Times New Roman"/>
        </w:rPr>
        <w:t> </w:t>
      </w:r>
      <w:r w:rsidRPr="002F0E54">
        <w:rPr>
          <w:rFonts w:ascii="Times New Roman" w:eastAsia="Calibri" w:hAnsi="Times New Roman"/>
        </w:rPr>
        <w:t xml:space="preserve">required" to achieve a legitimate object of the legislation in </w:t>
      </w:r>
      <w:r w:rsidRPr="002F0E54">
        <w:rPr>
          <w:rFonts w:ascii="Times New Roman" w:eastAsia="Calibri" w:hAnsi="Times New Roman"/>
          <w:i/>
        </w:rPr>
        <w:t>Cunliffe</w:t>
      </w:r>
      <w:r w:rsidRPr="002F0E54">
        <w:rPr>
          <w:rStyle w:val="FootnoteReference"/>
          <w:rFonts w:ascii="Times New Roman" w:eastAsia="Calibri" w:hAnsi="Times New Roman"/>
          <w:sz w:val="24"/>
        </w:rPr>
        <w:footnoteReference w:id="279"/>
      </w:r>
      <w:r w:rsidRPr="002F0E54">
        <w:rPr>
          <w:rFonts w:ascii="Times New Roman" w:eastAsia="Calibri" w:hAnsi="Times New Roman"/>
        </w:rPr>
        <w:t xml:space="preserve">, </w:t>
      </w:r>
      <w:r w:rsidRPr="002F0E54">
        <w:rPr>
          <w:rFonts w:ascii="Times New Roman" w:eastAsia="Calibri" w:hAnsi="Times New Roman"/>
          <w:i/>
        </w:rPr>
        <w:t>AMS v AIF</w:t>
      </w:r>
      <w:r w:rsidRPr="002F0E54">
        <w:rPr>
          <w:rStyle w:val="FootnoteReference"/>
          <w:rFonts w:ascii="Times New Roman" w:eastAsia="Calibri" w:hAnsi="Times New Roman"/>
          <w:sz w:val="24"/>
        </w:rPr>
        <w:footnoteReference w:id="280"/>
      </w:r>
      <w:r w:rsidRPr="002F0E54">
        <w:rPr>
          <w:rFonts w:ascii="Times New Roman" w:eastAsia="Calibri" w:hAnsi="Times New Roman"/>
          <w:i/>
        </w:rPr>
        <w:t xml:space="preserve"> </w:t>
      </w:r>
      <w:r w:rsidRPr="002F0E54">
        <w:rPr>
          <w:rFonts w:ascii="Times New Roman" w:eastAsia="Calibri" w:hAnsi="Times New Roman"/>
        </w:rPr>
        <w:t xml:space="preserve">and </w:t>
      </w:r>
      <w:r w:rsidRPr="002F0E54">
        <w:rPr>
          <w:rFonts w:ascii="Times New Roman" w:hAnsi="Times New Roman"/>
          <w:i/>
        </w:rPr>
        <w:t>APLA</w:t>
      </w:r>
      <w:r w:rsidRPr="002F0E54">
        <w:rPr>
          <w:rStyle w:val="FootnoteReference"/>
          <w:rFonts w:ascii="Times New Roman" w:hAnsi="Times New Roman"/>
          <w:sz w:val="24"/>
        </w:rPr>
        <w:footnoteReference w:id="281"/>
      </w:r>
      <w:r w:rsidRPr="002F0E54">
        <w:rPr>
          <w:rFonts w:ascii="Times New Roman" w:hAnsi="Times New Roman"/>
        </w:rPr>
        <w:t>. In relation to trade and commerce, the Court has asked whether the burden on trade and commerce is "reasonably necessary" to achieve a legitimate non</w:t>
      </w:r>
      <w:r w:rsidRPr="002F0E54">
        <w:rPr>
          <w:rFonts w:ascii="Times New Roman" w:hAnsi="Times New Roman"/>
        </w:rPr>
        <w:noBreakHyphen/>
        <w:t xml:space="preserve">protectionist purpose in </w:t>
      </w:r>
      <w:r w:rsidRPr="002F0E54">
        <w:rPr>
          <w:rFonts w:ascii="Times New Roman" w:hAnsi="Times New Roman"/>
          <w:i/>
        </w:rPr>
        <w:t xml:space="preserve">Betfair Pty Ltd v Western Australia </w:t>
      </w:r>
      <w:r w:rsidRPr="002F0E54">
        <w:rPr>
          <w:rFonts w:ascii="Times New Roman" w:hAnsi="Times New Roman"/>
        </w:rPr>
        <w:t>("</w:t>
      </w:r>
      <w:r w:rsidRPr="002F0E54">
        <w:rPr>
          <w:rFonts w:ascii="Times New Roman" w:hAnsi="Times New Roman"/>
          <w:i/>
        </w:rPr>
        <w:t>Betfair No 1</w:t>
      </w:r>
      <w:r w:rsidRPr="002F0E54">
        <w:rPr>
          <w:rFonts w:ascii="Times New Roman" w:hAnsi="Times New Roman"/>
        </w:rPr>
        <w:t>")</w:t>
      </w:r>
      <w:r w:rsidRPr="002F0E54">
        <w:rPr>
          <w:rStyle w:val="FootnoteReference"/>
          <w:rFonts w:ascii="Times New Roman" w:hAnsi="Times New Roman"/>
          <w:sz w:val="24"/>
        </w:rPr>
        <w:footnoteReference w:id="282"/>
      </w:r>
      <w:r w:rsidRPr="002F0E54">
        <w:rPr>
          <w:rFonts w:ascii="Times New Roman" w:hAnsi="Times New Roman"/>
        </w:rPr>
        <w:t xml:space="preserve"> and </w:t>
      </w:r>
      <w:r w:rsidRPr="002F0E54">
        <w:rPr>
          <w:rFonts w:ascii="Times New Roman" w:hAnsi="Times New Roman"/>
          <w:i/>
        </w:rPr>
        <w:t xml:space="preserve">Betfair Pty Ltd v Racing New South Wales </w:t>
      </w:r>
      <w:r w:rsidRPr="002F0E54">
        <w:rPr>
          <w:rFonts w:ascii="Times New Roman" w:hAnsi="Times New Roman"/>
        </w:rPr>
        <w:t>("</w:t>
      </w:r>
      <w:r w:rsidRPr="002F0E54">
        <w:rPr>
          <w:rFonts w:ascii="Times New Roman" w:hAnsi="Times New Roman"/>
          <w:i/>
        </w:rPr>
        <w:t>Betfair</w:t>
      </w:r>
      <w:r>
        <w:rPr>
          <w:rFonts w:ascii="Times New Roman" w:hAnsi="Times New Roman"/>
          <w:i/>
        </w:rPr>
        <w:t> </w:t>
      </w:r>
      <w:r w:rsidRPr="002F0E54">
        <w:rPr>
          <w:rFonts w:ascii="Times New Roman" w:hAnsi="Times New Roman"/>
          <w:i/>
        </w:rPr>
        <w:t>No 2</w:t>
      </w:r>
      <w:r w:rsidRPr="002F0E54">
        <w:rPr>
          <w:rFonts w:ascii="Times New Roman" w:hAnsi="Times New Roman"/>
        </w:rPr>
        <w:t>")</w:t>
      </w:r>
      <w:r w:rsidRPr="002F0E54">
        <w:rPr>
          <w:rStyle w:val="FootnoteReference"/>
          <w:rFonts w:ascii="Times New Roman" w:hAnsi="Times New Roman"/>
          <w:sz w:val="24"/>
        </w:rPr>
        <w:footnoteReference w:id="283"/>
      </w:r>
      <w:r w:rsidRPr="002F0E54">
        <w:rPr>
          <w:rFonts w:ascii="Times New Roman" w:hAnsi="Times New Roman"/>
        </w:rPr>
        <w:t xml:space="preserve">. A similar approach had previously been taken in </w:t>
      </w:r>
      <w:r w:rsidRPr="002F0E54">
        <w:rPr>
          <w:rFonts w:ascii="Times New Roman" w:eastAsia="Calibri" w:hAnsi="Times New Roman"/>
          <w:i/>
        </w:rPr>
        <w:t>North Eastern Dairy Co Ltd v Dairy Industry Authority of NSW</w:t>
      </w:r>
      <w:r w:rsidRPr="002F0E54">
        <w:rPr>
          <w:rStyle w:val="FootnoteReference"/>
          <w:rFonts w:ascii="Times New Roman" w:eastAsia="Calibri" w:hAnsi="Times New Roman"/>
          <w:sz w:val="24"/>
        </w:rPr>
        <w:footnoteReference w:id="284"/>
      </w:r>
      <w:r w:rsidRPr="002F0E54">
        <w:rPr>
          <w:rFonts w:ascii="Times New Roman" w:eastAsia="Calibri" w:hAnsi="Times New Roman"/>
        </w:rPr>
        <w:t xml:space="preserve"> and </w:t>
      </w:r>
      <w:r w:rsidRPr="002F0E54">
        <w:rPr>
          <w:rFonts w:ascii="Times New Roman" w:eastAsia="Calibri" w:hAnsi="Times New Roman"/>
          <w:i/>
        </w:rPr>
        <w:t>Cole</w:t>
      </w:r>
      <w:r w:rsidRPr="002F0E54">
        <w:rPr>
          <w:rStyle w:val="FootnoteReference"/>
          <w:rFonts w:ascii="Times New Roman" w:eastAsia="Calibri" w:hAnsi="Times New Roman"/>
          <w:sz w:val="24"/>
        </w:rPr>
        <w:footnoteReference w:id="285"/>
      </w:r>
      <w:r w:rsidRPr="002F0E54">
        <w:rPr>
          <w:rFonts w:ascii="Times New Roman" w:eastAsia="Calibri" w:hAnsi="Times New Roman"/>
        </w:rPr>
        <w:t>. For the purposes of s 92, there is no difference of substance between "reasonably required" and</w:t>
      </w:r>
      <w:r>
        <w:rPr>
          <w:rFonts w:ascii="Times New Roman" w:eastAsia="Calibri" w:hAnsi="Times New Roman"/>
        </w:rPr>
        <w:t> </w:t>
      </w:r>
      <w:r w:rsidRPr="002F0E54">
        <w:rPr>
          <w:rFonts w:ascii="Times New Roman" w:eastAsia="Calibri" w:hAnsi="Times New Roman"/>
        </w:rPr>
        <w:t>"reasonably necessary", and it is convenient to adopt the "reasonably</w:t>
      </w:r>
      <w:r>
        <w:rPr>
          <w:rFonts w:ascii="Times New Roman" w:eastAsia="Calibri" w:hAnsi="Times New Roman"/>
        </w:rPr>
        <w:t> </w:t>
      </w:r>
      <w:r w:rsidRPr="002F0E54">
        <w:rPr>
          <w:rFonts w:ascii="Times New Roman" w:eastAsia="Calibri" w:hAnsi="Times New Roman"/>
        </w:rPr>
        <w:t xml:space="preserve">necessary" formulation, which was most recently approved in </w:t>
      </w:r>
      <w:r w:rsidRPr="002F0E54">
        <w:rPr>
          <w:rFonts w:ascii="Times New Roman" w:eastAsia="Calibri" w:hAnsi="Times New Roman"/>
          <w:i/>
        </w:rPr>
        <w:t>Betfair No 1</w:t>
      </w:r>
      <w:r w:rsidRPr="002F0E54">
        <w:rPr>
          <w:rStyle w:val="FootnoteReference"/>
          <w:rFonts w:ascii="Times New Roman" w:eastAsia="Calibri" w:hAnsi="Times New Roman"/>
          <w:sz w:val="24"/>
        </w:rPr>
        <w:footnoteReference w:id="286"/>
      </w:r>
      <w:r w:rsidRPr="002F0E54">
        <w:rPr>
          <w:rFonts w:ascii="Times New Roman" w:eastAsia="Calibri" w:hAnsi="Times New Roman"/>
        </w:rPr>
        <w:t xml:space="preserve"> and </w:t>
      </w:r>
      <w:r w:rsidRPr="002F0E54">
        <w:rPr>
          <w:rFonts w:ascii="Times New Roman" w:eastAsia="Calibri" w:hAnsi="Times New Roman"/>
          <w:i/>
        </w:rPr>
        <w:t>Betfair No 2</w:t>
      </w:r>
      <w:r w:rsidRPr="002F0E54">
        <w:rPr>
          <w:rStyle w:val="FootnoteReference"/>
          <w:rFonts w:ascii="Times New Roman" w:eastAsia="Calibri" w:hAnsi="Times New Roman"/>
          <w:sz w:val="24"/>
        </w:rPr>
        <w:footnoteReference w:id="287"/>
      </w:r>
      <w:r w:rsidRPr="002F0E54">
        <w:rPr>
          <w:rFonts w:ascii="Times New Roman" w:eastAsia="Calibri" w:hAnsi="Times New Roman"/>
        </w:rPr>
        <w:t>, and has been used in various constitutional and other legal contexts</w:t>
      </w:r>
      <w:r w:rsidRPr="002F0E54">
        <w:rPr>
          <w:rStyle w:val="FootnoteReference"/>
          <w:rFonts w:ascii="Times New Roman" w:eastAsia="Calibri" w:hAnsi="Times New Roman"/>
          <w:sz w:val="24"/>
        </w:rPr>
        <w:footnoteReference w:id="288"/>
      </w:r>
      <w:r w:rsidRPr="002F0E54">
        <w:rPr>
          <w:rFonts w:ascii="Times New Roman" w:eastAsia="Calibri" w:hAnsi="Times New Roman"/>
        </w:rPr>
        <w:t>.</w:t>
      </w:r>
    </w:p>
    <w:p w14:paraId="1512402F"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The need for some "</w:t>
      </w:r>
      <w:r w:rsidRPr="002F0E54" w:rsidDel="003060A5">
        <w:rPr>
          <w:rFonts w:ascii="Times New Roman" w:hAnsi="Times New Roman"/>
        </w:rPr>
        <w:t>reservation</w:t>
      </w:r>
      <w:r w:rsidRPr="002F0E54">
        <w:rPr>
          <w:rFonts w:ascii="Times New Roman" w:hAnsi="Times New Roman"/>
        </w:rPr>
        <w:t xml:space="preserve">" on the absolute nature of the guarantee of "free" trade, commerce and intercourse in s 92 was explained by the Privy Council in </w:t>
      </w:r>
      <w:r w:rsidRPr="002F0E54">
        <w:rPr>
          <w:rFonts w:ascii="Times New Roman" w:hAnsi="Times New Roman"/>
          <w:i/>
        </w:rPr>
        <w:t xml:space="preserve">The Commonwealth v Bank of NSW </w:t>
      </w:r>
      <w:r w:rsidRPr="002F0E54">
        <w:rPr>
          <w:rFonts w:ascii="Times New Roman" w:hAnsi="Times New Roman"/>
        </w:rPr>
        <w:t xml:space="preserve">("the </w:t>
      </w:r>
      <w:r w:rsidRPr="002F0E54">
        <w:rPr>
          <w:rFonts w:ascii="Times New Roman" w:hAnsi="Times New Roman"/>
          <w:i/>
        </w:rPr>
        <w:t>Bank Nationalization Case</w:t>
      </w:r>
      <w:r w:rsidRPr="002F0E54">
        <w:rPr>
          <w:rFonts w:ascii="Times New Roman" w:hAnsi="Times New Roman"/>
        </w:rPr>
        <w:t>")</w:t>
      </w:r>
      <w:r w:rsidRPr="002F0E54">
        <w:rPr>
          <w:rStyle w:val="FootnoteReference"/>
          <w:rFonts w:ascii="Times New Roman" w:hAnsi="Times New Roman"/>
          <w:sz w:val="24"/>
        </w:rPr>
        <w:footnoteReference w:id="289"/>
      </w:r>
      <w:r w:rsidRPr="002F0E54">
        <w:rPr>
          <w:rFonts w:ascii="Times New Roman" w:hAnsi="Times New Roman"/>
        </w:rPr>
        <w:t>. As their Lordships stated</w:t>
      </w:r>
      <w:r w:rsidRPr="002F0E54" w:rsidDel="00C03F2D">
        <w:rPr>
          <w:rStyle w:val="FootnoteReference"/>
          <w:rFonts w:ascii="Times New Roman" w:eastAsia="Calibri" w:hAnsi="Times New Roman"/>
          <w:sz w:val="24"/>
        </w:rPr>
        <w:footnoteReference w:id="290"/>
      </w:r>
      <w:r w:rsidRPr="002F0E54">
        <w:rPr>
          <w:rFonts w:ascii="Times New Roman" w:hAnsi="Times New Roman"/>
        </w:rPr>
        <w:t>:</w:t>
      </w:r>
    </w:p>
    <w:p w14:paraId="783514CD" w14:textId="77777777" w:rsidR="002D2334" w:rsidRDefault="002D2334" w:rsidP="002F0E54">
      <w:pPr>
        <w:pStyle w:val="leftright"/>
        <w:spacing w:before="0" w:after="260" w:line="280" w:lineRule="exact"/>
        <w:ind w:right="0"/>
        <w:jc w:val="both"/>
        <w:rPr>
          <w:rFonts w:ascii="Times New Roman" w:hAnsi="Times New Roman"/>
        </w:rPr>
      </w:pPr>
      <w:r w:rsidRPr="002F0E54">
        <w:rPr>
          <w:rFonts w:ascii="Times New Roman" w:hAnsi="Times New Roman"/>
        </w:rPr>
        <w:t xml:space="preserve">"Every case must be judged on its own facts and in its own setting of time and circumstance, and it may be that in regard to some economic activities and at some stage of social development it might be maintained that prohibition with a view to State monopoly was the only </w:t>
      </w:r>
      <w:r w:rsidRPr="002F0E54">
        <w:rPr>
          <w:rFonts w:ascii="Times New Roman" w:hAnsi="Times New Roman"/>
          <w:i/>
        </w:rPr>
        <w:t>practical and reasonable manner of regulation</w:t>
      </w:r>
      <w:r w:rsidRPr="002F0E54">
        <w:rPr>
          <w:rFonts w:ascii="Times New Roman" w:hAnsi="Times New Roman"/>
        </w:rPr>
        <w:t xml:space="preserve"> and that inter-State trade commerce and intercourse thus prohibited and thus monopolized remained absolutely free." (emphasis added)</w:t>
      </w:r>
    </w:p>
    <w:p w14:paraId="276BF27D"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Recognising that there are limits to the freedom in s 92 does not "involve</w:t>
      </w:r>
      <w:r>
        <w:rPr>
          <w:rFonts w:ascii="Times New Roman" w:hAnsi="Times New Roman"/>
        </w:rPr>
        <w:t> </w:t>
      </w:r>
      <w:r w:rsidRPr="002F0E54">
        <w:rPr>
          <w:rFonts w:ascii="Times New Roman" w:hAnsi="Times New Roman"/>
        </w:rPr>
        <w:t>inconsistency with the words 'absolutely free': it is simply to identify the kinds or classes of burdens, restrictions, controls and standards from which the section guarantees absolute freedom"</w:t>
      </w:r>
      <w:r w:rsidRPr="002F0E54">
        <w:rPr>
          <w:rStyle w:val="FootnoteReference"/>
          <w:rFonts w:ascii="Times New Roman" w:eastAsia="Calibri" w:hAnsi="Times New Roman"/>
          <w:sz w:val="24"/>
        </w:rPr>
        <w:footnoteReference w:id="291"/>
      </w:r>
      <w:r w:rsidRPr="002F0E54">
        <w:rPr>
          <w:rFonts w:ascii="Times New Roman" w:hAnsi="Times New Roman"/>
        </w:rPr>
        <w:t>. As the Privy Council observed, and the history of the cases concerning s 92 have demonstrated time and time again, the "reservation"</w:t>
      </w:r>
      <w:r w:rsidRPr="002F0E54">
        <w:rPr>
          <w:rStyle w:val="FootnoteReference"/>
          <w:rFonts w:ascii="Times New Roman" w:hAnsi="Times New Roman"/>
          <w:sz w:val="24"/>
        </w:rPr>
        <w:footnoteReference w:id="292"/>
      </w:r>
      <w:r w:rsidRPr="002F0E54">
        <w:rPr>
          <w:rFonts w:ascii="Times New Roman" w:hAnsi="Times New Roman"/>
        </w:rPr>
        <w:t xml:space="preserve"> on the absolute nature of the constitutional guarantee in s 92 was, and remains, necessary to meet societal changes and the impact of those changes on interstate trade, commerce and intercourse. And the societal changes are ever</w:t>
      </w:r>
      <w:r w:rsidRPr="002F0E54">
        <w:rPr>
          <w:rFonts w:ascii="Times New Roman" w:hAnsi="Times New Roman"/>
        </w:rPr>
        <w:noBreakHyphen/>
        <w:t>increasing in their complexity and varied in their nature</w:t>
      </w:r>
      <w:r w:rsidRPr="002F0E54">
        <w:rPr>
          <w:rStyle w:val="FootnoteReference"/>
          <w:rFonts w:ascii="Times New Roman" w:hAnsi="Times New Roman"/>
          <w:sz w:val="24"/>
        </w:rPr>
        <w:footnoteReference w:id="293"/>
      </w:r>
      <w:r w:rsidRPr="002F0E54">
        <w:rPr>
          <w:rFonts w:ascii="Times New Roman" w:hAnsi="Times New Roman"/>
        </w:rPr>
        <w:t>. They are multi</w:t>
      </w:r>
      <w:r w:rsidRPr="002F0E54">
        <w:rPr>
          <w:rFonts w:ascii="Times New Roman" w:hAnsi="Times New Roman"/>
        </w:rPr>
        <w:noBreakHyphen/>
        <w:t xml:space="preserve">faceted, concern multiple disciplines and are not limited by the physical area of a State or nation. </w:t>
      </w:r>
    </w:p>
    <w:p w14:paraId="73425C2E"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But the reservation is not at large. The application of the limits is governed by the objects of the impugned law</w:t>
      </w:r>
      <w:r w:rsidRPr="002F0E54">
        <w:rPr>
          <w:rStyle w:val="FootnoteReference"/>
          <w:rFonts w:ascii="Times New Roman" w:eastAsia="Calibri" w:hAnsi="Times New Roman"/>
          <w:sz w:val="24"/>
        </w:rPr>
        <w:footnoteReference w:id="294"/>
      </w:r>
      <w:r w:rsidRPr="002F0E54">
        <w:rPr>
          <w:rFonts w:ascii="Times New Roman" w:eastAsia="Calibri" w:hAnsi="Times New Roman"/>
        </w:rPr>
        <w:t xml:space="preserve"> and the test of reasonable necessity becomes one which, at least in large measure, is self-defining in its operation</w:t>
      </w:r>
      <w:r w:rsidRPr="002F0E54">
        <w:rPr>
          <w:rStyle w:val="FootnoteReference"/>
          <w:rFonts w:ascii="Times New Roman" w:eastAsia="Calibri" w:hAnsi="Times New Roman"/>
          <w:sz w:val="24"/>
        </w:rPr>
        <w:footnoteReference w:id="295"/>
      </w:r>
      <w:r w:rsidRPr="002F0E54">
        <w:rPr>
          <w:rFonts w:ascii="Times New Roman" w:hAnsi="Times New Roman"/>
        </w:rPr>
        <w:t xml:space="preserve">. As the Court said in </w:t>
      </w:r>
      <w:r w:rsidRPr="002F0E54">
        <w:rPr>
          <w:rFonts w:ascii="Times New Roman" w:hAnsi="Times New Roman"/>
          <w:i/>
        </w:rPr>
        <w:t>Cole</w:t>
      </w:r>
      <w:r w:rsidRPr="002F0E54">
        <w:rPr>
          <w:rStyle w:val="FootnoteReference"/>
          <w:rFonts w:ascii="Times New Roman" w:eastAsia="Calibri" w:hAnsi="Times New Roman"/>
          <w:sz w:val="24"/>
        </w:rPr>
        <w:footnoteReference w:id="296"/>
      </w:r>
      <w:r w:rsidRPr="002F0E54">
        <w:rPr>
          <w:rFonts w:ascii="Times New Roman" w:hAnsi="Times New Roman"/>
          <w:i/>
        </w:rPr>
        <w:t xml:space="preserve"> </w:t>
      </w:r>
      <w:r w:rsidRPr="002F0E54">
        <w:rPr>
          <w:rFonts w:ascii="Times New Roman" w:hAnsi="Times New Roman"/>
        </w:rPr>
        <w:t xml:space="preserve">in relation to trade or commerce: </w:t>
      </w:r>
    </w:p>
    <w:p w14:paraId="53D74872" w14:textId="77777777" w:rsidR="002D2334" w:rsidRDefault="002D2334" w:rsidP="002F0E54">
      <w:pPr>
        <w:pStyle w:val="leftright"/>
        <w:spacing w:before="0" w:after="260" w:line="280" w:lineRule="exact"/>
        <w:ind w:right="0"/>
        <w:jc w:val="both"/>
        <w:rPr>
          <w:rFonts w:ascii="Times New Roman" w:hAnsi="Times New Roman"/>
        </w:rPr>
      </w:pPr>
      <w:r w:rsidRPr="002F0E54">
        <w:rPr>
          <w:rFonts w:ascii="Times New Roman" w:hAnsi="Times New Roman"/>
        </w:rPr>
        <w:t xml:space="preserve">"if a law, which may be otherwise justified by reference to an object which is not protectionist, discriminates against interstate trade or commerce in pursuit of that object in a way or to an extent which warrants characterization of the law as protectionist, a court will be justified in concluding that it nonetheless offends s 92." </w:t>
      </w:r>
    </w:p>
    <w:p w14:paraId="05032172"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Asking whether a differential burden on interstate trade, commerce or intercourse is reasonably necessary to achieve an object of the law is directed to determining whether the law is properly characterised as discriminating against interstate trade, commerce or intercourse compared with intrastate trade, commerce or intercourse. For both limbs, there is an inquiry into whether the impugned law may be characterised as "relevantly discriminatory"</w:t>
      </w:r>
      <w:r w:rsidRPr="002F0E54">
        <w:rPr>
          <w:rStyle w:val="FootnoteReference"/>
          <w:rFonts w:ascii="Times New Roman" w:hAnsi="Times New Roman"/>
          <w:sz w:val="24"/>
        </w:rPr>
        <w:footnoteReference w:id="297"/>
      </w:r>
      <w:r w:rsidRPr="002F0E54">
        <w:rPr>
          <w:rFonts w:ascii="Times New Roman" w:hAnsi="Times New Roman"/>
        </w:rPr>
        <w:t>. For both limbs, the question of validity is binary: whether or not a restriction on trade, commerce or intercourse transgresses the freedom</w:t>
      </w:r>
      <w:r w:rsidRPr="002F0E54">
        <w:rPr>
          <w:rStyle w:val="FootnoteReference"/>
          <w:rFonts w:ascii="Times New Roman" w:eastAsia="Calibri" w:hAnsi="Times New Roman"/>
          <w:sz w:val="24"/>
        </w:rPr>
        <w:footnoteReference w:id="298"/>
      </w:r>
      <w:r w:rsidRPr="002F0E54">
        <w:rPr>
          <w:rFonts w:ascii="Times New Roman" w:eastAsia="Calibri" w:hAnsi="Times New Roman"/>
        </w:rPr>
        <w:t>. For both limbs, the answer to that binary question depends on the objects of the impugned law and whether the differential burden imposed is reasonably necessary to achieve a legitimate object</w:t>
      </w:r>
      <w:r>
        <w:rPr>
          <w:rFonts w:ascii="Times New Roman" w:eastAsia="Calibri" w:hAnsi="Times New Roman"/>
        </w:rPr>
        <w:t> </w:t>
      </w:r>
      <w:r w:rsidRPr="002F0E54">
        <w:rPr>
          <w:rFonts w:ascii="Times New Roman" w:eastAsia="Calibri" w:hAnsi="Times New Roman"/>
        </w:rPr>
        <w:t xml:space="preserve">– an object other than imposing a differential burden on interstate trade, commerce or intercourse in favour of intrastate trade, commerce or intercourse. Or, to adopt the language used in </w:t>
      </w:r>
      <w:r w:rsidRPr="002F0E54">
        <w:rPr>
          <w:rFonts w:ascii="Times New Roman" w:eastAsia="Calibri" w:hAnsi="Times New Roman"/>
          <w:i/>
        </w:rPr>
        <w:t xml:space="preserve">Castlemaine Tooheys </w:t>
      </w:r>
      <w:r w:rsidRPr="002F0E54">
        <w:rPr>
          <w:rFonts w:ascii="Times New Roman" w:hAnsi="Times New Roman"/>
          <w:i/>
        </w:rPr>
        <w:t>Ltd v South Australia</w:t>
      </w:r>
      <w:r w:rsidRPr="002F0E54">
        <w:rPr>
          <w:rStyle w:val="FootnoteReference"/>
          <w:rFonts w:ascii="Times New Roman" w:eastAsia="Calibri" w:hAnsi="Times New Roman"/>
          <w:sz w:val="24"/>
        </w:rPr>
        <w:footnoteReference w:id="299"/>
      </w:r>
      <w:r w:rsidRPr="002F0E54">
        <w:rPr>
          <w:rFonts w:ascii="Times New Roman" w:eastAsia="Calibri" w:hAnsi="Times New Roman"/>
        </w:rPr>
        <w:t xml:space="preserve">, the inquiry is whether the true purpose of the law, </w:t>
      </w:r>
      <w:r w:rsidRPr="002F0E54">
        <w:rPr>
          <w:rFonts w:ascii="Times New Roman" w:hAnsi="Times New Roman"/>
        </w:rPr>
        <w:t xml:space="preserve">in its legal and practical operation, </w:t>
      </w:r>
      <w:r w:rsidRPr="002F0E54">
        <w:rPr>
          <w:rFonts w:ascii="Times New Roman" w:eastAsia="Calibri" w:hAnsi="Times New Roman"/>
        </w:rPr>
        <w:t>is to achieve a legitimate object or to effect a form of prohibited discrimination</w:t>
      </w:r>
      <w:r w:rsidRPr="002F0E54">
        <w:rPr>
          <w:rFonts w:ascii="Times New Roman" w:hAnsi="Times New Roman"/>
        </w:rPr>
        <w:t>.</w:t>
      </w:r>
    </w:p>
    <w:p w14:paraId="6426D8B2"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eastAsia="Calibri" w:hAnsi="Times New Roman"/>
        </w:rPr>
        <w:tab/>
        <w:t xml:space="preserve">Those inquiries are not assisted by adopting structured proportionality as a tool of analysis. </w:t>
      </w:r>
      <w:r w:rsidRPr="002F0E54">
        <w:rPr>
          <w:rFonts w:ascii="Times New Roman" w:hAnsi="Times New Roman"/>
        </w:rPr>
        <w:t>It is unnecessary to repeat the concerns expressed elsewhere about the rigidity of</w:t>
      </w:r>
      <w:r w:rsidRPr="002F0E54">
        <w:rPr>
          <w:rFonts w:ascii="Times New Roman" w:eastAsia="Calibri" w:hAnsi="Times New Roman"/>
        </w:rPr>
        <w:t xml:space="preserve"> structured proportionality</w:t>
      </w:r>
      <w:r w:rsidRPr="002F0E54">
        <w:rPr>
          <w:rFonts w:ascii="Times New Roman" w:hAnsi="Times New Roman"/>
        </w:rPr>
        <w:t xml:space="preserve"> or the validity of the reasons proffered for </w:t>
      </w:r>
      <w:r w:rsidRPr="002F0E54">
        <w:rPr>
          <w:rFonts w:ascii="Times New Roman" w:eastAsia="Calibri" w:hAnsi="Times New Roman"/>
        </w:rPr>
        <w:t>adopting it</w:t>
      </w:r>
      <w:r w:rsidRPr="002F0E54">
        <w:rPr>
          <w:rStyle w:val="FootnoteReference"/>
          <w:rFonts w:ascii="Times New Roman" w:eastAsia="Calibri" w:hAnsi="Times New Roman"/>
          <w:sz w:val="24"/>
        </w:rPr>
        <w:footnoteReference w:id="300"/>
      </w:r>
      <w:r w:rsidRPr="002F0E54">
        <w:rPr>
          <w:rFonts w:ascii="Times New Roman" w:eastAsia="Calibri" w:hAnsi="Times New Roman"/>
        </w:rPr>
        <w:t xml:space="preserve">. Those concerns are no less real in the context of s 92. </w:t>
      </w:r>
      <w:r w:rsidRPr="002F0E54">
        <w:rPr>
          <w:rFonts w:ascii="Times New Roman" w:hAnsi="Times New Roman"/>
        </w:rPr>
        <w:t>If a law imposes a differential burden on interstate trade, commerce or intercourse and a legitimate purpose of the law is identified, to then ask whether there are compelling alternative, reasonably practicable means of achieving that legitimate purpose which impose a lesser burden, is to ask a question the content of which depends on what is meant by "compelling" and "reasonably practicable means". The absence of alternative means may suggest that the purpose of the law is in truth to achieve the legitimate purpose alleged</w:t>
      </w:r>
      <w:r w:rsidRPr="002F0E54">
        <w:rPr>
          <w:rStyle w:val="FootnoteReference"/>
          <w:rFonts w:ascii="Times New Roman" w:hAnsi="Times New Roman"/>
          <w:sz w:val="24"/>
        </w:rPr>
        <w:footnoteReference w:id="301"/>
      </w:r>
      <w:r w:rsidRPr="002F0E54">
        <w:rPr>
          <w:rFonts w:ascii="Times New Roman" w:hAnsi="Times New Roman"/>
        </w:rPr>
        <w:t>. But, the existence of alternative means cannot be conclusive because the test for s 92 is one of characterisation – is</w:t>
      </w:r>
      <w:r>
        <w:rPr>
          <w:rFonts w:ascii="Times New Roman" w:hAnsi="Times New Roman"/>
        </w:rPr>
        <w:t> </w:t>
      </w:r>
      <w:r w:rsidRPr="002F0E54">
        <w:rPr>
          <w:rFonts w:ascii="Times New Roman" w:hAnsi="Times New Roman"/>
        </w:rPr>
        <w:t>the differential burden imposed by the impugned law reasonably necessary to achieve a legitimate object of that law? To treat the existence of alternative means as conclusive that s 92 is infringed, in every case, would be an approach that is too rigid and prescriptive</w:t>
      </w:r>
      <w:r w:rsidRPr="002F0E54">
        <w:rPr>
          <w:rStyle w:val="FootnoteReference"/>
          <w:rFonts w:ascii="Times New Roman" w:hAnsi="Times New Roman"/>
          <w:sz w:val="24"/>
        </w:rPr>
        <w:footnoteReference w:id="302"/>
      </w:r>
      <w:r w:rsidRPr="002F0E54">
        <w:rPr>
          <w:rFonts w:ascii="Times New Roman" w:hAnsi="Times New Roman"/>
        </w:rPr>
        <w:t>. It would fail to accommodate the specific circumstances and features of the trade, commerce or intercourse in issue. It would ignore the injunction that in questions concerning the application of s 92, the Court should "in each case ... decide the matter, so far as may be, on the specific considerations or features which it presents"</w:t>
      </w:r>
      <w:r w:rsidRPr="002F0E54">
        <w:rPr>
          <w:rStyle w:val="FootnoteReference"/>
          <w:rFonts w:ascii="Times New Roman" w:hAnsi="Times New Roman"/>
          <w:sz w:val="24"/>
        </w:rPr>
        <w:footnoteReference w:id="303"/>
      </w:r>
      <w:r w:rsidRPr="002F0E54">
        <w:rPr>
          <w:rFonts w:ascii="Times New Roman" w:hAnsi="Times New Roman"/>
        </w:rPr>
        <w:t>. And, there will be cases where an inquiry into the existence of alternative means will simply not be possible – for example, where</w:t>
      </w:r>
      <w:r>
        <w:rPr>
          <w:rFonts w:ascii="Times New Roman" w:hAnsi="Times New Roman"/>
        </w:rPr>
        <w:t> </w:t>
      </w:r>
      <w:r w:rsidRPr="002F0E54">
        <w:rPr>
          <w:rFonts w:ascii="Times New Roman" w:hAnsi="Times New Roman"/>
        </w:rPr>
        <w:t>the impugned provisions are part of a complex legislative scheme and there is no ready comparator</w:t>
      </w:r>
      <w:r w:rsidRPr="002F0E54">
        <w:rPr>
          <w:rStyle w:val="FootnoteReference"/>
          <w:rFonts w:ascii="Times New Roman" w:hAnsi="Times New Roman"/>
          <w:sz w:val="24"/>
        </w:rPr>
        <w:footnoteReference w:id="304"/>
      </w:r>
      <w:r w:rsidRPr="002F0E54">
        <w:rPr>
          <w:rFonts w:ascii="Times New Roman" w:hAnsi="Times New Roman"/>
        </w:rPr>
        <w:t xml:space="preserve"> or, as in this case, where an inquiry into the existence of alternative means would be futile</w:t>
      </w:r>
      <w:r w:rsidRPr="002F0E54">
        <w:rPr>
          <w:rStyle w:val="FootnoteReference"/>
          <w:rFonts w:ascii="Times New Roman" w:eastAsia="Calibri" w:hAnsi="Times New Roman"/>
          <w:sz w:val="24"/>
        </w:rPr>
        <w:footnoteReference w:id="305"/>
      </w:r>
      <w:r w:rsidRPr="002F0E54">
        <w:rPr>
          <w:rFonts w:ascii="Times New Roman" w:hAnsi="Times New Roman"/>
        </w:rPr>
        <w:t>. In the context of s 92, there can be no "one</w:t>
      </w:r>
      <w:r>
        <w:rPr>
          <w:rFonts w:ascii="Times New Roman" w:hAnsi="Times New Roman"/>
        </w:rPr>
        <w:t> </w:t>
      </w:r>
      <w:r w:rsidRPr="002F0E54">
        <w:rPr>
          <w:rFonts w:ascii="Times New Roman" w:hAnsi="Times New Roman"/>
        </w:rPr>
        <w:t>size fits all" approach</w:t>
      </w:r>
      <w:r w:rsidRPr="002F0E54">
        <w:rPr>
          <w:rStyle w:val="FootnoteReference"/>
          <w:rFonts w:ascii="Times New Roman" w:hAnsi="Times New Roman"/>
          <w:sz w:val="24"/>
        </w:rPr>
        <w:footnoteReference w:id="306"/>
      </w:r>
      <w:r w:rsidRPr="002F0E54">
        <w:rPr>
          <w:rFonts w:ascii="Times New Roman" w:hAnsi="Times New Roman"/>
        </w:rPr>
        <w:t>.</w:t>
      </w:r>
    </w:p>
    <w:p w14:paraId="41540D0A"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Second, to require the balancing stage of structured proportionality as an additional step of analysis for s 92 would be to introduce a new element that would be contrary to the foundations and current operation of s 92. As explained, the freedom in s 92 is absolute but subject to a reservation</w:t>
      </w:r>
      <w:r w:rsidRPr="002F0E54">
        <w:rPr>
          <w:rStyle w:val="FootnoteReference"/>
          <w:rFonts w:ascii="Times New Roman" w:hAnsi="Times New Roman"/>
          <w:sz w:val="24"/>
        </w:rPr>
        <w:footnoteReference w:id="307"/>
      </w:r>
      <w:r w:rsidRPr="002F0E54">
        <w:rPr>
          <w:rFonts w:ascii="Times New Roman" w:hAnsi="Times New Roman"/>
        </w:rPr>
        <w:t>. Determining whether s 92 has been infringed involves an inquiry about the objects of the impugned law. The balancing stage of structured proportionality is not only concerned with identifying the objects of the impugned law</w:t>
      </w:r>
      <w:r w:rsidRPr="002F0E54">
        <w:rPr>
          <w:rStyle w:val="FootnoteReference"/>
          <w:rFonts w:ascii="Times New Roman" w:hAnsi="Times New Roman"/>
          <w:sz w:val="24"/>
        </w:rPr>
        <w:footnoteReference w:id="308"/>
      </w:r>
      <w:r w:rsidRPr="002F0E54">
        <w:rPr>
          <w:rFonts w:ascii="Times New Roman" w:hAnsi="Times New Roman"/>
        </w:rPr>
        <w:t>. Rather, the balancing stage of structured proportionality requires "a value judgment, consistently with the limits of the judicial function, describing the balance between the importance of the purpose served by the restrictive measure and the extent of the restriction it imposes on the freedom"</w:t>
      </w:r>
      <w:r w:rsidRPr="002F0E54">
        <w:rPr>
          <w:rStyle w:val="FootnoteReference"/>
          <w:rFonts w:ascii="Times New Roman" w:eastAsia="Calibri" w:hAnsi="Times New Roman"/>
          <w:sz w:val="24"/>
        </w:rPr>
        <w:footnoteReference w:id="309"/>
      </w:r>
      <w:r w:rsidRPr="002F0E54">
        <w:rPr>
          <w:rFonts w:ascii="Times New Roman" w:eastAsia="Calibri" w:hAnsi="Times New Roman"/>
        </w:rPr>
        <w:t>.</w:t>
      </w:r>
      <w:r w:rsidRPr="002F0E54">
        <w:rPr>
          <w:rFonts w:ascii="Times New Roman" w:hAnsi="Times New Roman"/>
        </w:rPr>
        <w:t xml:space="preserve"> Section 92 neither permits nor requires this further inquiry. Adopting and adapting what was said in </w:t>
      </w:r>
      <w:r w:rsidRPr="002F0E54">
        <w:rPr>
          <w:rFonts w:ascii="Times New Roman" w:hAnsi="Times New Roman"/>
          <w:i/>
        </w:rPr>
        <w:t>Castlemaine Tooheys</w:t>
      </w:r>
      <w:r w:rsidRPr="002F0E54">
        <w:rPr>
          <w:rFonts w:ascii="Times New Roman" w:hAnsi="Times New Roman"/>
        </w:rPr>
        <w:t>, "there is no place for a secondary test to invalidate laws which have been found to lack a [discriminatory] purpose or effect. Rather,</w:t>
      </w:r>
      <w:r w:rsidRPr="002F0E54" w:rsidDel="00432D4F">
        <w:rPr>
          <w:rFonts w:ascii="Times New Roman" w:hAnsi="Times New Roman"/>
        </w:rPr>
        <w:t xml:space="preserve"> </w:t>
      </w:r>
      <w:r w:rsidRPr="002F0E54">
        <w:rPr>
          <w:rFonts w:ascii="Times New Roman" w:hAnsi="Times New Roman"/>
        </w:rPr>
        <w:t>the two tests are combined as one inquiry into the characterization of the law as [discriminatory] or otherwise"</w:t>
      </w:r>
      <w:r w:rsidRPr="002F0E54">
        <w:rPr>
          <w:rStyle w:val="FootnoteReference"/>
          <w:rFonts w:ascii="Times New Roman" w:eastAsia="Calibri" w:hAnsi="Times New Roman"/>
          <w:sz w:val="24"/>
        </w:rPr>
        <w:footnoteReference w:id="310"/>
      </w:r>
      <w:r w:rsidRPr="002F0E54">
        <w:rPr>
          <w:rFonts w:ascii="Times New Roman" w:hAnsi="Times New Roman"/>
        </w:rPr>
        <w:t>. And</w:t>
      </w:r>
      <w:r>
        <w:rPr>
          <w:rFonts w:ascii="Times New Roman" w:hAnsi="Times New Roman"/>
        </w:rPr>
        <w:t> </w:t>
      </w:r>
      <w:r w:rsidRPr="002F0E54">
        <w:rPr>
          <w:rFonts w:ascii="Times New Roman" w:hAnsi="Times New Roman"/>
        </w:rPr>
        <w:t>a secondary test – the balancing stage of structured proportionality – would</w:t>
      </w:r>
      <w:r>
        <w:rPr>
          <w:rFonts w:ascii="Times New Roman" w:hAnsi="Times New Roman"/>
        </w:rPr>
        <w:t> </w:t>
      </w:r>
      <w:r w:rsidRPr="002F0E54">
        <w:rPr>
          <w:rFonts w:ascii="Times New Roman" w:hAnsi="Times New Roman"/>
        </w:rPr>
        <w:t>introduce a degree of values</w:t>
      </w:r>
      <w:r w:rsidRPr="002F0E54">
        <w:rPr>
          <w:rFonts w:ascii="Times New Roman" w:hAnsi="Times New Roman"/>
        </w:rPr>
        <w:noBreakHyphen/>
        <w:t>based decision making that s 92 not only can avoid</w:t>
      </w:r>
      <w:r w:rsidRPr="002F0E54">
        <w:rPr>
          <w:rStyle w:val="FootnoteReference"/>
          <w:rFonts w:ascii="Times New Roman" w:hAnsi="Times New Roman"/>
          <w:sz w:val="24"/>
        </w:rPr>
        <w:footnoteReference w:id="311"/>
      </w:r>
      <w:r w:rsidRPr="002F0E54">
        <w:rPr>
          <w:rFonts w:ascii="Times New Roman" w:hAnsi="Times New Roman"/>
        </w:rPr>
        <w:t>, but must. The Court is often not well-placed to make such value judgments where the nature of trade, commerce and intercourse is complex, multi-faceted and evolving</w:t>
      </w:r>
      <w:r w:rsidRPr="002F0E54">
        <w:rPr>
          <w:rStyle w:val="FootnoteReference"/>
          <w:rFonts w:ascii="Times New Roman" w:hAnsi="Times New Roman"/>
          <w:sz w:val="24"/>
        </w:rPr>
        <w:footnoteReference w:id="312"/>
      </w:r>
      <w:r w:rsidRPr="002F0E54">
        <w:rPr>
          <w:rFonts w:ascii="Times New Roman" w:hAnsi="Times New Roman"/>
        </w:rPr>
        <w:t xml:space="preserve">. </w:t>
      </w:r>
    </w:p>
    <w:p w14:paraId="50851372" w14:textId="77777777" w:rsidR="002D2334" w:rsidRPr="002F0E54" w:rsidRDefault="002D2334" w:rsidP="002F0E54">
      <w:pPr>
        <w:pStyle w:val="HeadingL1"/>
        <w:spacing w:after="260" w:line="280" w:lineRule="exact"/>
        <w:ind w:right="0"/>
        <w:jc w:val="both"/>
        <w:rPr>
          <w:rFonts w:ascii="Times New Roman" w:hAnsi="Times New Roman"/>
        </w:rPr>
      </w:pPr>
      <w:r w:rsidRPr="002F0E54">
        <w:rPr>
          <w:rFonts w:ascii="Times New Roman" w:hAnsi="Times New Roman"/>
        </w:rPr>
        <w:t>Analytical framework for s 92 challenge</w:t>
      </w:r>
    </w:p>
    <w:p w14:paraId="1C47DBF3"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As explained, the plaintiffs did not challenge the constitutional validity of s 56 or s 67 of the Act, or allege that the express statutory conditions for the exercise of the power to make the state of emergency declaration under s 56</w:t>
      </w:r>
      <w:r w:rsidRPr="002F0E54">
        <w:rPr>
          <w:rStyle w:val="FootnoteReference"/>
          <w:rFonts w:ascii="Times New Roman" w:hAnsi="Times New Roman"/>
          <w:sz w:val="24"/>
        </w:rPr>
        <w:footnoteReference w:id="313"/>
      </w:r>
      <w:r w:rsidRPr="002F0E54">
        <w:rPr>
          <w:rFonts w:ascii="Times New Roman" w:hAnsi="Times New Roman"/>
        </w:rPr>
        <w:t xml:space="preserve"> or</w:t>
      </w:r>
      <w:r>
        <w:rPr>
          <w:rFonts w:ascii="Times New Roman" w:hAnsi="Times New Roman"/>
        </w:rPr>
        <w:t> </w:t>
      </w:r>
      <w:r w:rsidRPr="002F0E54">
        <w:rPr>
          <w:rFonts w:ascii="Times New Roman" w:hAnsi="Times New Roman"/>
        </w:rPr>
        <w:t xml:space="preserve">the Directions under s 67 had not been met. The plaintiffs submitted that the putative burden on the freedom guaranteed by s 92 arose because of the Directions. </w:t>
      </w:r>
    </w:p>
    <w:p w14:paraId="0BCDC376"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 xml:space="preserve">As a majority of this Court held in </w:t>
      </w:r>
      <w:r w:rsidRPr="002F0E54">
        <w:rPr>
          <w:rFonts w:ascii="Times New Roman" w:hAnsi="Times New Roman"/>
          <w:i/>
        </w:rPr>
        <w:t>Wotton v Queensland</w:t>
      </w:r>
      <w:r w:rsidRPr="002F0E54">
        <w:rPr>
          <w:rStyle w:val="FootnoteReference"/>
          <w:rFonts w:ascii="Times New Roman" w:hAnsi="Times New Roman"/>
          <w:sz w:val="24"/>
        </w:rPr>
        <w:footnoteReference w:id="314"/>
      </w:r>
      <w:r w:rsidRPr="002F0E54">
        <w:rPr>
          <w:rFonts w:ascii="Times New Roman" w:hAnsi="Times New Roman"/>
        </w:rPr>
        <w:t>, "if, on its proper construction, the statute complies with the constitutional limitation, without any need to read it down to save its validity, any complaint respecting the exercise of power thereunder in a given case ... does not raise a constitutional question, as</w:t>
      </w:r>
      <w:r>
        <w:rPr>
          <w:rFonts w:ascii="Times New Roman" w:hAnsi="Times New Roman"/>
        </w:rPr>
        <w:t> </w:t>
      </w:r>
      <w:r w:rsidRPr="002F0E54">
        <w:rPr>
          <w:rFonts w:ascii="Times New Roman" w:hAnsi="Times New Roman"/>
        </w:rPr>
        <w:t xml:space="preserve">distinct from a question of the exercise of statutory power". That approach had earlier been taken by Brennan J in </w:t>
      </w:r>
      <w:r w:rsidRPr="002F0E54">
        <w:rPr>
          <w:rFonts w:ascii="Times New Roman" w:hAnsi="Times New Roman"/>
          <w:i/>
        </w:rPr>
        <w:t>Miller v TCN Channel Nine Pty Ltd</w:t>
      </w:r>
      <w:r w:rsidRPr="002F0E54">
        <w:rPr>
          <w:rStyle w:val="FootnoteReference"/>
          <w:rFonts w:ascii="Times New Roman" w:hAnsi="Times New Roman"/>
          <w:sz w:val="24"/>
        </w:rPr>
        <w:footnoteReference w:id="315"/>
      </w:r>
      <w:r w:rsidRPr="002F0E54">
        <w:rPr>
          <w:rFonts w:ascii="Times New Roman" w:hAnsi="Times New Roman"/>
          <w:i/>
        </w:rPr>
        <w:t xml:space="preserve"> </w:t>
      </w:r>
      <w:r w:rsidRPr="002F0E54">
        <w:rPr>
          <w:rFonts w:ascii="Times New Roman" w:hAnsi="Times New Roman"/>
        </w:rPr>
        <w:t xml:space="preserve">and has subsequently been applied in </w:t>
      </w:r>
      <w:r w:rsidRPr="002F0E54">
        <w:rPr>
          <w:rFonts w:ascii="Times New Roman" w:hAnsi="Times New Roman"/>
          <w:i/>
        </w:rPr>
        <w:t>Comcare v Banerji</w:t>
      </w:r>
      <w:r w:rsidRPr="002F0E54">
        <w:rPr>
          <w:rStyle w:val="FootnoteReference"/>
          <w:rFonts w:ascii="Times New Roman" w:hAnsi="Times New Roman"/>
          <w:sz w:val="24"/>
        </w:rPr>
        <w:footnoteReference w:id="316"/>
      </w:r>
      <w:r w:rsidRPr="002F0E54">
        <w:rPr>
          <w:rFonts w:ascii="Times New Roman" w:hAnsi="Times New Roman"/>
        </w:rPr>
        <w:t>. It is correct in principle because it reflects that a discretion conferred by statute "must be exercised by the repository of a power in accordance with any applicable law, including s 92"</w:t>
      </w:r>
      <w:r w:rsidRPr="002F0E54">
        <w:rPr>
          <w:rStyle w:val="FootnoteReference"/>
          <w:rFonts w:ascii="Times New Roman" w:hAnsi="Times New Roman"/>
          <w:sz w:val="24"/>
        </w:rPr>
        <w:footnoteReference w:id="317"/>
      </w:r>
      <w:r w:rsidRPr="002F0E54">
        <w:rPr>
          <w:rFonts w:ascii="Times New Roman" w:hAnsi="Times New Roman"/>
        </w:rPr>
        <w:t>. As Victoria submitted, here, the putative burden "has its source in statute"</w:t>
      </w:r>
      <w:r w:rsidRPr="002F0E54">
        <w:rPr>
          <w:rStyle w:val="FootnoteReference"/>
          <w:rFonts w:ascii="Times New Roman" w:hAnsi="Times New Roman"/>
          <w:sz w:val="24"/>
        </w:rPr>
        <w:footnoteReference w:id="318"/>
      </w:r>
      <w:r w:rsidRPr="002F0E54">
        <w:rPr>
          <w:rFonts w:ascii="Times New Roman" w:hAnsi="Times New Roman"/>
        </w:rPr>
        <w:t xml:space="preserve"> and</w:t>
      </w:r>
      <w:r>
        <w:rPr>
          <w:rFonts w:ascii="Times New Roman" w:hAnsi="Times New Roman"/>
        </w:rPr>
        <w:t> </w:t>
      </w:r>
      <w:r w:rsidRPr="002F0E54">
        <w:rPr>
          <w:rFonts w:ascii="Times New Roman" w:hAnsi="Times New Roman"/>
        </w:rPr>
        <w:t>its source is necessarily subject to the s 92 "limitation upon legislative power"</w:t>
      </w:r>
      <w:r w:rsidRPr="002F0E54">
        <w:rPr>
          <w:rStyle w:val="FootnoteReference"/>
          <w:rFonts w:ascii="Times New Roman" w:hAnsi="Times New Roman"/>
          <w:sz w:val="24"/>
        </w:rPr>
        <w:footnoteReference w:id="319"/>
      </w:r>
      <w:r w:rsidRPr="002F0E54">
        <w:rPr>
          <w:rFonts w:ascii="Times New Roman" w:hAnsi="Times New Roman"/>
        </w:rPr>
        <w:t xml:space="preserve">. </w:t>
      </w:r>
    </w:p>
    <w:p w14:paraId="6FD03299"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Thus, the question is whether, on their proper construction, ss 56 and 67 of the Act comply with the constitutional limitation of s 92, without any need to read the Act down to save its validity in its application to the case at hand</w:t>
      </w:r>
      <w:r w:rsidRPr="002F0E54">
        <w:rPr>
          <w:rStyle w:val="FootnoteReference"/>
          <w:rFonts w:ascii="Times New Roman" w:hAnsi="Times New Roman"/>
          <w:sz w:val="24"/>
        </w:rPr>
        <w:footnoteReference w:id="320"/>
      </w:r>
      <w:r w:rsidRPr="002F0E54">
        <w:rPr>
          <w:rFonts w:ascii="Times New Roman" w:hAnsi="Times New Roman"/>
        </w:rPr>
        <w:t>. Put differently, do those sections, by their terms, confer a power that "is so constrained that its exercise cannot be obnoxious to the freedom guaranteed by s 92"</w:t>
      </w:r>
      <w:r w:rsidRPr="002F0E54">
        <w:rPr>
          <w:rStyle w:val="FootnoteReference"/>
          <w:rFonts w:ascii="Times New Roman" w:hAnsi="Times New Roman"/>
          <w:sz w:val="24"/>
        </w:rPr>
        <w:footnoteReference w:id="321"/>
      </w:r>
      <w:r w:rsidRPr="002F0E54">
        <w:rPr>
          <w:rFonts w:ascii="Times New Roman" w:hAnsi="Times New Roman"/>
        </w:rPr>
        <w:t xml:space="preserve">. The answer is yes. </w:t>
      </w:r>
    </w:p>
    <w:p w14:paraId="21320248" w14:textId="77777777" w:rsidR="002D2334" w:rsidRPr="002F0E54" w:rsidRDefault="002D2334" w:rsidP="002F0E54">
      <w:pPr>
        <w:pStyle w:val="HeadingL1"/>
        <w:spacing w:after="260" w:line="280" w:lineRule="exact"/>
        <w:ind w:right="0"/>
        <w:jc w:val="both"/>
        <w:rPr>
          <w:rFonts w:ascii="Times New Roman" w:hAnsi="Times New Roman"/>
        </w:rPr>
      </w:pPr>
      <w:r w:rsidRPr="002F0E54">
        <w:rPr>
          <w:rFonts w:ascii="Times New Roman" w:hAnsi="Times New Roman"/>
        </w:rPr>
        <w:t xml:space="preserve">Validity of ss 56 and 67 of the </w:t>
      </w:r>
      <w:r w:rsidRPr="002F0E54">
        <w:rPr>
          <w:rFonts w:ascii="Times New Roman" w:hAnsi="Times New Roman"/>
          <w:i/>
        </w:rPr>
        <w:t>Emergency Management Act</w:t>
      </w:r>
    </w:p>
    <w:p w14:paraId="168E50D0"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The first question is whether ss 56 and 67 of the Act impose a differential burden on the freedom of interstate trade, commerce or intercourse. By itself, s 56</w:t>
      </w:r>
      <w:r>
        <w:rPr>
          <w:rFonts w:ascii="Times New Roman" w:hAnsi="Times New Roman"/>
        </w:rPr>
        <w:t> </w:t>
      </w:r>
      <w:r w:rsidRPr="002F0E54">
        <w:rPr>
          <w:rFonts w:ascii="Times New Roman" w:hAnsi="Times New Roman"/>
        </w:rPr>
        <w:t xml:space="preserve">could not burden interstate trade, commerce or intercourse as it only deals with the Minister's power to make a state of emergency declaration, not the consequences or effect of any declaration. </w:t>
      </w:r>
    </w:p>
    <w:p w14:paraId="6CBEE811"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However, an exercise of the power under s 67(a) could burden interstate trade, commerce or intercourse given that it permits the making of a direction prohibiting "the movement of persons, animals and vehicles within, into, out of or around an emergency area or any part of the emergency area". If the emergency area is adjacent to the Western Australian border, and if the direction is for the purpose of emergency management during a state of emergency, s 67(a)</w:t>
      </w:r>
      <w:r>
        <w:rPr>
          <w:rFonts w:ascii="Times New Roman" w:hAnsi="Times New Roman"/>
        </w:rPr>
        <w:t> </w:t>
      </w:r>
      <w:r w:rsidRPr="002F0E54">
        <w:rPr>
          <w:rFonts w:ascii="Times New Roman" w:hAnsi="Times New Roman"/>
        </w:rPr>
        <w:t>could</w:t>
      </w:r>
      <w:r>
        <w:rPr>
          <w:rFonts w:ascii="Times New Roman" w:hAnsi="Times New Roman"/>
        </w:rPr>
        <w:t> </w:t>
      </w:r>
      <w:r w:rsidRPr="002F0E54">
        <w:rPr>
          <w:rFonts w:ascii="Times New Roman" w:hAnsi="Times New Roman"/>
        </w:rPr>
        <w:t>support a direction prohibiting movement across the Western Australian border which differentiates between trade, commerce or intercourse across the Western Australian border as compared with intrastate trade, commerce</w:t>
      </w:r>
      <w:r>
        <w:rPr>
          <w:rFonts w:ascii="Times New Roman" w:hAnsi="Times New Roman"/>
        </w:rPr>
        <w:t> </w:t>
      </w:r>
      <w:r w:rsidRPr="002F0E54">
        <w:rPr>
          <w:rFonts w:ascii="Times New Roman" w:hAnsi="Times New Roman"/>
        </w:rPr>
        <w:t>or intercourse, in its legal and practical operation.</w:t>
      </w:r>
    </w:p>
    <w:p w14:paraId="72D9D054"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It is then necessary to identify the object of the impugned provisions. Sections 56 and 67 are evidently concerned with managing a state of emergency</w:t>
      </w:r>
      <w:r w:rsidRPr="002F0E54">
        <w:rPr>
          <w:rStyle w:val="FootnoteReference"/>
          <w:rFonts w:ascii="Times New Roman" w:hAnsi="Times New Roman"/>
          <w:sz w:val="24"/>
        </w:rPr>
        <w:footnoteReference w:id="322"/>
      </w:r>
      <w:r w:rsidRPr="002F0E54">
        <w:rPr>
          <w:rFonts w:ascii="Times New Roman" w:hAnsi="Times New Roman"/>
        </w:rPr>
        <w:t>. That object is one other than erecting State borders as barriers against freedom of trade, commerce or intercourse and it is a legitimate object</w:t>
      </w:r>
      <w:r w:rsidRPr="002F0E54">
        <w:rPr>
          <w:rStyle w:val="FootnoteReference"/>
          <w:rFonts w:ascii="Times New Roman" w:hAnsi="Times New Roman"/>
          <w:sz w:val="24"/>
        </w:rPr>
        <w:footnoteReference w:id="323"/>
      </w:r>
      <w:r w:rsidRPr="002F0E54">
        <w:rPr>
          <w:rFonts w:ascii="Times New Roman" w:hAnsi="Times New Roman"/>
        </w:rPr>
        <w:t>.</w:t>
      </w:r>
    </w:p>
    <w:p w14:paraId="291A25F8"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The final question is whether the differential burden is reasonably necessary for that legitimate object</w:t>
      </w:r>
      <w:r w:rsidRPr="002F0E54">
        <w:rPr>
          <w:rStyle w:val="FootnoteReference"/>
          <w:rFonts w:ascii="Times New Roman" w:hAnsi="Times New Roman"/>
          <w:sz w:val="24"/>
        </w:rPr>
        <w:footnoteReference w:id="324"/>
      </w:r>
      <w:r w:rsidRPr="002F0E54">
        <w:rPr>
          <w:rFonts w:ascii="Times New Roman" w:hAnsi="Times New Roman"/>
        </w:rPr>
        <w:t>. Although no separate question of differential burden arises under s 56, the conditions to the Minister's power to make a state of emergency declaration in s 56 and the limited duration of that declaration</w:t>
      </w:r>
      <w:r w:rsidRPr="002F0E54">
        <w:rPr>
          <w:rStyle w:val="FootnoteReference"/>
          <w:rFonts w:ascii="Times New Roman" w:hAnsi="Times New Roman"/>
          <w:sz w:val="24"/>
        </w:rPr>
        <w:footnoteReference w:id="325"/>
      </w:r>
      <w:r w:rsidRPr="002F0E54">
        <w:rPr>
          <w:rFonts w:ascii="Times New Roman" w:hAnsi="Times New Roman"/>
        </w:rPr>
        <w:t xml:space="preserve"> are</w:t>
      </w:r>
      <w:r>
        <w:rPr>
          <w:rFonts w:ascii="Times New Roman" w:hAnsi="Times New Roman"/>
        </w:rPr>
        <w:t> </w:t>
      </w:r>
      <w:r w:rsidRPr="002F0E54">
        <w:rPr>
          <w:rFonts w:ascii="Times New Roman" w:hAnsi="Times New Roman"/>
        </w:rPr>
        <w:t xml:space="preserve">relevant to whether the differential burden under s 67 is reasonably necessary for a legitimate object of the impugned provisions. </w:t>
      </w:r>
    </w:p>
    <w:p w14:paraId="6B2F73E2"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The power in s 67(a) may only be exercised when a state of emergency has been declared under s 56. In addition, the statutory conditions in s 67(a) to the power of an authorised officer to prohibit movement, by direction, are so confined that any exercise of the power is reasonably necessary for the object of managing a state of emergency</w:t>
      </w:r>
      <w:r w:rsidRPr="002F0E54">
        <w:rPr>
          <w:rStyle w:val="FootnoteReference"/>
          <w:rFonts w:ascii="Times New Roman" w:hAnsi="Times New Roman"/>
          <w:sz w:val="24"/>
        </w:rPr>
        <w:footnoteReference w:id="326"/>
      </w:r>
      <w:r w:rsidRPr="002F0E54">
        <w:rPr>
          <w:rFonts w:ascii="Times New Roman" w:hAnsi="Times New Roman"/>
        </w:rPr>
        <w:t xml:space="preserve">. </w:t>
      </w:r>
    </w:p>
    <w:p w14:paraId="167D884F"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Each discretion is "effectively confined so that an attempt to exercise the discretion inconsistently with s 92 is not only outside the constitutional power – it</w:t>
      </w:r>
      <w:r>
        <w:rPr>
          <w:rFonts w:ascii="Times New Roman" w:hAnsi="Times New Roman"/>
        </w:rPr>
        <w:t> </w:t>
      </w:r>
      <w:r w:rsidRPr="002F0E54">
        <w:rPr>
          <w:rFonts w:ascii="Times New Roman" w:hAnsi="Times New Roman"/>
        </w:rPr>
        <w:t>is equally outside statutory power and judicial review is available to restrain any attempt to exercise the discretion in a manner obnoxious to the freedom guaranteed by s 92"</w:t>
      </w:r>
      <w:r w:rsidRPr="002F0E54">
        <w:rPr>
          <w:rStyle w:val="FootnoteReference"/>
          <w:rFonts w:ascii="Times New Roman" w:eastAsia="Calibri" w:hAnsi="Times New Roman"/>
          <w:sz w:val="24"/>
        </w:rPr>
        <w:footnoteReference w:id="327"/>
      </w:r>
      <w:r w:rsidRPr="002F0E54">
        <w:rPr>
          <w:rFonts w:ascii="Times New Roman" w:hAnsi="Times New Roman"/>
        </w:rPr>
        <w:t xml:space="preserve">. Sections 56 and 67 are not provisions where the discretion is insufficiently controlled or is so wide as to be susceptible of being exercised inconsistently with s 92. Put in different terms, the discretion granted by these provisions is not wider than the </w:t>
      </w:r>
      <w:r w:rsidRPr="002F0E54">
        <w:rPr>
          <w:rFonts w:ascii="Times New Roman" w:hAnsi="Times New Roman"/>
          <w:i/>
        </w:rPr>
        <w:t>Constitution</w:t>
      </w:r>
      <w:r w:rsidRPr="002F0E54">
        <w:rPr>
          <w:rFonts w:ascii="Times New Roman" w:hAnsi="Times New Roman"/>
        </w:rPr>
        <w:t xml:space="preserve"> can support</w:t>
      </w:r>
      <w:r w:rsidRPr="002F0E54">
        <w:rPr>
          <w:rStyle w:val="FootnoteReference"/>
          <w:rFonts w:ascii="Times New Roman" w:hAnsi="Times New Roman"/>
          <w:sz w:val="24"/>
        </w:rPr>
        <w:footnoteReference w:id="328"/>
      </w:r>
      <w:r w:rsidRPr="002F0E54">
        <w:rPr>
          <w:rFonts w:ascii="Times New Roman" w:hAnsi="Times New Roman"/>
        </w:rPr>
        <w:t>; it cannot be exercised in a manner obnoxious to the freedom guaranteed by s 92</w:t>
      </w:r>
      <w:r w:rsidRPr="002F0E54">
        <w:rPr>
          <w:rStyle w:val="FootnoteReference"/>
          <w:rFonts w:ascii="Times New Roman" w:hAnsi="Times New Roman"/>
          <w:sz w:val="24"/>
        </w:rPr>
        <w:footnoteReference w:id="329"/>
      </w:r>
      <w:r w:rsidRPr="002F0E54">
        <w:rPr>
          <w:rFonts w:ascii="Times New Roman" w:hAnsi="Times New Roman"/>
        </w:rPr>
        <w:t>. The statutory indicia are so tightly constrained that a differential burden can be placed on interstate trade, commerce and intercourse only in extraordinary and highly particular circumstances, namely to meet an emergency constituted by, in this case, an</w:t>
      </w:r>
      <w:r>
        <w:rPr>
          <w:rFonts w:ascii="Times New Roman" w:hAnsi="Times New Roman"/>
        </w:rPr>
        <w:t> </w:t>
      </w:r>
      <w:r w:rsidRPr="002F0E54">
        <w:rPr>
          <w:rFonts w:ascii="Times New Roman" w:hAnsi="Times New Roman"/>
        </w:rPr>
        <w:t>epidemic, the management of the adverse effects of which required a significant and coordinated response. That differential burden is not discriminatory. Here,</w:t>
      </w:r>
      <w:r>
        <w:rPr>
          <w:rFonts w:ascii="Times New Roman" w:hAnsi="Times New Roman"/>
        </w:rPr>
        <w:t> </w:t>
      </w:r>
      <w:r w:rsidRPr="002F0E54">
        <w:rPr>
          <w:rFonts w:ascii="Times New Roman" w:hAnsi="Times New Roman"/>
        </w:rPr>
        <w:t>the</w:t>
      </w:r>
      <w:r>
        <w:rPr>
          <w:rFonts w:ascii="Times New Roman" w:hAnsi="Times New Roman"/>
        </w:rPr>
        <w:t> </w:t>
      </w:r>
      <w:r w:rsidRPr="002F0E54">
        <w:rPr>
          <w:rFonts w:ascii="Times New Roman" w:hAnsi="Times New Roman"/>
        </w:rPr>
        <w:t>search for some alternative legislative means for dealing with the epidemic is futile, given the tightly constrained statutory indicia, and in circumstances where the disease was highly contagious and potentially deadly, the</w:t>
      </w:r>
      <w:r>
        <w:rPr>
          <w:rFonts w:ascii="Times New Roman" w:hAnsi="Times New Roman"/>
        </w:rPr>
        <w:t> </w:t>
      </w:r>
      <w:r w:rsidRPr="002F0E54">
        <w:rPr>
          <w:rFonts w:ascii="Times New Roman" w:hAnsi="Times New Roman"/>
        </w:rPr>
        <w:t>vector was human and the disease could be transmitted to others, sometimes</w:t>
      </w:r>
      <w:r>
        <w:rPr>
          <w:rFonts w:ascii="Times New Roman" w:hAnsi="Times New Roman"/>
        </w:rPr>
        <w:t> </w:t>
      </w:r>
      <w:r w:rsidRPr="002F0E54">
        <w:rPr>
          <w:rFonts w:ascii="Times New Roman" w:hAnsi="Times New Roman"/>
        </w:rPr>
        <w:t>many others, by a person who was asymptomatic</w:t>
      </w:r>
      <w:r w:rsidRPr="002F0E54">
        <w:rPr>
          <w:rStyle w:val="FootnoteReference"/>
          <w:rFonts w:ascii="Times New Roman" w:hAnsi="Times New Roman"/>
          <w:sz w:val="24"/>
        </w:rPr>
        <w:footnoteReference w:id="330"/>
      </w:r>
      <w:r w:rsidRPr="002F0E54">
        <w:rPr>
          <w:rFonts w:ascii="Times New Roman" w:hAnsi="Times New Roman"/>
        </w:rPr>
        <w:t xml:space="preserve">. </w:t>
      </w:r>
    </w:p>
    <w:p w14:paraId="68E3050E"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The conclusion that the differential burden capable of being imposed by ss 56 and 67 of the Act is reasonably necessary where an emergency is constituted by a hazard in the nature of an epidemic – and is not discriminatory and does not infringe s 92 – is supported by both history and authority. During the Convention Debates, Mr O'Connor, in addressing s 92, considered that States may</w:t>
      </w:r>
      <w:r w:rsidRPr="002F0E54" w:rsidDel="00671A85">
        <w:rPr>
          <w:rStyle w:val="FootnoteReference"/>
          <w:rFonts w:ascii="Times New Roman" w:hAnsi="Times New Roman"/>
          <w:sz w:val="24"/>
        </w:rPr>
        <w:footnoteReference w:id="331"/>
      </w:r>
      <w:r w:rsidRPr="002F0E54">
        <w:rPr>
          <w:rFonts w:ascii="Times New Roman" w:hAnsi="Times New Roman"/>
        </w:rPr>
        <w:t xml:space="preserve">: </w:t>
      </w:r>
    </w:p>
    <w:p w14:paraId="6845D96D" w14:textId="77777777" w:rsidR="002D2334" w:rsidRDefault="002D2334" w:rsidP="002F0E54">
      <w:pPr>
        <w:pStyle w:val="leftright"/>
        <w:spacing w:before="0" w:after="260" w:line="280" w:lineRule="exact"/>
        <w:ind w:right="0"/>
        <w:jc w:val="both"/>
        <w:rPr>
          <w:rFonts w:ascii="Times New Roman" w:hAnsi="Times New Roman"/>
        </w:rPr>
      </w:pPr>
      <w:r w:rsidRPr="002F0E54">
        <w:rPr>
          <w:rFonts w:ascii="Times New Roman" w:hAnsi="Times New Roman"/>
        </w:rPr>
        <w:t>"prohibit[] both persons and animals, when labouring under contagious diseases, from entering their territory. They may pass any sanitary laws deemed necessary for this purpose, and enforce them by appropriate regulations. It is upon this reserved right of self</w:t>
      </w:r>
      <w:r w:rsidRPr="002F0E54">
        <w:rPr>
          <w:rFonts w:ascii="Times New Roman" w:hAnsi="Times New Roman"/>
        </w:rPr>
        <w:noBreakHyphen/>
        <w:t>protection that quarantines are permitted to interfere with the freedom of commerce and of human intercourse."</w:t>
      </w:r>
    </w:p>
    <w:p w14:paraId="5AB327A7" w14:textId="77777777" w:rsidR="002D2334" w:rsidRPr="002F0E54" w:rsidRDefault="002D2334" w:rsidP="002F0E54">
      <w:pPr>
        <w:pStyle w:val="NormalBody"/>
        <w:spacing w:after="260" w:line="280" w:lineRule="exact"/>
        <w:ind w:right="0"/>
        <w:jc w:val="both"/>
        <w:rPr>
          <w:rFonts w:ascii="Times New Roman" w:hAnsi="Times New Roman"/>
        </w:rPr>
      </w:pPr>
      <w:r w:rsidRPr="002F0E54">
        <w:rPr>
          <w:rFonts w:ascii="Times New Roman" w:hAnsi="Times New Roman"/>
        </w:rPr>
        <w:t>That view has been reflected in decisions of this Court, as well as the Privy Council, holding that s 92 will likely not be infringed by a law which has the object of protecting the citizens of a State from disease or some other threat to health. For</w:t>
      </w:r>
      <w:r>
        <w:rPr>
          <w:rFonts w:ascii="Times New Roman" w:hAnsi="Times New Roman"/>
        </w:rPr>
        <w:t> </w:t>
      </w:r>
      <w:r w:rsidRPr="002F0E54">
        <w:rPr>
          <w:rFonts w:ascii="Times New Roman" w:hAnsi="Times New Roman"/>
        </w:rPr>
        <w:t xml:space="preserve">example, as Brennan J observed in </w:t>
      </w:r>
      <w:r w:rsidRPr="002F0E54">
        <w:rPr>
          <w:rFonts w:ascii="Times New Roman" w:hAnsi="Times New Roman"/>
          <w:i/>
        </w:rPr>
        <w:t>Nationwide News</w:t>
      </w:r>
      <w:r w:rsidRPr="002F0E54">
        <w:rPr>
          <w:rFonts w:ascii="Times New Roman" w:hAnsi="Times New Roman"/>
        </w:rPr>
        <w:t>, "permissible regulation ... might take the form 'of excluding from passage across the frontier of a State creatures or things calculated to injure its citizens'"</w:t>
      </w:r>
      <w:r w:rsidRPr="002F0E54">
        <w:rPr>
          <w:rStyle w:val="FootnoteReference"/>
          <w:rFonts w:ascii="Times New Roman" w:hAnsi="Times New Roman"/>
          <w:sz w:val="24"/>
        </w:rPr>
        <w:footnoteReference w:id="332"/>
      </w:r>
      <w:r w:rsidRPr="002F0E54">
        <w:rPr>
          <w:rFonts w:ascii="Times New Roman" w:hAnsi="Times New Roman"/>
        </w:rPr>
        <w:t xml:space="preserve">. </w:t>
      </w:r>
    </w:p>
    <w:p w14:paraId="26051194"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 xml:space="preserve">On their proper construction, ss 56 and 67 of the Act, in their application to an emergency constituted by the occurrence of a hazard in the nature of an epidemic, comply with the constitutional limitation of s 92 of the </w:t>
      </w:r>
      <w:r w:rsidRPr="002F0E54">
        <w:rPr>
          <w:rFonts w:ascii="Times New Roman" w:hAnsi="Times New Roman"/>
          <w:i/>
        </w:rPr>
        <w:t>Constitution</w:t>
      </w:r>
      <w:r w:rsidRPr="002F0E54">
        <w:rPr>
          <w:rFonts w:ascii="Times New Roman" w:hAnsi="Times New Roman"/>
        </w:rPr>
        <w:t xml:space="preserve"> in each of its limbs. They do not impose an unjustified differential burden on interstate trade, commerce or intercourse in favour of intrastate trade, commerce</w:t>
      </w:r>
      <w:r>
        <w:rPr>
          <w:rFonts w:ascii="Times New Roman" w:hAnsi="Times New Roman"/>
        </w:rPr>
        <w:t> </w:t>
      </w:r>
      <w:r w:rsidRPr="002F0E54">
        <w:rPr>
          <w:rFonts w:ascii="Times New Roman" w:hAnsi="Times New Roman"/>
        </w:rPr>
        <w:t>or intercourse. They are not discriminatory.</w:t>
      </w:r>
    </w:p>
    <w:p w14:paraId="2B80216D"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It was open for the plaintiffs, when the Minister issued the state of emergency declaration and every 14 days when it was renewed, and when the State Emergency Coordinator issued the Directions and each time the Directions were amended, to challenge one or more of the exercises of those statutory powers on the grounds that the relevant actions were beyond power. No such challenge was ever made.</w:t>
      </w:r>
    </w:p>
    <w:p w14:paraId="6D8F1116" w14:textId="77777777" w:rsidR="002D2334" w:rsidRPr="002F0E54" w:rsidRDefault="002D2334" w:rsidP="002D2334">
      <w:pPr>
        <w:pStyle w:val="FixListStyle"/>
        <w:numPr>
          <w:ilvl w:val="0"/>
          <w:numId w:val="18"/>
        </w:numPr>
        <w:spacing w:after="260" w:line="280" w:lineRule="exact"/>
        <w:ind w:left="0" w:right="0" w:hanging="720"/>
        <w:jc w:val="both"/>
        <w:rPr>
          <w:rFonts w:ascii="Times New Roman" w:hAnsi="Times New Roman"/>
        </w:rPr>
      </w:pPr>
      <w:r w:rsidRPr="002F0E54">
        <w:rPr>
          <w:rFonts w:ascii="Times New Roman" w:hAnsi="Times New Roman"/>
        </w:rPr>
        <w:tab/>
        <w:t>For these reasons I agreed with the orders that were made on 6 November 2020.</w:t>
      </w:r>
    </w:p>
    <w:p w14:paraId="7116B3DA" w14:textId="77777777" w:rsidR="002D2334" w:rsidRDefault="002D2334" w:rsidP="00A04489">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jc w:val="both"/>
        <w:rPr>
          <w:rFonts w:ascii="Times New Roman" w:hAnsi="Times New Roman"/>
        </w:rPr>
      </w:pPr>
    </w:p>
    <w:p w14:paraId="582C318C" w14:textId="77777777" w:rsidR="002D2334" w:rsidRDefault="002D2334" w:rsidP="00A04489">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jc w:val="both"/>
        <w:rPr>
          <w:rFonts w:ascii="Times New Roman" w:hAnsi="Times New Roman"/>
        </w:rPr>
        <w:sectPr w:rsidR="002D2334" w:rsidSect="002D2334">
          <w:headerReference w:type="even" r:id="rId18"/>
          <w:headerReference w:type="default" r:id="rId19"/>
          <w:headerReference w:type="first" r:id="rId20"/>
          <w:pgSz w:w="11907" w:h="16839" w:code="9"/>
          <w:pgMar w:top="1440" w:right="1701" w:bottom="1984" w:left="1701" w:header="720" w:footer="720" w:gutter="0"/>
          <w:cols w:space="720"/>
          <w:docGrid w:linePitch="354"/>
        </w:sectPr>
      </w:pPr>
    </w:p>
    <w:p w14:paraId="6667E744" w14:textId="77777777" w:rsidR="002D2334" w:rsidRPr="005C3622" w:rsidRDefault="002D2334" w:rsidP="005C3622">
      <w:pPr>
        <w:pStyle w:val="NormalBody"/>
        <w:tabs>
          <w:tab w:val="clear" w:pos="720"/>
          <w:tab w:val="left" w:pos="0"/>
        </w:tabs>
        <w:spacing w:after="260" w:line="280" w:lineRule="exact"/>
        <w:ind w:right="0"/>
        <w:jc w:val="both"/>
        <w:rPr>
          <w:rFonts w:ascii="Times New Roman" w:hAnsi="Times New Roman"/>
        </w:rPr>
      </w:pPr>
      <w:r w:rsidRPr="005C3622">
        <w:rPr>
          <w:rFonts w:ascii="Times New Roman" w:hAnsi="Times New Roman"/>
        </w:rPr>
        <w:t xml:space="preserve">EDELMAN J.   </w:t>
      </w:r>
    </w:p>
    <w:p w14:paraId="3B2012D7" w14:textId="77777777" w:rsidR="002D2334" w:rsidRPr="005C3622" w:rsidRDefault="002D2334" w:rsidP="005C3622">
      <w:pPr>
        <w:pStyle w:val="HeadingL1"/>
        <w:spacing w:after="260" w:line="280" w:lineRule="exact"/>
        <w:ind w:right="0"/>
        <w:jc w:val="both"/>
        <w:rPr>
          <w:rFonts w:ascii="Times New Roman" w:hAnsi="Times New Roman"/>
        </w:rPr>
      </w:pPr>
      <w:r w:rsidRPr="005C3622">
        <w:rPr>
          <w:rFonts w:ascii="Times New Roman" w:hAnsi="Times New Roman"/>
        </w:rPr>
        <w:t>Introduction</w:t>
      </w:r>
    </w:p>
    <w:p w14:paraId="587F949A"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 xml:space="preserve">The central question in the special case in the original jurisdiction of this Court concerns the challenge by the plaintiffs, Mr Palmer and a privately held company under his direct and personal executive management, to the validity of the </w:t>
      </w:r>
      <w:r w:rsidRPr="005C3622">
        <w:rPr>
          <w:rFonts w:ascii="Times New Roman" w:hAnsi="Times New Roman"/>
          <w:i/>
          <w:iCs/>
        </w:rPr>
        <w:t xml:space="preserve">Quarantine (Closing the Border) Directions </w:t>
      </w:r>
      <w:r w:rsidRPr="005C3622">
        <w:rPr>
          <w:rFonts w:ascii="Times New Roman" w:hAnsi="Times New Roman"/>
          <w:iCs/>
        </w:rPr>
        <w:t>(WA)</w:t>
      </w:r>
      <w:r w:rsidRPr="005C3622">
        <w:rPr>
          <w:rFonts w:ascii="Times New Roman" w:hAnsi="Times New Roman"/>
        </w:rPr>
        <w:t>. Those directions were</w:t>
      </w:r>
      <w:r w:rsidRPr="005C3622">
        <w:rPr>
          <w:rFonts w:ascii="Times New Roman" w:hAnsi="Times New Roman"/>
          <w:i/>
          <w:iCs/>
        </w:rPr>
        <w:t xml:space="preserve"> </w:t>
      </w:r>
      <w:r w:rsidRPr="005C3622">
        <w:rPr>
          <w:rFonts w:ascii="Times New Roman" w:hAnsi="Times New Roman"/>
        </w:rPr>
        <w:t xml:space="preserve">made under the </w:t>
      </w:r>
      <w:r w:rsidRPr="005C3622">
        <w:rPr>
          <w:rFonts w:ascii="Times New Roman" w:hAnsi="Times New Roman"/>
          <w:i/>
          <w:iCs/>
        </w:rPr>
        <w:t>Emergency Management Act 2005 </w:t>
      </w:r>
      <w:r w:rsidRPr="005C3622">
        <w:rPr>
          <w:rFonts w:ascii="Times New Roman" w:hAnsi="Times New Roman"/>
        </w:rPr>
        <w:t xml:space="preserve">(WA) for the purpose of responding to the COVID-19 pandemic. The essence of the plaintiffs' case is that the </w:t>
      </w:r>
      <w:r w:rsidRPr="005C3622">
        <w:rPr>
          <w:rFonts w:ascii="Times New Roman" w:hAnsi="Times New Roman"/>
          <w:i/>
          <w:iCs/>
        </w:rPr>
        <w:t xml:space="preserve">Quarantine (Closing the Border) Directions </w:t>
      </w:r>
      <w:r w:rsidRPr="005C3622">
        <w:rPr>
          <w:rFonts w:ascii="Times New Roman" w:hAnsi="Times New Roman"/>
        </w:rPr>
        <w:t xml:space="preserve">are invalid by operation of s 92 of the </w:t>
      </w:r>
      <w:r w:rsidRPr="005C3622">
        <w:rPr>
          <w:rFonts w:ascii="Times New Roman" w:hAnsi="Times New Roman"/>
          <w:i/>
          <w:iCs/>
        </w:rPr>
        <w:t xml:space="preserve">Constitution </w:t>
      </w:r>
      <w:r w:rsidRPr="005C3622">
        <w:rPr>
          <w:rFonts w:ascii="Times New Roman" w:hAnsi="Times New Roman"/>
        </w:rPr>
        <w:t>because they involve an impermissible derogation from one or both aspects of the guarantee in that provision, those aspects being freedom of trade and commerce and freedom of intercourse.</w:t>
      </w:r>
    </w:p>
    <w:p w14:paraId="3174B143"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 xml:space="preserve">The relevant and operative part of s 92 of the </w:t>
      </w:r>
      <w:r w:rsidRPr="005C3622">
        <w:rPr>
          <w:rFonts w:ascii="Times New Roman" w:hAnsi="Times New Roman"/>
          <w:i/>
          <w:iCs/>
        </w:rPr>
        <w:t xml:space="preserve">Constitution </w:t>
      </w:r>
      <w:r w:rsidRPr="005C3622">
        <w:rPr>
          <w:rFonts w:ascii="Times New Roman" w:hAnsi="Times New Roman"/>
        </w:rPr>
        <w:t xml:space="preserve">provides that "[o]n the imposition of uniform duties of customs, trade, commerce, and intercourse among the States, whether by means of internal carriage or ocean navigation, shall be absolutely free". For more than a century, the meaning and effect of this provision has been disputed. Much of this dispute was resolved in </w:t>
      </w:r>
      <w:r w:rsidRPr="005C3622">
        <w:rPr>
          <w:rFonts w:ascii="Times New Roman" w:eastAsia="GungsuhChe" w:hAnsi="Times New Roman"/>
          <w:i/>
          <w:iCs/>
          <w:lang w:eastAsia="en-US"/>
        </w:rPr>
        <w:t>Cole v Whitfield</w:t>
      </w:r>
      <w:r w:rsidRPr="005C3622">
        <w:rPr>
          <w:rStyle w:val="FootnoteReference"/>
          <w:rFonts w:ascii="Times New Roman" w:eastAsia="GungsuhChe" w:hAnsi="Times New Roman"/>
          <w:sz w:val="24"/>
          <w:lang w:eastAsia="en-US"/>
        </w:rPr>
        <w:footnoteReference w:id="333"/>
      </w:r>
      <w:r w:rsidRPr="005C3622">
        <w:rPr>
          <w:rFonts w:ascii="Times New Roman" w:eastAsia="GungsuhChe" w:hAnsi="Times New Roman"/>
          <w:iCs/>
          <w:lang w:eastAsia="en-US"/>
        </w:rPr>
        <w:t>,</w:t>
      </w:r>
      <w:r w:rsidRPr="005C3622">
        <w:rPr>
          <w:rFonts w:ascii="Times New Roman" w:eastAsia="GungsuhChe" w:hAnsi="Times New Roman"/>
          <w:i/>
          <w:iCs/>
          <w:lang w:eastAsia="en-US"/>
        </w:rPr>
        <w:t xml:space="preserve"> </w:t>
      </w:r>
      <w:r w:rsidRPr="005C3622">
        <w:rPr>
          <w:rFonts w:ascii="Times New Roman" w:eastAsia="GungsuhChe" w:hAnsi="Times New Roman"/>
          <w:lang w:eastAsia="en-US"/>
        </w:rPr>
        <w:t xml:space="preserve">where this Court held that the "trade [and] commerce ... among the States" aspect of s 92 was to be absolutely free from unjustified discrimination of a protectionist nature by Commonwealth or State legislation. </w:t>
      </w:r>
    </w:p>
    <w:p w14:paraId="64C11E98"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eastAsia="GungsuhChe" w:hAnsi="Times New Roman"/>
          <w:lang w:eastAsia="en-US"/>
        </w:rPr>
        <w:tab/>
        <w:t xml:space="preserve">There were three strands to the reasoning in </w:t>
      </w:r>
      <w:r w:rsidRPr="005C3622">
        <w:rPr>
          <w:rFonts w:ascii="Times New Roman" w:eastAsia="GungsuhChe" w:hAnsi="Times New Roman"/>
          <w:i/>
          <w:iCs/>
          <w:lang w:eastAsia="en-US"/>
        </w:rPr>
        <w:t xml:space="preserve">Cole v Whitfield </w:t>
      </w:r>
      <w:r w:rsidRPr="005C3622">
        <w:rPr>
          <w:rFonts w:ascii="Times New Roman" w:eastAsia="GungsuhChe" w:hAnsi="Times New Roman"/>
          <w:lang w:eastAsia="en-US"/>
        </w:rPr>
        <w:t xml:space="preserve">which were not the subject of submissions in that case, which were not necessary for the decision, and which are not yet fully resolved. The first strand is the reasoning of the Court which treated the intercourse aspect of s 92, the movement across State borders generally by dealings or communications between people, as extending beyond freedom from laws that discriminate between the States in their treatment of that intercourse. It should not have been so extended. </w:t>
      </w:r>
    </w:p>
    <w:p w14:paraId="5FBFA374"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eastAsia="GungsuhChe" w:hAnsi="Times New Roman"/>
          <w:lang w:eastAsia="en-US"/>
        </w:rPr>
        <w:tab/>
        <w:t xml:space="preserve">The second strand is the assumption of the Court that the discrimination with which the trade and commerce aspect is concerned is limited to protectionism, the most prolific form of discrimination among States in trade and commerce. Although it is not necessary to decide this point finally in this case, the proscribed discrimination should not have been so limited. </w:t>
      </w:r>
    </w:p>
    <w:p w14:paraId="55EE8B1B"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eastAsia="GungsuhChe" w:hAnsi="Times New Roman"/>
          <w:lang w:eastAsia="en-US"/>
        </w:rPr>
        <w:tab/>
        <w:t xml:space="preserve">The third strand, which was developed in </w:t>
      </w:r>
      <w:r w:rsidRPr="005C3622">
        <w:rPr>
          <w:rFonts w:ascii="Times New Roman" w:hAnsi="Times New Roman"/>
          <w:i/>
          <w:iCs/>
        </w:rPr>
        <w:t>Betfair Pty Ltd v Western Australia</w:t>
      </w:r>
      <w:r w:rsidRPr="005C3622">
        <w:rPr>
          <w:rStyle w:val="FootnoteReference"/>
          <w:rFonts w:ascii="Times New Roman" w:eastAsia="GungsuhChe" w:hAnsi="Times New Roman"/>
          <w:sz w:val="24"/>
          <w:lang w:eastAsia="en-US"/>
        </w:rPr>
        <w:footnoteReference w:id="334"/>
      </w:r>
      <w:r w:rsidRPr="005C3622">
        <w:rPr>
          <w:rFonts w:ascii="Times New Roman" w:eastAsia="GungsuhChe" w:hAnsi="Times New Roman"/>
          <w:iCs/>
          <w:lang w:eastAsia="en-US"/>
        </w:rPr>
        <w:t>,</w:t>
      </w:r>
      <w:r w:rsidRPr="005C3622">
        <w:rPr>
          <w:rFonts w:ascii="Times New Roman" w:eastAsia="GungsuhChe" w:hAnsi="Times New Roman"/>
          <w:lang w:eastAsia="en-US"/>
        </w:rPr>
        <w:t xml:space="preserve"> is how discrimination among the States can be justified. Legislation will discriminate when its purpose or effect is to burden trade, commerce, or intercourse in one State more than another. To avoid offending the guarantee in s 92, that burden must be justified by a transparent analysis of structured proportionality. </w:t>
      </w:r>
    </w:p>
    <w:p w14:paraId="3B5B6F37"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eastAsia="GungsuhChe" w:hAnsi="Times New Roman"/>
          <w:lang w:eastAsia="en-US"/>
        </w:rPr>
        <w:tab/>
        <w:t xml:space="preserve">Bringing these strands together, each aspect of s 92 should be aligned so that the provision is understood as a single freedom from unjustified discrimination concerning trade, commerce, or intercourse in Commonwealth or State legislation, with justification to be assessed in a transparent way. </w:t>
      </w:r>
    </w:p>
    <w:p w14:paraId="3DC653BE"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A preliminary question arises in this case. That question concerns the subject of the challenge to validity. As in many constitutional cases in the past, the central focus of the plaintiffs' challenge to validity was an instrument, which is a particular application of primary legislation, rather than the primary legislation itself. The instrument is</w:t>
      </w:r>
      <w:r w:rsidRPr="005C3622" w:rsidDel="004601E1">
        <w:rPr>
          <w:rFonts w:ascii="Times New Roman" w:hAnsi="Times New Roman"/>
        </w:rPr>
        <w:t xml:space="preserve"> </w:t>
      </w:r>
      <w:r w:rsidRPr="005C3622">
        <w:rPr>
          <w:rFonts w:ascii="Times New Roman" w:hAnsi="Times New Roman"/>
        </w:rPr>
        <w:t xml:space="preserve">the </w:t>
      </w:r>
      <w:r w:rsidRPr="005C3622">
        <w:rPr>
          <w:rFonts w:ascii="Times New Roman" w:hAnsi="Times New Roman"/>
          <w:i/>
          <w:iCs/>
        </w:rPr>
        <w:t>Quarantine (Closing the Border) Directions</w:t>
      </w:r>
      <w:r w:rsidRPr="005C3622">
        <w:rPr>
          <w:rFonts w:ascii="Times New Roman" w:hAnsi="Times New Roman"/>
          <w:iCs/>
        </w:rPr>
        <w:t xml:space="preserve"> </w:t>
      </w:r>
      <w:r w:rsidRPr="005C3622">
        <w:rPr>
          <w:rFonts w:ascii="Times New Roman" w:hAnsi="Times New Roman"/>
        </w:rPr>
        <w:t xml:space="preserve">made under the </w:t>
      </w:r>
      <w:r w:rsidRPr="005C3622">
        <w:rPr>
          <w:rFonts w:ascii="Times New Roman" w:hAnsi="Times New Roman"/>
          <w:i/>
          <w:iCs/>
        </w:rPr>
        <w:t>Emergency Management Act</w:t>
      </w:r>
      <w:r w:rsidRPr="005C3622">
        <w:rPr>
          <w:rFonts w:ascii="Times New Roman" w:hAnsi="Times New Roman"/>
        </w:rPr>
        <w:t xml:space="preserve">. The validity of that primary legislation, as the source of authority for the </w:t>
      </w:r>
      <w:r w:rsidRPr="005C3622">
        <w:rPr>
          <w:rFonts w:ascii="Times New Roman" w:hAnsi="Times New Roman"/>
          <w:i/>
        </w:rPr>
        <w:t>Quarantine (Closing the Border) Directions</w:t>
      </w:r>
      <w:r w:rsidRPr="005C3622">
        <w:rPr>
          <w:rFonts w:ascii="Times New Roman" w:hAnsi="Times New Roman"/>
        </w:rPr>
        <w:t>, must be the starting point for the assessment of the validity of the directions as an exercise or application of that authority. Where the relevant provisions of the primary legislation are open</w:t>
      </w:r>
      <w:r w:rsidRPr="005C3622">
        <w:rPr>
          <w:rFonts w:ascii="Times New Roman" w:hAnsi="Times New Roman"/>
        </w:rPr>
        <w:noBreakHyphen/>
        <w:t>textured and can be disapplied from any invalid application then it will rarely be appropriate for a court to speculate upon whether the provisions are valid in all their applications, including hypothetical circumstances that are not before the court. It will usually be necessary to consider the validity of the provisions in relation to particular applications before the court or, slightly more generally, to applications of the general kind of those before the court.</w:t>
      </w:r>
    </w:p>
    <w:p w14:paraId="7C8773CA"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 xml:space="preserve">Sections 56 and 67 of the </w:t>
      </w:r>
      <w:r w:rsidRPr="005C3622">
        <w:rPr>
          <w:rFonts w:ascii="Times New Roman" w:hAnsi="Times New Roman"/>
          <w:i/>
        </w:rPr>
        <w:t>Emergency Management Act</w:t>
      </w:r>
      <w:r w:rsidRPr="005C3622">
        <w:rPr>
          <w:rFonts w:ascii="Times New Roman" w:hAnsi="Times New Roman"/>
        </w:rPr>
        <w:t xml:space="preserve">, in combination, are the sources of authority for the </w:t>
      </w:r>
      <w:r w:rsidRPr="005C3622">
        <w:rPr>
          <w:rFonts w:ascii="Times New Roman" w:hAnsi="Times New Roman"/>
          <w:i/>
          <w:iCs/>
        </w:rPr>
        <w:t>Quarantine (Closing the Border) Directions</w:t>
      </w:r>
      <w:r w:rsidRPr="005C3622">
        <w:rPr>
          <w:rFonts w:ascii="Times New Roman" w:hAnsi="Times New Roman"/>
        </w:rPr>
        <w:t>. Sections 56 and 67 are open</w:t>
      </w:r>
      <w:r w:rsidRPr="005C3622">
        <w:rPr>
          <w:rFonts w:ascii="Times New Roman" w:hAnsi="Times New Roman"/>
        </w:rPr>
        <w:noBreakHyphen/>
        <w:t>textured provisions which can be disapplied from any application which would be invalid</w:t>
      </w:r>
      <w:r w:rsidRPr="005C3622">
        <w:rPr>
          <w:rStyle w:val="FootnoteReference"/>
          <w:rFonts w:ascii="Times New Roman" w:hAnsi="Times New Roman"/>
          <w:sz w:val="24"/>
        </w:rPr>
        <w:footnoteReference w:id="335"/>
      </w:r>
      <w:r w:rsidRPr="005C3622">
        <w:rPr>
          <w:rFonts w:ascii="Times New Roman" w:hAnsi="Times New Roman"/>
        </w:rPr>
        <w:t xml:space="preserve">. The answer given by this Court on 6 November 2020 to the central question in the special case was that ss 56 and 67 are valid in their application to circumstances that encompass a general type of direction which includes the </w:t>
      </w:r>
      <w:r w:rsidRPr="005C3622">
        <w:rPr>
          <w:rFonts w:ascii="Times New Roman" w:hAnsi="Times New Roman"/>
          <w:i/>
          <w:iCs/>
        </w:rPr>
        <w:t>Quarantine (Closing the Border) Directions</w:t>
      </w:r>
      <w:r w:rsidRPr="005C3622">
        <w:rPr>
          <w:rFonts w:ascii="Times New Roman" w:hAnsi="Times New Roman"/>
        </w:rPr>
        <w:t xml:space="preserve">. For the reasons below, I join in the orders made by the Court. </w:t>
      </w:r>
    </w:p>
    <w:p w14:paraId="73720F6E" w14:textId="77777777" w:rsidR="002D2334" w:rsidRPr="005C3622" w:rsidRDefault="002D2334" w:rsidP="005C3622">
      <w:pPr>
        <w:pStyle w:val="HeadingL1"/>
        <w:spacing w:after="260" w:line="280" w:lineRule="exact"/>
        <w:ind w:right="0"/>
        <w:jc w:val="both"/>
        <w:rPr>
          <w:rFonts w:ascii="Times New Roman" w:hAnsi="Times New Roman"/>
          <w:i/>
          <w:iCs/>
        </w:rPr>
      </w:pPr>
      <w:r w:rsidRPr="005C3622">
        <w:rPr>
          <w:rFonts w:ascii="Times New Roman" w:hAnsi="Times New Roman"/>
        </w:rPr>
        <w:t xml:space="preserve">Sections 56 and 67 of the </w:t>
      </w:r>
      <w:r w:rsidRPr="005C3622">
        <w:rPr>
          <w:rFonts w:ascii="Times New Roman" w:hAnsi="Times New Roman"/>
          <w:i/>
          <w:iCs/>
        </w:rPr>
        <w:t>Emergency Management Act</w:t>
      </w:r>
    </w:p>
    <w:p w14:paraId="79C6E352"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Section 56 empowers the Minister for Emergency Services, as the responsible Minister</w:t>
      </w:r>
      <w:r w:rsidRPr="005C3622">
        <w:rPr>
          <w:rStyle w:val="FootnoteReference"/>
          <w:rFonts w:ascii="Times New Roman" w:hAnsi="Times New Roman"/>
          <w:sz w:val="24"/>
        </w:rPr>
        <w:footnoteReference w:id="336"/>
      </w:r>
      <w:r w:rsidRPr="005C3622">
        <w:rPr>
          <w:rFonts w:ascii="Times New Roman" w:hAnsi="Times New Roman"/>
        </w:rPr>
        <w:t>, to declare that a state of emergency exists over the whole or any part of the area of Western Australia. One condition for the making of that declaration is that the Minister is satisfied that extraordinary measures are required to prevent or minimise, among other things, loss of people's lives or harm to their health. A state of emergency declaration gives rise to powers under s 67 which can be exercised during the period the declaration remains in force. A state of emergency declaration remains in force initially for three days</w:t>
      </w:r>
      <w:r w:rsidRPr="005C3622">
        <w:rPr>
          <w:rStyle w:val="FootnoteReference"/>
          <w:rFonts w:ascii="Times New Roman" w:hAnsi="Times New Roman"/>
          <w:sz w:val="24"/>
        </w:rPr>
        <w:footnoteReference w:id="337"/>
      </w:r>
      <w:r w:rsidRPr="005C3622">
        <w:rPr>
          <w:rFonts w:ascii="Times New Roman" w:hAnsi="Times New Roman"/>
        </w:rPr>
        <w:t>, but can be extended, or further extended, by periods that do not exceed 14 days</w:t>
      </w:r>
      <w:r w:rsidRPr="005C3622">
        <w:rPr>
          <w:rStyle w:val="FootnoteReference"/>
          <w:rFonts w:ascii="Times New Roman" w:hAnsi="Times New Roman"/>
          <w:sz w:val="24"/>
        </w:rPr>
        <w:footnoteReference w:id="338"/>
      </w:r>
      <w:r w:rsidRPr="005C3622">
        <w:rPr>
          <w:rFonts w:ascii="Times New Roman" w:hAnsi="Times New Roman"/>
        </w:rPr>
        <w:t xml:space="preserve">. By itself, s 56 has no effect, and imposes no burden, upon freedom of interstate trade, commerce, and intercourse. </w:t>
      </w:r>
    </w:p>
    <w:p w14:paraId="5E0BC470"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Section 67, which depends for its operation on s 56, has the potential to impose a burden upon freedom of interstate trade, commerce, and intercourse. It provides, among other things, that for the purposes of emergency management, during a state of emergency, an authorised officer may prohibit the movement of persons into or out of the "emergency area"</w:t>
      </w:r>
      <w:r w:rsidRPr="005C3622">
        <w:rPr>
          <w:rStyle w:val="FootnoteReference"/>
          <w:rFonts w:ascii="Times New Roman" w:hAnsi="Times New Roman"/>
          <w:sz w:val="24"/>
        </w:rPr>
        <w:footnoteReference w:id="339"/>
      </w:r>
      <w:r w:rsidRPr="005C3622">
        <w:rPr>
          <w:rFonts w:ascii="Times New Roman" w:hAnsi="Times New Roman"/>
        </w:rPr>
        <w:t xml:space="preserve">. In that sphere of its application it allows for possible restrictions on entry to the State of Western Australia, such as those contained in the </w:t>
      </w:r>
      <w:r w:rsidRPr="005C3622">
        <w:rPr>
          <w:rFonts w:ascii="Times New Roman" w:hAnsi="Times New Roman"/>
          <w:i/>
          <w:iCs/>
        </w:rPr>
        <w:t>Quarantine (Closing the Border) Directions</w:t>
      </w:r>
      <w:r w:rsidRPr="005C3622">
        <w:rPr>
          <w:rFonts w:ascii="Times New Roman" w:hAnsi="Times New Roman"/>
        </w:rPr>
        <w:t xml:space="preserve">. Restrictions on entry of this nature have the effect of burdening the freedom of interstate trade, commerce, and intercourse by discrimination. A person resident outside Western Australia, unlike a person resident within Western Australia, could be subject to restrictions or exclusions on conducting in-person trade and commerce in Western Australia, or on engaging in in-person dealings or communications generally in Western Australia. </w:t>
      </w:r>
    </w:p>
    <w:p w14:paraId="047BDC13" w14:textId="77777777" w:rsidR="002D2334" w:rsidRPr="005C3622" w:rsidRDefault="002D2334" w:rsidP="005C3622">
      <w:pPr>
        <w:pStyle w:val="HeadingL1"/>
        <w:spacing w:after="260" w:line="280" w:lineRule="exact"/>
        <w:ind w:right="0"/>
        <w:jc w:val="both"/>
        <w:rPr>
          <w:rFonts w:ascii="Times New Roman" w:hAnsi="Times New Roman"/>
          <w:i/>
          <w:iCs/>
        </w:rPr>
      </w:pPr>
      <w:r w:rsidRPr="005C3622">
        <w:rPr>
          <w:rFonts w:ascii="Times New Roman" w:hAnsi="Times New Roman"/>
        </w:rPr>
        <w:t xml:space="preserve">The level of application at which to assess validity of the </w:t>
      </w:r>
      <w:r w:rsidRPr="005C3622">
        <w:rPr>
          <w:rFonts w:ascii="Times New Roman" w:hAnsi="Times New Roman"/>
          <w:i/>
          <w:iCs/>
        </w:rPr>
        <w:t>Emergency Management Act</w:t>
      </w:r>
    </w:p>
    <w:p w14:paraId="1EB68126" w14:textId="77777777" w:rsidR="002D2334" w:rsidRPr="005C3622" w:rsidRDefault="002D2334" w:rsidP="005C3622">
      <w:pPr>
        <w:pStyle w:val="HeadingL2"/>
        <w:spacing w:after="260" w:line="280" w:lineRule="exact"/>
        <w:ind w:right="0"/>
        <w:jc w:val="both"/>
        <w:rPr>
          <w:rFonts w:ascii="Times New Roman" w:hAnsi="Times New Roman"/>
        </w:rPr>
      </w:pPr>
      <w:r w:rsidRPr="005C3622">
        <w:rPr>
          <w:rFonts w:ascii="Times New Roman" w:hAnsi="Times New Roman"/>
        </w:rPr>
        <w:t>The premises of the answer given by this Court</w:t>
      </w:r>
    </w:p>
    <w:p w14:paraId="5A8543C7"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 xml:space="preserve">Two days after the conclusion of the hearing of this special case, this Court answered the first question concerning the alleged invalidity of the </w:t>
      </w:r>
      <w:r w:rsidRPr="005C3622">
        <w:rPr>
          <w:rFonts w:ascii="Times New Roman" w:hAnsi="Times New Roman"/>
          <w:i/>
          <w:iCs/>
        </w:rPr>
        <w:t>Quarantine (Closing the Border) Directions</w:t>
      </w:r>
      <w:r w:rsidRPr="005C3622">
        <w:rPr>
          <w:rFonts w:ascii="Times New Roman" w:hAnsi="Times New Roman"/>
        </w:rPr>
        <w:t xml:space="preserve"> and the authorising </w:t>
      </w:r>
      <w:r w:rsidRPr="005C3622">
        <w:rPr>
          <w:rFonts w:ascii="Times New Roman" w:hAnsi="Times New Roman"/>
          <w:i/>
          <w:iCs/>
        </w:rPr>
        <w:t>Emergency Management Act</w:t>
      </w:r>
      <w:r w:rsidRPr="005C3622">
        <w:rPr>
          <w:rFonts w:ascii="Times New Roman" w:hAnsi="Times New Roman"/>
        </w:rPr>
        <w:t>, at least by majority, as follows:</w:t>
      </w:r>
    </w:p>
    <w:p w14:paraId="4586133E" w14:textId="77777777" w:rsidR="002D2334" w:rsidRPr="005C3622" w:rsidRDefault="002D2334" w:rsidP="005C3622">
      <w:pPr>
        <w:pStyle w:val="LeftrightafterHC"/>
        <w:spacing w:before="0" w:after="260" w:line="280" w:lineRule="exact"/>
        <w:ind w:right="0"/>
        <w:jc w:val="both"/>
        <w:rPr>
          <w:rFonts w:ascii="Times New Roman" w:hAnsi="Times New Roman"/>
        </w:rPr>
      </w:pPr>
      <w:r w:rsidRPr="005C3622">
        <w:rPr>
          <w:rFonts w:ascii="Times New Roman" w:hAnsi="Times New Roman"/>
        </w:rPr>
        <w:t xml:space="preserve">"On their proper construction, ss 56 and 67 of the </w:t>
      </w:r>
      <w:r w:rsidRPr="005C3622">
        <w:rPr>
          <w:rFonts w:ascii="Times New Roman" w:hAnsi="Times New Roman"/>
          <w:i/>
          <w:iCs/>
        </w:rPr>
        <w:t xml:space="preserve">Emergency Management Act 2005 </w:t>
      </w:r>
      <w:r w:rsidRPr="005C3622">
        <w:rPr>
          <w:rFonts w:ascii="Times New Roman" w:hAnsi="Times New Roman"/>
        </w:rPr>
        <w:t xml:space="preserve">(WA) in their application to an emergency constituted by the occurrence of a hazard in the nature of a plague or epidemic comply with the constitutional limitation of s 92 of the </w:t>
      </w:r>
      <w:r w:rsidRPr="005C3622">
        <w:rPr>
          <w:rFonts w:ascii="Times New Roman" w:hAnsi="Times New Roman"/>
          <w:i/>
          <w:iCs/>
        </w:rPr>
        <w:t xml:space="preserve">Constitution </w:t>
      </w:r>
      <w:r w:rsidRPr="005C3622">
        <w:rPr>
          <w:rFonts w:ascii="Times New Roman" w:hAnsi="Times New Roman"/>
        </w:rPr>
        <w:t xml:space="preserve">in each of its limbs. </w:t>
      </w:r>
    </w:p>
    <w:p w14:paraId="439D0538" w14:textId="77777777" w:rsidR="002D2334" w:rsidRPr="005C3622" w:rsidRDefault="002D2334" w:rsidP="005C3622">
      <w:pPr>
        <w:pStyle w:val="leftright"/>
        <w:spacing w:before="0" w:after="260" w:line="280" w:lineRule="exact"/>
        <w:ind w:right="0"/>
        <w:jc w:val="both"/>
        <w:rPr>
          <w:rFonts w:ascii="Times New Roman" w:hAnsi="Times New Roman"/>
        </w:rPr>
      </w:pPr>
      <w:r w:rsidRPr="005C3622">
        <w:rPr>
          <w:rFonts w:ascii="Times New Roman" w:hAnsi="Times New Roman"/>
        </w:rPr>
        <w:t xml:space="preserve">The exercise of the power given by those provisions to make paras 4 and 5 of the </w:t>
      </w:r>
      <w:r w:rsidRPr="005C3622">
        <w:rPr>
          <w:rFonts w:ascii="Times New Roman" w:hAnsi="Times New Roman"/>
          <w:i/>
          <w:iCs/>
        </w:rPr>
        <w:t xml:space="preserve">Quarantine (Closing the Border) Directions </w:t>
      </w:r>
      <w:r w:rsidRPr="005C3622">
        <w:rPr>
          <w:rFonts w:ascii="Times New Roman" w:hAnsi="Times New Roman"/>
        </w:rPr>
        <w:t xml:space="preserve">(WA) does not raise a constitutional question. </w:t>
      </w:r>
    </w:p>
    <w:p w14:paraId="79DE0B0F" w14:textId="77777777" w:rsidR="002D2334" w:rsidRDefault="002D2334" w:rsidP="005C3622">
      <w:pPr>
        <w:pStyle w:val="leftright"/>
        <w:spacing w:before="0" w:after="260" w:line="280" w:lineRule="exact"/>
        <w:ind w:right="0"/>
        <w:jc w:val="both"/>
        <w:rPr>
          <w:rFonts w:ascii="Times New Roman" w:hAnsi="Times New Roman"/>
        </w:rPr>
      </w:pPr>
      <w:r w:rsidRPr="005C3622">
        <w:rPr>
          <w:rFonts w:ascii="Times New Roman" w:hAnsi="Times New Roman"/>
        </w:rPr>
        <w:t xml:space="preserve">No issue is taken as to whether the </w:t>
      </w:r>
      <w:r w:rsidRPr="005C3622">
        <w:rPr>
          <w:rFonts w:ascii="Times New Roman" w:hAnsi="Times New Roman"/>
          <w:i/>
          <w:iCs/>
        </w:rPr>
        <w:t xml:space="preserve">Quarantine (Closing the Border) Directions </w:t>
      </w:r>
      <w:r w:rsidRPr="005C3622">
        <w:rPr>
          <w:rFonts w:ascii="Times New Roman" w:hAnsi="Times New Roman"/>
        </w:rPr>
        <w:t xml:space="preserve">(WA) were validly authorised by the statutory provisions so that no other question remains for determination by a court." </w:t>
      </w:r>
    </w:p>
    <w:p w14:paraId="565B36DC"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There are two premises underlying the answer given by this Court. The first, as the State of Victoria correctly submitted, is that questions of constitutional validity should be determined at the level of an empowering statute</w:t>
      </w:r>
      <w:r w:rsidRPr="005C3622">
        <w:rPr>
          <w:rStyle w:val="FootnoteReference"/>
          <w:rFonts w:ascii="Times New Roman" w:hAnsi="Times New Roman"/>
          <w:sz w:val="24"/>
        </w:rPr>
        <w:footnoteReference w:id="340"/>
      </w:r>
      <w:r w:rsidRPr="005C3622">
        <w:rPr>
          <w:rFonts w:ascii="Times New Roman" w:hAnsi="Times New Roman"/>
        </w:rPr>
        <w:t>, leaving questions concerning the validity of actions taken under the statute, including regulations, directions and administrative action, to be resolved by reference to whether the valid statute empowers that action.</w:t>
      </w:r>
    </w:p>
    <w:p w14:paraId="04546BDE"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 xml:space="preserve">The need to adjudicate questions of validity at the level of an empowering statute arises irrespective of whether the action under the statute is administrative action or delegated legislation. Hence, contrary to the plaintiffs' submissions, an analysis of the validity of the action under the statute does not depend upon fine distinctions arising under s 41 of the </w:t>
      </w:r>
      <w:r w:rsidRPr="005C3622">
        <w:rPr>
          <w:rFonts w:ascii="Times New Roman" w:hAnsi="Times New Roman"/>
          <w:i/>
          <w:iCs/>
        </w:rPr>
        <w:t xml:space="preserve">Interpretation Act 1984 </w:t>
      </w:r>
      <w:r w:rsidRPr="005C3622">
        <w:rPr>
          <w:rFonts w:ascii="Times New Roman" w:hAnsi="Times New Roman"/>
        </w:rPr>
        <w:t>(WA) between "subsidiary legislation"</w:t>
      </w:r>
      <w:r w:rsidRPr="005C3622">
        <w:rPr>
          <w:rStyle w:val="FootnoteReference"/>
          <w:rFonts w:ascii="Times New Roman" w:hAnsi="Times New Roman"/>
          <w:sz w:val="24"/>
        </w:rPr>
        <w:footnoteReference w:id="341"/>
      </w:r>
      <w:r w:rsidRPr="005C3622">
        <w:rPr>
          <w:rFonts w:ascii="Times New Roman" w:hAnsi="Times New Roman"/>
        </w:rPr>
        <w:t xml:space="preserve"> and administrative action</w:t>
      </w:r>
      <w:r w:rsidRPr="005C3622">
        <w:rPr>
          <w:rStyle w:val="FootnoteReference"/>
          <w:rFonts w:ascii="Times New Roman" w:hAnsi="Times New Roman"/>
          <w:sz w:val="24"/>
        </w:rPr>
        <w:footnoteReference w:id="342"/>
      </w:r>
      <w:r w:rsidRPr="005C3622">
        <w:rPr>
          <w:rFonts w:ascii="Times New Roman" w:hAnsi="Times New Roman"/>
        </w:rPr>
        <w:t>. Just as the "first duty of any Court, in approaching a cause before it, is to consider its jurisdiction"</w:t>
      </w:r>
      <w:r w:rsidRPr="005C3622">
        <w:rPr>
          <w:rStyle w:val="FootnoteReference"/>
          <w:rFonts w:ascii="Times New Roman" w:hAnsi="Times New Roman"/>
          <w:sz w:val="24"/>
        </w:rPr>
        <w:footnoteReference w:id="343"/>
      </w:r>
      <w:r w:rsidRPr="005C3622">
        <w:rPr>
          <w:rFonts w:ascii="Times New Roman" w:hAnsi="Times New Roman"/>
        </w:rPr>
        <w:t xml:space="preserve">, the starting point in an assessment of the validity of any administrative action or delegated legislation is the source of authority for that administrative or legislative act. If the administrative or legislative act has a valid source of authority then the question is generally whether the act falls within that source or is ultra vires.  </w:t>
      </w:r>
    </w:p>
    <w:p w14:paraId="35BAE43D"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 xml:space="preserve">The second premise to the answer given by this Court is that it is not appropriate in this case to affirm the validity of the relevant statutory provisions in the </w:t>
      </w:r>
      <w:r w:rsidRPr="005C3622">
        <w:rPr>
          <w:rFonts w:ascii="Times New Roman" w:hAnsi="Times New Roman"/>
          <w:i/>
        </w:rPr>
        <w:t>Emergency Management Act</w:t>
      </w:r>
      <w:r w:rsidRPr="005C3622">
        <w:rPr>
          <w:rFonts w:ascii="Times New Roman" w:hAnsi="Times New Roman"/>
        </w:rPr>
        <w:t xml:space="preserve">, such as ss 56 and 67, in all of their applications. That is not to deny that in some cases affirming the validity of the relevant statutory provisions in all their applications will be appropriate. For instance, </w:t>
      </w:r>
      <w:r w:rsidRPr="005C3622">
        <w:rPr>
          <w:rFonts w:ascii="Times New Roman" w:eastAsia="GungsuhChe" w:hAnsi="Times New Roman"/>
        </w:rPr>
        <w:t xml:space="preserve">in </w:t>
      </w:r>
      <w:r w:rsidRPr="005C3622">
        <w:rPr>
          <w:rFonts w:ascii="Times New Roman" w:eastAsia="GungsuhChe" w:hAnsi="Times New Roman"/>
          <w:i/>
          <w:iCs/>
        </w:rPr>
        <w:t>Wotton v Queensland</w:t>
      </w:r>
      <w:r w:rsidRPr="005C3622">
        <w:rPr>
          <w:rStyle w:val="FootnoteReference"/>
          <w:rFonts w:ascii="Times New Roman" w:eastAsia="GungsuhChe" w:hAnsi="Times New Roman"/>
          <w:sz w:val="24"/>
        </w:rPr>
        <w:footnoteReference w:id="344"/>
      </w:r>
      <w:r w:rsidRPr="005C3622">
        <w:rPr>
          <w:rFonts w:ascii="Times New Roman" w:eastAsia="GungsuhChe" w:hAnsi="Times New Roman"/>
        </w:rPr>
        <w:t xml:space="preserve">, the State of Queensland successfully defended the validity of s 200(2) of the </w:t>
      </w:r>
      <w:r w:rsidRPr="005C3622">
        <w:rPr>
          <w:rFonts w:ascii="Times New Roman" w:eastAsia="GungsuhChe" w:hAnsi="Times New Roman"/>
          <w:i/>
          <w:iCs/>
        </w:rPr>
        <w:t xml:space="preserve">Corrective Services Act 2006 </w:t>
      </w:r>
      <w:r w:rsidRPr="005C3622">
        <w:rPr>
          <w:rFonts w:ascii="Times New Roman" w:eastAsia="GungsuhChe" w:hAnsi="Times New Roman"/>
        </w:rPr>
        <w:t>(Qld), which permitted the imposition of conditions upon parole that the parole board reasonably considered to be necessary, on the basis that the provision effectively incorporated the requirement for constitutional justification and was therefore valid in its entirety.</w:t>
      </w:r>
      <w:r w:rsidRPr="005C3622">
        <w:rPr>
          <w:rFonts w:ascii="Times New Roman" w:eastAsia="GungsuhChe" w:hAnsi="Times New Roman"/>
          <w:i/>
          <w:iCs/>
        </w:rPr>
        <w:t xml:space="preserve"> </w:t>
      </w:r>
      <w:r w:rsidRPr="005C3622">
        <w:rPr>
          <w:rFonts w:ascii="Times New Roman" w:eastAsia="GungsuhChe" w:hAnsi="Times New Roman"/>
        </w:rPr>
        <w:t xml:space="preserve">There was no need, in answering the constitutional question, to descend to the level </w:t>
      </w:r>
      <w:r w:rsidRPr="005C3622">
        <w:rPr>
          <w:rFonts w:ascii="Times New Roman" w:hAnsi="Times New Roman"/>
        </w:rPr>
        <w:t>of a particular application of the statute, namely the particular conditions imposed by the parole board</w:t>
      </w:r>
      <w:r w:rsidRPr="005C3622">
        <w:rPr>
          <w:rFonts w:ascii="Times New Roman" w:eastAsia="GungsuhChe" w:hAnsi="Times New Roman"/>
        </w:rPr>
        <w:t xml:space="preserve">. </w:t>
      </w:r>
    </w:p>
    <w:p w14:paraId="5DD2C1AA"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eastAsia="GungsuhChe" w:hAnsi="Times New Roman"/>
        </w:rPr>
        <w:tab/>
        <w:t xml:space="preserve">On the other hand, there are other circumstances, including those in this case, </w:t>
      </w:r>
      <w:r w:rsidRPr="005C3622">
        <w:rPr>
          <w:rFonts w:ascii="Times New Roman" w:hAnsi="Times New Roman"/>
        </w:rPr>
        <w:t>where it is not appropriate for the Court to assess the validity of statutory provisions in relation to all of their applications</w:t>
      </w:r>
      <w:r w:rsidRPr="005C3622">
        <w:rPr>
          <w:rFonts w:ascii="Times New Roman" w:eastAsia="GungsuhChe" w:hAnsi="Times New Roman"/>
        </w:rPr>
        <w:t xml:space="preserve">. </w:t>
      </w:r>
      <w:r w:rsidRPr="005C3622">
        <w:rPr>
          <w:rFonts w:ascii="Times New Roman" w:hAnsi="Times New Roman"/>
        </w:rPr>
        <w:t>In cases where statutory provisions are open-textured – where their interpretation requires them to be "applied distributively"</w:t>
      </w:r>
      <w:r w:rsidRPr="005C3622">
        <w:rPr>
          <w:rStyle w:val="FootnoteReference"/>
          <w:rFonts w:ascii="Times New Roman" w:hAnsi="Times New Roman"/>
          <w:sz w:val="24"/>
        </w:rPr>
        <w:footnoteReference w:id="345"/>
      </w:r>
      <w:r w:rsidRPr="005C3622">
        <w:rPr>
          <w:rFonts w:ascii="Times New Roman" w:hAnsi="Times New Roman"/>
        </w:rPr>
        <w:t xml:space="preserve"> to numerous different circumstances – and do not expressly incorporate sufficient limitations as to be facially compliant with the </w:t>
      </w:r>
      <w:r w:rsidRPr="005C3622">
        <w:rPr>
          <w:rFonts w:ascii="Times New Roman" w:hAnsi="Times New Roman"/>
          <w:i/>
        </w:rPr>
        <w:t>Constitution</w:t>
      </w:r>
      <w:r w:rsidRPr="005C3622">
        <w:rPr>
          <w:rStyle w:val="FootnoteReference"/>
          <w:rFonts w:ascii="Times New Roman" w:hAnsi="Times New Roman"/>
          <w:sz w:val="24"/>
        </w:rPr>
        <w:footnoteReference w:id="346"/>
      </w:r>
      <w:r w:rsidRPr="005C3622">
        <w:rPr>
          <w:rFonts w:ascii="Times New Roman" w:hAnsi="Times New Roman"/>
        </w:rPr>
        <w:t xml:space="preserve"> then the Court should rarely adjudicate upon the validity of all applications of the relevant statutory provision. It is enough to conclude that the provisions can be "disapplied"</w:t>
      </w:r>
      <w:r w:rsidRPr="005C3622">
        <w:rPr>
          <w:rStyle w:val="FootnoteReference"/>
          <w:rFonts w:ascii="Times New Roman" w:hAnsi="Times New Roman"/>
          <w:sz w:val="24"/>
        </w:rPr>
        <w:footnoteReference w:id="347"/>
      </w:r>
      <w:r w:rsidRPr="005C3622">
        <w:rPr>
          <w:rFonts w:ascii="Times New Roman" w:hAnsi="Times New Roman"/>
        </w:rPr>
        <w:t xml:space="preserve"> or, in unfortunate terminology better used in the interpretation of the meaning of words rather than in their application</w:t>
      </w:r>
      <w:r w:rsidRPr="005C3622">
        <w:rPr>
          <w:rStyle w:val="FootnoteReference"/>
          <w:rFonts w:ascii="Times New Roman" w:hAnsi="Times New Roman"/>
          <w:sz w:val="24"/>
        </w:rPr>
        <w:footnoteReference w:id="348"/>
      </w:r>
      <w:r w:rsidRPr="005C3622">
        <w:rPr>
          <w:rFonts w:ascii="Times New Roman" w:hAnsi="Times New Roman"/>
        </w:rPr>
        <w:t xml:space="preserve">, "read down" to exclude any hypothetical applications that might be constitutionally invalid. The Court can focus upon the application of the provision to the relevant facts before the Court or facts of that general kind. </w:t>
      </w:r>
    </w:p>
    <w:p w14:paraId="795C77DD"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 xml:space="preserve">Sections 56 and 67 of the </w:t>
      </w:r>
      <w:r w:rsidRPr="005C3622">
        <w:rPr>
          <w:rFonts w:ascii="Times New Roman" w:hAnsi="Times New Roman"/>
          <w:i/>
          <w:iCs/>
        </w:rPr>
        <w:t xml:space="preserve">Emergency Management Act </w:t>
      </w:r>
      <w:r w:rsidRPr="005C3622">
        <w:rPr>
          <w:rFonts w:ascii="Times New Roman" w:hAnsi="Times New Roman"/>
        </w:rPr>
        <w:t>are open-textured provisions which do not expressly ensure freedom from discrimination in trade, commerce, and intercourse. They are capable of being disapplied to the extent that any hypothetical application would lead to invalidity</w:t>
      </w:r>
      <w:r w:rsidRPr="005C3622">
        <w:rPr>
          <w:rStyle w:val="FootnoteReference"/>
          <w:rFonts w:ascii="Times New Roman" w:hAnsi="Times New Roman"/>
          <w:sz w:val="24"/>
        </w:rPr>
        <w:footnoteReference w:id="349"/>
      </w:r>
      <w:r w:rsidRPr="005C3622">
        <w:rPr>
          <w:rFonts w:ascii="Times New Roman" w:hAnsi="Times New Roman"/>
        </w:rPr>
        <w:t xml:space="preserve">. Contrary to the oral submissions of the State of Victoria, it is neither necessary nor appropriate for the Court to adjudicate upon the validity of every application of those provisions. The answer given by this Court does not do so.  </w:t>
      </w:r>
    </w:p>
    <w:p w14:paraId="6B6F42B5" w14:textId="77777777" w:rsidR="002D2334" w:rsidRPr="005C3622" w:rsidRDefault="002D2334" w:rsidP="005C3622">
      <w:pPr>
        <w:pStyle w:val="HeadingL2"/>
        <w:spacing w:after="260" w:line="280" w:lineRule="exact"/>
        <w:ind w:right="0"/>
        <w:jc w:val="both"/>
        <w:rPr>
          <w:rFonts w:ascii="Times New Roman" w:hAnsi="Times New Roman"/>
        </w:rPr>
      </w:pPr>
      <w:r w:rsidRPr="005C3622">
        <w:rPr>
          <w:rFonts w:ascii="Times New Roman" w:hAnsi="Times New Roman"/>
        </w:rPr>
        <w:t>The appropriate level of generality at which to assess validity</w:t>
      </w:r>
    </w:p>
    <w:p w14:paraId="265F0979"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 xml:space="preserve">The answer given by this Court to the first question in this special case concerned the validity of ss 56 and 67 of the </w:t>
      </w:r>
      <w:r w:rsidRPr="005C3622">
        <w:rPr>
          <w:rFonts w:ascii="Times New Roman" w:hAnsi="Times New Roman"/>
          <w:i/>
        </w:rPr>
        <w:t>Emergency Management Act</w:t>
      </w:r>
      <w:r w:rsidRPr="005C3622">
        <w:rPr>
          <w:rFonts w:ascii="Times New Roman" w:hAnsi="Times New Roman"/>
        </w:rPr>
        <w:t xml:space="preserve"> in their applications of a particular kind. The provisions were not divided into severable parts</w:t>
      </w:r>
      <w:r w:rsidRPr="005C3622">
        <w:rPr>
          <w:rStyle w:val="FootnoteReference"/>
          <w:rFonts w:ascii="Times New Roman" w:hAnsi="Times New Roman"/>
          <w:sz w:val="24"/>
        </w:rPr>
        <w:footnoteReference w:id="350"/>
      </w:r>
      <w:r w:rsidRPr="005C3622">
        <w:rPr>
          <w:rFonts w:ascii="Times New Roman" w:hAnsi="Times New Roman"/>
        </w:rPr>
        <w:t>. Instead the answer focused upon the provisions "in their application" as follows:</w:t>
      </w:r>
    </w:p>
    <w:p w14:paraId="26FB3A34" w14:textId="77777777" w:rsidR="002D2334" w:rsidRPr="005C3622" w:rsidRDefault="002D2334" w:rsidP="005C3622">
      <w:pPr>
        <w:pStyle w:val="NormalBody"/>
        <w:spacing w:after="260" w:line="280" w:lineRule="exact"/>
        <w:ind w:left="720" w:right="0" w:hanging="720"/>
        <w:jc w:val="both"/>
        <w:rPr>
          <w:rFonts w:ascii="Times New Roman" w:hAnsi="Times New Roman"/>
        </w:rPr>
      </w:pPr>
      <w:r w:rsidRPr="005C3622">
        <w:rPr>
          <w:rFonts w:ascii="Times New Roman" w:hAnsi="Times New Roman"/>
        </w:rPr>
        <w:t>(i)</w:t>
      </w:r>
      <w:r w:rsidRPr="005C3622">
        <w:rPr>
          <w:rFonts w:ascii="Times New Roman" w:hAnsi="Times New Roman"/>
        </w:rPr>
        <w:tab/>
        <w:t>although not overtly expressed, the application was limited in the answer to the limb of s 67 concerned with a "state of emergency" as declared under s 56, rather than the limb concerned with an "emergency situation" as declared under s 50;</w:t>
      </w:r>
    </w:p>
    <w:p w14:paraId="0EF4AF2A" w14:textId="77777777" w:rsidR="002D2334" w:rsidRPr="005C3622" w:rsidRDefault="002D2334" w:rsidP="005C3622">
      <w:pPr>
        <w:pStyle w:val="NormalBody"/>
        <w:spacing w:after="260" w:line="280" w:lineRule="exact"/>
        <w:ind w:left="720" w:right="0" w:hanging="720"/>
        <w:jc w:val="both"/>
        <w:rPr>
          <w:rFonts w:ascii="Times New Roman" w:hAnsi="Times New Roman"/>
        </w:rPr>
      </w:pPr>
      <w:r w:rsidRPr="005C3622">
        <w:rPr>
          <w:rFonts w:ascii="Times New Roman" w:hAnsi="Times New Roman"/>
        </w:rPr>
        <w:t>(ii)</w:t>
      </w:r>
      <w:r w:rsidRPr="005C3622">
        <w:rPr>
          <w:rFonts w:ascii="Times New Roman" w:hAnsi="Times New Roman"/>
        </w:rPr>
        <w:tab/>
        <w:t xml:space="preserve">the application was limited in the answer to the purpose of emergency management of a declared state of emergency under s 56 where the "emergency" – defined in s 3 to mean the occurrence or imminent occurrence of a hazard in certain circumstances – involves "a plague or an epidemic" rather than other limbs of the definition of "hazard" in s 3. Those other limbs include: cyclones, earthquakes or other natural events; fires; road, rail or air crashes; terrorist acts; or events prescribed by regulations that are capable of causing harm to the health of persons or animals, or damage to property or the environment. The focus of the answer in its reference to plague or "epidemic", from </w:t>
      </w:r>
      <w:r w:rsidRPr="005C3622">
        <w:rPr>
          <w:rFonts w:ascii="Times New Roman" w:hAnsi="Times New Roman"/>
          <w:i/>
          <w:iCs/>
        </w:rPr>
        <w:t>epi dēmos</w:t>
      </w:r>
      <w:r w:rsidRPr="005C3622">
        <w:rPr>
          <w:rFonts w:ascii="Times New Roman" w:hAnsi="Times New Roman"/>
          <w:i/>
        </w:rPr>
        <w:t xml:space="preserve"> </w:t>
      </w:r>
      <w:r w:rsidRPr="005C3622">
        <w:rPr>
          <w:rFonts w:ascii="Times New Roman" w:hAnsi="Times New Roman"/>
        </w:rPr>
        <w:t>("upon people"</w:t>
      </w:r>
      <w:r w:rsidRPr="005C3622">
        <w:rPr>
          <w:rStyle w:val="FootnoteReference"/>
          <w:rFonts w:ascii="Times New Roman" w:hAnsi="Times New Roman"/>
          <w:sz w:val="24"/>
        </w:rPr>
        <w:footnoteReference w:id="351"/>
      </w:r>
      <w:r w:rsidRPr="005C3622">
        <w:rPr>
          <w:rFonts w:ascii="Times New Roman" w:hAnsi="Times New Roman"/>
        </w:rPr>
        <w:t xml:space="preserve">), is limited to human disease; </w:t>
      </w:r>
    </w:p>
    <w:p w14:paraId="5BF0A2AA" w14:textId="77777777" w:rsidR="002D2334" w:rsidRPr="005C3622" w:rsidRDefault="002D2334" w:rsidP="005C3622">
      <w:pPr>
        <w:pStyle w:val="NormalBody"/>
        <w:spacing w:after="260" w:line="280" w:lineRule="exact"/>
        <w:ind w:left="720" w:right="0" w:hanging="720"/>
        <w:jc w:val="both"/>
        <w:rPr>
          <w:rFonts w:ascii="Times New Roman" w:hAnsi="Times New Roman"/>
        </w:rPr>
      </w:pPr>
      <w:r w:rsidRPr="005C3622">
        <w:rPr>
          <w:rFonts w:ascii="Times New Roman" w:hAnsi="Times New Roman"/>
        </w:rPr>
        <w:t>(iii)</w:t>
      </w:r>
      <w:r w:rsidRPr="005C3622">
        <w:rPr>
          <w:rFonts w:ascii="Times New Roman" w:hAnsi="Times New Roman"/>
        </w:rPr>
        <w:tab/>
        <w:t>the application was limited in the answer to "the occurrence of a hazard", and did not extend to the "imminent occurrence of a hazard" within the definition of "emergency" in s 3, thus excluding from consideration applications based upon anticipated events that might not occur; and</w:t>
      </w:r>
    </w:p>
    <w:p w14:paraId="399D4DBE" w14:textId="77777777" w:rsidR="002D2334" w:rsidRPr="005C3622" w:rsidRDefault="002D2334" w:rsidP="005C3622">
      <w:pPr>
        <w:pStyle w:val="NormalBody"/>
        <w:spacing w:after="260" w:line="280" w:lineRule="exact"/>
        <w:ind w:left="720" w:right="0" w:hanging="720"/>
        <w:jc w:val="both"/>
        <w:rPr>
          <w:rFonts w:ascii="Times New Roman" w:hAnsi="Times New Roman"/>
        </w:rPr>
      </w:pPr>
      <w:r w:rsidRPr="005C3622">
        <w:rPr>
          <w:rFonts w:ascii="Times New Roman" w:hAnsi="Times New Roman"/>
        </w:rPr>
        <w:t>(iv)</w:t>
      </w:r>
      <w:r w:rsidRPr="005C3622">
        <w:rPr>
          <w:rFonts w:ascii="Times New Roman" w:hAnsi="Times New Roman"/>
        </w:rPr>
        <w:tab/>
        <w:t xml:space="preserve">the application, by its confinement to a plague or an epidemic and its focus on human disease, was impliedly limited in the answer to a state of emergency where the Minister is satisfied that extraordinary measures are required to prevent or minimise "loss of life, prejudice to the safety, or harm to the health, of persons", rather than "loss of life, prejudice to the safety, or harm to the health, of ... animals" (s 56(2)(c)(i)), "destruction of, or damage to, property" (s 56(2)(c)(ii)), or "destruction of, or damage to, any part of the environment" (s 56(2)(c)(iii)). </w:t>
      </w:r>
    </w:p>
    <w:p w14:paraId="62BC40C5"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By focusing only upon particular textual aspects of ss 56 and 67,</w:t>
      </w:r>
      <w:r w:rsidRPr="005C3622">
        <w:rPr>
          <w:rFonts w:ascii="Times New Roman" w:hAnsi="Times New Roman"/>
          <w:i/>
          <w:iCs/>
        </w:rPr>
        <w:t xml:space="preserve"> </w:t>
      </w:r>
      <w:r w:rsidRPr="005C3622">
        <w:rPr>
          <w:rFonts w:ascii="Times New Roman" w:hAnsi="Times New Roman"/>
        </w:rPr>
        <w:t xml:space="preserve">this Court's answer focused upon the application of the legislation to facts falling within a category based upon circumstances of the same general kind as those before it. </w:t>
      </w:r>
      <w:r w:rsidRPr="005C3622">
        <w:rPr>
          <w:rFonts w:ascii="Times New Roman" w:eastAsia="GungsuhChe" w:hAnsi="Times New Roman"/>
        </w:rPr>
        <w:t xml:space="preserve">There might, at first blush, be thought to be tension between, on the one hand, assessing validity, as the answer </w:t>
      </w:r>
      <w:r w:rsidRPr="005C3622">
        <w:rPr>
          <w:rFonts w:ascii="Times New Roman" w:hAnsi="Times New Roman"/>
        </w:rPr>
        <w:t xml:space="preserve">to the first question in </w:t>
      </w:r>
      <w:r w:rsidRPr="005C3622">
        <w:rPr>
          <w:rFonts w:ascii="Times New Roman" w:eastAsia="GungsuhChe" w:hAnsi="Times New Roman"/>
        </w:rPr>
        <w:t xml:space="preserve">this special case does, by focusing </w:t>
      </w:r>
      <w:r w:rsidRPr="005C3622">
        <w:rPr>
          <w:rFonts w:ascii="Times New Roman" w:hAnsi="Times New Roman"/>
        </w:rPr>
        <w:t>upon the application of legislation to circumstances of the same general kind as those before the Court</w:t>
      </w:r>
      <w:r w:rsidRPr="005C3622">
        <w:rPr>
          <w:rFonts w:ascii="Times New Roman" w:eastAsia="GungsuhChe" w:hAnsi="Times New Roman"/>
        </w:rPr>
        <w:t xml:space="preserve"> and, on the other hand, remarks made in the joint judgment in </w:t>
      </w:r>
      <w:r w:rsidRPr="005C3622">
        <w:rPr>
          <w:rFonts w:ascii="Times New Roman" w:eastAsia="GungsuhChe" w:hAnsi="Times New Roman"/>
          <w:i/>
          <w:iCs/>
        </w:rPr>
        <w:t>Wotton v Queensland</w:t>
      </w:r>
      <w:r w:rsidRPr="005C3622">
        <w:rPr>
          <w:rStyle w:val="FootnoteReference"/>
          <w:rFonts w:ascii="Times New Roman" w:eastAsia="GungsuhChe" w:hAnsi="Times New Roman"/>
          <w:sz w:val="24"/>
        </w:rPr>
        <w:footnoteReference w:id="352"/>
      </w:r>
      <w:r w:rsidRPr="005C3622">
        <w:rPr>
          <w:rFonts w:ascii="Times New Roman" w:eastAsia="GungsuhChe" w:hAnsi="Times New Roman"/>
          <w:i/>
          <w:iCs/>
        </w:rPr>
        <w:t xml:space="preserve"> </w:t>
      </w:r>
      <w:r w:rsidRPr="005C3622">
        <w:rPr>
          <w:rFonts w:ascii="Times New Roman" w:eastAsia="GungsuhChe" w:hAnsi="Times New Roman"/>
        </w:rPr>
        <w:t>which accepted a submission that "</w:t>
      </w:r>
      <w:r w:rsidRPr="005C3622">
        <w:rPr>
          <w:rFonts w:ascii="Times New Roman" w:hAnsi="Times New Roman"/>
        </w:rPr>
        <w:t xml:space="preserve">whether a particular application of the statute, by the exercise or refusal to exercise a power or discretion conferred by the statute, is valid is not a question of constitutional law". </w:t>
      </w:r>
    </w:p>
    <w:p w14:paraId="6B0DC218"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 xml:space="preserve">This tension is one reason that Professor Stellios suggested that the decision of Crennan and Kiefel JJ in </w:t>
      </w:r>
      <w:r w:rsidRPr="005C3622">
        <w:rPr>
          <w:rFonts w:ascii="Times New Roman" w:hAnsi="Times New Roman"/>
          <w:i/>
          <w:iCs/>
        </w:rPr>
        <w:t>Attorney-General (SA) v Adelaide City Corporation</w:t>
      </w:r>
      <w:r w:rsidRPr="005C3622">
        <w:rPr>
          <w:rStyle w:val="FootnoteReference"/>
          <w:rFonts w:ascii="Times New Roman" w:hAnsi="Times New Roman"/>
          <w:sz w:val="24"/>
        </w:rPr>
        <w:footnoteReference w:id="353"/>
      </w:r>
      <w:r w:rsidRPr="005C3622">
        <w:rPr>
          <w:rFonts w:ascii="Times New Roman" w:hAnsi="Times New Roman"/>
        </w:rPr>
        <w:t xml:space="preserve">, which assessed the compatibility of a by-law with the constitutional implied freedom of political communication, might be "at odds with the approach accepted in </w:t>
      </w:r>
      <w:r w:rsidRPr="005C3622">
        <w:rPr>
          <w:rFonts w:ascii="Times New Roman" w:hAnsi="Times New Roman"/>
          <w:i/>
          <w:iCs/>
        </w:rPr>
        <w:t>Wotton</w:t>
      </w:r>
      <w:r w:rsidRPr="005C3622">
        <w:rPr>
          <w:rFonts w:ascii="Times New Roman" w:hAnsi="Times New Roman"/>
        </w:rPr>
        <w:t>"</w:t>
      </w:r>
      <w:r w:rsidRPr="005C3622">
        <w:rPr>
          <w:rStyle w:val="FootnoteReference"/>
          <w:rFonts w:ascii="Times New Roman" w:hAnsi="Times New Roman"/>
          <w:sz w:val="24"/>
        </w:rPr>
        <w:footnoteReference w:id="354"/>
      </w:r>
      <w:r w:rsidRPr="005C3622">
        <w:rPr>
          <w:rFonts w:ascii="Times New Roman" w:hAnsi="Times New Roman"/>
        </w:rPr>
        <w:t>. But there is a difference between (i) assessing the validity of an open</w:t>
      </w:r>
      <w:r w:rsidRPr="005C3622">
        <w:rPr>
          <w:rFonts w:ascii="Times New Roman" w:hAnsi="Times New Roman"/>
        </w:rPr>
        <w:noBreakHyphen/>
        <w:t>textured legislative provision, such as a general by-law making power, by reference to limited applications of that legislative provision, and (ii) assessing the validity of the by-law ("the particular application") itself. The former engages questions of constitutional power: "[i]f Parliament had enacted [the by-laws] directly, would they be valid?"</w:t>
      </w:r>
      <w:r w:rsidRPr="005C3622">
        <w:rPr>
          <w:rStyle w:val="FootnoteReference"/>
          <w:rFonts w:ascii="Times New Roman" w:hAnsi="Times New Roman"/>
          <w:sz w:val="24"/>
        </w:rPr>
        <w:footnoteReference w:id="355"/>
      </w:r>
      <w:r w:rsidRPr="005C3622">
        <w:rPr>
          <w:rFonts w:ascii="Times New Roman" w:hAnsi="Times New Roman"/>
        </w:rPr>
        <w:t>. The latter should only be a question of whether the by-law falls within the valid legislative power.</w:t>
      </w:r>
      <w:r w:rsidRPr="005C3622">
        <w:rPr>
          <w:rFonts w:ascii="Times New Roman" w:eastAsia="GungsuhChe" w:hAnsi="Times New Roman"/>
        </w:rPr>
        <w:t xml:space="preserve"> </w:t>
      </w:r>
    </w:p>
    <w:p w14:paraId="09DC0E94"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eastAsia="GungsuhChe" w:hAnsi="Times New Roman"/>
        </w:rPr>
        <w:tab/>
      </w:r>
      <w:r w:rsidRPr="005C3622">
        <w:rPr>
          <w:rFonts w:ascii="Times New Roman" w:hAnsi="Times New Roman"/>
        </w:rPr>
        <w:t xml:space="preserve">It is arguable that the answer given to the first question in this special case should have been framed with greater focus upon the validity of the </w:t>
      </w:r>
      <w:r w:rsidRPr="005C3622">
        <w:rPr>
          <w:rFonts w:ascii="Times New Roman" w:hAnsi="Times New Roman"/>
          <w:i/>
        </w:rPr>
        <w:t xml:space="preserve">Emergency Management Act </w:t>
      </w:r>
      <w:r w:rsidRPr="005C3622">
        <w:rPr>
          <w:rFonts w:ascii="Times New Roman" w:hAnsi="Times New Roman"/>
        </w:rPr>
        <w:t xml:space="preserve">in its application to the particular facts of this case, including the terms of the </w:t>
      </w:r>
      <w:r w:rsidRPr="005C3622">
        <w:rPr>
          <w:rFonts w:ascii="Times New Roman" w:hAnsi="Times New Roman"/>
          <w:i/>
        </w:rPr>
        <w:t>Quarantine (Closing the Border) Directions</w:t>
      </w:r>
      <w:r w:rsidRPr="005C3622">
        <w:rPr>
          <w:rFonts w:ascii="Times New Roman" w:hAnsi="Times New Roman"/>
        </w:rPr>
        <w:t xml:space="preserve">, which were the basis for the finding of facts by Rangiah J. That focus was present in the careful submissions made by the State of Western Australia, which, as I note below, had the onus of justifying any discrimination between States in relation to trade, commerce, or intercourse in the </w:t>
      </w:r>
      <w:r w:rsidRPr="005C3622">
        <w:rPr>
          <w:rFonts w:ascii="Times New Roman" w:hAnsi="Times New Roman"/>
          <w:i/>
          <w:iCs/>
        </w:rPr>
        <w:t>Emergency Management Act</w:t>
      </w:r>
      <w:r w:rsidRPr="005C3622">
        <w:rPr>
          <w:rStyle w:val="FootnoteReference"/>
          <w:rFonts w:ascii="Times New Roman" w:hAnsi="Times New Roman"/>
          <w:sz w:val="24"/>
        </w:rPr>
        <w:footnoteReference w:id="356"/>
      </w:r>
      <w:r w:rsidRPr="005C3622">
        <w:rPr>
          <w:rFonts w:ascii="Times New Roman" w:hAnsi="Times New Roman"/>
        </w:rPr>
        <w:t>.</w:t>
      </w:r>
    </w:p>
    <w:p w14:paraId="5A2800FB"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Courts will not usually need to uphold the validity of open</w:t>
      </w:r>
      <w:r w:rsidRPr="005C3622">
        <w:rPr>
          <w:rFonts w:ascii="Times New Roman" w:hAnsi="Times New Roman"/>
        </w:rPr>
        <w:noBreakHyphen/>
        <w:t xml:space="preserve">textured legislation in its application to circumstances that are not before the court and not sought to be validated by the parties. There would have been no difficulty in further confining the answer to the first question in this special case </w:t>
      </w:r>
      <w:r w:rsidRPr="005C3622">
        <w:rPr>
          <w:rFonts w:ascii="Times New Roman" w:eastAsia="GungsuhChe" w:hAnsi="Times New Roman"/>
        </w:rPr>
        <w:t xml:space="preserve">to the validity of the </w:t>
      </w:r>
      <w:r w:rsidRPr="005C3622">
        <w:rPr>
          <w:rFonts w:ascii="Times New Roman" w:eastAsia="GungsuhChe" w:hAnsi="Times New Roman"/>
          <w:i/>
          <w:iCs/>
        </w:rPr>
        <w:t xml:space="preserve">Emergency Management Act </w:t>
      </w:r>
      <w:r w:rsidRPr="005C3622">
        <w:rPr>
          <w:rFonts w:ascii="Times New Roman" w:eastAsia="GungsuhChe" w:hAnsi="Times New Roman"/>
        </w:rPr>
        <w:t xml:space="preserve">in its application to circumstances in the nature of those contained in </w:t>
      </w:r>
      <w:r w:rsidRPr="005C3622">
        <w:rPr>
          <w:rFonts w:ascii="Times New Roman" w:hAnsi="Times New Roman"/>
        </w:rPr>
        <w:t xml:space="preserve">the </w:t>
      </w:r>
      <w:r w:rsidRPr="005C3622">
        <w:rPr>
          <w:rFonts w:ascii="Times New Roman" w:hAnsi="Times New Roman"/>
          <w:i/>
          <w:iCs/>
        </w:rPr>
        <w:t>Quarantine (Closing the Border) Directions</w:t>
      </w:r>
      <w:r w:rsidRPr="005C3622">
        <w:rPr>
          <w:rFonts w:ascii="Times New Roman" w:hAnsi="Times New Roman"/>
        </w:rPr>
        <w:t xml:space="preserve">. Such a more refined answer would exclude further applications that are irrelevant to the facts before this Court such as whether directions could be made in any epidemic under s 67(c) to close all roads and access routes into Western Australia, without any exceptions, or, under s 67(b), to direct the removal of persons infected with any plague or disease from Western Australia. A more confined answer that focuses closely upon the precise circumstances before the Court is also consistent with the approach taken by many </w:t>
      </w:r>
      <w:r w:rsidRPr="005C3622">
        <w:rPr>
          <w:rFonts w:ascii="Times New Roman" w:eastAsia="GungsuhChe" w:hAnsi="Times New Roman"/>
        </w:rPr>
        <w:t xml:space="preserve">decisions of this Court including those before and after </w:t>
      </w:r>
      <w:r w:rsidRPr="005C3622">
        <w:rPr>
          <w:rFonts w:ascii="Times New Roman" w:eastAsia="GungsuhChe" w:hAnsi="Times New Roman"/>
          <w:i/>
          <w:iCs/>
        </w:rPr>
        <w:t>Wotton v Queensland</w:t>
      </w:r>
      <w:r w:rsidRPr="005C3622">
        <w:rPr>
          <w:rStyle w:val="FootnoteReference"/>
          <w:rFonts w:ascii="Times New Roman" w:eastAsia="GungsuhChe" w:hAnsi="Times New Roman"/>
          <w:sz w:val="24"/>
        </w:rPr>
        <w:footnoteReference w:id="357"/>
      </w:r>
      <w:r w:rsidRPr="005C3622">
        <w:rPr>
          <w:rFonts w:ascii="Times New Roman" w:eastAsia="GungsuhChe" w:hAnsi="Times New Roman"/>
        </w:rPr>
        <w:t>, none of which has ever been suggested to be wrong for taking this approach.</w:t>
      </w:r>
    </w:p>
    <w:p w14:paraId="4BBA8662"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 xml:space="preserve">Although I initially doubted whether it was appropriate for this Court to express the level of application of the answer considerably higher than that to which most of the parties had made submissions, I am now satisfied that it is appropriate to assess the validity of ss 56 and 67 of the </w:t>
      </w:r>
      <w:r w:rsidRPr="005C3622">
        <w:rPr>
          <w:rFonts w:ascii="Times New Roman" w:hAnsi="Times New Roman"/>
          <w:i/>
          <w:iCs/>
        </w:rPr>
        <w:t xml:space="preserve">Emergency Management Act </w:t>
      </w:r>
      <w:r w:rsidRPr="005C3622">
        <w:rPr>
          <w:rFonts w:ascii="Times New Roman" w:hAnsi="Times New Roman"/>
        </w:rPr>
        <w:t xml:space="preserve">at a higher level of generality than the </w:t>
      </w:r>
      <w:r w:rsidRPr="005C3622">
        <w:rPr>
          <w:rFonts w:ascii="Times New Roman" w:hAnsi="Times New Roman"/>
          <w:i/>
          <w:iCs/>
        </w:rPr>
        <w:t>Quarantine (Closing the Border) Directions</w:t>
      </w:r>
      <w:r w:rsidRPr="005C3622">
        <w:rPr>
          <w:rFonts w:ascii="Times New Roman" w:hAnsi="Times New Roman"/>
        </w:rPr>
        <w:t xml:space="preserve">, although at a more particularised level of application than all applications of those provisions. I have formed that view for three reasons. First, although the State of Western Australia sought to justify ss 56 and 67 of the </w:t>
      </w:r>
      <w:r w:rsidRPr="005C3622">
        <w:rPr>
          <w:rFonts w:ascii="Times New Roman" w:hAnsi="Times New Roman"/>
          <w:i/>
          <w:iCs/>
        </w:rPr>
        <w:t xml:space="preserve">Emergency Management Act </w:t>
      </w:r>
      <w:r w:rsidRPr="005C3622">
        <w:rPr>
          <w:rFonts w:ascii="Times New Roman" w:hAnsi="Times New Roman"/>
        </w:rPr>
        <w:t xml:space="preserve">at the particular level of the </w:t>
      </w:r>
      <w:r w:rsidRPr="005C3622">
        <w:rPr>
          <w:rFonts w:ascii="Times New Roman" w:hAnsi="Times New Roman"/>
          <w:i/>
          <w:iCs/>
        </w:rPr>
        <w:t>Quarantine (Closing the Border) Directions</w:t>
      </w:r>
      <w:r w:rsidRPr="005C3622">
        <w:rPr>
          <w:rFonts w:ascii="Times New Roman" w:hAnsi="Times New Roman"/>
        </w:rPr>
        <w:t xml:space="preserve">, the State of Victoria sought to justify ss 56 and 67 in </w:t>
      </w:r>
      <w:r w:rsidRPr="005C3622">
        <w:rPr>
          <w:rFonts w:ascii="Times New Roman" w:hAnsi="Times New Roman"/>
          <w:i/>
          <w:iCs/>
        </w:rPr>
        <w:t xml:space="preserve">all </w:t>
      </w:r>
      <w:r w:rsidRPr="005C3622">
        <w:rPr>
          <w:rFonts w:ascii="Times New Roman" w:hAnsi="Times New Roman"/>
        </w:rPr>
        <w:t xml:space="preserve">their applications. Secondly, no submissions were made about how a choice of the appropriate level of generality should be made for the assessment of the application of ss 56 and 67. Thirdly, I am satisfied that ss 56 and 67, as confined in their application in the three textual ways that I have mentioned, are consistent with s 92 of the </w:t>
      </w:r>
      <w:r w:rsidRPr="005C3622">
        <w:rPr>
          <w:rFonts w:ascii="Times New Roman" w:hAnsi="Times New Roman"/>
          <w:i/>
        </w:rPr>
        <w:t>Constitution</w:t>
      </w:r>
      <w:r w:rsidRPr="005C3622">
        <w:rPr>
          <w:rFonts w:ascii="Times New Roman" w:hAnsi="Times New Roman"/>
        </w:rPr>
        <w:t xml:space="preserve">. I therefore join in the orders that were made. </w:t>
      </w:r>
    </w:p>
    <w:p w14:paraId="4DC23857" w14:textId="77777777" w:rsidR="002D2334" w:rsidRPr="005C3622" w:rsidRDefault="002D2334" w:rsidP="005C3622">
      <w:pPr>
        <w:pStyle w:val="HeadingL1"/>
        <w:spacing w:after="260" w:line="280" w:lineRule="exact"/>
        <w:ind w:right="0"/>
        <w:jc w:val="both"/>
        <w:rPr>
          <w:rFonts w:ascii="Times New Roman" w:hAnsi="Times New Roman"/>
          <w:iCs/>
        </w:rPr>
      </w:pPr>
      <w:r w:rsidRPr="005C3622">
        <w:rPr>
          <w:rFonts w:ascii="Times New Roman" w:hAnsi="Times New Roman"/>
        </w:rPr>
        <w:t xml:space="preserve">Aligning the two aspects of s 92 of the </w:t>
      </w:r>
      <w:r w:rsidRPr="005C3622">
        <w:rPr>
          <w:rFonts w:ascii="Times New Roman" w:hAnsi="Times New Roman"/>
          <w:i/>
        </w:rPr>
        <w:t>Constitution</w:t>
      </w:r>
    </w:p>
    <w:p w14:paraId="2EF83A2C" w14:textId="77777777" w:rsidR="002D2334" w:rsidRPr="005C3622" w:rsidRDefault="002D2334" w:rsidP="005C3622">
      <w:pPr>
        <w:pStyle w:val="HeadingL2"/>
        <w:spacing w:after="260" w:line="280" w:lineRule="exact"/>
        <w:ind w:right="0"/>
        <w:jc w:val="both"/>
        <w:rPr>
          <w:rFonts w:ascii="Times New Roman" w:hAnsi="Times New Roman"/>
          <w:iCs/>
        </w:rPr>
      </w:pPr>
      <w:r w:rsidRPr="005C3622">
        <w:rPr>
          <w:rFonts w:ascii="Times New Roman" w:hAnsi="Times New Roman"/>
          <w:iCs/>
        </w:rPr>
        <w:t>The two aspects of s 92</w:t>
      </w:r>
    </w:p>
    <w:p w14:paraId="03DC784A"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eastAsia="GungsuhChe" w:hAnsi="Times New Roman"/>
          <w:lang w:eastAsia="en-US"/>
        </w:rPr>
      </w:pPr>
      <w:r w:rsidRPr="005C3622">
        <w:rPr>
          <w:rFonts w:ascii="Times New Roman" w:eastAsia="GungsuhChe" w:hAnsi="Times New Roman"/>
          <w:lang w:eastAsia="en-US"/>
        </w:rPr>
        <w:tab/>
        <w:t xml:space="preserve">In </w:t>
      </w:r>
      <w:r w:rsidRPr="005C3622">
        <w:rPr>
          <w:rFonts w:ascii="Times New Roman" w:eastAsia="GungsuhChe" w:hAnsi="Times New Roman"/>
          <w:i/>
          <w:iCs/>
          <w:lang w:eastAsia="en-US"/>
        </w:rPr>
        <w:t>Cole v Whitfield</w:t>
      </w:r>
      <w:r w:rsidRPr="005C3622">
        <w:rPr>
          <w:rStyle w:val="FootnoteReference"/>
          <w:rFonts w:ascii="Times New Roman" w:eastAsia="GungsuhChe" w:hAnsi="Times New Roman"/>
          <w:sz w:val="24"/>
          <w:lang w:eastAsia="en-US"/>
        </w:rPr>
        <w:footnoteReference w:id="358"/>
      </w:r>
      <w:r w:rsidRPr="005C3622">
        <w:rPr>
          <w:rFonts w:ascii="Times New Roman" w:eastAsia="GungsuhChe" w:hAnsi="Times New Roman"/>
          <w:lang w:eastAsia="en-US"/>
        </w:rPr>
        <w:t>,</w:t>
      </w:r>
      <w:r w:rsidRPr="005C3622">
        <w:rPr>
          <w:rFonts w:ascii="Times New Roman" w:eastAsia="GungsuhChe" w:hAnsi="Times New Roman"/>
          <w:i/>
          <w:iCs/>
          <w:lang w:eastAsia="en-US"/>
        </w:rPr>
        <w:t xml:space="preserve"> </w:t>
      </w:r>
      <w:r w:rsidRPr="005C3622">
        <w:rPr>
          <w:rFonts w:ascii="Times New Roman" w:eastAsia="GungsuhChe" w:hAnsi="Times New Roman"/>
          <w:lang w:eastAsia="en-US"/>
        </w:rPr>
        <w:t xml:space="preserve">by focusing upon the particular application of the legislation to the regulations before the Court, this Court effectively upheld the validity of s 9 of the </w:t>
      </w:r>
      <w:r w:rsidRPr="005C3622">
        <w:rPr>
          <w:rFonts w:ascii="Times New Roman" w:eastAsia="GungsuhChe" w:hAnsi="Times New Roman"/>
          <w:i/>
          <w:iCs/>
          <w:lang w:eastAsia="en-US"/>
        </w:rPr>
        <w:t>Fisheries Act 1959 </w:t>
      </w:r>
      <w:r w:rsidRPr="005C3622">
        <w:rPr>
          <w:rFonts w:ascii="Times New Roman" w:eastAsia="GungsuhChe" w:hAnsi="Times New Roman"/>
          <w:lang w:eastAsia="en-US"/>
        </w:rPr>
        <w:t xml:space="preserve">(Tas) in its application to regs 31(1)(d)(ix) and 31(1)(d)(x) of the </w:t>
      </w:r>
      <w:r w:rsidRPr="005C3622">
        <w:rPr>
          <w:rFonts w:ascii="Times New Roman" w:eastAsia="GungsuhChe" w:hAnsi="Times New Roman"/>
          <w:i/>
          <w:iCs/>
          <w:lang w:eastAsia="en-US"/>
        </w:rPr>
        <w:t xml:space="preserve">Sea Fisheries Regulations 1962 </w:t>
      </w:r>
      <w:r w:rsidRPr="005C3622">
        <w:rPr>
          <w:rFonts w:ascii="Times New Roman" w:eastAsia="GungsuhChe" w:hAnsi="Times New Roman"/>
          <w:lang w:eastAsia="en-US"/>
        </w:rPr>
        <w:t>(Tas). Central to the Court's reasoning was that "the freedom guaranteed to interstate trade and commerce under s 92 is freedom from discriminatory burdens in the protectionist sense"</w:t>
      </w:r>
      <w:r w:rsidRPr="005C3622">
        <w:rPr>
          <w:rStyle w:val="FootnoteReference"/>
          <w:rFonts w:ascii="Times New Roman" w:eastAsia="GungsuhChe" w:hAnsi="Times New Roman"/>
          <w:sz w:val="24"/>
          <w:lang w:eastAsia="en-US"/>
        </w:rPr>
        <w:footnoteReference w:id="359"/>
      </w:r>
      <w:r w:rsidRPr="005C3622">
        <w:rPr>
          <w:rFonts w:ascii="Times New Roman" w:eastAsia="GungsuhChe" w:hAnsi="Times New Roman"/>
          <w:lang w:eastAsia="en-US"/>
        </w:rPr>
        <w:t>.</w:t>
      </w:r>
    </w:p>
    <w:p w14:paraId="3BFF5B3E"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eastAsia="GungsuhChe" w:hAnsi="Times New Roman"/>
          <w:lang w:eastAsia="en-US"/>
        </w:rPr>
      </w:pPr>
      <w:r w:rsidRPr="005C3622">
        <w:rPr>
          <w:rFonts w:ascii="Times New Roman" w:eastAsia="GungsuhChe" w:hAnsi="Times New Roman"/>
          <w:lang w:eastAsia="en-US"/>
        </w:rPr>
        <w:tab/>
        <w:t>Discrimination involves the "departure from equality of treatment"</w:t>
      </w:r>
      <w:r w:rsidRPr="005C3622">
        <w:rPr>
          <w:rStyle w:val="FootnoteReference"/>
          <w:rFonts w:ascii="Times New Roman" w:eastAsia="GungsuhChe" w:hAnsi="Times New Roman"/>
          <w:sz w:val="24"/>
          <w:lang w:eastAsia="en-US"/>
        </w:rPr>
        <w:footnoteReference w:id="360"/>
      </w:r>
      <w:r w:rsidRPr="005C3622">
        <w:rPr>
          <w:rFonts w:ascii="Times New Roman" w:eastAsia="GungsuhChe" w:hAnsi="Times New Roman"/>
          <w:lang w:eastAsia="en-US"/>
        </w:rPr>
        <w:t>. It occurs where there is the "unequal treatment of equals, and, conversely, [the] equal treatment of unequals"</w:t>
      </w:r>
      <w:r w:rsidRPr="005C3622">
        <w:rPr>
          <w:rStyle w:val="FootnoteReference"/>
          <w:rFonts w:ascii="Times New Roman" w:eastAsia="GungsuhChe" w:hAnsi="Times New Roman"/>
          <w:sz w:val="24"/>
          <w:lang w:eastAsia="en-US"/>
        </w:rPr>
        <w:footnoteReference w:id="361"/>
      </w:r>
      <w:r w:rsidRPr="005C3622">
        <w:rPr>
          <w:rFonts w:ascii="Times New Roman" w:eastAsia="GungsuhChe" w:hAnsi="Times New Roman"/>
          <w:lang w:eastAsia="en-US"/>
        </w:rPr>
        <w:t xml:space="preserve">. A law can have the purpose of discrimination or it can have the effect of discrimination. In either case, a conclusion of discriminatory treatment will be easiest to draw where the law, on its face, purports to treat States differently. </w:t>
      </w:r>
      <w:r w:rsidRPr="005C3622">
        <w:rPr>
          <w:rFonts w:ascii="Times New Roman" w:hAnsi="Times New Roman"/>
        </w:rPr>
        <w:t xml:space="preserve">Where the discrimination does not appear from the text of the law, it is necessary to show that the purpose or effect of the law is to discriminate based upon its expected practical operation. </w:t>
      </w:r>
    </w:p>
    <w:p w14:paraId="4E5C2161"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eastAsia="GungsuhChe" w:hAnsi="Times New Roman"/>
          <w:lang w:eastAsia="en-US"/>
        </w:rPr>
      </w:pPr>
      <w:r w:rsidRPr="005C3622">
        <w:rPr>
          <w:rFonts w:ascii="Times New Roman" w:hAnsi="Times New Roman"/>
        </w:rPr>
        <w:tab/>
      </w:r>
      <w:r w:rsidRPr="005C3622">
        <w:rPr>
          <w:rFonts w:ascii="Times New Roman" w:eastAsia="GungsuhChe" w:hAnsi="Times New Roman"/>
          <w:lang w:eastAsia="en-US"/>
        </w:rPr>
        <w:t xml:space="preserve">In the trade and commerce aspect of s 92, the relevant discrimination involves unequal treatment by a law that confers a trading or </w:t>
      </w:r>
      <w:r w:rsidRPr="005C3622">
        <w:rPr>
          <w:rFonts w:ascii="Times New Roman" w:eastAsia="GungsuhChe" w:hAnsi="Times New Roman"/>
        </w:rPr>
        <w:t>commercial</w:t>
      </w:r>
      <w:r w:rsidRPr="005C3622">
        <w:rPr>
          <w:rFonts w:ascii="Times New Roman" w:eastAsia="GungsuhChe" w:hAnsi="Times New Roman"/>
          <w:lang w:eastAsia="en-US"/>
        </w:rPr>
        <w:t xml:space="preserve"> advantage upon persons within one State compared with those in another. Conversely, the law imposes a trading or commercial burden upon those in the second State when compared with the first. But the advantage or burden must concern trade or commerce. </w:t>
      </w:r>
      <w:r w:rsidRPr="005C3622">
        <w:rPr>
          <w:rFonts w:ascii="Times New Roman" w:hAnsi="Times New Roman"/>
        </w:rPr>
        <w:t xml:space="preserve">In </w:t>
      </w:r>
      <w:r w:rsidRPr="005C3622">
        <w:rPr>
          <w:rFonts w:ascii="Times New Roman" w:hAnsi="Times New Roman"/>
          <w:i/>
        </w:rPr>
        <w:t>Cole v Whitfield</w:t>
      </w:r>
      <w:r w:rsidRPr="005C3622">
        <w:rPr>
          <w:rFonts w:ascii="Times New Roman" w:hAnsi="Times New Roman"/>
        </w:rPr>
        <w:t>, for example, it was held that, although the law operated in a discriminatory way for the protection and conservation of "the stock of Tasmanian crayfish", the law was not relevantly discriminatory because the evidence did not establish that Tasmanian crayfish production gained any competitive advantage such as "by eliminating undersized imported crayfish from the local market"</w:t>
      </w:r>
      <w:r w:rsidRPr="005C3622">
        <w:rPr>
          <w:rStyle w:val="FootnoteReference"/>
          <w:rFonts w:ascii="Times New Roman" w:hAnsi="Times New Roman"/>
          <w:sz w:val="24"/>
        </w:rPr>
        <w:footnoteReference w:id="362"/>
      </w:r>
      <w:r w:rsidRPr="005C3622">
        <w:rPr>
          <w:rFonts w:ascii="Times New Roman" w:hAnsi="Times New Roman"/>
        </w:rPr>
        <w:t xml:space="preserve">. </w:t>
      </w:r>
    </w:p>
    <w:p w14:paraId="3F79677F"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eastAsia="GungsuhChe" w:hAnsi="Times New Roman"/>
          <w:lang w:eastAsia="en-US"/>
        </w:rPr>
      </w:pPr>
      <w:r w:rsidRPr="005C3622">
        <w:rPr>
          <w:rFonts w:ascii="Times New Roman" w:eastAsia="GungsuhChe" w:hAnsi="Times New Roman"/>
          <w:lang w:eastAsia="en-US"/>
        </w:rPr>
        <w:tab/>
        <w:t xml:space="preserve">The focus in </w:t>
      </w:r>
      <w:r w:rsidRPr="005C3622">
        <w:rPr>
          <w:rFonts w:ascii="Times New Roman" w:eastAsia="GungsuhChe" w:hAnsi="Times New Roman"/>
          <w:i/>
          <w:iCs/>
          <w:lang w:eastAsia="en-US"/>
        </w:rPr>
        <w:t>Cole v Whitfield</w:t>
      </w:r>
      <w:r w:rsidRPr="005C3622">
        <w:rPr>
          <w:rFonts w:ascii="Times New Roman" w:eastAsia="GungsuhChe" w:hAnsi="Times New Roman"/>
          <w:lang w:eastAsia="en-US"/>
        </w:rPr>
        <w:t xml:space="preserve"> was upon the particular type of discrimination in trade and commerce called protectionism. Protectionism involves discrimination, in the form of either a protectionist purpose or a protectionist effect</w:t>
      </w:r>
      <w:r w:rsidRPr="005C3622">
        <w:rPr>
          <w:rStyle w:val="FootnoteReference"/>
          <w:rFonts w:ascii="Times New Roman" w:eastAsia="GungsuhChe" w:hAnsi="Times New Roman"/>
          <w:sz w:val="24"/>
          <w:lang w:eastAsia="en-US"/>
        </w:rPr>
        <w:footnoteReference w:id="363"/>
      </w:r>
      <w:r w:rsidRPr="005C3622">
        <w:rPr>
          <w:rFonts w:ascii="Times New Roman" w:eastAsia="GungsuhChe" w:hAnsi="Times New Roman"/>
          <w:lang w:eastAsia="en-US"/>
        </w:rPr>
        <w:t>, in favour of the local State by conferring a competitive or market advantage over one or more other States. The assessment of a local competitive advantage requires consideration of economic concepts of cross</w:t>
      </w:r>
      <w:r w:rsidRPr="005C3622">
        <w:rPr>
          <w:rFonts w:ascii="Times New Roman" w:eastAsia="GungsuhChe" w:hAnsi="Times New Roman"/>
          <w:lang w:eastAsia="en-US"/>
        </w:rPr>
        <w:noBreakHyphen/>
        <w:t>elasticity of supply and demand to identify competition between goods or services in the local State and other States. This is the economist's approach to determining, for example, whether "breakfast cereals compete with bacon and eggs"</w:t>
      </w:r>
      <w:r w:rsidRPr="005C3622">
        <w:rPr>
          <w:rStyle w:val="FootnoteReference"/>
          <w:rFonts w:ascii="Times New Roman" w:eastAsia="GungsuhChe" w:hAnsi="Times New Roman"/>
          <w:sz w:val="24"/>
          <w:lang w:eastAsia="en-US"/>
        </w:rPr>
        <w:footnoteReference w:id="364"/>
      </w:r>
      <w:r w:rsidRPr="005C3622">
        <w:rPr>
          <w:rFonts w:ascii="Times New Roman" w:eastAsia="GungsuhChe" w:hAnsi="Times New Roman"/>
          <w:lang w:eastAsia="en-US"/>
        </w:rPr>
        <w:t xml:space="preserve">. It is difficult to avoid these economic concepts in the assessment of protectionism, although some cases after </w:t>
      </w:r>
      <w:r w:rsidRPr="005C3622">
        <w:rPr>
          <w:rFonts w:ascii="Times New Roman" w:eastAsia="GungsuhChe" w:hAnsi="Times New Roman"/>
          <w:i/>
          <w:iCs/>
          <w:lang w:eastAsia="en-US"/>
        </w:rPr>
        <w:t>Cole v Whitfield</w:t>
      </w:r>
      <w:r w:rsidRPr="005C3622">
        <w:rPr>
          <w:rFonts w:ascii="Times New Roman" w:eastAsia="GungsuhChe" w:hAnsi="Times New Roman"/>
          <w:lang w:eastAsia="en-US"/>
        </w:rPr>
        <w:t xml:space="preserve"> have applied the requirement for protectionist discrimination in a loose manner, without precision in assessing the protectionist nature of the impugned laws</w:t>
      </w:r>
      <w:r w:rsidRPr="005C3622">
        <w:rPr>
          <w:rStyle w:val="FootnoteReference"/>
          <w:rFonts w:ascii="Times New Roman" w:eastAsia="GungsuhChe" w:hAnsi="Times New Roman"/>
          <w:sz w:val="24"/>
          <w:lang w:eastAsia="en-US"/>
        </w:rPr>
        <w:footnoteReference w:id="365"/>
      </w:r>
      <w:r w:rsidRPr="005C3622">
        <w:rPr>
          <w:rFonts w:ascii="Times New Roman" w:eastAsia="GungsuhChe" w:hAnsi="Times New Roman"/>
          <w:lang w:eastAsia="en-US"/>
        </w:rPr>
        <w:t>, and it has been observed that "protectionism may be considered to be unnecessary to the economic theory of competition"</w:t>
      </w:r>
      <w:r w:rsidRPr="005C3622">
        <w:rPr>
          <w:rStyle w:val="FootnoteReference"/>
          <w:rFonts w:ascii="Times New Roman" w:eastAsia="GungsuhChe" w:hAnsi="Times New Roman"/>
          <w:sz w:val="24"/>
          <w:lang w:eastAsia="en-US"/>
        </w:rPr>
        <w:footnoteReference w:id="366"/>
      </w:r>
      <w:r w:rsidRPr="005C3622">
        <w:rPr>
          <w:rFonts w:ascii="Times New Roman" w:eastAsia="GungsuhChe" w:hAnsi="Times New Roman"/>
          <w:lang w:eastAsia="en-US"/>
        </w:rPr>
        <w:t>.</w:t>
      </w:r>
    </w:p>
    <w:p w14:paraId="2F844423"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eastAsia="GungsuhChe" w:hAnsi="Times New Roman"/>
          <w:lang w:eastAsia="en-US"/>
        </w:rPr>
      </w:pPr>
      <w:r w:rsidRPr="005C3622">
        <w:rPr>
          <w:rFonts w:ascii="Times New Roman" w:eastAsia="GungsuhChe" w:hAnsi="Times New Roman"/>
          <w:lang w:eastAsia="en-US"/>
        </w:rPr>
        <w:tab/>
        <w:t xml:space="preserve">More will be said of protectionism later in these reasons but at this point it suffices to say that protectionism is only one form of discrimination in trade and commerce that imposes burdens on persons in one State compared with another. Although protectionism is by far the most common form of discrimination relevant to the trade and commerce aspect of s 92, and the form with which the Court was concerned in </w:t>
      </w:r>
      <w:r w:rsidRPr="005C3622">
        <w:rPr>
          <w:rFonts w:ascii="Times New Roman" w:eastAsia="GungsuhChe" w:hAnsi="Times New Roman"/>
          <w:i/>
          <w:iCs/>
          <w:lang w:eastAsia="en-US"/>
        </w:rPr>
        <w:t>Cole v Whitfield</w:t>
      </w:r>
      <w:r w:rsidRPr="005C3622">
        <w:rPr>
          <w:rFonts w:ascii="Times New Roman" w:eastAsia="GungsuhChe" w:hAnsi="Times New Roman"/>
          <w:lang w:eastAsia="en-US"/>
        </w:rPr>
        <w:t xml:space="preserve">, there are other forms of discrimination that could be just as damaging to the purpose of s 92. For instance, State legislation might have the unintended effect of conferring a competitive disadvantage upon </w:t>
      </w:r>
      <w:r w:rsidRPr="005C3622">
        <w:rPr>
          <w:rFonts w:ascii="Times New Roman" w:eastAsia="GungsuhChe" w:hAnsi="Times New Roman"/>
          <w:i/>
          <w:iCs/>
          <w:lang w:eastAsia="en-US"/>
        </w:rPr>
        <w:t>local</w:t>
      </w:r>
      <w:r w:rsidRPr="005C3622">
        <w:rPr>
          <w:rFonts w:ascii="Times New Roman" w:eastAsia="GungsuhChe" w:hAnsi="Times New Roman"/>
          <w:lang w:eastAsia="en-US"/>
        </w:rPr>
        <w:t xml:space="preserve"> trade and commerce when compared with another State. Or the Commonwealth might confer a competitive advantage on one State to the disadvantage of another. Or a State might confer a competitive advantage on one foreign State over another in an industry in which there is no competition in the local State. For instance, suppose that Western Australian legislation imposed an unjustified prohibition upon the sale in Western Australia of a type of good insofar as it was manufactured in New South Wales but not insofar as that type of good was manufactured in Queensland. Even if no manufacturer in Western Australia competed in the market for that type of good, so that the discrimination was only between products from New South Wales and Queensland, it is difficult to see why that discrimination, if unjustified, would be consistent with the freedom of trade rationale underlying s 92.</w:t>
      </w:r>
    </w:p>
    <w:p w14:paraId="0036B3C2"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eastAsia="GungsuhChe" w:hAnsi="Times New Roman"/>
          <w:lang w:eastAsia="en-US"/>
        </w:rPr>
      </w:pPr>
      <w:r w:rsidRPr="005C3622">
        <w:rPr>
          <w:rFonts w:ascii="Times New Roman" w:eastAsia="GungsuhChe" w:hAnsi="Times New Roman"/>
          <w:lang w:eastAsia="en-US"/>
        </w:rPr>
        <w:tab/>
        <w:t xml:space="preserve">In </w:t>
      </w:r>
      <w:r w:rsidRPr="005C3622">
        <w:rPr>
          <w:rFonts w:ascii="Times New Roman" w:eastAsia="GungsuhChe" w:hAnsi="Times New Roman"/>
          <w:i/>
          <w:iCs/>
          <w:lang w:eastAsia="en-US"/>
        </w:rPr>
        <w:t xml:space="preserve">Cole v Whitfield </w:t>
      </w:r>
      <w:r w:rsidRPr="005C3622">
        <w:rPr>
          <w:rFonts w:ascii="Times New Roman" w:eastAsia="GungsuhChe" w:hAnsi="Times New Roman"/>
          <w:lang w:eastAsia="en-US"/>
        </w:rPr>
        <w:t>it was accepted that the constitutional protection of free intercourse among the States – free "movement ... across State borders"</w:t>
      </w:r>
      <w:r w:rsidRPr="005C3622">
        <w:rPr>
          <w:rStyle w:val="FootnoteReference"/>
          <w:rFonts w:ascii="Times New Roman" w:eastAsia="GungsuhChe" w:hAnsi="Times New Roman"/>
          <w:sz w:val="24"/>
          <w:lang w:eastAsia="en-US"/>
        </w:rPr>
        <w:footnoteReference w:id="367"/>
      </w:r>
      <w:r w:rsidRPr="005C3622">
        <w:rPr>
          <w:rFonts w:ascii="Times New Roman" w:eastAsia="GungsuhChe" w:hAnsi="Times New Roman"/>
          <w:lang w:eastAsia="en-US"/>
        </w:rPr>
        <w:t xml:space="preserve"> generally involving </w:t>
      </w:r>
      <w:r w:rsidRPr="005C3622">
        <w:rPr>
          <w:rFonts w:ascii="Times New Roman" w:eastAsia="GungsuhChe" w:hAnsi="Times New Roman"/>
          <w:iCs/>
          <w:lang w:eastAsia="en-US"/>
        </w:rPr>
        <w:t>interstate "dealings or communication between individuals"</w:t>
      </w:r>
      <w:r w:rsidRPr="005C3622">
        <w:rPr>
          <w:rStyle w:val="FootnoteReference"/>
          <w:rFonts w:ascii="Times New Roman" w:eastAsia="GungsuhChe" w:hAnsi="Times New Roman"/>
          <w:iCs/>
          <w:sz w:val="24"/>
          <w:lang w:eastAsia="en-US"/>
        </w:rPr>
        <w:footnoteReference w:id="368"/>
      </w:r>
      <w:r w:rsidRPr="005C3622">
        <w:rPr>
          <w:rFonts w:ascii="Times New Roman" w:eastAsia="GungsuhChe" w:hAnsi="Times New Roman"/>
          <w:iCs/>
          <w:lang w:eastAsia="en-US"/>
        </w:rPr>
        <w:t xml:space="preserve"> with </w:t>
      </w:r>
      <w:r w:rsidRPr="005C3622">
        <w:rPr>
          <w:rFonts w:ascii="Times New Roman" w:hAnsi="Times New Roman"/>
        </w:rPr>
        <w:t>"a corresponding increase in their acquaintance with one another and with the different parts of the Continent"</w:t>
      </w:r>
      <w:r w:rsidRPr="005C3622">
        <w:rPr>
          <w:rStyle w:val="FootnoteReference"/>
          <w:rFonts w:ascii="Times New Roman" w:hAnsi="Times New Roman"/>
          <w:sz w:val="24"/>
        </w:rPr>
        <w:footnoteReference w:id="369"/>
      </w:r>
      <w:r w:rsidRPr="005C3622">
        <w:rPr>
          <w:rFonts w:ascii="Times New Roman" w:hAnsi="Times New Roman"/>
        </w:rPr>
        <w:t xml:space="preserve"> </w:t>
      </w:r>
      <w:r w:rsidRPr="005C3622">
        <w:rPr>
          <w:rFonts w:ascii="Times New Roman" w:eastAsia="GungsuhChe" w:hAnsi="Times New Roman"/>
          <w:lang w:eastAsia="en-US"/>
        </w:rPr>
        <w:t>– was not confined to guarding against protectionist discrimination, or even discrimination at all. The Court asserted that there was no correspondence "between the freedom guaranteed to interstate trade and commerce and that guaranteed to interstate intercourse"</w:t>
      </w:r>
      <w:r w:rsidRPr="005C3622">
        <w:rPr>
          <w:rStyle w:val="FootnoteReference"/>
          <w:rFonts w:ascii="Times New Roman" w:eastAsia="GungsuhChe" w:hAnsi="Times New Roman"/>
          <w:sz w:val="24"/>
          <w:lang w:eastAsia="en-US"/>
        </w:rPr>
        <w:footnoteReference w:id="370"/>
      </w:r>
      <w:r w:rsidRPr="005C3622">
        <w:rPr>
          <w:rFonts w:ascii="Times New Roman" w:eastAsia="GungsuhChe" w:hAnsi="Times New Roman"/>
          <w:lang w:eastAsia="en-US"/>
        </w:rPr>
        <w:t xml:space="preserve">. </w:t>
      </w:r>
      <w:r w:rsidRPr="005C3622">
        <w:rPr>
          <w:rFonts w:ascii="Times New Roman" w:eastAsia="GungsuhChe" w:hAnsi="Times New Roman"/>
          <w:iCs/>
          <w:lang w:eastAsia="en-US"/>
        </w:rPr>
        <w:t>The</w:t>
      </w:r>
      <w:r w:rsidRPr="005C3622">
        <w:rPr>
          <w:rFonts w:ascii="Times New Roman" w:eastAsia="GungsuhChe" w:hAnsi="Times New Roman"/>
          <w:lang w:eastAsia="en-US"/>
        </w:rPr>
        <w:t> Court said that the freedom of interstate intercourse extended to "a guarantee of personal freedom 'to pass to and fro among the States without burden, hindrance or restriction'"</w:t>
      </w:r>
      <w:r w:rsidRPr="005C3622">
        <w:rPr>
          <w:rStyle w:val="FootnoteReference"/>
          <w:rFonts w:ascii="Times New Roman" w:eastAsia="GungsuhChe" w:hAnsi="Times New Roman"/>
          <w:sz w:val="24"/>
          <w:lang w:eastAsia="en-US"/>
        </w:rPr>
        <w:footnoteReference w:id="371"/>
      </w:r>
      <w:r w:rsidRPr="005C3622">
        <w:rPr>
          <w:rFonts w:ascii="Times New Roman" w:eastAsia="GungsuhChe" w:hAnsi="Times New Roman"/>
          <w:lang w:eastAsia="en-US"/>
        </w:rPr>
        <w:t>.</w:t>
      </w:r>
    </w:p>
    <w:p w14:paraId="4D9AC010"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eastAsia="GungsuhChe" w:hAnsi="Times New Roman"/>
          <w:lang w:eastAsia="en-US"/>
        </w:rPr>
      </w:pPr>
      <w:r w:rsidRPr="005C3622">
        <w:rPr>
          <w:rFonts w:ascii="Times New Roman" w:eastAsia="GungsuhChe" w:hAnsi="Times New Roman"/>
          <w:lang w:eastAsia="en-US"/>
        </w:rPr>
        <w:tab/>
        <w:t xml:space="preserve">The treatment in </w:t>
      </w:r>
      <w:r w:rsidRPr="005C3622">
        <w:rPr>
          <w:rFonts w:ascii="Times New Roman" w:eastAsia="GungsuhChe" w:hAnsi="Times New Roman"/>
          <w:i/>
          <w:iCs/>
          <w:lang w:eastAsia="en-US"/>
        </w:rPr>
        <w:t xml:space="preserve">Cole v Whitfield </w:t>
      </w:r>
      <w:r w:rsidRPr="005C3622">
        <w:rPr>
          <w:rFonts w:ascii="Times New Roman" w:eastAsia="GungsuhChe" w:hAnsi="Times New Roman"/>
          <w:lang w:eastAsia="en-US"/>
        </w:rPr>
        <w:t xml:space="preserve">of interstate intercourse as a "personal freedom" was not a suggestion that s 92 operated as a guarantee of a personal right rather than as a restriction upon legislative power. It was to emphasise the height of the barriers to the imposition of any burden upon interstate intercourse. That approach, by which s 92 was seen to guarantee more than merely freedom from discriminatory burdens, was not necessary for the decision in </w:t>
      </w:r>
      <w:r w:rsidRPr="005C3622">
        <w:rPr>
          <w:rFonts w:ascii="Times New Roman" w:eastAsia="GungsuhChe" w:hAnsi="Times New Roman"/>
          <w:i/>
          <w:iCs/>
          <w:lang w:eastAsia="en-US"/>
        </w:rPr>
        <w:t>Cole v Whitfield</w:t>
      </w:r>
      <w:r w:rsidRPr="005C3622">
        <w:rPr>
          <w:rFonts w:ascii="Times New Roman" w:eastAsia="GungsuhChe" w:hAnsi="Times New Roman"/>
          <w:lang w:eastAsia="en-US"/>
        </w:rPr>
        <w:t xml:space="preserve"> and should not be followed. Instead, for the reasons below, the test for contravention of the intercourse aspect of s 92 should be aligned with that applicable to the trade and commerce aspect. The test should involve an enquiry into whether the impugned law, without justification, discriminates between States by burdening one State more than another. The most common instance of such discrimination, and the intercourse with which this case was concerned and to which the State of Queensland pointed, is discrimination between intrastate and interstate intercourse. </w:t>
      </w:r>
    </w:p>
    <w:p w14:paraId="44C7148F" w14:textId="77777777" w:rsidR="002D2334" w:rsidRPr="005C3622" w:rsidRDefault="002D2334" w:rsidP="005C3622">
      <w:pPr>
        <w:pStyle w:val="HeadingL2"/>
        <w:spacing w:after="260" w:line="280" w:lineRule="exact"/>
        <w:ind w:right="0"/>
        <w:jc w:val="both"/>
        <w:rPr>
          <w:rFonts w:ascii="Times New Roman" w:eastAsia="GungsuhChe" w:hAnsi="Times New Roman"/>
          <w:lang w:eastAsia="en-US"/>
        </w:rPr>
      </w:pPr>
      <w:r w:rsidRPr="005C3622">
        <w:rPr>
          <w:rFonts w:ascii="Times New Roman" w:eastAsia="GungsuhChe" w:hAnsi="Times New Roman"/>
          <w:lang w:eastAsia="en-US"/>
        </w:rPr>
        <w:t xml:space="preserve">Extending the discrimination test to the intercourse aspect of s 92 </w:t>
      </w:r>
    </w:p>
    <w:p w14:paraId="246C85A5"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eastAsia="GungsuhChe" w:hAnsi="Times New Roman"/>
          <w:lang w:eastAsia="en-US"/>
        </w:rPr>
      </w:pPr>
      <w:r w:rsidRPr="005C3622">
        <w:rPr>
          <w:rFonts w:ascii="Times New Roman" w:eastAsia="GungsuhChe" w:hAnsi="Times New Roman"/>
          <w:lang w:eastAsia="en-US"/>
        </w:rPr>
        <w:tab/>
        <w:t>Interstate commerce is very often associated with, and inextricable from, interstate intercourse, as can be seen in the expression used before federation of "commercial intercourse"</w:t>
      </w:r>
      <w:r w:rsidRPr="005C3622">
        <w:rPr>
          <w:rStyle w:val="FootnoteReference"/>
          <w:rFonts w:ascii="Times New Roman" w:eastAsia="GungsuhChe" w:hAnsi="Times New Roman"/>
          <w:sz w:val="24"/>
          <w:lang w:eastAsia="en-US"/>
        </w:rPr>
        <w:footnoteReference w:id="372"/>
      </w:r>
      <w:r w:rsidRPr="005C3622">
        <w:rPr>
          <w:rFonts w:ascii="Times New Roman" w:eastAsia="GungsuhChe" w:hAnsi="Times New Roman"/>
          <w:lang w:eastAsia="en-US"/>
        </w:rPr>
        <w:t>. The association of the two is usually so close that Sir Robert Garran had thought that it might be better to leave out the words "and intercourse" because "[t]</w:t>
      </w:r>
      <w:r w:rsidRPr="005C3622">
        <w:rPr>
          <w:rFonts w:ascii="Times New Roman" w:hAnsi="Times New Roman"/>
        </w:rPr>
        <w:t>rade and commerce have always been held to include intercourse, and the insertion of 'intercourse' [in s 92] may limit the meaning of 'trade and commerce' elsewhere"</w:t>
      </w:r>
      <w:r w:rsidRPr="005C3622">
        <w:rPr>
          <w:rStyle w:val="FootnoteReference"/>
          <w:rFonts w:ascii="Times New Roman" w:hAnsi="Times New Roman"/>
          <w:sz w:val="24"/>
        </w:rPr>
        <w:footnoteReference w:id="373"/>
      </w:r>
      <w:r w:rsidRPr="005C3622">
        <w:rPr>
          <w:rFonts w:ascii="Times New Roman" w:hAnsi="Times New Roman"/>
        </w:rPr>
        <w:t>.</w:t>
      </w:r>
      <w:r w:rsidRPr="005C3622">
        <w:rPr>
          <w:rFonts w:ascii="Times New Roman" w:eastAsia="GungsuhChe" w:hAnsi="Times New Roman"/>
          <w:lang w:eastAsia="en-US"/>
        </w:rPr>
        <w:t xml:space="preserve"> But the conclusion that "intercourse" is limited by a requirement that its purpose be trade and commerce is a formal fallacy, inferring inevitability from usual association. That conclusion has never been accepted. It was expressly rejected in </w:t>
      </w:r>
      <w:r w:rsidRPr="005C3622">
        <w:rPr>
          <w:rFonts w:ascii="Times New Roman" w:hAnsi="Times New Roman"/>
          <w:i/>
          <w:iCs/>
        </w:rPr>
        <w:t>Nationwide News Pty Ltd v Wills</w:t>
      </w:r>
      <w:r w:rsidRPr="005C3622">
        <w:rPr>
          <w:rStyle w:val="FootnoteReference"/>
          <w:rFonts w:ascii="Times New Roman" w:hAnsi="Times New Roman"/>
          <w:sz w:val="24"/>
        </w:rPr>
        <w:footnoteReference w:id="374"/>
      </w:r>
      <w:r w:rsidRPr="005C3622">
        <w:rPr>
          <w:rFonts w:ascii="Times New Roman" w:hAnsi="Times New Roman"/>
        </w:rPr>
        <w:t xml:space="preserve"> by Deane and Toohey JJ. In </w:t>
      </w:r>
      <w:r w:rsidRPr="005C3622">
        <w:rPr>
          <w:rFonts w:ascii="Times New Roman" w:hAnsi="Times New Roman"/>
          <w:i/>
          <w:iCs/>
        </w:rPr>
        <w:t>Cole v Whitfield</w:t>
      </w:r>
      <w:r w:rsidRPr="005C3622">
        <w:rPr>
          <w:rStyle w:val="FootnoteReference"/>
          <w:rFonts w:ascii="Times New Roman" w:eastAsia="GungsuhChe" w:hAnsi="Times New Roman"/>
          <w:sz w:val="24"/>
          <w:lang w:eastAsia="en-US"/>
        </w:rPr>
        <w:footnoteReference w:id="375"/>
      </w:r>
      <w:r w:rsidRPr="005C3622">
        <w:rPr>
          <w:rFonts w:ascii="Times New Roman" w:hAnsi="Times New Roman"/>
          <w:i/>
          <w:iCs/>
        </w:rPr>
        <w:t xml:space="preserve"> </w:t>
      </w:r>
      <w:r w:rsidRPr="005C3622">
        <w:rPr>
          <w:rFonts w:ascii="Times New Roman" w:hAnsi="Times New Roman"/>
        </w:rPr>
        <w:t>this Court had proceeded on the assumption that the freedom of intercourse was not limited to intercourse in trade and commerce.</w:t>
      </w:r>
    </w:p>
    <w:p w14:paraId="724FE0A8"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eastAsia="GungsuhChe" w:hAnsi="Times New Roman"/>
          <w:lang w:eastAsia="en-US"/>
        </w:rPr>
      </w:pPr>
      <w:r w:rsidRPr="005C3622">
        <w:rPr>
          <w:rFonts w:ascii="Times New Roman" w:eastAsia="GungsuhChe" w:hAnsi="Times New Roman"/>
          <w:lang w:eastAsia="en-US"/>
        </w:rPr>
        <w:tab/>
        <w:t xml:space="preserve">It is one thing to conclude, correctly, that the expression "trade, commerce, and intercourse among the States ... shall be absolutely free" does not require that intercourse be for the purpose of trade and commerce. But it is quite another to conclude that fundamentally different tests should be applied to the freedom of trade and commerce on the one hand, and the freedom of intercourse on the other. Nevertheless, the reasoning in </w:t>
      </w:r>
      <w:r w:rsidRPr="005C3622">
        <w:rPr>
          <w:rFonts w:ascii="Times New Roman" w:eastAsia="GungsuhChe" w:hAnsi="Times New Roman"/>
          <w:i/>
          <w:iCs/>
          <w:lang w:eastAsia="en-US"/>
        </w:rPr>
        <w:t>Cole v Whitfield</w:t>
      </w:r>
      <w:r w:rsidRPr="005C3622">
        <w:rPr>
          <w:rStyle w:val="FootnoteReference"/>
          <w:rFonts w:ascii="Times New Roman" w:eastAsia="GungsuhChe" w:hAnsi="Times New Roman"/>
          <w:iCs/>
          <w:sz w:val="24"/>
          <w:lang w:eastAsia="en-US"/>
        </w:rPr>
        <w:footnoteReference w:id="376"/>
      </w:r>
      <w:r w:rsidRPr="005C3622">
        <w:rPr>
          <w:rFonts w:ascii="Times New Roman" w:eastAsia="GungsuhChe" w:hAnsi="Times New Roman"/>
          <w:i/>
          <w:iCs/>
          <w:lang w:eastAsia="en-US"/>
        </w:rPr>
        <w:t xml:space="preserve"> </w:t>
      </w:r>
      <w:r w:rsidRPr="005C3622">
        <w:rPr>
          <w:rFonts w:ascii="Times New Roman" w:eastAsia="GungsuhChe" w:hAnsi="Times New Roman"/>
          <w:lang w:eastAsia="en-US"/>
        </w:rPr>
        <w:t xml:space="preserve">to the effect that these two aspects of the constitutional freedom in s 92 should be treated differently has largely been unquestioned in later cases. But not always. </w:t>
      </w:r>
    </w:p>
    <w:p w14:paraId="7D6A8570"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eastAsia="GungsuhChe" w:hAnsi="Times New Roman"/>
          <w:lang w:eastAsia="en-US"/>
        </w:rPr>
      </w:pPr>
      <w:r w:rsidRPr="005C3622">
        <w:rPr>
          <w:rFonts w:ascii="Times New Roman" w:eastAsia="GungsuhChe" w:hAnsi="Times New Roman"/>
          <w:lang w:eastAsia="en-US"/>
        </w:rPr>
        <w:tab/>
        <w:t xml:space="preserve">The clearest example of an approach which substantially assimilates the two aspects of s 92 was that taken by Toohey J in </w:t>
      </w:r>
      <w:r w:rsidRPr="005C3622">
        <w:rPr>
          <w:rFonts w:ascii="Times New Roman" w:hAnsi="Times New Roman"/>
          <w:i/>
          <w:iCs/>
        </w:rPr>
        <w:t>Cunliffe v The Commonwealth</w:t>
      </w:r>
      <w:r w:rsidRPr="005C3622">
        <w:rPr>
          <w:rStyle w:val="FootnoteReference"/>
          <w:rFonts w:ascii="Times New Roman" w:hAnsi="Times New Roman"/>
          <w:sz w:val="24"/>
        </w:rPr>
        <w:footnoteReference w:id="377"/>
      </w:r>
      <w:r w:rsidRPr="005C3622">
        <w:rPr>
          <w:rFonts w:ascii="Times New Roman" w:hAnsi="Times New Roman"/>
          <w:i/>
          <w:iCs/>
        </w:rPr>
        <w:t xml:space="preserve">. </w:t>
      </w:r>
      <w:r w:rsidRPr="005C3622">
        <w:rPr>
          <w:rFonts w:ascii="Times New Roman" w:hAnsi="Times New Roman"/>
        </w:rPr>
        <w:t xml:space="preserve">In that case, the provisions of Pt 2A of the </w:t>
      </w:r>
      <w:r w:rsidRPr="005C3622">
        <w:rPr>
          <w:rFonts w:ascii="Times New Roman" w:hAnsi="Times New Roman"/>
          <w:i/>
          <w:iCs/>
        </w:rPr>
        <w:t xml:space="preserve">Migration Act 1958 </w:t>
      </w:r>
      <w:r w:rsidRPr="005C3622">
        <w:rPr>
          <w:rFonts w:ascii="Times New Roman" w:hAnsi="Times New Roman"/>
        </w:rPr>
        <w:t>(Cth), which regulated the operation of migration agents, were said to contravene the freedom of interstate intercourse. The provisions were said to burden interstate communications involved in immigration assistance and immigration representations. In the majority for holding the provisions entirely valid, Toohey J dismissed the submission that the provisions were contrary to s 92, saying</w:t>
      </w:r>
      <w:r w:rsidRPr="005C3622">
        <w:rPr>
          <w:rStyle w:val="FootnoteReference"/>
          <w:rFonts w:ascii="Times New Roman" w:hAnsi="Times New Roman"/>
          <w:sz w:val="24"/>
        </w:rPr>
        <w:footnoteReference w:id="378"/>
      </w:r>
      <w:r w:rsidRPr="005C3622">
        <w:rPr>
          <w:rFonts w:ascii="Times New Roman" w:hAnsi="Times New Roman"/>
        </w:rPr>
        <w:t>:</w:t>
      </w:r>
    </w:p>
    <w:p w14:paraId="7A8E15FE" w14:textId="77777777" w:rsidR="002D2334" w:rsidRDefault="002D2334" w:rsidP="005C3622">
      <w:pPr>
        <w:pStyle w:val="LeftrightafterHC"/>
        <w:spacing w:before="0" w:after="260" w:line="280" w:lineRule="exact"/>
        <w:ind w:right="0"/>
        <w:jc w:val="both"/>
        <w:rPr>
          <w:rFonts w:ascii="Times New Roman" w:eastAsia="GungsuhChe" w:hAnsi="Times New Roman"/>
          <w:lang w:eastAsia="en-US"/>
        </w:rPr>
      </w:pPr>
      <w:r w:rsidRPr="005C3622">
        <w:rPr>
          <w:rFonts w:ascii="Times New Roman" w:eastAsia="GungsuhChe" w:hAnsi="Times New Roman"/>
          <w:lang w:eastAsia="en-US"/>
        </w:rPr>
        <w:t>"Pt 2A is a law of general application. Neither in its terms nor in its operation does it impose any burden on interstate intercourse which it would not impose, absent State borders."</w:t>
      </w:r>
    </w:p>
    <w:p w14:paraId="37EE984D"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eastAsia="GungsuhChe" w:hAnsi="Times New Roman"/>
          <w:lang w:eastAsia="en-US"/>
        </w:rPr>
      </w:pPr>
      <w:r w:rsidRPr="005C3622">
        <w:rPr>
          <w:rFonts w:ascii="Times New Roman" w:hAnsi="Times New Roman"/>
        </w:rPr>
        <w:tab/>
        <w:t xml:space="preserve">The approach of Toohey J requires consideration of whether the impugned law discriminates between dealings or communications between persons based upon State boundaries. To burden intercourse in any State by reference to State borders is to discriminate against interstate intercourse. This reasoning applies the discrimination focus from the trade and commerce aspect to the intercourse aspect. The reasoning of Toohey J has powerful support in the text, the context, and the purpose of s 92. </w:t>
      </w:r>
    </w:p>
    <w:p w14:paraId="57559285"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eastAsia="GungsuhChe" w:hAnsi="Times New Roman"/>
          <w:lang w:eastAsia="en-US"/>
        </w:rPr>
      </w:pPr>
      <w:r w:rsidRPr="005C3622">
        <w:rPr>
          <w:rFonts w:ascii="Times New Roman" w:hAnsi="Times New Roman"/>
        </w:rPr>
        <w:tab/>
        <w:t>As to the text, "</w:t>
      </w:r>
      <w:r w:rsidRPr="005C3622">
        <w:rPr>
          <w:rFonts w:ascii="Times New Roman" w:eastAsia="GungsuhChe" w:hAnsi="Times New Roman"/>
          <w:lang w:eastAsia="en-US"/>
        </w:rPr>
        <w:t>intercourse" appeared from the first draft of the clause which became s 92 in the expression "trade or intercourse"</w:t>
      </w:r>
      <w:r w:rsidRPr="005C3622">
        <w:rPr>
          <w:rStyle w:val="FootnoteReference"/>
          <w:rFonts w:ascii="Times New Roman" w:eastAsia="GungsuhChe" w:hAnsi="Times New Roman"/>
          <w:sz w:val="24"/>
          <w:lang w:eastAsia="en-US"/>
        </w:rPr>
        <w:footnoteReference w:id="379"/>
      </w:r>
      <w:r w:rsidRPr="005C3622">
        <w:rPr>
          <w:rFonts w:ascii="Times New Roman" w:eastAsia="GungsuhChe" w:hAnsi="Times New Roman"/>
          <w:lang w:eastAsia="en-US"/>
        </w:rPr>
        <w:t xml:space="preserve">. </w:t>
      </w:r>
      <w:r w:rsidRPr="005C3622">
        <w:rPr>
          <w:rFonts w:ascii="Times New Roman" w:hAnsi="Times New Roman"/>
        </w:rPr>
        <w:t xml:space="preserve">The composite nature of the expression "trade, commerce, and intercourse" militates against different tests for the trade and commerce aspect on the one hand and the intercourse aspect on the other. </w:t>
      </w:r>
      <w:r w:rsidRPr="005C3622">
        <w:rPr>
          <w:rFonts w:ascii="Times New Roman" w:eastAsia="GungsuhChe" w:hAnsi="Times New Roman"/>
          <w:lang w:eastAsia="en-US"/>
        </w:rPr>
        <w:t>Each of the components of that expression is governed by the same qualifiers, from which the test derives, "absolutely free"</w:t>
      </w:r>
      <w:r w:rsidRPr="005C3622">
        <w:rPr>
          <w:rStyle w:val="FootnoteReference"/>
          <w:rFonts w:ascii="Times New Roman" w:eastAsia="GungsuhChe" w:hAnsi="Times New Roman"/>
          <w:sz w:val="24"/>
          <w:lang w:eastAsia="en-US"/>
        </w:rPr>
        <w:footnoteReference w:id="380"/>
      </w:r>
      <w:r w:rsidRPr="005C3622">
        <w:rPr>
          <w:rFonts w:ascii="Times New Roman" w:eastAsia="GungsuhChe" w:hAnsi="Times New Roman"/>
          <w:lang w:eastAsia="en-US"/>
        </w:rPr>
        <w:t xml:space="preserve"> and "among the States". As Hayne J observed in </w:t>
      </w:r>
      <w:r w:rsidRPr="005C3622">
        <w:rPr>
          <w:rFonts w:ascii="Times New Roman" w:eastAsia="GungsuhChe" w:hAnsi="Times New Roman"/>
          <w:i/>
          <w:iCs/>
          <w:lang w:eastAsia="en-US"/>
        </w:rPr>
        <w:t>APLA Ltd v Legal Services Commissioner (NSW)</w:t>
      </w:r>
      <w:r w:rsidRPr="005C3622">
        <w:rPr>
          <w:rStyle w:val="FootnoteReference"/>
          <w:rFonts w:ascii="Times New Roman" w:eastAsia="GungsuhChe" w:hAnsi="Times New Roman"/>
          <w:sz w:val="24"/>
          <w:lang w:eastAsia="en-US"/>
        </w:rPr>
        <w:footnoteReference w:id="381"/>
      </w:r>
      <w:r w:rsidRPr="005C3622">
        <w:rPr>
          <w:rFonts w:ascii="Times New Roman" w:eastAsia="GungsuhChe" w:hAnsi="Times New Roman"/>
          <w:lang w:eastAsia="en-US"/>
        </w:rPr>
        <w:t xml:space="preserve">, the text of </w:t>
      </w:r>
      <w:r w:rsidRPr="005C3622">
        <w:rPr>
          <w:rFonts w:ascii="Times New Roman" w:hAnsi="Times New Roman"/>
        </w:rPr>
        <w:t>s 92</w:t>
      </w:r>
      <w:r w:rsidRPr="005C3622">
        <w:rPr>
          <w:rFonts w:ascii="Times New Roman" w:eastAsia="GungsuhChe" w:hAnsi="Times New Roman"/>
          <w:lang w:eastAsia="en-US"/>
        </w:rPr>
        <w:t xml:space="preserve"> involves "three elements of a composite expression (trade, commerce, and intercourse among the States)" and "does not readily yield a distinction" between those elements.  </w:t>
      </w:r>
    </w:p>
    <w:p w14:paraId="08E2DC46"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eastAsia="GungsuhChe" w:hAnsi="Times New Roman"/>
          <w:lang w:eastAsia="en-US"/>
        </w:rPr>
      </w:pPr>
      <w:r w:rsidRPr="005C3622">
        <w:rPr>
          <w:rFonts w:ascii="Times New Roman" w:eastAsia="GungsuhChe" w:hAnsi="Times New Roman"/>
          <w:b/>
          <w:bCs/>
          <w:lang w:eastAsia="en-US"/>
        </w:rPr>
        <w:tab/>
      </w:r>
      <w:r w:rsidRPr="005C3622">
        <w:rPr>
          <w:rFonts w:ascii="Times New Roman" w:eastAsia="GungsuhChe" w:hAnsi="Times New Roman"/>
          <w:lang w:eastAsia="en-US"/>
        </w:rPr>
        <w:t>As to context, many transactions which constitute trade and commerce among the States will also constitute intercourse among the States</w:t>
      </w:r>
      <w:r w:rsidRPr="005C3622">
        <w:rPr>
          <w:rStyle w:val="FootnoteReference"/>
          <w:rFonts w:ascii="Times New Roman" w:eastAsia="GungsuhChe" w:hAnsi="Times New Roman"/>
          <w:sz w:val="24"/>
          <w:lang w:eastAsia="en-US"/>
        </w:rPr>
        <w:footnoteReference w:id="382"/>
      </w:r>
      <w:r w:rsidRPr="005C3622">
        <w:rPr>
          <w:rFonts w:ascii="Times New Roman" w:eastAsia="GungsuhChe" w:hAnsi="Times New Roman"/>
          <w:lang w:eastAsia="en-US"/>
        </w:rPr>
        <w:t>. Goods that are provided in commerce across State boundaries are usually transported by people. Services that are provided in commerce across State boundaries are usually provided by people. Hence, many laws that concern commerce across State boundaries will often concern the movement of people across the same boundaries. If the two aspects of s 92 have different tests there will be an inevitable "tension"</w:t>
      </w:r>
      <w:r w:rsidRPr="005C3622">
        <w:rPr>
          <w:rStyle w:val="FootnoteReference"/>
          <w:rFonts w:ascii="Times New Roman" w:eastAsia="GungsuhChe" w:hAnsi="Times New Roman"/>
          <w:sz w:val="24"/>
          <w:lang w:eastAsia="en-US"/>
        </w:rPr>
        <w:footnoteReference w:id="383"/>
      </w:r>
      <w:r w:rsidRPr="005C3622">
        <w:rPr>
          <w:rFonts w:ascii="Times New Roman" w:eastAsia="GungsuhChe" w:hAnsi="Times New Roman"/>
          <w:lang w:eastAsia="en-US"/>
        </w:rPr>
        <w:t xml:space="preserve"> between them. Should a law concerning commercial intercourse always be required to satisfy both tests, with the practical effect that the more stringent test for intercourse would be applied to commercial intercourse rather than the less stringent test for trade and commerce? Or should a law concerning commercial intercourse only be required to satisfy the test for trade and commerce, in effect subjecting a law that burdens intercourse to a less stringent test where that intercourse is in trade and commerce</w:t>
      </w:r>
      <w:r w:rsidRPr="005C3622">
        <w:rPr>
          <w:rStyle w:val="FootnoteReference"/>
          <w:rFonts w:ascii="Times New Roman" w:eastAsia="GungsuhChe" w:hAnsi="Times New Roman"/>
          <w:sz w:val="24"/>
          <w:lang w:eastAsia="en-US"/>
        </w:rPr>
        <w:footnoteReference w:id="384"/>
      </w:r>
      <w:r w:rsidRPr="005C3622">
        <w:rPr>
          <w:rFonts w:ascii="Times New Roman" w:eastAsia="GungsuhChe" w:hAnsi="Times New Roman"/>
          <w:lang w:eastAsia="en-US"/>
        </w:rPr>
        <w:t>? Another approach, described by one commentator as "very unsatisfactory"</w:t>
      </w:r>
      <w:r w:rsidRPr="005C3622">
        <w:rPr>
          <w:rStyle w:val="FootnoteReference"/>
          <w:rFonts w:ascii="Times New Roman" w:eastAsia="GungsuhChe" w:hAnsi="Times New Roman"/>
          <w:sz w:val="24"/>
          <w:lang w:eastAsia="en-US"/>
        </w:rPr>
        <w:footnoteReference w:id="385"/>
      </w:r>
      <w:r w:rsidRPr="005C3622">
        <w:rPr>
          <w:rFonts w:ascii="Times New Roman" w:eastAsia="GungsuhChe" w:hAnsi="Times New Roman"/>
          <w:lang w:eastAsia="en-US"/>
        </w:rPr>
        <w:t>, is for the test to be applied to depend upon whether the law is characterised as one concerning trade and commerce or one concerning intercourse</w:t>
      </w:r>
      <w:r w:rsidRPr="005C3622">
        <w:rPr>
          <w:rStyle w:val="FootnoteReference"/>
          <w:rFonts w:ascii="Times New Roman" w:eastAsia="GungsuhChe" w:hAnsi="Times New Roman"/>
          <w:sz w:val="24"/>
          <w:lang w:eastAsia="en-US"/>
        </w:rPr>
        <w:footnoteReference w:id="386"/>
      </w:r>
      <w:r w:rsidRPr="005C3622">
        <w:rPr>
          <w:rFonts w:ascii="Times New Roman" w:eastAsia="GungsuhChe" w:hAnsi="Times New Roman"/>
          <w:lang w:eastAsia="en-US"/>
        </w:rPr>
        <w:t xml:space="preserve">. None of these approaches is without difficulty. </w:t>
      </w:r>
    </w:p>
    <w:p w14:paraId="022928C0"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eastAsia="GungsuhChe" w:hAnsi="Times New Roman"/>
          <w:lang w:eastAsia="en-US"/>
        </w:rPr>
      </w:pPr>
      <w:r w:rsidRPr="005C3622">
        <w:rPr>
          <w:rFonts w:ascii="Times New Roman" w:eastAsia="GungsuhChe" w:hAnsi="Times New Roman"/>
          <w:lang w:eastAsia="en-US"/>
        </w:rPr>
        <w:tab/>
        <w:t xml:space="preserve">As to purpose, each aspect of s 92 shares a common purpose of ensuring free movement across borders of goods, services, dealings, and communications. When Sir Henry Parkes proposed the motion in 1891 that "trade and intercourse between the federated colonies ... shall be absolutely free" he saw trade and intercourse as part of a composite expression, with the common goal of removing </w:t>
      </w:r>
      <w:r w:rsidRPr="005C3622">
        <w:rPr>
          <w:rFonts w:ascii="Times New Roman" w:hAnsi="Times New Roman"/>
        </w:rPr>
        <w:t>barriers "of any kind between one section of the Australian people and another"</w:t>
      </w:r>
      <w:r w:rsidRPr="005C3622">
        <w:rPr>
          <w:rStyle w:val="FootnoteReference"/>
          <w:rFonts w:ascii="Times New Roman" w:hAnsi="Times New Roman"/>
          <w:sz w:val="24"/>
        </w:rPr>
        <w:footnoteReference w:id="387"/>
      </w:r>
      <w:r w:rsidRPr="005C3622">
        <w:rPr>
          <w:rFonts w:ascii="Times New Roman" w:hAnsi="Times New Roman"/>
        </w:rPr>
        <w:t xml:space="preserve">. </w:t>
      </w:r>
      <w:r w:rsidRPr="005C3622">
        <w:rPr>
          <w:rFonts w:ascii="Times New Roman" w:eastAsia="GungsuhChe" w:hAnsi="Times New Roman"/>
          <w:lang w:eastAsia="en-US"/>
        </w:rPr>
        <w:t>Hence, if the intercourse aspect of s 92 shares a focus upon discrimination between the States then it can readily be seen to align with the single purpose of s 92 "to create a free trade area throughout the Commonwealth and to deny to Commonwealth and States alike a power to prevent or obstruct the free movement of people, goods and communications across State boundaries"</w:t>
      </w:r>
      <w:r w:rsidRPr="005C3622">
        <w:rPr>
          <w:rStyle w:val="FootnoteReference"/>
          <w:rFonts w:ascii="Times New Roman" w:eastAsia="GungsuhChe" w:hAnsi="Times New Roman"/>
          <w:sz w:val="24"/>
          <w:lang w:eastAsia="en-US"/>
        </w:rPr>
        <w:footnoteReference w:id="388"/>
      </w:r>
      <w:r w:rsidRPr="005C3622">
        <w:rPr>
          <w:rFonts w:ascii="Times New Roman" w:eastAsia="GungsuhChe" w:hAnsi="Times New Roman"/>
          <w:lang w:eastAsia="en-US"/>
        </w:rPr>
        <w:t>. Without a requirement for discrimination, a near-absolute freedom of intercourse would put interstate intercourse "on a privileged or preferred footing, immune from burdens" to which other intercourse is subject</w:t>
      </w:r>
      <w:r w:rsidRPr="005C3622">
        <w:rPr>
          <w:rStyle w:val="FootnoteReference"/>
          <w:rFonts w:ascii="Times New Roman" w:eastAsia="GungsuhChe" w:hAnsi="Times New Roman"/>
          <w:sz w:val="24"/>
          <w:lang w:eastAsia="en-US"/>
        </w:rPr>
        <w:footnoteReference w:id="389"/>
      </w:r>
      <w:r w:rsidRPr="005C3622">
        <w:rPr>
          <w:rFonts w:ascii="Times New Roman" w:hAnsi="Times New Roman"/>
        </w:rPr>
        <w:t>.</w:t>
      </w:r>
    </w:p>
    <w:p w14:paraId="000CED86"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eastAsia="GungsuhChe" w:hAnsi="Times New Roman"/>
          <w:lang w:eastAsia="en-US"/>
        </w:rPr>
      </w:pPr>
      <w:r w:rsidRPr="005C3622">
        <w:rPr>
          <w:rFonts w:ascii="Times New Roman" w:eastAsia="GungsuhChe" w:hAnsi="Times New Roman"/>
          <w:lang w:eastAsia="en-US"/>
        </w:rPr>
        <w:tab/>
        <w:t>The effect of this conclusion is that s 92 prohibits any form of unjustified discrimination between States in relation to intercourse among the States. No person should be subject to unjustified restrictions by reference to State borders on dealings or communication, whether constituting commercial or non</w:t>
      </w:r>
      <w:r w:rsidRPr="005C3622">
        <w:rPr>
          <w:rFonts w:ascii="Times New Roman" w:eastAsia="GungsuhChe" w:hAnsi="Times New Roman"/>
          <w:lang w:eastAsia="en-US"/>
        </w:rPr>
        <w:noBreakHyphen/>
        <w:t xml:space="preserve">commercial intercourse. </w:t>
      </w:r>
      <w:r w:rsidRPr="005C3622">
        <w:rPr>
          <w:rFonts w:ascii="Times New Roman" w:hAnsi="Times New Roman"/>
        </w:rPr>
        <w:t>The intercourse aspect of s 92 is concerned with discrimination in relation to intercourse between any States, not merely intercourse between a foreign State and the local State.</w:t>
      </w:r>
      <w:r w:rsidRPr="005C3622">
        <w:rPr>
          <w:rFonts w:ascii="Times New Roman" w:eastAsia="GungsuhChe" w:hAnsi="Times New Roman"/>
          <w:lang w:eastAsia="en-US"/>
        </w:rPr>
        <w:t xml:space="preserve"> Hence, a law enacted in Western Australia that imposes restrictions on entry into Western Australia upon residents of New South Wales but no such restrictions upon residents of Queensland involves a burden upon intercourse among the States by two types of discrimination. The law must be justified not merely by reference to the restriction upon New South Wales residents vis-à-vis Western Australian residents but also by reference to the restriction upon New South Wales residents vis-à-vis Queensland residents.</w:t>
      </w:r>
    </w:p>
    <w:p w14:paraId="0B00E1C3" w14:textId="77777777" w:rsidR="002D2334" w:rsidRPr="005C3622" w:rsidRDefault="002D2334" w:rsidP="005C3622">
      <w:pPr>
        <w:pStyle w:val="HeadingL2"/>
        <w:spacing w:after="260" w:line="280" w:lineRule="exact"/>
        <w:ind w:right="0"/>
        <w:jc w:val="both"/>
        <w:rPr>
          <w:rFonts w:ascii="Times New Roman" w:eastAsia="GungsuhChe" w:hAnsi="Times New Roman"/>
          <w:lang w:eastAsia="en-US"/>
        </w:rPr>
      </w:pPr>
      <w:r w:rsidRPr="005C3622">
        <w:rPr>
          <w:rFonts w:ascii="Times New Roman" w:eastAsia="GungsuhChe" w:hAnsi="Times New Roman"/>
          <w:lang w:eastAsia="en-US"/>
        </w:rPr>
        <w:t xml:space="preserve">Protectionism in the trade and commerce aspect of s 92 </w:t>
      </w:r>
    </w:p>
    <w:p w14:paraId="3BE1A32B"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eastAsia="GungsuhChe" w:hAnsi="Times New Roman"/>
          <w:lang w:eastAsia="en-US"/>
        </w:rPr>
      </w:pPr>
      <w:r w:rsidRPr="005C3622">
        <w:rPr>
          <w:rFonts w:ascii="Times New Roman" w:eastAsia="GungsuhChe" w:hAnsi="Times New Roman"/>
          <w:lang w:eastAsia="en-US"/>
        </w:rPr>
        <w:tab/>
        <w:t xml:space="preserve">Despite the force of Queensland's submission that the test for the intercourse aspect should align with that for the trade and commerce aspect, and despite the obvious need for freedom of intercourse, which need not be commercial, not to be confined to freedom from protectionist discrimination, no party challenged the assumption in </w:t>
      </w:r>
      <w:r w:rsidRPr="005C3622">
        <w:rPr>
          <w:rFonts w:ascii="Times New Roman" w:eastAsia="GungsuhChe" w:hAnsi="Times New Roman"/>
          <w:i/>
          <w:iCs/>
          <w:lang w:eastAsia="en-US"/>
        </w:rPr>
        <w:t xml:space="preserve">Cole v Whitfield </w:t>
      </w:r>
      <w:r w:rsidRPr="005C3622">
        <w:rPr>
          <w:rFonts w:ascii="Times New Roman" w:eastAsia="GungsuhChe" w:hAnsi="Times New Roman"/>
          <w:lang w:eastAsia="en-US"/>
        </w:rPr>
        <w:t xml:space="preserve">that the discrimination between the States in the trade and commerce aspect of s 92 is limited to protectionist discrimination. </w:t>
      </w:r>
    </w:p>
    <w:p w14:paraId="5A3D6D5E"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eastAsia="GungsuhChe" w:hAnsi="Times New Roman"/>
          <w:lang w:eastAsia="en-US"/>
        </w:rPr>
      </w:pPr>
      <w:r w:rsidRPr="005C3622">
        <w:rPr>
          <w:rFonts w:ascii="Times New Roman" w:eastAsia="GungsuhChe" w:hAnsi="Times New Roman"/>
          <w:lang w:eastAsia="en-US"/>
        </w:rPr>
        <w:tab/>
        <w:t>As explained above, protectionism is the "protection of domestic [intrastate] industries against foreign [interstate] competition"</w:t>
      </w:r>
      <w:r w:rsidRPr="005C3622">
        <w:rPr>
          <w:rStyle w:val="FootnoteReference"/>
          <w:rFonts w:ascii="Times New Roman" w:eastAsia="GungsuhChe" w:hAnsi="Times New Roman"/>
          <w:sz w:val="24"/>
          <w:lang w:eastAsia="en-US"/>
        </w:rPr>
        <w:footnoteReference w:id="390"/>
      </w:r>
      <w:r w:rsidRPr="005C3622">
        <w:rPr>
          <w:rFonts w:ascii="Times New Roman" w:eastAsia="GungsuhChe" w:hAnsi="Times New Roman"/>
          <w:lang w:eastAsia="en-US"/>
        </w:rPr>
        <w:t>. It gives "</w:t>
      </w:r>
      <w:r w:rsidRPr="005C3622">
        <w:rPr>
          <w:rFonts w:ascii="Times New Roman" w:hAnsi="Times New Roman"/>
        </w:rPr>
        <w:t>the domestic product or the intrastate trade in that product a competitive or market advantage over the imported product or the interstate trade in that product"</w:t>
      </w:r>
      <w:r w:rsidRPr="005C3622">
        <w:rPr>
          <w:rStyle w:val="FootnoteReference"/>
          <w:rFonts w:ascii="Times New Roman" w:hAnsi="Times New Roman"/>
          <w:sz w:val="24"/>
        </w:rPr>
        <w:footnoteReference w:id="391"/>
      </w:r>
      <w:r w:rsidRPr="005C3622">
        <w:rPr>
          <w:rFonts w:ascii="Times New Roman" w:hAnsi="Times New Roman"/>
        </w:rPr>
        <w:t xml:space="preserve">. Of all the concepts invoked in the explication of s 92 in </w:t>
      </w:r>
      <w:r w:rsidRPr="005C3622">
        <w:rPr>
          <w:rFonts w:ascii="Times New Roman" w:hAnsi="Times New Roman"/>
          <w:i/>
          <w:iCs/>
        </w:rPr>
        <w:t>Cole v Whitfield</w:t>
      </w:r>
      <w:r w:rsidRPr="005C3622">
        <w:rPr>
          <w:rFonts w:ascii="Times New Roman" w:hAnsi="Times New Roman"/>
        </w:rPr>
        <w:t>, the concept of protectionism has been described as "the one least known to constitutional law in Australia"</w:t>
      </w:r>
      <w:r w:rsidRPr="005C3622">
        <w:rPr>
          <w:rStyle w:val="FootnoteReference"/>
          <w:rFonts w:ascii="Times New Roman" w:hAnsi="Times New Roman"/>
          <w:sz w:val="24"/>
        </w:rPr>
        <w:footnoteReference w:id="392"/>
      </w:r>
      <w:r w:rsidRPr="005C3622">
        <w:rPr>
          <w:rFonts w:ascii="Times New Roman" w:hAnsi="Times New Roman"/>
        </w:rPr>
        <w:t xml:space="preserve">. It is, by far, the most common manner by which State laws might discriminate between States in trade and commerce. But it is not the only manner. </w:t>
      </w:r>
    </w:p>
    <w:p w14:paraId="01998EE9"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eastAsia="GungsuhChe" w:hAnsi="Times New Roman"/>
          <w:lang w:eastAsia="en-US"/>
        </w:rPr>
      </w:pPr>
      <w:r w:rsidRPr="005C3622">
        <w:rPr>
          <w:rFonts w:ascii="Times New Roman" w:eastAsia="GungsuhChe" w:hAnsi="Times New Roman"/>
          <w:lang w:eastAsia="en-US"/>
        </w:rPr>
        <w:tab/>
        <w:t>The assumption in this case, based solidly in long-standing</w:t>
      </w:r>
      <w:r w:rsidRPr="005C3622">
        <w:rPr>
          <w:rStyle w:val="FootnoteReference"/>
          <w:rFonts w:ascii="Times New Roman" w:eastAsia="GungsuhChe" w:hAnsi="Times New Roman"/>
          <w:sz w:val="24"/>
          <w:lang w:eastAsia="en-US"/>
        </w:rPr>
        <w:footnoteReference w:id="393"/>
      </w:r>
      <w:r w:rsidRPr="005C3622">
        <w:rPr>
          <w:rFonts w:ascii="Times New Roman" w:eastAsia="GungsuhChe" w:hAnsi="Times New Roman"/>
          <w:lang w:eastAsia="en-US"/>
        </w:rPr>
        <w:t>, accepted</w:t>
      </w:r>
      <w:r w:rsidRPr="005C3622">
        <w:rPr>
          <w:rStyle w:val="FootnoteReference"/>
          <w:rFonts w:ascii="Times New Roman" w:eastAsia="GungsuhChe" w:hAnsi="Times New Roman"/>
          <w:sz w:val="24"/>
          <w:lang w:eastAsia="en-US"/>
        </w:rPr>
        <w:footnoteReference w:id="394"/>
      </w:r>
      <w:r w:rsidRPr="005C3622">
        <w:rPr>
          <w:rFonts w:ascii="Times New Roman" w:eastAsia="GungsuhChe" w:hAnsi="Times New Roman"/>
          <w:lang w:eastAsia="en-US"/>
        </w:rPr>
        <w:t xml:space="preserve"> precedent, that any requirement for discrimination in a test for freedom of interstate intercourse would not be limited to protectionist discrimination was correctly made. There is no basis in the text, context, or purpose of s 92 to limit the concept of discrimination "among the States" to laws concerning dealings or communications between people which are protectionist. Such an unduly limited approach: (i) would not prohibit a Commonwealth law from discriminating between two States or a State law from discriminating between other States; (ii) would not prohibit a State law from discriminating </w:t>
      </w:r>
      <w:r w:rsidRPr="005C3622">
        <w:rPr>
          <w:rFonts w:ascii="Times New Roman" w:eastAsia="GungsuhChe" w:hAnsi="Times New Roman"/>
          <w:i/>
          <w:lang w:eastAsia="en-US"/>
        </w:rPr>
        <w:t>against</w:t>
      </w:r>
      <w:r w:rsidRPr="005C3622">
        <w:rPr>
          <w:rFonts w:ascii="Times New Roman" w:eastAsia="GungsuhChe" w:hAnsi="Times New Roman"/>
          <w:lang w:eastAsia="en-US"/>
        </w:rPr>
        <w:t xml:space="preserve"> the interests of the local State in favour of another State; and (iii) would not prohibit a Commonwealth or State law from discriminating in favour of one State by conferring advantages upon that State other than competitive or market advantages. Indeed, the leading decision concerning the intercourse aspect of s 92 involved a Commonwealth law that impermissibly discriminated between intrastate and interstate intercourse, without any suggestion that this discrimination was protectionist</w:t>
      </w:r>
      <w:r w:rsidRPr="005C3622">
        <w:rPr>
          <w:rStyle w:val="FootnoteReference"/>
          <w:rFonts w:ascii="Times New Roman" w:hAnsi="Times New Roman"/>
          <w:iCs/>
          <w:sz w:val="24"/>
        </w:rPr>
        <w:footnoteReference w:id="395"/>
      </w:r>
      <w:r w:rsidRPr="005C3622">
        <w:rPr>
          <w:rFonts w:ascii="Times New Roman" w:eastAsia="GungsuhChe" w:hAnsi="Times New Roman"/>
          <w:lang w:eastAsia="en-US"/>
        </w:rPr>
        <w:t>.</w:t>
      </w:r>
      <w:r w:rsidRPr="005C3622">
        <w:rPr>
          <w:rFonts w:ascii="Times New Roman" w:hAnsi="Times New Roman"/>
        </w:rPr>
        <w:t xml:space="preserve"> </w:t>
      </w:r>
      <w:r w:rsidRPr="005C3622">
        <w:rPr>
          <w:rFonts w:ascii="Times New Roman" w:eastAsia="GungsuhChe" w:hAnsi="Times New Roman"/>
          <w:lang w:eastAsia="en-US"/>
        </w:rPr>
        <w:t xml:space="preserve">  </w:t>
      </w:r>
    </w:p>
    <w:p w14:paraId="7B0C395D"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eastAsia="GungsuhChe" w:hAnsi="Times New Roman"/>
          <w:lang w:eastAsia="en-US"/>
        </w:rPr>
      </w:pPr>
      <w:r w:rsidRPr="005C3622">
        <w:rPr>
          <w:rFonts w:ascii="Times New Roman" w:eastAsia="GungsuhChe" w:hAnsi="Times New Roman"/>
          <w:lang w:eastAsia="en-US"/>
        </w:rPr>
        <w:tab/>
        <w:t xml:space="preserve">The assumption, whilst correct, highlights the incongruity in prohibiting all forms of discrimination among the States under the intercourse aspect but prohibiting only protectionist discrimination under the trade and commerce aspect of s 92. </w:t>
      </w:r>
      <w:r w:rsidRPr="005C3622">
        <w:rPr>
          <w:rFonts w:ascii="Times New Roman" w:hAnsi="Times New Roman"/>
        </w:rPr>
        <w:t xml:space="preserve">Indeed, one mark of various early versions of the free trade theory adopted by this Court was the focus upon discrimination generally rather than protectionist discrimination. As this Court observed in </w:t>
      </w:r>
      <w:r w:rsidRPr="005C3622">
        <w:rPr>
          <w:rFonts w:ascii="Times New Roman" w:hAnsi="Times New Roman"/>
          <w:i/>
          <w:iCs/>
        </w:rPr>
        <w:t>Cole v Whitfield</w:t>
      </w:r>
      <w:r w:rsidRPr="005C3622">
        <w:rPr>
          <w:rStyle w:val="FootnoteReference"/>
          <w:rFonts w:ascii="Times New Roman" w:hAnsi="Times New Roman"/>
          <w:iCs/>
          <w:sz w:val="24"/>
        </w:rPr>
        <w:footnoteReference w:id="396"/>
      </w:r>
      <w:r w:rsidRPr="005C3622">
        <w:rPr>
          <w:rFonts w:ascii="Times New Roman" w:hAnsi="Times New Roman"/>
        </w:rPr>
        <w:t>,</w:t>
      </w:r>
      <w:r w:rsidRPr="005C3622">
        <w:rPr>
          <w:rFonts w:ascii="Times New Roman" w:hAnsi="Times New Roman"/>
          <w:i/>
          <w:iCs/>
        </w:rPr>
        <w:t xml:space="preserve"> </w:t>
      </w:r>
      <w:r w:rsidRPr="005C3622">
        <w:rPr>
          <w:rFonts w:ascii="Times New Roman" w:hAnsi="Times New Roman"/>
        </w:rPr>
        <w:t xml:space="preserve">the decision in </w:t>
      </w:r>
      <w:r w:rsidRPr="005C3622">
        <w:rPr>
          <w:rFonts w:ascii="Times New Roman" w:hAnsi="Times New Roman"/>
          <w:i/>
          <w:iCs/>
        </w:rPr>
        <w:t>Fox v Robbins</w:t>
      </w:r>
      <w:r w:rsidRPr="005C3622">
        <w:rPr>
          <w:rStyle w:val="FootnoteReference"/>
          <w:rFonts w:ascii="Times New Roman" w:hAnsi="Times New Roman"/>
          <w:sz w:val="24"/>
        </w:rPr>
        <w:footnoteReference w:id="397"/>
      </w:r>
      <w:r w:rsidRPr="005C3622">
        <w:rPr>
          <w:rFonts w:ascii="Times New Roman" w:hAnsi="Times New Roman"/>
          <w:i/>
          <w:iCs/>
        </w:rPr>
        <w:t xml:space="preserve"> </w:t>
      </w:r>
      <w:r w:rsidRPr="005C3622">
        <w:rPr>
          <w:rFonts w:ascii="Times New Roman" w:hAnsi="Times New Roman"/>
        </w:rPr>
        <w:t>was "a classic instance of discrimination". Although, as Barton J observed, the higher licence fee for sale of interstate wine involved "inter-state protection"</w:t>
      </w:r>
      <w:r w:rsidRPr="005C3622">
        <w:rPr>
          <w:rStyle w:val="FootnoteReference"/>
          <w:rFonts w:ascii="Times New Roman" w:hAnsi="Times New Roman"/>
          <w:sz w:val="24"/>
        </w:rPr>
        <w:footnoteReference w:id="398"/>
      </w:r>
      <w:r w:rsidRPr="005C3622">
        <w:rPr>
          <w:rFonts w:ascii="Times New Roman" w:hAnsi="Times New Roman"/>
        </w:rPr>
        <w:t>, the approach in that case, like others</w:t>
      </w:r>
      <w:r w:rsidRPr="005C3622">
        <w:rPr>
          <w:rStyle w:val="FootnoteReference"/>
          <w:rFonts w:ascii="Times New Roman" w:hAnsi="Times New Roman"/>
          <w:sz w:val="24"/>
        </w:rPr>
        <w:footnoteReference w:id="399"/>
      </w:r>
      <w:r w:rsidRPr="005C3622">
        <w:rPr>
          <w:rFonts w:ascii="Times New Roman" w:hAnsi="Times New Roman"/>
        </w:rPr>
        <w:t>, did not confine discrimination between any States to protectionism</w:t>
      </w:r>
      <w:r w:rsidRPr="005C3622">
        <w:rPr>
          <w:rStyle w:val="FootnoteReference"/>
          <w:rFonts w:ascii="Times New Roman" w:hAnsi="Times New Roman"/>
          <w:sz w:val="24"/>
        </w:rPr>
        <w:footnoteReference w:id="400"/>
      </w:r>
      <w:r w:rsidRPr="005C3622">
        <w:rPr>
          <w:rFonts w:ascii="Times New Roman" w:hAnsi="Times New Roman"/>
        </w:rPr>
        <w:t xml:space="preserve">. </w:t>
      </w:r>
    </w:p>
    <w:p w14:paraId="1F0191E2"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eastAsia="GungsuhChe" w:hAnsi="Times New Roman"/>
          <w:lang w:eastAsia="en-US"/>
        </w:rPr>
      </w:pPr>
      <w:r w:rsidRPr="005C3622">
        <w:rPr>
          <w:rFonts w:ascii="Times New Roman" w:hAnsi="Times New Roman"/>
        </w:rPr>
        <w:tab/>
        <w:t>A broader conceptualisation of discrimination – that is, beyond protectionist discrimination – also accords closely with many statements during the Convention Debates. Those statements emphasised the importance of interstate free trade generally, freedom from "everything in the nature of an obstruction placed in the way of intercolonial trade"</w:t>
      </w:r>
      <w:r w:rsidRPr="005C3622">
        <w:rPr>
          <w:rStyle w:val="FootnoteReference"/>
          <w:rFonts w:ascii="Times New Roman" w:hAnsi="Times New Roman"/>
          <w:sz w:val="24"/>
        </w:rPr>
        <w:footnoteReference w:id="401"/>
      </w:r>
      <w:r w:rsidRPr="005C3622">
        <w:rPr>
          <w:rFonts w:ascii="Times New Roman" w:hAnsi="Times New Roman"/>
        </w:rPr>
        <w:t xml:space="preserve">, rather than a concern which was confined to the most common circumstance of discrimination in trade and commerce, namely protectionism. Accordingly, the constraint imposed in </w:t>
      </w:r>
      <w:r w:rsidRPr="005C3622">
        <w:rPr>
          <w:rFonts w:ascii="Times New Roman" w:hAnsi="Times New Roman"/>
          <w:i/>
          <w:iCs/>
        </w:rPr>
        <w:t xml:space="preserve">Cole v Whitfield </w:t>
      </w:r>
      <w:r w:rsidRPr="005C3622">
        <w:rPr>
          <w:rFonts w:ascii="Times New Roman" w:hAnsi="Times New Roman"/>
        </w:rPr>
        <w:t>which limited discrimination in trade and commerce among the States only to protectionist discrimination has been powerfully criticised as contrary to the underlying purpose of s 92 to ensure a unitary free trade area</w:t>
      </w:r>
      <w:r w:rsidRPr="005C3622">
        <w:rPr>
          <w:rStyle w:val="FootnoteReference"/>
          <w:rFonts w:ascii="Times New Roman" w:hAnsi="Times New Roman"/>
          <w:sz w:val="24"/>
        </w:rPr>
        <w:footnoteReference w:id="402"/>
      </w:r>
      <w:r w:rsidRPr="005C3622">
        <w:rPr>
          <w:rFonts w:ascii="Times New Roman" w:hAnsi="Times New Roman"/>
        </w:rPr>
        <w:t>.</w:t>
      </w:r>
    </w:p>
    <w:p w14:paraId="1A465C1A"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eastAsia="GungsuhChe" w:hAnsi="Times New Roman"/>
          <w:lang w:eastAsia="en-US"/>
        </w:rPr>
      </w:pPr>
      <w:r w:rsidRPr="005C3622">
        <w:rPr>
          <w:rFonts w:ascii="Times New Roman" w:eastAsia="GungsuhChe" w:hAnsi="Times New Roman"/>
          <w:lang w:eastAsia="en-US"/>
        </w:rPr>
        <w:tab/>
        <w:t>In the absence of any challenge to the protectionist element in the test for the trade and commerce aspect, this issue need not be finally resolved. Nevertheless, given (i) the need to explain and consider the discrimination test in the intercourse aspect of s 92 in this case, (ii) the nature of the composite expression "trade, commerce, and intercourse among the States" and (iii) the obvious incongruity arising from the adoption of a test based on a narrower type of discrimination for the trade and commerce aspect and the need for resolution of the tension between the two aspects of s 92, it is necessary to make four further observations about an assumption which treats the trade and commerce aspect, unlike the intercourse aspect, as concerned only with discrimination in a "protectionist sense"</w:t>
      </w:r>
      <w:r w:rsidRPr="005C3622">
        <w:rPr>
          <w:rStyle w:val="FootnoteReference"/>
          <w:rFonts w:ascii="Times New Roman" w:eastAsia="GungsuhChe" w:hAnsi="Times New Roman"/>
          <w:sz w:val="24"/>
          <w:lang w:eastAsia="en-US"/>
        </w:rPr>
        <w:footnoteReference w:id="403"/>
      </w:r>
      <w:r w:rsidRPr="005C3622">
        <w:rPr>
          <w:rFonts w:ascii="Times New Roman" w:eastAsia="GungsuhChe" w:hAnsi="Times New Roman"/>
          <w:lang w:eastAsia="en-US"/>
        </w:rPr>
        <w:t xml:space="preserve">. </w:t>
      </w:r>
    </w:p>
    <w:p w14:paraId="1848127C"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eastAsia="GungsuhChe" w:hAnsi="Times New Roman"/>
          <w:lang w:eastAsia="en-US"/>
        </w:rPr>
      </w:pPr>
      <w:r w:rsidRPr="005C3622">
        <w:rPr>
          <w:rFonts w:ascii="Times New Roman" w:eastAsia="GungsuhChe" w:hAnsi="Times New Roman"/>
          <w:lang w:eastAsia="en-US"/>
        </w:rPr>
        <w:tab/>
        <w:t>First, whilst free trade "commonly signified"</w:t>
      </w:r>
      <w:r w:rsidRPr="005C3622">
        <w:rPr>
          <w:rStyle w:val="FootnoteReference"/>
          <w:rFonts w:ascii="Times New Roman" w:eastAsia="GungsuhChe" w:hAnsi="Times New Roman"/>
          <w:sz w:val="24"/>
          <w:lang w:eastAsia="en-US"/>
        </w:rPr>
        <w:footnoteReference w:id="404"/>
      </w:r>
      <w:r w:rsidRPr="005C3622">
        <w:rPr>
          <w:rFonts w:ascii="Times New Roman" w:eastAsia="GungsuhChe" w:hAnsi="Times New Roman"/>
          <w:lang w:eastAsia="en-US"/>
        </w:rPr>
        <w:t xml:space="preserve"> an absence of protectionism, that was not, and is not, its only signification. Free trade also signifies freedom from any kind of discrimination in trade and commerce. As is recognised also by the complementary provisions of ss 99 and 102 of the </w:t>
      </w:r>
      <w:r w:rsidRPr="005C3622">
        <w:rPr>
          <w:rFonts w:ascii="Times New Roman" w:eastAsia="GungsuhChe" w:hAnsi="Times New Roman"/>
          <w:i/>
          <w:iCs/>
          <w:lang w:eastAsia="en-US"/>
        </w:rPr>
        <w:t xml:space="preserve">Constitution </w:t>
      </w:r>
      <w:r w:rsidRPr="005C3622">
        <w:rPr>
          <w:rFonts w:ascii="Times New Roman" w:eastAsia="GungsuhChe" w:hAnsi="Times New Roman"/>
          <w:lang w:eastAsia="en-US"/>
        </w:rPr>
        <w:t>(which enshrined the same anti-discrimination goal</w:t>
      </w:r>
      <w:r w:rsidRPr="005C3622">
        <w:rPr>
          <w:rStyle w:val="FootnoteReference"/>
          <w:rFonts w:ascii="Times New Roman" w:eastAsia="GungsuhChe" w:hAnsi="Times New Roman"/>
          <w:sz w:val="24"/>
          <w:lang w:eastAsia="en-US"/>
        </w:rPr>
        <w:footnoteReference w:id="405"/>
      </w:r>
      <w:r w:rsidRPr="005C3622">
        <w:rPr>
          <w:rFonts w:ascii="Times New Roman" w:eastAsia="GungsuhChe" w:hAnsi="Times New Roman"/>
          <w:lang w:eastAsia="en-US"/>
        </w:rPr>
        <w:t>), protectionism is not the only manner in which discrimination can impair trading and commercial freedom within a "national economic unit"</w:t>
      </w:r>
      <w:r w:rsidRPr="005C3622">
        <w:rPr>
          <w:rStyle w:val="FootnoteReference"/>
          <w:rFonts w:ascii="Times New Roman" w:eastAsia="GungsuhChe" w:hAnsi="Times New Roman"/>
          <w:sz w:val="24"/>
          <w:lang w:eastAsia="en-US"/>
        </w:rPr>
        <w:footnoteReference w:id="406"/>
      </w:r>
      <w:r w:rsidRPr="005C3622">
        <w:rPr>
          <w:rFonts w:ascii="Times New Roman" w:eastAsia="GungsuhChe" w:hAnsi="Times New Roman"/>
          <w:lang w:eastAsia="en-US"/>
        </w:rPr>
        <w:t xml:space="preserve">. Other examples might be a Commonwealth law that discriminates in trade and commerce between two States by imposing a competitive disadvantage on one, or a State law in trade and commerce which discriminates only between other States or discriminates </w:t>
      </w:r>
      <w:r w:rsidRPr="005C3622">
        <w:rPr>
          <w:rFonts w:ascii="Times New Roman" w:eastAsia="GungsuhChe" w:hAnsi="Times New Roman"/>
          <w:iCs/>
          <w:lang w:eastAsia="en-US"/>
        </w:rPr>
        <w:t>against</w:t>
      </w:r>
      <w:r w:rsidRPr="005C3622">
        <w:rPr>
          <w:rFonts w:ascii="Times New Roman" w:eastAsia="GungsuhChe" w:hAnsi="Times New Roman"/>
          <w:lang w:eastAsia="en-US"/>
        </w:rPr>
        <w:t xml:space="preserve"> the interests of the local State in favour of another State. As Professor Zines has said</w:t>
      </w:r>
      <w:r w:rsidRPr="005C3622">
        <w:rPr>
          <w:rStyle w:val="FootnoteReference"/>
          <w:rFonts w:ascii="Times New Roman" w:eastAsia="GungsuhChe" w:hAnsi="Times New Roman"/>
          <w:sz w:val="24"/>
          <w:lang w:eastAsia="en-US"/>
        </w:rPr>
        <w:footnoteReference w:id="407"/>
      </w:r>
      <w:r w:rsidRPr="005C3622">
        <w:rPr>
          <w:rFonts w:ascii="Times New Roman" w:eastAsia="GungsuhChe" w:hAnsi="Times New Roman"/>
          <w:lang w:eastAsia="en-US"/>
        </w:rPr>
        <w:t>, and as subsequently adopted by Professor Stellios</w:t>
      </w:r>
      <w:r w:rsidRPr="005C3622">
        <w:rPr>
          <w:rStyle w:val="FootnoteReference"/>
          <w:rFonts w:ascii="Times New Roman" w:eastAsia="GungsuhChe" w:hAnsi="Times New Roman"/>
          <w:sz w:val="24"/>
          <w:lang w:eastAsia="en-US"/>
        </w:rPr>
        <w:footnoteReference w:id="408"/>
      </w:r>
      <w:r w:rsidRPr="005C3622">
        <w:rPr>
          <w:rFonts w:ascii="Times New Roman" w:eastAsia="GungsuhChe" w:hAnsi="Times New Roman"/>
          <w:lang w:eastAsia="en-US"/>
        </w:rPr>
        <w:t>, the "anti</w:t>
      </w:r>
      <w:r w:rsidRPr="005C3622">
        <w:rPr>
          <w:rFonts w:ascii="Times New Roman" w:eastAsia="GungsuhChe" w:hAnsi="Times New Roman"/>
          <w:lang w:eastAsia="en-US"/>
        </w:rPr>
        <w:noBreakHyphen/>
        <w:t>protectionist" version of free trade is narrower than "a broader 'common market' approach". There is no apparent reason why the trade and commerce aspect of s 92 should be confined to the narrow approach. A test which focuses upon discrimination in trade and commerce generally, rather than merely upon protectionist discrimination, has thus been said to produce "results corresponding very closely with the picture [albeit vague] which seems to have been envisaged by the Convention"</w:t>
      </w:r>
      <w:r w:rsidRPr="005C3622">
        <w:rPr>
          <w:rStyle w:val="FootnoteReference"/>
          <w:rFonts w:ascii="Times New Roman" w:eastAsia="GungsuhChe" w:hAnsi="Times New Roman"/>
          <w:sz w:val="24"/>
          <w:lang w:eastAsia="en-US"/>
        </w:rPr>
        <w:footnoteReference w:id="409"/>
      </w:r>
      <w:r w:rsidRPr="005C3622">
        <w:rPr>
          <w:rFonts w:ascii="Times New Roman" w:eastAsia="GungsuhChe" w:hAnsi="Times New Roman"/>
          <w:lang w:eastAsia="en-US"/>
        </w:rPr>
        <w:t>.</w:t>
      </w:r>
    </w:p>
    <w:p w14:paraId="1FF9EC00"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eastAsia="GungsuhChe" w:hAnsi="Times New Roman"/>
          <w:lang w:eastAsia="en-US"/>
        </w:rPr>
      </w:pPr>
      <w:r w:rsidRPr="005C3622">
        <w:rPr>
          <w:rFonts w:ascii="Times New Roman" w:eastAsia="GungsuhChe" w:hAnsi="Times New Roman"/>
          <w:lang w:eastAsia="en-US"/>
        </w:rPr>
        <w:tab/>
        <w:t xml:space="preserve">Secondly, the only discrimination that was alleged in </w:t>
      </w:r>
      <w:r w:rsidRPr="005C3622">
        <w:rPr>
          <w:rFonts w:ascii="Times New Roman" w:eastAsia="GungsuhChe" w:hAnsi="Times New Roman"/>
          <w:i/>
          <w:iCs/>
          <w:lang w:eastAsia="en-US"/>
        </w:rPr>
        <w:t xml:space="preserve">Cole v Whitfield </w:t>
      </w:r>
      <w:r w:rsidRPr="005C3622">
        <w:rPr>
          <w:rFonts w:ascii="Times New Roman" w:eastAsia="GungsuhChe" w:hAnsi="Times New Roman"/>
          <w:lang w:eastAsia="en-US"/>
        </w:rPr>
        <w:t xml:space="preserve">was discrimination in a protectionist sense. Underlying the reasoning that the test for the trade and commerce aspect must be limited only to protectionist discrimination may have been a formal fallacy based on the fact that most observed instances of discrimination, and most of the discussion at the Convention Debates, involved protectionism. This formal fallacy may also have been the reason that this Court said in </w:t>
      </w:r>
      <w:r w:rsidRPr="005C3622">
        <w:rPr>
          <w:rFonts w:ascii="Times New Roman" w:eastAsia="GungsuhChe" w:hAnsi="Times New Roman"/>
          <w:i/>
          <w:iCs/>
          <w:lang w:eastAsia="en-US"/>
        </w:rPr>
        <w:t xml:space="preserve">Cole v Whitfield </w:t>
      </w:r>
      <w:r w:rsidRPr="005C3622">
        <w:rPr>
          <w:rFonts w:ascii="Times New Roman" w:eastAsia="GungsuhChe" w:hAnsi="Times New Roman"/>
          <w:lang w:eastAsia="en-US"/>
        </w:rPr>
        <w:t>that the pre</w:t>
      </w:r>
      <w:r w:rsidRPr="005C3622">
        <w:rPr>
          <w:rFonts w:ascii="Times New Roman" w:eastAsia="GungsuhChe" w:hAnsi="Times New Roman"/>
          <w:lang w:eastAsia="en-US"/>
        </w:rPr>
        <w:noBreakHyphen/>
        <w:t>1900 United States cases on the negative commerce clause were not of "any assistance" in the interpretation of s 92</w:t>
      </w:r>
      <w:r w:rsidRPr="005C3622">
        <w:rPr>
          <w:rStyle w:val="FootnoteReference"/>
          <w:rFonts w:ascii="Times New Roman" w:eastAsia="GungsuhChe" w:hAnsi="Times New Roman"/>
          <w:sz w:val="24"/>
          <w:lang w:eastAsia="en-US"/>
        </w:rPr>
        <w:footnoteReference w:id="410"/>
      </w:r>
      <w:r w:rsidRPr="005C3622">
        <w:rPr>
          <w:rFonts w:ascii="Times New Roman" w:eastAsia="GungsuhChe" w:hAnsi="Times New Roman"/>
          <w:lang w:eastAsia="en-US"/>
        </w:rPr>
        <w:t>, a view that has since been quietly jettisoned</w:t>
      </w:r>
      <w:r w:rsidRPr="005C3622">
        <w:rPr>
          <w:rStyle w:val="FootnoteReference"/>
          <w:rFonts w:ascii="Times New Roman" w:eastAsia="GungsuhChe" w:hAnsi="Times New Roman"/>
          <w:sz w:val="24"/>
          <w:lang w:eastAsia="en-US"/>
        </w:rPr>
        <w:footnoteReference w:id="411"/>
      </w:r>
      <w:r w:rsidRPr="005C3622">
        <w:rPr>
          <w:rFonts w:ascii="Times New Roman" w:eastAsia="GungsuhChe" w:hAnsi="Times New Roman"/>
          <w:lang w:eastAsia="en-US"/>
        </w:rPr>
        <w:t xml:space="preserve">. As I have noted above, a similar formal fallacy based upon the usual association of interstate trade with interstate intercourse has not been committed; interstate intercourse has not been limited to commercial intercourse. </w:t>
      </w:r>
    </w:p>
    <w:p w14:paraId="51DF8461"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eastAsia="GungsuhChe" w:hAnsi="Times New Roman"/>
          <w:lang w:eastAsia="en-US"/>
        </w:rPr>
      </w:pPr>
      <w:r w:rsidRPr="005C3622">
        <w:rPr>
          <w:rFonts w:ascii="Times New Roman" w:eastAsia="GungsuhChe" w:hAnsi="Times New Roman"/>
          <w:lang w:eastAsia="en-US"/>
        </w:rPr>
        <w:tab/>
        <w:t xml:space="preserve">Thirdly, the Court in </w:t>
      </w:r>
      <w:r w:rsidRPr="005C3622">
        <w:rPr>
          <w:rFonts w:ascii="Times New Roman" w:eastAsia="GungsuhChe" w:hAnsi="Times New Roman"/>
          <w:i/>
          <w:iCs/>
          <w:lang w:eastAsia="en-US"/>
        </w:rPr>
        <w:t xml:space="preserve">Cole v Whitfield </w:t>
      </w:r>
      <w:r w:rsidRPr="005C3622">
        <w:rPr>
          <w:rFonts w:ascii="Times New Roman" w:eastAsia="GungsuhChe" w:hAnsi="Times New Roman"/>
          <w:lang w:eastAsia="en-US"/>
        </w:rPr>
        <w:t>acknowledged that the existence of the intercourse aspect suggested a "wider operation"</w:t>
      </w:r>
      <w:r w:rsidRPr="005C3622">
        <w:rPr>
          <w:rStyle w:val="FootnoteReference"/>
          <w:rFonts w:ascii="Times New Roman" w:eastAsia="GungsuhChe" w:hAnsi="Times New Roman"/>
          <w:sz w:val="24"/>
          <w:lang w:eastAsia="en-US"/>
        </w:rPr>
        <w:footnoteReference w:id="412"/>
      </w:r>
      <w:r w:rsidRPr="005C3622">
        <w:rPr>
          <w:rFonts w:ascii="Times New Roman" w:eastAsia="GungsuhChe" w:hAnsi="Times New Roman"/>
          <w:lang w:eastAsia="en-US"/>
        </w:rPr>
        <w:t xml:space="preserve"> of the trade and commerce aspect than merely guarding against discrimination in a protectionist sense. But the force of this point was thought to be diminished because the Court assumed that if the test treated the trade and commerce aspect and the intercourse aspect alike then "anarchy would result"</w:t>
      </w:r>
      <w:r w:rsidRPr="005C3622">
        <w:rPr>
          <w:rStyle w:val="FootnoteReference"/>
          <w:rFonts w:ascii="Times New Roman" w:eastAsia="GungsuhChe" w:hAnsi="Times New Roman"/>
          <w:sz w:val="24"/>
          <w:lang w:eastAsia="en-US"/>
        </w:rPr>
        <w:footnoteReference w:id="413"/>
      </w:r>
      <w:r w:rsidRPr="005C3622">
        <w:rPr>
          <w:rFonts w:ascii="Times New Roman" w:eastAsia="GungsuhChe" w:hAnsi="Times New Roman"/>
          <w:lang w:eastAsia="en-US"/>
        </w:rPr>
        <w:t>. This assumption would not have been made if the Court had accepted that freedom of intercourse was also concerned with guarding against discrimination generally between the States in relation to intercourse.</w:t>
      </w:r>
    </w:p>
    <w:p w14:paraId="06E668EA"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eastAsia="GungsuhChe" w:hAnsi="Times New Roman"/>
          <w:lang w:eastAsia="en-US"/>
        </w:rPr>
      </w:pPr>
      <w:r w:rsidRPr="005C3622">
        <w:rPr>
          <w:rFonts w:ascii="Times New Roman" w:eastAsia="GungsuhChe" w:hAnsi="Times New Roman"/>
          <w:lang w:eastAsia="en-US"/>
        </w:rPr>
        <w:tab/>
        <w:t xml:space="preserve">Fourthly, although the removal of the protectionist element from discrimination in the trade and commerce aspect involves some adjustment to the understanding of the trade and commerce aspect outlined in </w:t>
      </w:r>
      <w:r w:rsidRPr="005C3622">
        <w:rPr>
          <w:rFonts w:ascii="Times New Roman" w:eastAsia="GungsuhChe" w:hAnsi="Times New Roman"/>
          <w:i/>
          <w:lang w:eastAsia="en-US"/>
        </w:rPr>
        <w:t>Cole v Whitfield</w:t>
      </w:r>
      <w:r w:rsidRPr="005C3622">
        <w:rPr>
          <w:rFonts w:ascii="Times New Roman" w:eastAsia="GungsuhChe" w:hAnsi="Times New Roman"/>
          <w:lang w:eastAsia="en-US"/>
        </w:rPr>
        <w:t xml:space="preserve">, in practical effect an almost identical adjustment is required by recognising a test for discrimination, without a requirement of protectionism, for the intercourse aspect of s 92. This is because interstate trade and commerce will almost always involve intercourse. An example of a case where the same adjustment would have to be made even without removing the protectionist element from discrimination in the trade and commerce aspect is </w:t>
      </w:r>
      <w:r w:rsidRPr="005C3622">
        <w:rPr>
          <w:rFonts w:ascii="Times New Roman" w:eastAsia="GungsuhChe" w:hAnsi="Times New Roman"/>
          <w:i/>
          <w:lang w:eastAsia="en-US"/>
        </w:rPr>
        <w:t>Barley Marketing Board (NSW) v Norman</w:t>
      </w:r>
      <w:r w:rsidRPr="005C3622">
        <w:rPr>
          <w:rStyle w:val="FootnoteReference"/>
          <w:rFonts w:ascii="Times New Roman" w:eastAsia="GungsuhChe" w:hAnsi="Times New Roman"/>
          <w:sz w:val="24"/>
          <w:lang w:eastAsia="en-US"/>
        </w:rPr>
        <w:footnoteReference w:id="414"/>
      </w:r>
      <w:r w:rsidRPr="005C3622">
        <w:rPr>
          <w:rFonts w:ascii="Times New Roman" w:eastAsia="GungsuhChe" w:hAnsi="Times New Roman"/>
          <w:i/>
          <w:iCs/>
          <w:lang w:eastAsia="en-US"/>
        </w:rPr>
        <w:t xml:space="preserve">. </w:t>
      </w:r>
    </w:p>
    <w:p w14:paraId="50538D28"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eastAsia="GungsuhChe" w:hAnsi="Times New Roman"/>
          <w:lang w:eastAsia="en-US"/>
        </w:rPr>
      </w:pPr>
      <w:r w:rsidRPr="005C3622">
        <w:rPr>
          <w:rFonts w:ascii="Times New Roman" w:eastAsia="GungsuhChe" w:hAnsi="Times New Roman"/>
          <w:i/>
          <w:iCs/>
          <w:lang w:eastAsia="en-US"/>
        </w:rPr>
        <w:tab/>
      </w:r>
      <w:r w:rsidRPr="005C3622">
        <w:rPr>
          <w:rFonts w:ascii="Times New Roman" w:eastAsia="GungsuhChe" w:hAnsi="Times New Roman"/>
          <w:lang w:eastAsia="en-US"/>
        </w:rPr>
        <w:t xml:space="preserve">In </w:t>
      </w:r>
      <w:r w:rsidRPr="005C3622">
        <w:rPr>
          <w:rFonts w:ascii="Times New Roman" w:eastAsia="GungsuhChe" w:hAnsi="Times New Roman"/>
          <w:i/>
          <w:iCs/>
          <w:lang w:eastAsia="en-US"/>
        </w:rPr>
        <w:t>Barley Marketing Board</w:t>
      </w:r>
      <w:r w:rsidRPr="005C3622">
        <w:rPr>
          <w:rFonts w:ascii="Times New Roman" w:eastAsia="GungsuhChe" w:hAnsi="Times New Roman"/>
          <w:lang w:eastAsia="en-US"/>
        </w:rPr>
        <w:t>, the defendants attempted to engage in interstate commercial intercourse by selling barley grown in New South Wales to a buyer in Victoria. New South Wales legislation prohibited the defendants from doing so by establishing a marketing board into which was vested title to all barley coming into existence in New South Wales. The Court observed that there was no evidence that the scheme restricted the supply of barley to other States</w:t>
      </w:r>
      <w:r w:rsidRPr="005C3622">
        <w:rPr>
          <w:rStyle w:val="FootnoteReference"/>
          <w:rFonts w:ascii="Times New Roman" w:eastAsia="GungsuhChe" w:hAnsi="Times New Roman"/>
          <w:sz w:val="24"/>
          <w:lang w:eastAsia="en-US"/>
        </w:rPr>
        <w:footnoteReference w:id="415"/>
      </w:r>
      <w:r w:rsidRPr="005C3622">
        <w:rPr>
          <w:rFonts w:ascii="Times New Roman" w:eastAsia="GungsuhChe" w:hAnsi="Times New Roman"/>
          <w:lang w:eastAsia="en-US"/>
        </w:rPr>
        <w:t xml:space="preserve"> and that there was no vesting of title to imported barley</w:t>
      </w:r>
      <w:r w:rsidRPr="005C3622">
        <w:rPr>
          <w:rStyle w:val="FootnoteReference"/>
          <w:rFonts w:ascii="Times New Roman" w:eastAsia="GungsuhChe" w:hAnsi="Times New Roman"/>
          <w:sz w:val="24"/>
          <w:lang w:eastAsia="en-US"/>
        </w:rPr>
        <w:footnoteReference w:id="416"/>
      </w:r>
      <w:r w:rsidRPr="005C3622">
        <w:rPr>
          <w:rFonts w:ascii="Times New Roman" w:eastAsia="GungsuhChe" w:hAnsi="Times New Roman"/>
          <w:lang w:eastAsia="en-US"/>
        </w:rPr>
        <w:t>. Further, it appears there was no evidence before the Court that the prices at which the board sold the barley interstate were higher than those prices which New South Wales producers would have charged in interstate sales</w:t>
      </w:r>
      <w:r w:rsidRPr="005C3622">
        <w:rPr>
          <w:rStyle w:val="FootnoteReference"/>
          <w:rFonts w:ascii="Times New Roman" w:eastAsia="GungsuhChe" w:hAnsi="Times New Roman"/>
          <w:sz w:val="24"/>
          <w:lang w:eastAsia="en-US"/>
        </w:rPr>
        <w:footnoteReference w:id="417"/>
      </w:r>
      <w:r w:rsidRPr="005C3622">
        <w:rPr>
          <w:rFonts w:ascii="Times New Roman" w:eastAsia="GungsuhChe" w:hAnsi="Times New Roman"/>
          <w:lang w:eastAsia="en-US"/>
        </w:rPr>
        <w:t>. The Court therefore held that the scheme was not protectionist</w:t>
      </w:r>
      <w:r w:rsidRPr="005C3622">
        <w:rPr>
          <w:rStyle w:val="FootnoteReference"/>
          <w:rFonts w:ascii="Times New Roman" w:eastAsia="GungsuhChe" w:hAnsi="Times New Roman"/>
          <w:sz w:val="24"/>
          <w:lang w:eastAsia="en-US"/>
        </w:rPr>
        <w:footnoteReference w:id="418"/>
      </w:r>
      <w:r w:rsidRPr="005C3622">
        <w:rPr>
          <w:rFonts w:ascii="Times New Roman" w:eastAsia="GungsuhChe" w:hAnsi="Times New Roman"/>
          <w:lang w:eastAsia="en-US"/>
        </w:rPr>
        <w:t xml:space="preserve">. If the requirement of protectionism were removed the case would have to be assessed against a broader criterion of discrimination. The defendants were subject to restrictions upon selling in Victoria that did not apply to producers in Victoria. The focus in the case upon protectionism meant that it was not necessary for the Court to explore whether this discrimination in the course of commercial intercourse conferred an advantage on Victorian producers which was unjustified. But since the defendants' conduct involved commercial intercourse between the States, and thus engaged the intercourse aspect of s 92, that broader assessment of discrimination would be required anyway by complete consideration of the unitary freedom of trade, commerce, and intercourse. </w:t>
      </w:r>
    </w:p>
    <w:p w14:paraId="305B218E" w14:textId="77777777" w:rsidR="002D2334" w:rsidRPr="005C3622" w:rsidRDefault="002D2334" w:rsidP="005C3622">
      <w:pPr>
        <w:pStyle w:val="HeadingL1"/>
        <w:spacing w:after="260" w:line="280" w:lineRule="exact"/>
        <w:ind w:right="0"/>
        <w:jc w:val="both"/>
        <w:rPr>
          <w:rFonts w:ascii="Times New Roman" w:eastAsia="GungsuhChe" w:hAnsi="Times New Roman"/>
          <w:lang w:eastAsia="en-US"/>
        </w:rPr>
      </w:pPr>
      <w:r w:rsidRPr="005C3622">
        <w:rPr>
          <w:rFonts w:ascii="Times New Roman" w:eastAsia="GungsuhChe" w:hAnsi="Times New Roman"/>
          <w:lang w:eastAsia="en-US"/>
        </w:rPr>
        <w:t>Justifying discrimination by a structured proportionality analysis</w:t>
      </w:r>
    </w:p>
    <w:p w14:paraId="33231F40"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eastAsia="GungsuhChe" w:hAnsi="Times New Roman"/>
          <w:lang w:eastAsia="en-US"/>
        </w:rPr>
        <w:tab/>
        <w:t>Putting to one side the difficulties involved in limiting discrimination in the trade and commerce aspect to protectionist discrimination, the test for compliance with s 92 can be simply expressed. The constitutional guarantee that "</w:t>
      </w:r>
      <w:r w:rsidRPr="005C3622">
        <w:rPr>
          <w:rFonts w:ascii="Times New Roman" w:hAnsi="Times New Roman"/>
        </w:rPr>
        <w:t xml:space="preserve">trade, commerce, and intercourse among the States ... shall be absolutely free" imposes a requirement that laws concerning movement across a border – whether it be goods, persons, or communications or other intangibles – cannot discriminate by imposing an unjustified burden on trade, commerce, or intercourse in one State compared with another. </w:t>
      </w:r>
    </w:p>
    <w:p w14:paraId="6572ABD8"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 xml:space="preserve">The development of a transparent and concise test of discrimination should not be undermined by a vague and opaque approach to justification. A significant step was taken in </w:t>
      </w:r>
      <w:r w:rsidRPr="005C3622">
        <w:rPr>
          <w:rFonts w:ascii="Times New Roman" w:hAnsi="Times New Roman"/>
          <w:i/>
        </w:rPr>
        <w:t>Castlemaine Tooheys Ltd v South Australia</w:t>
      </w:r>
      <w:r w:rsidRPr="005C3622">
        <w:rPr>
          <w:rStyle w:val="FootnoteReference"/>
          <w:rFonts w:ascii="Times New Roman" w:hAnsi="Times New Roman"/>
          <w:sz w:val="24"/>
        </w:rPr>
        <w:footnoteReference w:id="419"/>
      </w:r>
      <w:r w:rsidRPr="005C3622">
        <w:rPr>
          <w:rFonts w:ascii="Times New Roman" w:hAnsi="Times New Roman"/>
          <w:iCs/>
        </w:rPr>
        <w:t xml:space="preserve"> </w:t>
      </w:r>
      <w:r w:rsidRPr="005C3622">
        <w:rPr>
          <w:rFonts w:ascii="Times New Roman" w:hAnsi="Times New Roman"/>
        </w:rPr>
        <w:t xml:space="preserve">towards making transparent the approach to justification of a law that burdens trade, commerce, or intercourse in the proscribed way. In that case, </w:t>
      </w:r>
      <w:r w:rsidRPr="005C3622">
        <w:rPr>
          <w:rFonts w:ascii="Times New Roman" w:hAnsi="Times New Roman"/>
          <w:iCs/>
        </w:rPr>
        <w:t xml:space="preserve">five members of this Court said that a law that imposes a burden upon interstate trade and commerce would be "appropriate and adapted" if it </w:t>
      </w:r>
      <w:r w:rsidRPr="005C3622">
        <w:rPr>
          <w:rFonts w:ascii="Times New Roman" w:hAnsi="Times New Roman"/>
        </w:rPr>
        <w:t>imposed a burden that was incidental and was not disproportionate to the object</w:t>
      </w:r>
      <w:r w:rsidRPr="005C3622">
        <w:rPr>
          <w:rFonts w:ascii="Times New Roman" w:hAnsi="Times New Roman"/>
          <w:iCs/>
        </w:rPr>
        <w:t xml:space="preserve"> to be achieved. </w:t>
      </w:r>
    </w:p>
    <w:p w14:paraId="7B377640"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iCs/>
        </w:rPr>
        <w:tab/>
        <w:t>This step, while significant, did not complete the movement towards transparency. By themselves, words like "appropriate and adapted" or "disproportionate" still conceal underlying reasoning and leave open a vast area for the exercise of discretion and subjective preference. More is also needed to provide clarity (i) for the State and Commonwealth Parliaments and (ii) for the States and the Commonwealth to attempt to discharge their onus of justifying relevantly discriminatory laws</w:t>
      </w:r>
      <w:r w:rsidRPr="005C3622">
        <w:rPr>
          <w:rFonts w:ascii="Times New Roman" w:hAnsi="Times New Roman"/>
        </w:rPr>
        <w:t xml:space="preserve">. Judicial reasoning concerning constitutional validity of legislation should not be a black box to be unlocked only when parties to a later case seek explanation for the earlier exercise of discretion. </w:t>
      </w:r>
      <w:r w:rsidRPr="005C3622">
        <w:rPr>
          <w:rFonts w:ascii="Times New Roman" w:hAnsi="Times New Roman"/>
          <w:iCs/>
        </w:rPr>
        <w:t>As Professor Birks observed when discussing unstructured discretion</w:t>
      </w:r>
      <w:r w:rsidRPr="005C3622">
        <w:rPr>
          <w:rStyle w:val="FootnoteReference"/>
          <w:rFonts w:ascii="Times New Roman" w:hAnsi="Times New Roman"/>
          <w:iCs/>
          <w:sz w:val="24"/>
        </w:rPr>
        <w:footnoteReference w:id="420"/>
      </w:r>
      <w:r w:rsidRPr="005C3622">
        <w:rPr>
          <w:rFonts w:ascii="Times New Roman" w:hAnsi="Times New Roman"/>
          <w:iCs/>
        </w:rPr>
        <w:t>:</w:t>
      </w:r>
    </w:p>
    <w:p w14:paraId="19C06DF6" w14:textId="77777777" w:rsidR="002D2334" w:rsidRDefault="002D2334" w:rsidP="005C3622">
      <w:pPr>
        <w:pStyle w:val="LeftrightafterHC"/>
        <w:spacing w:before="0" w:after="260" w:line="280" w:lineRule="exact"/>
        <w:ind w:right="0"/>
        <w:jc w:val="both"/>
        <w:rPr>
          <w:rFonts w:ascii="Times New Roman" w:hAnsi="Times New Roman"/>
        </w:rPr>
      </w:pPr>
      <w:r w:rsidRPr="005C3622">
        <w:rPr>
          <w:rFonts w:ascii="Times New Roman" w:hAnsi="Times New Roman"/>
        </w:rPr>
        <w:t>"The whole point of the rule of law is to ensure that power which cannot be put under the law should be accountable to the electorate and that, for the rest, we all live under the law, not under the wills and whims of a person or a group of people. The blessings of this commitment have been overlooked by the discretionary remedialists, who suddenly suppose that the judges should be the one group answerable only to God."</w:t>
      </w:r>
    </w:p>
    <w:p w14:paraId="064741D3"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r>
      <w:r w:rsidRPr="005C3622">
        <w:rPr>
          <w:rFonts w:ascii="Times New Roman" w:hAnsi="Times New Roman"/>
          <w:iCs/>
        </w:rPr>
        <w:t xml:space="preserve">It is no surprise that a form of structured proportionality analysis has been said to have been adopted by </w:t>
      </w:r>
      <w:r w:rsidRPr="005C3622">
        <w:rPr>
          <w:rFonts w:ascii="Times New Roman" w:hAnsi="Times New Roman"/>
        </w:rPr>
        <w:t>"virtually every effective system of constitutional justice in the world, with the partial exception of the United States"</w:t>
      </w:r>
      <w:r w:rsidRPr="005C3622">
        <w:rPr>
          <w:rStyle w:val="FootnoteReference"/>
          <w:rFonts w:ascii="Times New Roman" w:hAnsi="Times New Roman"/>
          <w:sz w:val="24"/>
        </w:rPr>
        <w:footnoteReference w:id="421"/>
      </w:r>
      <w:r w:rsidRPr="005C3622">
        <w:rPr>
          <w:rFonts w:ascii="Times New Roman" w:hAnsi="Times New Roman"/>
        </w:rPr>
        <w:t>, and even there the balancing approach may be best understood as a less structured form of proportionality</w:t>
      </w:r>
      <w:r w:rsidRPr="005C3622">
        <w:rPr>
          <w:rStyle w:val="FootnoteReference"/>
          <w:rFonts w:ascii="Times New Roman" w:hAnsi="Times New Roman"/>
          <w:sz w:val="24"/>
        </w:rPr>
        <w:footnoteReference w:id="422"/>
      </w:r>
      <w:r w:rsidRPr="005C3622">
        <w:rPr>
          <w:rFonts w:ascii="Times New Roman" w:hAnsi="Times New Roman"/>
        </w:rPr>
        <w:t xml:space="preserve">. In Australia, a structured proportionality analysis is now well established in the context of the implied freedom of political communication as a means to elucidate concepts such as "appropriateness". It was an analysis that was adopted by a majority of this Court in </w:t>
      </w:r>
      <w:r w:rsidRPr="005C3622">
        <w:rPr>
          <w:rFonts w:ascii="Times New Roman" w:hAnsi="Times New Roman"/>
          <w:i/>
          <w:iCs/>
        </w:rPr>
        <w:t>McCloy v New South Wales</w:t>
      </w:r>
      <w:r w:rsidRPr="005C3622">
        <w:rPr>
          <w:rStyle w:val="FootnoteReference"/>
          <w:rFonts w:ascii="Times New Roman" w:hAnsi="Times New Roman"/>
          <w:sz w:val="24"/>
        </w:rPr>
        <w:footnoteReference w:id="423"/>
      </w:r>
      <w:r w:rsidRPr="005C3622">
        <w:rPr>
          <w:rFonts w:ascii="Times New Roman" w:hAnsi="Times New Roman"/>
        </w:rPr>
        <w:t xml:space="preserve">, </w:t>
      </w:r>
      <w:r w:rsidRPr="005C3622">
        <w:rPr>
          <w:rFonts w:ascii="Times New Roman" w:hAnsi="Times New Roman"/>
          <w:i/>
          <w:iCs/>
        </w:rPr>
        <w:t>Brown v Tasmania</w:t>
      </w:r>
      <w:r w:rsidRPr="005C3622">
        <w:rPr>
          <w:rStyle w:val="FootnoteReference"/>
          <w:rFonts w:ascii="Times New Roman" w:hAnsi="Times New Roman"/>
          <w:iCs/>
          <w:sz w:val="24"/>
        </w:rPr>
        <w:footnoteReference w:id="424"/>
      </w:r>
      <w:r w:rsidRPr="005C3622">
        <w:rPr>
          <w:rFonts w:ascii="Times New Roman" w:hAnsi="Times New Roman"/>
        </w:rPr>
        <w:t xml:space="preserve">, </w:t>
      </w:r>
      <w:r w:rsidRPr="005C3622">
        <w:rPr>
          <w:rFonts w:ascii="Times New Roman" w:hAnsi="Times New Roman"/>
          <w:i/>
          <w:iCs/>
        </w:rPr>
        <w:t>Unions NSW v New South Wales</w:t>
      </w:r>
      <w:r w:rsidRPr="005C3622">
        <w:rPr>
          <w:rStyle w:val="FootnoteReference"/>
          <w:rFonts w:ascii="Times New Roman" w:hAnsi="Times New Roman"/>
          <w:sz w:val="24"/>
        </w:rPr>
        <w:footnoteReference w:id="425"/>
      </w:r>
      <w:r w:rsidRPr="005C3622">
        <w:rPr>
          <w:rFonts w:ascii="Times New Roman" w:hAnsi="Times New Roman"/>
        </w:rPr>
        <w:t xml:space="preserve">, and </w:t>
      </w:r>
      <w:r w:rsidRPr="005C3622">
        <w:rPr>
          <w:rFonts w:ascii="Times New Roman" w:hAnsi="Times New Roman"/>
          <w:i/>
          <w:iCs/>
        </w:rPr>
        <w:t>Clubb v Edwards</w:t>
      </w:r>
      <w:r w:rsidRPr="005C3622">
        <w:rPr>
          <w:rStyle w:val="FootnoteReference"/>
          <w:rFonts w:ascii="Times New Roman" w:hAnsi="Times New Roman"/>
          <w:sz w:val="24"/>
        </w:rPr>
        <w:footnoteReference w:id="426"/>
      </w:r>
      <w:r w:rsidRPr="005C3622">
        <w:rPr>
          <w:rFonts w:ascii="Times New Roman" w:hAnsi="Times New Roman"/>
          <w:i/>
          <w:iCs/>
        </w:rPr>
        <w:t xml:space="preserve">. </w:t>
      </w:r>
      <w:r w:rsidRPr="005C3622">
        <w:rPr>
          <w:rFonts w:ascii="Times New Roman" w:hAnsi="Times New Roman"/>
          <w:iCs/>
        </w:rPr>
        <w:t>The need for structure and transparency is no less for an analysis of the compatibility of laws with s 92. A similar analysis should be adopted, to make explicit that which would otherwise be implicit, when assessing whether a law which places a burden on the freedom guaranteed by s 92 is justified</w:t>
      </w:r>
      <w:r w:rsidRPr="005C3622">
        <w:rPr>
          <w:rStyle w:val="FootnoteReference"/>
          <w:rFonts w:ascii="Times New Roman" w:hAnsi="Times New Roman"/>
          <w:iCs/>
          <w:sz w:val="24"/>
        </w:rPr>
        <w:footnoteReference w:id="427"/>
      </w:r>
      <w:r w:rsidRPr="005C3622">
        <w:rPr>
          <w:rFonts w:ascii="Times New Roman" w:hAnsi="Times New Roman"/>
          <w:iCs/>
        </w:rPr>
        <w:t>.</w:t>
      </w:r>
      <w:r w:rsidRPr="005C3622">
        <w:rPr>
          <w:rFonts w:ascii="Times New Roman" w:hAnsi="Times New Roman"/>
        </w:rPr>
        <w:t xml:space="preserve"> </w:t>
      </w:r>
    </w:p>
    <w:p w14:paraId="76B4EBC1"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iCs/>
        </w:rPr>
        <w:tab/>
        <w:t xml:space="preserve">Structured proportionality makes explicit and transparent the only three independent grounds upon which a law might be held invalid as contrary to s 92. First, a law will be invalid if its very purpose is to undermine the freedom guaranteed by s 92. Secondly, a law will be invalid if its means of achieving its legitimate purpose are not "reasonably necessary", in the sense that those means burden the freedom guaranteed by s 92 substantially more than obvious and compelling alternatives which could achieve the purpose of the law to the same extent. Thirdly, and in absolutely exceptional cases, a law will be invalid if its legitimate, but trivial, purpose is inadequate to support the extent of the burden placed upon the high constitutional purpose of s 92. </w:t>
      </w:r>
    </w:p>
    <w:p w14:paraId="15C53C7C"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iCs/>
        </w:rPr>
        <w:tab/>
        <w:t xml:space="preserve">The "structure" in structured proportionality is rigid in its refusal to countenance fictions or hidden grounds for invalidating legislation. As a matter of logic, each stage of the enquiry also follows the preceding stage. The first requires the identification of a legitimate purpose. The second requires assessment of the extent to which the means of achieving that legitimate purpose, not some other – hypothetical or fictional – purpose, is necessary. The third assesses whether, despite the reasonable necessity of the means adopted to achieve the legitimate purpose, the purpose nevertheless cannot justify the burden upon the constitutional freedom. </w:t>
      </w:r>
    </w:p>
    <w:p w14:paraId="4AAE0DC7"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iCs/>
        </w:rPr>
        <w:tab/>
        <w:t xml:space="preserve">One objection to this form of structured proportionality is that there is no place for the third stage of the analysis. In </w:t>
      </w:r>
      <w:r w:rsidRPr="005C3622">
        <w:rPr>
          <w:rFonts w:ascii="Times New Roman" w:hAnsi="Times New Roman"/>
          <w:i/>
        </w:rPr>
        <w:t>Betfair Pty Ltd v Western Australia</w:t>
      </w:r>
      <w:r w:rsidRPr="005C3622">
        <w:rPr>
          <w:rStyle w:val="FootnoteReference"/>
          <w:rFonts w:ascii="Times New Roman" w:hAnsi="Times New Roman"/>
          <w:iCs/>
          <w:sz w:val="24"/>
        </w:rPr>
        <w:footnoteReference w:id="428"/>
      </w:r>
      <w:r w:rsidRPr="005C3622">
        <w:rPr>
          <w:rFonts w:ascii="Times New Roman" w:hAnsi="Times New Roman"/>
          <w:i/>
        </w:rPr>
        <w:t xml:space="preserve"> </w:t>
      </w:r>
      <w:r w:rsidRPr="005C3622">
        <w:rPr>
          <w:rFonts w:ascii="Times New Roman" w:hAnsi="Times New Roman"/>
          <w:iCs/>
        </w:rPr>
        <w:t>the third stage was not mentioned. The third stage requires a comparison of the importance of competing policies, upon which Parliament is far better suited to judge in a representative democracy. There is great force to this objection. In </w:t>
      </w:r>
      <w:r w:rsidRPr="005C3622">
        <w:rPr>
          <w:rFonts w:ascii="Times New Roman" w:hAnsi="Times New Roman"/>
          <w:i/>
          <w:iCs/>
        </w:rPr>
        <w:t>Clubb v Edwards</w:t>
      </w:r>
      <w:r w:rsidRPr="005C3622">
        <w:rPr>
          <w:rStyle w:val="FootnoteReference"/>
          <w:rFonts w:ascii="Times New Roman" w:hAnsi="Times New Roman"/>
          <w:sz w:val="24"/>
        </w:rPr>
        <w:footnoteReference w:id="429"/>
      </w:r>
      <w:r w:rsidRPr="005C3622">
        <w:rPr>
          <w:rFonts w:ascii="Times New Roman" w:hAnsi="Times New Roman"/>
        </w:rPr>
        <w:t>, I explained why this third basis for invalidating laws must be highly exceptional</w:t>
      </w:r>
      <w:r w:rsidRPr="005C3622">
        <w:rPr>
          <w:rFonts w:ascii="Times New Roman" w:hAnsi="Times New Roman"/>
          <w:i/>
          <w:iCs/>
        </w:rPr>
        <w:t xml:space="preserve">. </w:t>
      </w:r>
      <w:r w:rsidRPr="005C3622">
        <w:rPr>
          <w:rFonts w:ascii="Times New Roman" w:hAnsi="Times New Roman"/>
          <w:iCs/>
        </w:rPr>
        <w:t xml:space="preserve">The third stage permits the invalidation of a law even though the purpose of the law is legitimate and despite the means adopted being reasonably necessary to achieve that purpose. In other words, invalidation at the third stage of a law that has satisfied the first two stages might have the effect that Parliament can never legislate to achieve that legitimate purpose. Ultimately, however, as I explain later in these reasons, there may be extreme examples of laws whose legitimate but trivial purpose cannot justify a necessary, but extreme, burden upon the important freedom of trade, commerce, and intercourse.  </w:t>
      </w:r>
    </w:p>
    <w:p w14:paraId="125375FE"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iCs/>
        </w:rPr>
        <w:tab/>
      </w:r>
      <w:r w:rsidRPr="005C3622">
        <w:rPr>
          <w:rFonts w:ascii="Times New Roman" w:hAnsi="Times New Roman"/>
        </w:rPr>
        <w:t xml:space="preserve">Another objection involves an assertion that structured proportionality can have the effect that unspecified factors are ignored or suppressed or that too much weight is put on specified factors. On this view, it is better to allow unspecified factors to roam free, perhaps unmentioned and possibly even subconscious, in a broad evaluative judgment of invalidity. But what are these factors and how would they lead to a conclusion of invalidity? And as to the complaint about excessive weight, why should legislation be held valid if it failed any of the stages of structured proportionality analysis? For instance, is it to be suggested that legislation should be upheld despite having an illegitimate purpose or despite adopting means which burden the s 92 freedom but are not reasonably necessary to achieve its legitimate purpose?  </w:t>
      </w:r>
    </w:p>
    <w:p w14:paraId="26E25DED" w14:textId="77777777" w:rsidR="002D2334" w:rsidRPr="005C3622" w:rsidRDefault="002D2334" w:rsidP="005C3622">
      <w:pPr>
        <w:pStyle w:val="HeadingL2"/>
        <w:spacing w:after="260" w:line="280" w:lineRule="exact"/>
        <w:ind w:right="0"/>
        <w:jc w:val="both"/>
        <w:rPr>
          <w:rFonts w:ascii="Times New Roman" w:hAnsi="Times New Roman"/>
        </w:rPr>
      </w:pPr>
      <w:r w:rsidRPr="005C3622">
        <w:rPr>
          <w:rFonts w:ascii="Times New Roman" w:hAnsi="Times New Roman"/>
        </w:rPr>
        <w:t xml:space="preserve">Proportionality stage one: the purpose of the law </w:t>
      </w:r>
    </w:p>
    <w:p w14:paraId="553A1FF8"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iCs/>
        </w:rPr>
        <w:tab/>
        <w:t>A question which is logically anterior to any other stage of proportionality analysis is whether the law is suitable in that it has a rational connection with a legitimate purpose. In the context of justifying a law that would otherwise be contrary to s 92, the question is most neatly expressed as whether the law has an illegitimate purpose. I</w:t>
      </w:r>
      <w:r w:rsidRPr="005C3622">
        <w:rPr>
          <w:rFonts w:ascii="Times New Roman" w:hAnsi="Times New Roman"/>
        </w:rPr>
        <w:t xml:space="preserve">f one of the very purposes of the legislative provision is to discriminate in the manner prohibited by s 92 then the law cannot be justified. Section 92, as a constitutional norm, could not sanction a law with the very purpose of undermining that norm. </w:t>
      </w:r>
    </w:p>
    <w:p w14:paraId="31E942E3"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The purpose of the legislative provision, in this sense, is the object, goal, or aim of the law rather than merely the effect of the law</w:t>
      </w:r>
      <w:r w:rsidRPr="005C3622">
        <w:rPr>
          <w:rStyle w:val="FootnoteReference"/>
          <w:rFonts w:ascii="Times New Roman" w:hAnsi="Times New Roman"/>
          <w:sz w:val="24"/>
        </w:rPr>
        <w:footnoteReference w:id="430"/>
      </w:r>
      <w:r w:rsidRPr="005C3622">
        <w:rPr>
          <w:rFonts w:ascii="Times New Roman" w:hAnsi="Times New Roman"/>
        </w:rPr>
        <w:t>. Of course, since purpose or intention can be inferred from likely effect</w:t>
      </w:r>
      <w:r w:rsidRPr="005C3622">
        <w:rPr>
          <w:rStyle w:val="FootnoteReference"/>
          <w:rFonts w:ascii="Times New Roman" w:hAnsi="Times New Roman"/>
          <w:sz w:val="24"/>
        </w:rPr>
        <w:footnoteReference w:id="431"/>
      </w:r>
      <w:r w:rsidRPr="005C3622">
        <w:rPr>
          <w:rFonts w:ascii="Times New Roman" w:hAnsi="Times New Roman"/>
        </w:rPr>
        <w:t>, a discriminatory effect of the law that is very likely or an obvious substantial disproportion with expressed objects of the law might be bases for an inference that the discrimination was an intended purpose. But a law will only fail at this stage if one of its very purposes is to achieve that which was proscribed. Expressions such as "pointed directly at"</w:t>
      </w:r>
      <w:r w:rsidRPr="005C3622">
        <w:rPr>
          <w:rStyle w:val="FootnoteReference"/>
          <w:rFonts w:ascii="Times New Roman" w:hAnsi="Times New Roman"/>
          <w:sz w:val="24"/>
        </w:rPr>
        <w:footnoteReference w:id="432"/>
      </w:r>
      <w:r w:rsidRPr="005C3622">
        <w:rPr>
          <w:rFonts w:ascii="Times New Roman" w:hAnsi="Times New Roman"/>
        </w:rPr>
        <w:t>, "aimed at"</w:t>
      </w:r>
      <w:r w:rsidRPr="005C3622">
        <w:rPr>
          <w:rStyle w:val="FootnoteReference"/>
          <w:rFonts w:ascii="Times New Roman" w:hAnsi="Times New Roman"/>
          <w:sz w:val="24"/>
        </w:rPr>
        <w:footnoteReference w:id="433"/>
      </w:r>
      <w:r w:rsidRPr="005C3622">
        <w:rPr>
          <w:rFonts w:ascii="Times New Roman" w:hAnsi="Times New Roman"/>
        </w:rPr>
        <w:t>, or "directed against"</w:t>
      </w:r>
      <w:r w:rsidRPr="005C3622">
        <w:rPr>
          <w:rStyle w:val="FootnoteReference"/>
          <w:rFonts w:ascii="Times New Roman" w:hAnsi="Times New Roman"/>
          <w:sz w:val="24"/>
        </w:rPr>
        <w:footnoteReference w:id="434"/>
      </w:r>
      <w:r w:rsidRPr="005C3622">
        <w:rPr>
          <w:rFonts w:ascii="Times New Roman" w:hAnsi="Times New Roman"/>
        </w:rPr>
        <w:t>, might be said to be "unsatisfactory" descriptions</w:t>
      </w:r>
      <w:r w:rsidRPr="005C3622">
        <w:rPr>
          <w:rStyle w:val="FootnoteReference"/>
          <w:rFonts w:ascii="Times New Roman" w:hAnsi="Times New Roman"/>
          <w:sz w:val="24"/>
        </w:rPr>
        <w:footnoteReference w:id="435"/>
      </w:r>
      <w:r w:rsidRPr="005C3622">
        <w:rPr>
          <w:rFonts w:ascii="Times New Roman" w:hAnsi="Times New Roman"/>
        </w:rPr>
        <w:t xml:space="preserve"> because to the extent that those expressions mean something different from purpose then they should not be sufficient for establishing invalidity.</w:t>
      </w:r>
    </w:p>
    <w:p w14:paraId="5CB7D77A" w14:textId="77777777" w:rsidR="002D2334" w:rsidRPr="005C3622" w:rsidRDefault="002D2334" w:rsidP="005C3622">
      <w:pPr>
        <w:pStyle w:val="HeadingL2"/>
        <w:spacing w:after="260" w:line="280" w:lineRule="exact"/>
        <w:ind w:right="0"/>
        <w:jc w:val="both"/>
        <w:rPr>
          <w:rFonts w:ascii="Times New Roman" w:hAnsi="Times New Roman"/>
        </w:rPr>
      </w:pPr>
      <w:r w:rsidRPr="005C3622">
        <w:rPr>
          <w:rFonts w:ascii="Times New Roman" w:hAnsi="Times New Roman"/>
        </w:rPr>
        <w:t>Proportionality stage two: reasonable necessity</w:t>
      </w:r>
    </w:p>
    <w:p w14:paraId="13D25B6F"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iCs/>
        </w:rPr>
        <w:tab/>
        <w:t xml:space="preserve">If the law has a legitimate purpose but has an effect of discriminating between States in trade, commerce, or intercourse, then the next stage of structured proportionality involves asking whether </w:t>
      </w:r>
      <w:r w:rsidRPr="005C3622">
        <w:rPr>
          <w:rFonts w:ascii="Times New Roman" w:hAnsi="Times New Roman"/>
        </w:rPr>
        <w:t>the means used to achieve that legitimate purpose are reasonably necessary for achieving that purpose. As in the context of the implied freedom of political communication</w:t>
      </w:r>
      <w:r w:rsidRPr="005C3622">
        <w:rPr>
          <w:rStyle w:val="FootnoteReference"/>
          <w:rFonts w:ascii="Times New Roman" w:hAnsi="Times New Roman"/>
          <w:iCs/>
          <w:sz w:val="24"/>
        </w:rPr>
        <w:footnoteReference w:id="436"/>
      </w:r>
      <w:r w:rsidRPr="005C3622">
        <w:rPr>
          <w:rFonts w:ascii="Times New Roman" w:hAnsi="Times New Roman"/>
        </w:rPr>
        <w:t>, the question of reasonable necessity in relation to s 92 will be assessed according to the availability and obviousness of means that could achieve the same legitimate purpose to the same extent but without burdening, or with a lesser burden on, the freedom guaranteed by s 92.</w:t>
      </w:r>
    </w:p>
    <w:p w14:paraId="080A6B53"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r>
      <w:r w:rsidRPr="005C3622">
        <w:rPr>
          <w:rFonts w:ascii="Times New Roman" w:hAnsi="Times New Roman"/>
          <w:iCs/>
        </w:rPr>
        <w:t xml:space="preserve">In </w:t>
      </w:r>
      <w:r w:rsidRPr="005C3622">
        <w:rPr>
          <w:rFonts w:ascii="Times New Roman" w:hAnsi="Times New Roman"/>
          <w:i/>
          <w:iCs/>
        </w:rPr>
        <w:t>Cole v Whitfield</w:t>
      </w:r>
      <w:r w:rsidRPr="005C3622">
        <w:rPr>
          <w:rStyle w:val="FootnoteReference"/>
          <w:rFonts w:ascii="Times New Roman" w:hAnsi="Times New Roman"/>
          <w:sz w:val="24"/>
        </w:rPr>
        <w:footnoteReference w:id="437"/>
      </w:r>
      <w:r w:rsidRPr="005C3622">
        <w:rPr>
          <w:rFonts w:ascii="Times New Roman" w:hAnsi="Times New Roman"/>
          <w:iCs/>
        </w:rPr>
        <w:t>,</w:t>
      </w:r>
      <w:r w:rsidRPr="005C3622">
        <w:rPr>
          <w:rFonts w:ascii="Times New Roman" w:hAnsi="Times New Roman"/>
          <w:i/>
          <w:iCs/>
        </w:rPr>
        <w:t xml:space="preserve"> </w:t>
      </w:r>
      <w:r w:rsidRPr="005C3622">
        <w:rPr>
          <w:rFonts w:ascii="Times New Roman" w:hAnsi="Times New Roman"/>
          <w:iCs/>
        </w:rPr>
        <w:t xml:space="preserve">this Court said that even if the law had conferred an advantage on local trade it would have been justified because the regulation was </w:t>
      </w:r>
      <w:r w:rsidRPr="005C3622">
        <w:rPr>
          <w:rFonts w:ascii="Times New Roman" w:hAnsi="Times New Roman"/>
        </w:rPr>
        <w:t xml:space="preserve">a </w:t>
      </w:r>
      <w:r w:rsidRPr="005C3622">
        <w:rPr>
          <w:rFonts w:ascii="Times New Roman" w:hAnsi="Times New Roman"/>
          <w:iCs/>
        </w:rPr>
        <w:t xml:space="preserve">"necessary means" of enforcing the prohibition against catching undersized crayfish. But, without the qualification of "reasonableness", a requirement for necessary means might be misunderstood as a test of the ingenuity of counsel. It might imply that a defendant could not justify a law if, as could have been done in this case, counsel for the party challenging the law could identify any manner by which the law's objects could be achieved by any other, less restrictive means. </w:t>
      </w:r>
      <w:r w:rsidRPr="005C3622">
        <w:rPr>
          <w:rFonts w:ascii="Times New Roman" w:hAnsi="Times New Roman"/>
        </w:rPr>
        <w:t>That consequence is avoided by the decisions on s 92 which clarified that this consideration is concerned with whether the law burdens the freedom by means that are more restrictive than is "reasonable" to achieve its purposes</w:t>
      </w:r>
      <w:r w:rsidRPr="005C3622">
        <w:rPr>
          <w:rStyle w:val="FootnoteReference"/>
          <w:rFonts w:ascii="Times New Roman" w:hAnsi="Times New Roman"/>
          <w:sz w:val="24"/>
        </w:rPr>
        <w:footnoteReference w:id="438"/>
      </w:r>
      <w:r w:rsidRPr="005C3622">
        <w:rPr>
          <w:rFonts w:ascii="Times New Roman" w:hAnsi="Times New Roman"/>
        </w:rPr>
        <w:t>.</w:t>
      </w:r>
    </w:p>
    <w:p w14:paraId="12C3F2E5"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iCs/>
        </w:rPr>
        <w:tab/>
        <w:t>I</w:t>
      </w:r>
      <w:r w:rsidRPr="005C3622">
        <w:rPr>
          <w:rFonts w:ascii="Times New Roman" w:hAnsi="Times New Roman"/>
        </w:rPr>
        <w:t xml:space="preserve">n </w:t>
      </w:r>
      <w:r w:rsidRPr="005C3622">
        <w:rPr>
          <w:rFonts w:ascii="Times New Roman" w:hAnsi="Times New Roman"/>
          <w:i/>
        </w:rPr>
        <w:t>Betfair Pty Ltd v Western Australia</w:t>
      </w:r>
      <w:r w:rsidRPr="005C3622">
        <w:rPr>
          <w:rStyle w:val="FootnoteReference"/>
          <w:rFonts w:ascii="Times New Roman" w:hAnsi="Times New Roman"/>
          <w:iCs/>
          <w:sz w:val="24"/>
        </w:rPr>
        <w:footnoteReference w:id="439"/>
      </w:r>
      <w:r w:rsidRPr="005C3622">
        <w:rPr>
          <w:rFonts w:ascii="Times New Roman" w:hAnsi="Times New Roman"/>
          <w:iCs/>
        </w:rPr>
        <w:t>, consistently with earlier decisions</w:t>
      </w:r>
      <w:r w:rsidRPr="005C3622">
        <w:rPr>
          <w:rStyle w:val="FootnoteReference"/>
          <w:rFonts w:ascii="Times New Roman" w:hAnsi="Times New Roman"/>
          <w:sz w:val="24"/>
        </w:rPr>
        <w:footnoteReference w:id="440"/>
      </w:r>
      <w:r w:rsidRPr="005C3622">
        <w:rPr>
          <w:rFonts w:ascii="Times New Roman" w:hAnsi="Times New Roman"/>
          <w:iCs/>
        </w:rPr>
        <w:t>,</w:t>
      </w:r>
      <w:r w:rsidRPr="005C3622">
        <w:rPr>
          <w:rFonts w:ascii="Times New Roman" w:hAnsi="Times New Roman"/>
          <w:i/>
        </w:rPr>
        <w:t xml:space="preserve"> </w:t>
      </w:r>
      <w:r w:rsidRPr="005C3622">
        <w:rPr>
          <w:rFonts w:ascii="Times New Roman" w:hAnsi="Times New Roman"/>
          <w:iCs/>
        </w:rPr>
        <w:t xml:space="preserve">six members of this Court </w:t>
      </w:r>
      <w:r w:rsidRPr="005C3622">
        <w:rPr>
          <w:rFonts w:ascii="Times New Roman" w:hAnsi="Times New Roman"/>
        </w:rPr>
        <w:t>said in a joint judgment that the enquiry should be described as one of "reasonable necessity" and that these terms should be</w:t>
      </w:r>
      <w:r w:rsidRPr="005C3622">
        <w:rPr>
          <w:rFonts w:ascii="Times New Roman" w:hAnsi="Times New Roman"/>
          <w:iCs/>
        </w:rPr>
        <w:t xml:space="preserve"> "accepted as the doctrine of the Court". </w:t>
      </w:r>
      <w:r w:rsidRPr="005C3622">
        <w:rPr>
          <w:rFonts w:ascii="Times New Roman" w:hAnsi="Times New Roman"/>
        </w:rPr>
        <w:t xml:space="preserve">In that case, </w:t>
      </w:r>
      <w:r w:rsidRPr="005C3622">
        <w:rPr>
          <w:rFonts w:ascii="Times New Roman" w:hAnsi="Times New Roman"/>
          <w:iCs/>
        </w:rPr>
        <w:t>a Western Australian law was held not to be "proportionate" because it was not shown to be reasonably necessary. As the joint judgment explained, there was an apparent legislative alternative, taken by Tasmanian law, which did not involve discrimination</w:t>
      </w:r>
      <w:r w:rsidRPr="005C3622">
        <w:rPr>
          <w:rStyle w:val="FootnoteReference"/>
          <w:rFonts w:ascii="Times New Roman" w:hAnsi="Times New Roman"/>
          <w:iCs/>
          <w:sz w:val="24"/>
        </w:rPr>
        <w:footnoteReference w:id="441"/>
      </w:r>
      <w:r w:rsidRPr="005C3622">
        <w:rPr>
          <w:rFonts w:ascii="Times New Roman" w:hAnsi="Times New Roman"/>
          <w:iCs/>
        </w:rPr>
        <w:t xml:space="preserve">. </w:t>
      </w:r>
      <w:r w:rsidRPr="005C3622">
        <w:rPr>
          <w:rFonts w:ascii="Times New Roman" w:hAnsi="Times New Roman"/>
        </w:rPr>
        <w:t>This description of "reasonable necessity" has been correctly described as a "mirror", to an extent, of the same enquiry in the context of structured proportionality analysis used in relation to the implied freedom of political communication</w:t>
      </w:r>
      <w:r w:rsidRPr="005C3622">
        <w:rPr>
          <w:rStyle w:val="FootnoteReference"/>
          <w:rFonts w:ascii="Times New Roman" w:hAnsi="Times New Roman"/>
          <w:sz w:val="24"/>
        </w:rPr>
        <w:footnoteReference w:id="442"/>
      </w:r>
      <w:r w:rsidRPr="005C3622">
        <w:rPr>
          <w:rFonts w:ascii="Times New Roman" w:hAnsi="Times New Roman"/>
        </w:rPr>
        <w:t xml:space="preserve">. </w:t>
      </w:r>
    </w:p>
    <w:p w14:paraId="024A0753"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It should be emphasised that reasonableness is not a monolithic standard</w:t>
      </w:r>
      <w:r w:rsidRPr="005C3622">
        <w:rPr>
          <w:rStyle w:val="FootnoteReference"/>
          <w:rFonts w:ascii="Times New Roman" w:hAnsi="Times New Roman"/>
          <w:sz w:val="24"/>
        </w:rPr>
        <w:footnoteReference w:id="443"/>
      </w:r>
      <w:r w:rsidRPr="005C3622">
        <w:rPr>
          <w:rFonts w:ascii="Times New Roman" w:hAnsi="Times New Roman"/>
        </w:rPr>
        <w:t>. In other areas it is now accepted that the threshold of reasonableness, or intensity of review, can vary between different categories of case</w:t>
      </w:r>
      <w:r w:rsidRPr="005C3622">
        <w:rPr>
          <w:rStyle w:val="FootnoteReference"/>
          <w:rFonts w:ascii="Times New Roman" w:hAnsi="Times New Roman"/>
          <w:sz w:val="24"/>
        </w:rPr>
        <w:footnoteReference w:id="444"/>
      </w:r>
      <w:r w:rsidRPr="005C3622">
        <w:rPr>
          <w:rFonts w:ascii="Times New Roman" w:hAnsi="Times New Roman"/>
        </w:rPr>
        <w:t xml:space="preserve">. It is enough in this case to say that in the context of s 92 the reasonableness threshold means there will be a margin of appreciation afforded to Parliament before its legislation will be found to fall outside the boundaries of choice of the means by which to implement the legislative purpose. </w:t>
      </w:r>
    </w:p>
    <w:p w14:paraId="6D079D3E" w14:textId="77777777" w:rsidR="002D2334" w:rsidRPr="005C3622" w:rsidRDefault="002D2334" w:rsidP="005C3622">
      <w:pPr>
        <w:pStyle w:val="HeadingL2"/>
        <w:spacing w:after="260" w:line="280" w:lineRule="exact"/>
        <w:ind w:right="0"/>
        <w:jc w:val="both"/>
        <w:rPr>
          <w:rFonts w:ascii="Times New Roman" w:hAnsi="Times New Roman"/>
        </w:rPr>
      </w:pPr>
      <w:r w:rsidRPr="005C3622">
        <w:rPr>
          <w:rFonts w:ascii="Times New Roman" w:hAnsi="Times New Roman"/>
        </w:rPr>
        <w:t xml:space="preserve">Proportionality stage three: adequacy in the balance  </w:t>
      </w:r>
    </w:p>
    <w:p w14:paraId="5828462A"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The final stage of structured proportionality is perhaps the most controversial. It requires asking whether the law is adequate in its balance</w:t>
      </w:r>
      <w:r w:rsidRPr="005C3622">
        <w:rPr>
          <w:rStyle w:val="FootnoteReference"/>
          <w:rFonts w:ascii="Times New Roman" w:hAnsi="Times New Roman"/>
          <w:sz w:val="24"/>
        </w:rPr>
        <w:footnoteReference w:id="445"/>
      </w:r>
      <w:r w:rsidRPr="005C3622">
        <w:rPr>
          <w:rFonts w:ascii="Times New Roman" w:hAnsi="Times New Roman"/>
        </w:rPr>
        <w:t xml:space="preserve">. </w:t>
      </w:r>
      <w:r w:rsidRPr="005C3622">
        <w:rPr>
          <w:rFonts w:ascii="Times New Roman" w:hAnsi="Times New Roman"/>
          <w:iCs/>
        </w:rPr>
        <w:t>Even if the means ad</w:t>
      </w:r>
      <w:r w:rsidRPr="005C3622">
        <w:rPr>
          <w:rFonts w:ascii="Times New Roman" w:hAnsi="Times New Roman"/>
        </w:rPr>
        <w:t>opted by the law are reasonably necessary to achieve its purpose, there will be some cases where the purpose of the law is nevertheless not of sufficient importance to justify the burden that the law places on interstate trade, commerce, or intercourse given the high importance and purpose of s 92</w:t>
      </w:r>
      <w:r w:rsidRPr="005C3622">
        <w:rPr>
          <w:rFonts w:ascii="Times New Roman" w:hAnsi="Times New Roman"/>
          <w:iCs/>
        </w:rPr>
        <w:t xml:space="preserve"> of the </w:t>
      </w:r>
      <w:r w:rsidRPr="005C3622">
        <w:rPr>
          <w:rFonts w:ascii="Times New Roman" w:hAnsi="Times New Roman"/>
          <w:i/>
          <w:iCs/>
        </w:rPr>
        <w:t>Constitution</w:t>
      </w:r>
      <w:r w:rsidRPr="005C3622">
        <w:rPr>
          <w:rFonts w:ascii="Times New Roman" w:hAnsi="Times New Roman"/>
        </w:rPr>
        <w:t>. A law will be inadequate in the balance if, notwithstanding that the law is the only reasonable means of achieving the purpose, the extent of the discrimination and thus the incursion into the freedom of trade, commerce, or intercourse cannot be justified given the purpose of the law</w:t>
      </w:r>
      <w:r w:rsidRPr="005C3622">
        <w:rPr>
          <w:rStyle w:val="FootnoteReference"/>
          <w:rFonts w:ascii="Times New Roman" w:hAnsi="Times New Roman"/>
          <w:sz w:val="24"/>
        </w:rPr>
        <w:footnoteReference w:id="446"/>
      </w:r>
      <w:r w:rsidRPr="005C3622">
        <w:rPr>
          <w:rFonts w:ascii="Times New Roman" w:hAnsi="Times New Roman"/>
        </w:rPr>
        <w:t xml:space="preserve">. </w:t>
      </w:r>
    </w:p>
    <w:p w14:paraId="1C18A6BB"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 xml:space="preserve">Considerations of high public policy are involved in this balancing of, on the one hand, Parliament's purpose and, on the other hand, the importance of freedom of trade, commerce, and intercourse and the extent to which that freedom is burdened. </w:t>
      </w:r>
      <w:r w:rsidRPr="005C3622">
        <w:rPr>
          <w:rFonts w:ascii="Times New Roman" w:hAnsi="Times New Roman"/>
          <w:iCs/>
        </w:rPr>
        <w:t xml:space="preserve">A foundational principle of the </w:t>
      </w:r>
      <w:r w:rsidRPr="005C3622">
        <w:rPr>
          <w:rFonts w:ascii="Times New Roman" w:hAnsi="Times New Roman"/>
          <w:i/>
          <w:iCs/>
        </w:rPr>
        <w:t>Constitution</w:t>
      </w:r>
      <w:r w:rsidRPr="005C3622">
        <w:rPr>
          <w:rFonts w:ascii="Times New Roman" w:hAnsi="Times New Roman"/>
          <w:iCs/>
        </w:rPr>
        <w:t xml:space="preserve"> is representative democracy, which generally requires that significant policy decisions be left to the branch of government best suited to make them: the Parliament. However, the description of the s 92 freedom as "absolute" supports the possibility of invalidity where Parliament puts a necessary but extreme burden on the subject matter of s </w:t>
      </w:r>
      <w:r w:rsidRPr="005C3622">
        <w:rPr>
          <w:rFonts w:ascii="Times New Roman" w:hAnsi="Times New Roman"/>
        </w:rPr>
        <w:t>92</w:t>
      </w:r>
      <w:r w:rsidRPr="005C3622">
        <w:rPr>
          <w:rFonts w:ascii="Times New Roman" w:hAnsi="Times New Roman"/>
          <w:iCs/>
        </w:rPr>
        <w:t xml:space="preserve"> </w:t>
      </w:r>
      <w:r w:rsidRPr="005C3622">
        <w:rPr>
          <w:rFonts w:ascii="Times New Roman" w:hAnsi="Times New Roman"/>
        </w:rPr>
        <w:t xml:space="preserve">in </w:t>
      </w:r>
      <w:r w:rsidRPr="005C3622">
        <w:rPr>
          <w:rFonts w:ascii="Times New Roman" w:hAnsi="Times New Roman"/>
          <w:iCs/>
        </w:rPr>
        <w:t>order to achieve a purpose that is trivial, usually assessed by reference to the context and importance that Parliament itself has placed on the purpose.</w:t>
      </w:r>
      <w:r w:rsidRPr="005C3622">
        <w:rPr>
          <w:rFonts w:ascii="Times New Roman" w:hAnsi="Times New Roman"/>
        </w:rPr>
        <w:t xml:space="preserve"> </w:t>
      </w:r>
    </w:p>
    <w:p w14:paraId="78C115DE" w14:textId="77777777" w:rsidR="002D2334" w:rsidRPr="005C3622" w:rsidRDefault="002D2334" w:rsidP="005C3622">
      <w:pPr>
        <w:pStyle w:val="HeadingL1"/>
        <w:spacing w:after="260" w:line="280" w:lineRule="exact"/>
        <w:ind w:right="0"/>
        <w:jc w:val="both"/>
        <w:rPr>
          <w:rFonts w:ascii="Times New Roman" w:eastAsia="GungsuhChe" w:hAnsi="Times New Roman"/>
          <w:lang w:eastAsia="en-US"/>
        </w:rPr>
      </w:pPr>
      <w:r w:rsidRPr="005C3622">
        <w:rPr>
          <w:rFonts w:ascii="Times New Roman" w:eastAsia="GungsuhChe" w:hAnsi="Times New Roman"/>
          <w:lang w:eastAsia="en-US"/>
        </w:rPr>
        <w:t xml:space="preserve">Sections 56 and 67 of the </w:t>
      </w:r>
      <w:r w:rsidRPr="005C3622">
        <w:rPr>
          <w:rFonts w:ascii="Times New Roman" w:eastAsia="GungsuhChe" w:hAnsi="Times New Roman"/>
          <w:i/>
          <w:iCs/>
          <w:lang w:eastAsia="en-US"/>
        </w:rPr>
        <w:t xml:space="preserve">Emergency Management Act </w:t>
      </w:r>
      <w:r w:rsidRPr="005C3622">
        <w:rPr>
          <w:rFonts w:ascii="Times New Roman" w:eastAsia="GungsuhChe" w:hAnsi="Times New Roman"/>
          <w:lang w:eastAsia="en-US"/>
        </w:rPr>
        <w:t>are justified in their relevant application</w:t>
      </w:r>
    </w:p>
    <w:p w14:paraId="2270DFDC" w14:textId="77777777" w:rsidR="002D2334" w:rsidRPr="005C3622" w:rsidRDefault="002D2334" w:rsidP="005C3622">
      <w:pPr>
        <w:pStyle w:val="HeadingL2"/>
        <w:spacing w:after="260" w:line="280" w:lineRule="exact"/>
        <w:ind w:right="0"/>
        <w:jc w:val="both"/>
        <w:rPr>
          <w:rFonts w:ascii="Times New Roman" w:hAnsi="Times New Roman"/>
        </w:rPr>
      </w:pPr>
      <w:r w:rsidRPr="005C3622">
        <w:rPr>
          <w:rFonts w:ascii="Times New Roman" w:eastAsia="GungsuhChe" w:hAnsi="Times New Roman"/>
          <w:lang w:eastAsia="en-US"/>
        </w:rPr>
        <w:t>Sections 56 and 67 serve a legitimate purpose</w:t>
      </w:r>
    </w:p>
    <w:p w14:paraId="5F48B849"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 xml:space="preserve">The plaintiffs' central submission alleged a substantial identity between the </w:t>
      </w:r>
      <w:r w:rsidRPr="005C3622">
        <w:rPr>
          <w:rFonts w:ascii="Times New Roman" w:hAnsi="Times New Roman"/>
          <w:i/>
        </w:rPr>
        <w:t>Quarantine (Closing the Border) Directions</w:t>
      </w:r>
      <w:r w:rsidRPr="005C3622">
        <w:rPr>
          <w:rFonts w:ascii="Times New Roman" w:hAnsi="Times New Roman"/>
        </w:rPr>
        <w:t xml:space="preserve"> and the </w:t>
      </w:r>
      <w:r w:rsidRPr="005C3622">
        <w:rPr>
          <w:rFonts w:ascii="Times New Roman" w:hAnsi="Times New Roman"/>
          <w:i/>
          <w:iCs/>
        </w:rPr>
        <w:t xml:space="preserve">Restriction of Interstate Passenger Transport </w:t>
      </w:r>
      <w:r w:rsidRPr="005C3622">
        <w:rPr>
          <w:rFonts w:ascii="Times New Roman" w:hAnsi="Times New Roman"/>
          <w:i/>
        </w:rPr>
        <w:t xml:space="preserve">Order </w:t>
      </w:r>
      <w:r w:rsidRPr="005C3622">
        <w:rPr>
          <w:rFonts w:ascii="Times New Roman" w:hAnsi="Times New Roman"/>
        </w:rPr>
        <w:t xml:space="preserve">held by this Court to be invalid in </w:t>
      </w:r>
      <w:r w:rsidRPr="005C3622">
        <w:rPr>
          <w:rFonts w:ascii="Times New Roman" w:hAnsi="Times New Roman"/>
          <w:i/>
          <w:iCs/>
        </w:rPr>
        <w:t>Gratwick v Johnson</w:t>
      </w:r>
      <w:r w:rsidRPr="005C3622">
        <w:rPr>
          <w:rStyle w:val="FootnoteReference"/>
          <w:rFonts w:ascii="Times New Roman" w:hAnsi="Times New Roman"/>
          <w:sz w:val="24"/>
        </w:rPr>
        <w:footnoteReference w:id="447"/>
      </w:r>
      <w:r w:rsidRPr="005C3622">
        <w:rPr>
          <w:rFonts w:ascii="Times New Roman" w:hAnsi="Times New Roman"/>
        </w:rPr>
        <w:t xml:space="preserve">. The primary legislation considered in </w:t>
      </w:r>
      <w:r w:rsidRPr="005C3622">
        <w:rPr>
          <w:rFonts w:ascii="Times New Roman" w:hAnsi="Times New Roman"/>
          <w:i/>
          <w:iCs/>
        </w:rPr>
        <w:t xml:space="preserve">Gratwick </w:t>
      </w:r>
      <w:r w:rsidRPr="005C3622">
        <w:rPr>
          <w:rFonts w:ascii="Times New Roman" w:hAnsi="Times New Roman"/>
        </w:rPr>
        <w:t xml:space="preserve">was an open-textured wartime power under the </w:t>
      </w:r>
      <w:r w:rsidRPr="005C3622">
        <w:rPr>
          <w:rFonts w:ascii="Times New Roman" w:hAnsi="Times New Roman"/>
          <w:i/>
        </w:rPr>
        <w:t>National Security Act 1939</w:t>
      </w:r>
      <w:r w:rsidRPr="005C3622">
        <w:rPr>
          <w:rFonts w:ascii="Times New Roman" w:hAnsi="Times New Roman"/>
          <w:i/>
          <w:iCs/>
        </w:rPr>
        <w:t xml:space="preserve"> </w:t>
      </w:r>
      <w:r w:rsidRPr="005C3622">
        <w:rPr>
          <w:rFonts w:ascii="Times New Roman" w:hAnsi="Times New Roman"/>
        </w:rPr>
        <w:t xml:space="preserve">(Cth) to make regulations for securing the public safety and defence of the Commonwealth. The regulations made included the </w:t>
      </w:r>
      <w:r w:rsidRPr="005C3622">
        <w:rPr>
          <w:rFonts w:ascii="Times New Roman" w:hAnsi="Times New Roman"/>
          <w:i/>
        </w:rPr>
        <w:t xml:space="preserve">National Security (Land Transport) Regulations </w:t>
      </w:r>
      <w:r w:rsidRPr="005C3622">
        <w:rPr>
          <w:rFonts w:ascii="Times New Roman" w:hAnsi="Times New Roman"/>
        </w:rPr>
        <w:t xml:space="preserve">(Cth), under which a power was exercised to pass the </w:t>
      </w:r>
      <w:r w:rsidRPr="005C3622">
        <w:rPr>
          <w:rFonts w:ascii="Times New Roman" w:hAnsi="Times New Roman"/>
          <w:i/>
          <w:iCs/>
        </w:rPr>
        <w:t>Restriction of Interstate Passenger Transport Order</w:t>
      </w:r>
      <w:r w:rsidRPr="005C3622">
        <w:rPr>
          <w:rFonts w:ascii="Times New Roman" w:hAnsi="Times New Roman"/>
          <w:iCs/>
        </w:rPr>
        <w:t>,</w:t>
      </w:r>
      <w:r w:rsidRPr="005C3622">
        <w:rPr>
          <w:rFonts w:ascii="Times New Roman" w:hAnsi="Times New Roman"/>
          <w:i/>
          <w:iCs/>
        </w:rPr>
        <w:t xml:space="preserve"> </w:t>
      </w:r>
      <w:r w:rsidRPr="005C3622">
        <w:rPr>
          <w:rFonts w:ascii="Times New Roman" w:hAnsi="Times New Roman"/>
        </w:rPr>
        <w:t>which, in para 3(a), prohibited travel by rail or commercial passenger vehicle from one State to another without a permit. The Order did not "depend ... for its practical operation or administration upon the movement of troops, munitions, war supplies, or any like considerations". It was "simply based on the 'inter-Stateness' of the journeys"</w:t>
      </w:r>
      <w:r w:rsidRPr="005C3622">
        <w:rPr>
          <w:rStyle w:val="FootnoteReference"/>
          <w:rFonts w:ascii="Times New Roman" w:hAnsi="Times New Roman"/>
          <w:sz w:val="24"/>
        </w:rPr>
        <w:footnoteReference w:id="448"/>
      </w:r>
      <w:r w:rsidRPr="005C3622">
        <w:rPr>
          <w:rFonts w:ascii="Times New Roman" w:hAnsi="Times New Roman"/>
        </w:rPr>
        <w:t>. On the questionable assumption that the Order would otherwise have been permitted by the primary legislation and regulations, it was held to be invalid. It might have been more accurate to have held the primary legislation invalid insofar as it authorised regulations that would permit such an order. But the key point is that the purposes, not merely the effect, of the Order included discriminating between intrastate and interstate intercourse.</w:t>
      </w:r>
    </w:p>
    <w:p w14:paraId="03D2BFA9"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r>
      <w:r w:rsidRPr="005C3622">
        <w:rPr>
          <w:rFonts w:ascii="Times New Roman" w:eastAsia="GungsuhChe" w:hAnsi="Times New Roman"/>
          <w:lang w:eastAsia="en-US"/>
        </w:rPr>
        <w:t xml:space="preserve">The plaintiffs also relied upon the decision in </w:t>
      </w:r>
      <w:r w:rsidRPr="005C3622">
        <w:rPr>
          <w:rFonts w:ascii="Times New Roman" w:eastAsia="GungsuhChe" w:hAnsi="Times New Roman"/>
          <w:i/>
          <w:lang w:eastAsia="en-US"/>
        </w:rPr>
        <w:t>R v Smithers; Ex parte Benson</w:t>
      </w:r>
      <w:r w:rsidRPr="005C3622">
        <w:rPr>
          <w:rStyle w:val="FootnoteReference"/>
          <w:rFonts w:ascii="Times New Roman" w:eastAsia="GungsuhChe" w:hAnsi="Times New Roman"/>
          <w:sz w:val="24"/>
          <w:lang w:eastAsia="en-US"/>
        </w:rPr>
        <w:footnoteReference w:id="449"/>
      </w:r>
      <w:r w:rsidRPr="005C3622">
        <w:rPr>
          <w:rFonts w:ascii="Times New Roman" w:eastAsia="GungsuhChe" w:hAnsi="Times New Roman"/>
          <w:lang w:eastAsia="en-US"/>
        </w:rPr>
        <w:t xml:space="preserve">, where this Court considered the prohibition in s 3 of the </w:t>
      </w:r>
      <w:r w:rsidRPr="005C3622">
        <w:rPr>
          <w:rFonts w:ascii="Times New Roman" w:eastAsia="GungsuhChe" w:hAnsi="Times New Roman"/>
          <w:i/>
          <w:iCs/>
          <w:lang w:eastAsia="en-US"/>
        </w:rPr>
        <w:t xml:space="preserve">Influx of Criminals Prevention Act 1903 </w:t>
      </w:r>
      <w:r w:rsidRPr="005C3622">
        <w:rPr>
          <w:rFonts w:ascii="Times New Roman" w:eastAsia="GungsuhChe" w:hAnsi="Times New Roman"/>
          <w:lang w:eastAsia="en-US"/>
        </w:rPr>
        <w:t xml:space="preserve">(NSW) upon certain criminals entering New South Wales from other States. This Court held that the provision was invalid. Isaacs and Higgins JJ did so on the ground that the provision contravened s 92 of the </w:t>
      </w:r>
      <w:r w:rsidRPr="005C3622">
        <w:rPr>
          <w:rFonts w:ascii="Times New Roman" w:eastAsia="GungsuhChe" w:hAnsi="Times New Roman"/>
          <w:i/>
          <w:lang w:eastAsia="en-US"/>
        </w:rPr>
        <w:t>Constitution</w:t>
      </w:r>
      <w:r w:rsidRPr="005C3622">
        <w:rPr>
          <w:rFonts w:ascii="Times New Roman" w:eastAsia="GungsuhChe" w:hAnsi="Times New Roman"/>
          <w:lang w:eastAsia="en-US"/>
        </w:rPr>
        <w:t>. Isaacs J described s 92 as an "absolute prohibition on the Commonwealth and States alike to regard State borders as in themselves possible barriers to intercourse between Australians"</w:t>
      </w:r>
      <w:r w:rsidRPr="005C3622">
        <w:rPr>
          <w:rStyle w:val="FootnoteReference"/>
          <w:rFonts w:ascii="Times New Roman" w:eastAsia="GungsuhChe" w:hAnsi="Times New Roman"/>
          <w:sz w:val="24"/>
          <w:lang w:eastAsia="en-US"/>
        </w:rPr>
        <w:footnoteReference w:id="450"/>
      </w:r>
      <w:r w:rsidRPr="005C3622">
        <w:rPr>
          <w:rFonts w:ascii="Times New Roman" w:eastAsia="GungsuhChe" w:hAnsi="Times New Roman"/>
          <w:lang w:eastAsia="en-US"/>
        </w:rPr>
        <w:t xml:space="preserve">. Higgins J spoke of how the legislation was "pointed directly at the act of </w:t>
      </w:r>
      <w:r w:rsidRPr="005C3622">
        <w:rPr>
          <w:rFonts w:ascii="Times New Roman" w:eastAsia="GungsuhChe" w:hAnsi="Times New Roman"/>
          <w:i/>
          <w:iCs/>
          <w:lang w:eastAsia="en-US"/>
        </w:rPr>
        <w:t xml:space="preserve">coming </w:t>
      </w:r>
      <w:r w:rsidRPr="005C3622">
        <w:rPr>
          <w:rFonts w:ascii="Times New Roman" w:eastAsia="GungsuhChe" w:hAnsi="Times New Roman"/>
          <w:lang w:eastAsia="en-US"/>
        </w:rPr>
        <w:t>into New South Wales"</w:t>
      </w:r>
      <w:r w:rsidRPr="005C3622">
        <w:rPr>
          <w:rStyle w:val="FootnoteReference"/>
          <w:rFonts w:ascii="Times New Roman" w:eastAsia="GungsuhChe" w:hAnsi="Times New Roman"/>
          <w:sz w:val="24"/>
          <w:lang w:eastAsia="en-US"/>
        </w:rPr>
        <w:footnoteReference w:id="451"/>
      </w:r>
      <w:r w:rsidRPr="005C3622">
        <w:rPr>
          <w:rFonts w:ascii="Times New Roman" w:eastAsia="GungsuhChe" w:hAnsi="Times New Roman"/>
          <w:lang w:eastAsia="en-US"/>
        </w:rPr>
        <w:t xml:space="preserve">. A natural understanding of these passages, and an explanation for the result, is that s 92 imposes an absolute prohibition upon laws with the object, and not merely the effect, of burdening interstate intercourse. Although one object of s 3 was to reduce the number of criminals in New South Wales, the reasoning of Isaacs and Higgins JJ seemed to be that another object (or, as Isaacs J put it, the "regard" of the State), and not merely an effect, was to discriminate between intrastate intercourse for criminals within New South Wales and interstate intercourse for criminals outside New South Wales.  </w:t>
      </w:r>
    </w:p>
    <w:p w14:paraId="470F6287"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 xml:space="preserve">The result in both of these decisions is consistent with the approach to s 92 since </w:t>
      </w:r>
      <w:r w:rsidRPr="005C3622">
        <w:rPr>
          <w:rFonts w:ascii="Times New Roman" w:hAnsi="Times New Roman"/>
          <w:i/>
          <w:iCs/>
        </w:rPr>
        <w:t>Cole v Whitfield</w:t>
      </w:r>
      <w:r w:rsidRPr="005C3622">
        <w:rPr>
          <w:rFonts w:ascii="Times New Roman" w:hAnsi="Times New Roman"/>
        </w:rPr>
        <w:t>,</w:t>
      </w:r>
      <w:r w:rsidRPr="005C3622">
        <w:rPr>
          <w:rFonts w:ascii="Times New Roman" w:hAnsi="Times New Roman"/>
          <w:i/>
          <w:iCs/>
        </w:rPr>
        <w:t xml:space="preserve"> </w:t>
      </w:r>
      <w:r w:rsidRPr="005C3622">
        <w:rPr>
          <w:rFonts w:ascii="Times New Roman" w:hAnsi="Times New Roman"/>
        </w:rPr>
        <w:t xml:space="preserve">which invalidates a law whose purpose is the very thing that s 92 prohibits: discriminating between the States in relation to intercourse. That is not the case with ss 56 and 67 of the </w:t>
      </w:r>
      <w:r w:rsidRPr="005C3622">
        <w:rPr>
          <w:rFonts w:ascii="Times New Roman" w:hAnsi="Times New Roman"/>
          <w:i/>
          <w:iCs/>
        </w:rPr>
        <w:t>Emergency Management Act</w:t>
      </w:r>
      <w:r w:rsidRPr="005C3622">
        <w:rPr>
          <w:rFonts w:ascii="Times New Roman" w:hAnsi="Times New Roman"/>
        </w:rPr>
        <w:t xml:space="preserve">. </w:t>
      </w:r>
    </w:p>
    <w:p w14:paraId="3443AE5C"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 xml:space="preserve">Section 56 of the </w:t>
      </w:r>
      <w:r w:rsidRPr="005C3622">
        <w:rPr>
          <w:rFonts w:ascii="Times New Roman" w:hAnsi="Times New Roman"/>
          <w:i/>
          <w:iCs/>
        </w:rPr>
        <w:t xml:space="preserve">Emergency Management Act </w:t>
      </w:r>
      <w:r w:rsidRPr="005C3622">
        <w:rPr>
          <w:rFonts w:ascii="Times New Roman" w:hAnsi="Times New Roman"/>
        </w:rPr>
        <w:t>was part of the legislation when it was passed in 2005. Its purpose was "to put appropriate arrangements in place to deal with the catastrophic natural or man-made emergencies that may befall our state"</w:t>
      </w:r>
      <w:r w:rsidRPr="005C3622">
        <w:rPr>
          <w:rStyle w:val="FootnoteReference"/>
          <w:rFonts w:ascii="Times New Roman" w:hAnsi="Times New Roman"/>
          <w:sz w:val="24"/>
        </w:rPr>
        <w:footnoteReference w:id="452"/>
      </w:r>
      <w:r w:rsidRPr="005C3622">
        <w:rPr>
          <w:rFonts w:ascii="Times New Roman" w:hAnsi="Times New Roman"/>
        </w:rPr>
        <w:t>. Section 67 was also part of the 2005 Act but it was amended in 2020 in response to what was described in Parliament as the "unprecedented emergency" after "a state of emergency was declared [on 15 March 2020] in respect of the pandemic caused by COVID-19"</w:t>
      </w:r>
      <w:r w:rsidRPr="005C3622">
        <w:rPr>
          <w:rStyle w:val="FootnoteReference"/>
          <w:rFonts w:ascii="Times New Roman" w:hAnsi="Times New Roman"/>
          <w:sz w:val="24"/>
        </w:rPr>
        <w:footnoteReference w:id="453"/>
      </w:r>
      <w:r w:rsidRPr="005C3622">
        <w:rPr>
          <w:rFonts w:ascii="Times New Roman" w:hAnsi="Times New Roman"/>
        </w:rPr>
        <w:t xml:space="preserve">. In each case the manifest purpose was to create, and to make conditional, broad powers for the Minister to manage a broad range of emergencies.   </w:t>
      </w:r>
    </w:p>
    <w:p w14:paraId="2384C6AE" w14:textId="77777777" w:rsidR="002D2334" w:rsidRPr="005C3622" w:rsidRDefault="002D2334" w:rsidP="005C3622">
      <w:pPr>
        <w:pStyle w:val="HeadingL2"/>
        <w:spacing w:after="260" w:line="280" w:lineRule="exact"/>
        <w:ind w:right="0"/>
        <w:jc w:val="both"/>
        <w:rPr>
          <w:rFonts w:ascii="Times New Roman" w:hAnsi="Times New Roman"/>
        </w:rPr>
      </w:pPr>
      <w:r w:rsidRPr="005C3622">
        <w:rPr>
          <w:rFonts w:ascii="Times New Roman" w:eastAsia="GungsuhChe" w:hAnsi="Times New Roman"/>
          <w:lang w:eastAsia="en-US"/>
        </w:rPr>
        <w:t>The discrimination in ss 56 and 67 is reasonably necessary</w:t>
      </w:r>
      <w:r w:rsidRPr="005C3622">
        <w:rPr>
          <w:rFonts w:ascii="Times New Roman" w:hAnsi="Times New Roman"/>
        </w:rPr>
        <w:t xml:space="preserve"> </w:t>
      </w:r>
    </w:p>
    <w:p w14:paraId="37C6D116"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 xml:space="preserve">Even where the purpose of a statutory provision concerns a matter of great public importance, the provision will contravene s 92 if its effect is to impose an excessive discriminatory burden by means which are not reasonably necessary. For instance, in </w:t>
      </w:r>
      <w:r w:rsidRPr="005C3622">
        <w:rPr>
          <w:rFonts w:ascii="Times New Roman" w:hAnsi="Times New Roman"/>
          <w:i/>
          <w:iCs/>
        </w:rPr>
        <w:t>Tasmania v Victoria</w:t>
      </w:r>
      <w:r w:rsidRPr="005C3622">
        <w:rPr>
          <w:rStyle w:val="FootnoteReference"/>
          <w:rFonts w:ascii="Times New Roman" w:hAnsi="Times New Roman"/>
          <w:sz w:val="24"/>
        </w:rPr>
        <w:footnoteReference w:id="454"/>
      </w:r>
      <w:r w:rsidRPr="005C3622">
        <w:rPr>
          <w:rFonts w:ascii="Times New Roman" w:hAnsi="Times New Roman"/>
        </w:rPr>
        <w:t xml:space="preserve"> a majority of this Court held invalid an application of s 4 of the </w:t>
      </w:r>
      <w:r w:rsidRPr="005C3622">
        <w:rPr>
          <w:rFonts w:ascii="Times New Roman" w:hAnsi="Times New Roman"/>
          <w:i/>
        </w:rPr>
        <w:t xml:space="preserve">Vegetation and Vine Diseases Act </w:t>
      </w:r>
      <w:r w:rsidRPr="005C3622">
        <w:rPr>
          <w:rFonts w:ascii="Times New Roman" w:hAnsi="Times New Roman"/>
          <w:i/>
          <w:iCs/>
        </w:rPr>
        <w:t>1928</w:t>
      </w:r>
      <w:r w:rsidRPr="005C3622">
        <w:rPr>
          <w:rFonts w:ascii="Times New Roman" w:hAnsi="Times New Roman"/>
          <w:iCs/>
        </w:rPr>
        <w:t xml:space="preserve"> (Vic) which empowered proclamations to prohibit the importation into Victoria of any tree, plant or vegetable which, in the opinion of the Governor in Council, is likely to introduce any disease or insect into Victoria. In a conclusion which would be equally appropriate to the application of the test now accepted for s 92, and in a context in which few vegetables were immune from liability to some disease, Dixon J said that </w:t>
      </w:r>
      <w:r w:rsidRPr="005C3622">
        <w:rPr>
          <w:rFonts w:ascii="Times New Roman" w:hAnsi="Times New Roman"/>
        </w:rPr>
        <w:t>it</w:t>
      </w:r>
      <w:r w:rsidRPr="005C3622">
        <w:rPr>
          <w:rFonts w:ascii="Times New Roman" w:hAnsi="Times New Roman"/>
          <w:iCs/>
        </w:rPr>
        <w:t xml:space="preserve"> is absurd to suppose that a State could legislate to provide it with a power</w:t>
      </w:r>
      <w:r w:rsidRPr="005C3622">
        <w:rPr>
          <w:rStyle w:val="FootnoteReference"/>
          <w:rFonts w:ascii="Times New Roman" w:hAnsi="Times New Roman"/>
          <w:iCs/>
          <w:sz w:val="24"/>
        </w:rPr>
        <w:footnoteReference w:id="455"/>
      </w:r>
      <w:r w:rsidRPr="005C3622">
        <w:rPr>
          <w:rFonts w:ascii="Times New Roman" w:hAnsi="Times New Roman"/>
          <w:iCs/>
        </w:rPr>
        <w:t xml:space="preserve"> </w:t>
      </w:r>
    </w:p>
    <w:p w14:paraId="61500498" w14:textId="77777777" w:rsidR="002D2334" w:rsidRDefault="002D2334" w:rsidP="005C3622">
      <w:pPr>
        <w:pStyle w:val="leftright"/>
        <w:spacing w:before="0" w:after="260" w:line="280" w:lineRule="exact"/>
        <w:ind w:right="0"/>
        <w:jc w:val="both"/>
        <w:rPr>
          <w:rFonts w:ascii="Times New Roman" w:hAnsi="Times New Roman"/>
        </w:rPr>
      </w:pPr>
      <w:r w:rsidRPr="005C3622">
        <w:rPr>
          <w:rFonts w:ascii="Times New Roman" w:hAnsi="Times New Roman"/>
        </w:rPr>
        <w:t>"entirely uncontrolled to forbid absolutely the importation of a commodity from another State because the State Executive expresses the opinion that a vegetable disease may be introduced if importation is allowed".</w:t>
      </w:r>
    </w:p>
    <w:p w14:paraId="55CD1F9F"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Sections 56 and 67, in their limited application to a state of emergency constituted by the occurrence of a hazard in the nature of a plague or epidemic, might empower directions which discriminate in an extraordinary way in relation to freedom of trade, commerce, or intercourse. For instance, within the sphere of application of this Court's answer, the sections appear to empower directions as restrictive as closing all roads and access routes to Western Australia for all purposes and without exception. Such a closure would amount to an impregnable and absolute discriminatory barrier to all trade, commerce, and intercourse that required dealings in person or the contemporaneous transfer of physical things. But despite the possibility of severe discriminatory effects, the terms of ss 56 and 67, in their application as limited in the answer given by this Court, do not exceed the threshold of reasonable necessity because of several significant restrictions.</w:t>
      </w:r>
    </w:p>
    <w:p w14:paraId="3942FFE3"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First, an extreme direction such as that described above can only be made under s 67 if the Minister has declared a state of emergency</w:t>
      </w:r>
      <w:r w:rsidRPr="005C3622">
        <w:rPr>
          <w:rStyle w:val="FootnoteReference"/>
          <w:rFonts w:ascii="Times New Roman" w:hAnsi="Times New Roman"/>
          <w:sz w:val="24"/>
        </w:rPr>
        <w:footnoteReference w:id="456"/>
      </w:r>
      <w:r w:rsidRPr="005C3622">
        <w:rPr>
          <w:rFonts w:ascii="Times New Roman" w:hAnsi="Times New Roman"/>
        </w:rPr>
        <w:t>. That declaration cannot be made unless, relevantly, the Minister: has considered the advice of the State Emergency Coordinator</w:t>
      </w:r>
      <w:r w:rsidRPr="005C3622">
        <w:rPr>
          <w:rStyle w:val="FootnoteReference"/>
          <w:rFonts w:ascii="Times New Roman" w:hAnsi="Times New Roman"/>
          <w:sz w:val="24"/>
        </w:rPr>
        <w:footnoteReference w:id="457"/>
      </w:r>
      <w:r w:rsidRPr="005C3622">
        <w:rPr>
          <w:rFonts w:ascii="Times New Roman" w:hAnsi="Times New Roman"/>
        </w:rPr>
        <w:t>; is satisfied that an emergency in the nature of a plague or epidemic has occurred or is occurring</w:t>
      </w:r>
      <w:r w:rsidRPr="005C3622">
        <w:rPr>
          <w:rStyle w:val="FootnoteReference"/>
          <w:rFonts w:ascii="Times New Roman" w:hAnsi="Times New Roman"/>
          <w:sz w:val="24"/>
        </w:rPr>
        <w:footnoteReference w:id="458"/>
      </w:r>
      <w:r w:rsidRPr="005C3622">
        <w:rPr>
          <w:rFonts w:ascii="Times New Roman" w:hAnsi="Times New Roman"/>
        </w:rPr>
        <w:t>; and is satisfied that extraordinary measures are required to prevent or minimise loss of life, prejudice to the safety, or harm to the health, of people</w:t>
      </w:r>
      <w:r w:rsidRPr="005C3622">
        <w:rPr>
          <w:rStyle w:val="FootnoteReference"/>
          <w:rFonts w:ascii="Times New Roman" w:hAnsi="Times New Roman"/>
          <w:sz w:val="24"/>
        </w:rPr>
        <w:footnoteReference w:id="459"/>
      </w:r>
      <w:r w:rsidRPr="005C3622">
        <w:rPr>
          <w:rFonts w:ascii="Times New Roman" w:hAnsi="Times New Roman"/>
        </w:rPr>
        <w:t>.</w:t>
      </w:r>
    </w:p>
    <w:p w14:paraId="5A5F7B3C"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Secondly, unless the state of emergency is extended by the Minister, which extension cannot exceed 14 days for the purposes of exercising powers under s 67</w:t>
      </w:r>
      <w:r w:rsidRPr="005C3622">
        <w:rPr>
          <w:rStyle w:val="FootnoteReference"/>
          <w:rFonts w:ascii="Times New Roman" w:hAnsi="Times New Roman"/>
          <w:sz w:val="24"/>
        </w:rPr>
        <w:footnoteReference w:id="460"/>
      </w:r>
      <w:r w:rsidRPr="005C3622">
        <w:rPr>
          <w:rFonts w:ascii="Times New Roman" w:hAnsi="Times New Roman"/>
        </w:rPr>
        <w:t>, it remains in force for only three days</w:t>
      </w:r>
      <w:r w:rsidRPr="005C3622">
        <w:rPr>
          <w:rStyle w:val="FootnoteReference"/>
          <w:rFonts w:ascii="Times New Roman" w:hAnsi="Times New Roman"/>
          <w:sz w:val="24"/>
        </w:rPr>
        <w:footnoteReference w:id="461"/>
      </w:r>
      <w:r w:rsidRPr="005C3622">
        <w:rPr>
          <w:rFonts w:ascii="Times New Roman" w:hAnsi="Times New Roman"/>
        </w:rPr>
        <w:t>.</w:t>
      </w:r>
    </w:p>
    <w:p w14:paraId="1C07897C"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 xml:space="preserve">Thirdly, directions made under s 67 must be "[f]or the purpose of emergency management" during the state of emergency. Section 3 defines "emergency management" as including matters relating to prevention of, preparedness for, response to, and recovery from, the adverse effects of an emergency, relevantly here the occurrence of a hazard in the nature of a plague or epidemic. The requirement that the directions given by an authorised officer be "[f]or the purpose of emergency management" is objective, unlike the subjectivity involved in the proclamation power in </w:t>
      </w:r>
      <w:r w:rsidRPr="005C3622">
        <w:rPr>
          <w:rFonts w:ascii="Times New Roman" w:hAnsi="Times New Roman"/>
          <w:i/>
          <w:iCs/>
        </w:rPr>
        <w:t xml:space="preserve">Tasmania v Victoria. </w:t>
      </w:r>
      <w:r w:rsidRPr="005C3622">
        <w:rPr>
          <w:rFonts w:ascii="Times New Roman" w:hAnsi="Times New Roman"/>
        </w:rPr>
        <w:t>Although "purpose" bears its usual meaning in this context, namely object or aim, the constraint is significant because the less reasonably necessary an extreme direction is (such as closing all roads without exception) the more likely it is that an inference will be drawn that the direction is not solely for the purpose of emergency management.</w:t>
      </w:r>
    </w:p>
    <w:p w14:paraId="683227F8"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Fourthly, although s 67, unlike s 66(3), does not expressly provide that directions must be "</w:t>
      </w:r>
      <w:r w:rsidRPr="005C3622">
        <w:rPr>
          <w:rFonts w:ascii="Times New Roman" w:hAnsi="Times New Roman"/>
          <w:i/>
          <w:iCs/>
        </w:rPr>
        <w:t xml:space="preserve">reasonably required </w:t>
      </w:r>
      <w:r w:rsidRPr="005C3622">
        <w:rPr>
          <w:rFonts w:ascii="Times New Roman" w:hAnsi="Times New Roman"/>
        </w:rPr>
        <w:t>for the purposes of emergency management" (emphasis added), the usual implication of reasonableness would confine the discretion of the authorised officer to make directions that are reasonable in light of the purpose of emergency management. Nevertheless, the nature of this usual implication, and the extreme nature of the circumstances in which the power is being exercised, might require the threshold for a finding of legal unreasonableness of any direction to be higher than that which might be conveyed by an express condition of being "reasonably required" for the purpose of emergency management</w:t>
      </w:r>
      <w:r w:rsidRPr="005C3622">
        <w:rPr>
          <w:rStyle w:val="FootnoteReference"/>
          <w:rFonts w:ascii="Times New Roman" w:hAnsi="Times New Roman"/>
          <w:sz w:val="24"/>
        </w:rPr>
        <w:footnoteReference w:id="462"/>
      </w:r>
      <w:r w:rsidRPr="005C3622">
        <w:rPr>
          <w:rFonts w:ascii="Times New Roman" w:hAnsi="Times New Roman"/>
        </w:rPr>
        <w:t>.</w:t>
      </w:r>
    </w:p>
    <w:p w14:paraId="673451B3"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 xml:space="preserve">The legislative response by Western Australia might have been more limited with less intrusion into the freedom prescribed by s 92. Some simple examples are that the extension of a state of emergency might have been limited to seven days and the power to make directions under s 67 might have been expressly limited to those that are reasonably required. But the existence of such possible lesser intrusions upon the s 92 freedom does not mean that ss 56 and 67 of the </w:t>
      </w:r>
      <w:r w:rsidRPr="005C3622">
        <w:rPr>
          <w:rFonts w:ascii="Times New Roman" w:hAnsi="Times New Roman"/>
          <w:i/>
          <w:iCs/>
        </w:rPr>
        <w:t xml:space="preserve">Emergency Management Act </w:t>
      </w:r>
      <w:r w:rsidRPr="005C3622">
        <w:rPr>
          <w:rFonts w:ascii="Times New Roman" w:hAnsi="Times New Roman"/>
        </w:rPr>
        <w:t>are invalid in their relevant applications for two reasons. First, although ss 56 and 67 permit applications that burden substantially the s 92 freedom, by allowing for both a wide range of directions that could discriminate and a considerable depth or extent of discrimination, the purpose of the provisions – responding to emergencies – requires a great deal of flexibility. It might be expected that the loss of that flexibility by provisions involving a lesser burden would prevent Parliament's purpose being achieved to the same degree. In other words, the lesser intrusions might not achieve Parliament's purpose to the same degree. Secondly, and in any event, ss 56 and 67 in their particular applications identified by this Court are well within a margin of reasonable legislative responses that minimise the intrusions upon the s 92 freedom.</w:t>
      </w:r>
    </w:p>
    <w:p w14:paraId="5D2F1C7D" w14:textId="77777777" w:rsidR="002D2334" w:rsidRPr="005C3622" w:rsidRDefault="002D2334" w:rsidP="005C3622">
      <w:pPr>
        <w:pStyle w:val="HeadingL2"/>
        <w:spacing w:after="260" w:line="280" w:lineRule="exact"/>
        <w:ind w:right="0"/>
        <w:jc w:val="both"/>
        <w:rPr>
          <w:rFonts w:ascii="Times New Roman" w:hAnsi="Times New Roman"/>
        </w:rPr>
      </w:pPr>
      <w:r w:rsidRPr="005C3622">
        <w:rPr>
          <w:rFonts w:ascii="Times New Roman" w:eastAsia="GungsuhChe" w:hAnsi="Times New Roman"/>
          <w:lang w:eastAsia="en-US"/>
        </w:rPr>
        <w:t xml:space="preserve">The burden imposed by the </w:t>
      </w:r>
      <w:r w:rsidRPr="005C3622">
        <w:rPr>
          <w:rFonts w:ascii="Times New Roman" w:eastAsia="GungsuhChe" w:hAnsi="Times New Roman"/>
          <w:iCs/>
          <w:lang w:eastAsia="en-US"/>
        </w:rPr>
        <w:t xml:space="preserve">Emergency Management Act </w:t>
      </w:r>
      <w:r w:rsidRPr="005C3622">
        <w:rPr>
          <w:rFonts w:ascii="Times New Roman" w:eastAsia="GungsuhChe" w:hAnsi="Times New Roman"/>
          <w:lang w:eastAsia="en-US"/>
        </w:rPr>
        <w:t>is adequate in the balance</w:t>
      </w:r>
    </w:p>
    <w:p w14:paraId="7364C6CB"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In the context of s 92, a test for adequacy in the balance effectively asks whether the extent of the burden that the law imposes upon the freedom that is prescribed by s 92 can ever be justified by that law's purpose. In other words, the balance is between, on the one hand, the importance of the constitutional freedom of trade, commerce, and intercourse and the extent to which that freedom is burdened by the law and, on the other hand, the purpose of the law that is said to justify that burden. I reiterate that this stage of analysis will only lead to a conclusion of invalidity in extreme circumstances: a conclusion that the law is inadequate in the balance comes very close to saying that Parliament can never legislate to achieve its policy since even a law that is reasonably necessary to achieve that purpose will be invalid.</w:t>
      </w:r>
    </w:p>
    <w:p w14:paraId="7C2B3C59"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The important purpose of the freedom of interstate intercourse is well summarised by the description by Sir Samuel Griffith of the expected benefits of free intercourse</w:t>
      </w:r>
      <w:r w:rsidRPr="005C3622">
        <w:rPr>
          <w:rStyle w:val="FootnoteReference"/>
          <w:rFonts w:ascii="Times New Roman" w:hAnsi="Times New Roman"/>
          <w:sz w:val="24"/>
        </w:rPr>
        <w:footnoteReference w:id="463"/>
      </w:r>
      <w:r w:rsidRPr="005C3622">
        <w:rPr>
          <w:rFonts w:ascii="Times New Roman" w:hAnsi="Times New Roman"/>
        </w:rPr>
        <w:t xml:space="preserve">: </w:t>
      </w:r>
    </w:p>
    <w:p w14:paraId="21B72409" w14:textId="77777777" w:rsidR="002D2334" w:rsidRDefault="002D2334" w:rsidP="005C3622">
      <w:pPr>
        <w:pStyle w:val="LeftrightafterHC"/>
        <w:spacing w:before="0" w:after="260" w:line="280" w:lineRule="exact"/>
        <w:ind w:right="0"/>
        <w:jc w:val="both"/>
        <w:rPr>
          <w:rFonts w:ascii="Times New Roman" w:hAnsi="Times New Roman"/>
        </w:rPr>
      </w:pPr>
      <w:r w:rsidRPr="005C3622">
        <w:rPr>
          <w:rFonts w:ascii="Times New Roman" w:hAnsi="Times New Roman"/>
        </w:rPr>
        <w:t>"The effects, both social and material, of such an enlargement of knowledge and extension of movement could not fail to be highly beneficial. The present lack of more general acquaintance and intercourse is, indeed, probably one of the most serious obstacles now existing in the way of Federation."</w:t>
      </w:r>
    </w:p>
    <w:p w14:paraId="09EE30EF"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An example of a law whose purpose might be considered inadequate when balanced against the weight of the purpose of s 92 and the extent of the burden effected by the law is one which was considered to be "at the least doubtful" in 1903 by Mr Deakin, then Attorney-General of the Commonwealth</w:t>
      </w:r>
      <w:r w:rsidRPr="005C3622">
        <w:rPr>
          <w:rStyle w:val="FootnoteReference"/>
          <w:rFonts w:ascii="Times New Roman" w:hAnsi="Times New Roman"/>
          <w:sz w:val="24"/>
        </w:rPr>
        <w:footnoteReference w:id="464"/>
      </w:r>
      <w:r w:rsidRPr="005C3622">
        <w:rPr>
          <w:rFonts w:ascii="Times New Roman" w:hAnsi="Times New Roman"/>
        </w:rPr>
        <w:t>. Tasmanian legislation</w:t>
      </w:r>
      <w:r w:rsidRPr="005C3622">
        <w:rPr>
          <w:rStyle w:val="FootnoteReference"/>
          <w:rFonts w:ascii="Times New Roman" w:hAnsi="Times New Roman"/>
          <w:sz w:val="24"/>
        </w:rPr>
        <w:footnoteReference w:id="465"/>
      </w:r>
      <w:r w:rsidRPr="005C3622">
        <w:rPr>
          <w:rFonts w:ascii="Times New Roman" w:hAnsi="Times New Roman"/>
        </w:rPr>
        <w:t xml:space="preserve"> imposed a charge for the admission to Tasmania of various categories of person including those who were unable to support themselves or who were likely, "in the opinion of the Collector, to become a charge upon the public". Even assuming that the purpose of decreasing the financial burdens to the State of persons in that relevant class was a legitimate purpose, that purpose might be inadequate in the balance against the discriminatory effect of the law and its undermining of the purpose of s 92. Hence, even if there were no other reasonably available means of reducing those costs, this legislation might be invalid.</w:t>
      </w:r>
    </w:p>
    <w:p w14:paraId="11D7F521"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By contrast, the purpose of public health provisions such as ss 56 and 67 is plainly sufficient to justify even the deep and wide burden that the application of those provisions can place upon the freedom prescribed by s 92. Indeed, at federation it was contemplated that the application of provisions of this nature might be justified despite the imposition of such deep or wide burdens. During the Sydney debates, after one of the delegates, Dr Cockburn, expressed a fear that the clause as drafted might prevent laws prohibiting the passing of cattle across State borders or the introduction of diseased vines into South Australia, Mr O'Connor, quoting from a prolific writer from the United States</w:t>
      </w:r>
      <w:r w:rsidRPr="005C3622">
        <w:rPr>
          <w:rStyle w:val="FootnoteReference"/>
          <w:rFonts w:ascii="Times New Roman" w:hAnsi="Times New Roman"/>
          <w:sz w:val="24"/>
        </w:rPr>
        <w:footnoteReference w:id="466"/>
      </w:r>
      <w:r w:rsidRPr="005C3622">
        <w:rPr>
          <w:rFonts w:ascii="Times New Roman" w:hAnsi="Times New Roman"/>
        </w:rPr>
        <w:t>, set out a good description of the operation of structured proportionality in this area</w:t>
      </w:r>
      <w:r w:rsidRPr="005C3622">
        <w:rPr>
          <w:rStyle w:val="FootnoteReference"/>
          <w:rFonts w:ascii="Times New Roman" w:hAnsi="Times New Roman"/>
          <w:sz w:val="24"/>
        </w:rPr>
        <w:footnoteReference w:id="467"/>
      </w:r>
      <w:r w:rsidRPr="005C3622">
        <w:rPr>
          <w:rFonts w:ascii="Times New Roman" w:hAnsi="Times New Roman"/>
        </w:rPr>
        <w:t>:</w:t>
      </w:r>
    </w:p>
    <w:p w14:paraId="24E39E39" w14:textId="77777777" w:rsidR="002D2334" w:rsidRDefault="002D2334" w:rsidP="005C3622">
      <w:pPr>
        <w:pStyle w:val="LeftrightafterHC"/>
        <w:spacing w:before="0" w:after="260" w:line="280" w:lineRule="exact"/>
        <w:ind w:right="0"/>
        <w:jc w:val="both"/>
        <w:rPr>
          <w:rFonts w:ascii="Times New Roman" w:hAnsi="Times New Roman"/>
        </w:rPr>
      </w:pPr>
      <w:r w:rsidRPr="005C3622">
        <w:rPr>
          <w:rFonts w:ascii="Times New Roman" w:hAnsi="Times New Roman"/>
        </w:rPr>
        <w:t>"By parity of reason addressed to the protection of the public health, states may exercise their police powers to the extent of prohibiting both persons and animals, when labouring under contagious diseases, from entering their territory. They may pass any sanitary laws deemed necessary for this purpose, and enforce them by appropriate regulations. It is upon this reserved right of self-protection, that quarantines are permitted to interfere with the freedom of commerce and of human intercourse. But this power is not without its limitations, and its exercise must be restricted to directly impending dangers to health, and not to those who are only contingent and remote. Hence, while diseased persons or diseased animals, and those presumedly so from contact with infected bodies or localities, may be prevented from entering a state, any general law of exclusion, measured by months, or operating in such a way as to become a barrier to commerce or travel, would be a regulation of commerce forbidden by the constitution. Such a statute being more than a quarantine regulation, transcends the legitimate powers of a state."</w:t>
      </w:r>
    </w:p>
    <w:p w14:paraId="4B39C321"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Subsequently, Mr Barton said, in terms reflecting the first stage of structured proportionality, that "the power to prevent the introduction of diseases would still remain with the states, except in so far as any state law was found to be an intentional derogation from the freedom of trade"</w:t>
      </w:r>
      <w:r w:rsidRPr="005C3622">
        <w:rPr>
          <w:rStyle w:val="FootnoteReference"/>
          <w:rFonts w:ascii="Times New Roman" w:hAnsi="Times New Roman"/>
          <w:sz w:val="24"/>
        </w:rPr>
        <w:footnoteReference w:id="468"/>
      </w:r>
      <w:r w:rsidRPr="005C3622">
        <w:rPr>
          <w:rFonts w:ascii="Times New Roman" w:hAnsi="Times New Roman"/>
        </w:rPr>
        <w:t xml:space="preserve">. </w:t>
      </w:r>
    </w:p>
    <w:p w14:paraId="01FF9B57" w14:textId="77777777" w:rsidR="002D2334" w:rsidRPr="005C3622" w:rsidRDefault="002D2334" w:rsidP="005C3622">
      <w:pPr>
        <w:pStyle w:val="HeadingL1"/>
        <w:spacing w:after="260" w:line="280" w:lineRule="exact"/>
        <w:ind w:right="0"/>
        <w:jc w:val="both"/>
        <w:rPr>
          <w:rFonts w:ascii="Times New Roman" w:hAnsi="Times New Roman"/>
        </w:rPr>
      </w:pPr>
      <w:r w:rsidRPr="005C3622">
        <w:rPr>
          <w:rFonts w:ascii="Times New Roman" w:hAnsi="Times New Roman"/>
        </w:rPr>
        <w:t>Conclusion</w:t>
      </w:r>
    </w:p>
    <w:p w14:paraId="45F6FD9F" w14:textId="77777777" w:rsidR="002D2334" w:rsidRPr="005C3622" w:rsidRDefault="002D2334" w:rsidP="002D2334">
      <w:pPr>
        <w:pStyle w:val="FixListStyle"/>
        <w:numPr>
          <w:ilvl w:val="0"/>
          <w:numId w:val="18"/>
        </w:numPr>
        <w:spacing w:after="260" w:line="280" w:lineRule="exact"/>
        <w:ind w:left="0" w:right="0" w:hanging="720"/>
        <w:jc w:val="both"/>
        <w:rPr>
          <w:rFonts w:ascii="Times New Roman" w:hAnsi="Times New Roman"/>
        </w:rPr>
      </w:pPr>
      <w:r w:rsidRPr="005C3622">
        <w:rPr>
          <w:rFonts w:ascii="Times New Roman" w:hAnsi="Times New Roman"/>
        </w:rPr>
        <w:tab/>
        <w:t xml:space="preserve">For these reasons, I join in the orders that were made on 6 November 2020. </w:t>
      </w:r>
    </w:p>
    <w:p w14:paraId="02B44B85" w14:textId="77777777" w:rsidR="002D2334" w:rsidRDefault="002D2334" w:rsidP="00A04489">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jc w:val="both"/>
        <w:rPr>
          <w:rFonts w:ascii="Times New Roman" w:hAnsi="Times New Roman"/>
        </w:rPr>
        <w:sectPr w:rsidR="002D2334" w:rsidSect="002D2334">
          <w:headerReference w:type="even" r:id="rId21"/>
          <w:headerReference w:type="default" r:id="rId22"/>
          <w:footerReference w:type="even" r:id="rId23"/>
          <w:footerReference w:type="default" r:id="rId24"/>
          <w:headerReference w:type="first" r:id="rId25"/>
          <w:footerReference w:type="first" r:id="rId26"/>
          <w:pgSz w:w="11907" w:h="16839" w:code="9"/>
          <w:pgMar w:top="1440" w:right="1701" w:bottom="1984" w:left="1701" w:header="720" w:footer="720" w:gutter="0"/>
          <w:cols w:space="720"/>
          <w:docGrid w:linePitch="354"/>
        </w:sectPr>
      </w:pPr>
    </w:p>
    <w:p w14:paraId="33AE31C9" w14:textId="78D79D23" w:rsidR="00FF6755" w:rsidRPr="00A04489" w:rsidRDefault="00FF6755" w:rsidP="00A04489">
      <w:pPr>
        <w:tabs>
          <w:tab w:val="clear" w:pos="720"/>
          <w:tab w:val="clear" w:pos="1440"/>
          <w:tab w:val="clear" w:pos="2160"/>
          <w:tab w:val="clear" w:pos="2880"/>
          <w:tab w:val="clear" w:pos="3600"/>
          <w:tab w:val="clear" w:pos="4320"/>
          <w:tab w:val="clear" w:pos="5040"/>
          <w:tab w:val="clear" w:pos="5760"/>
          <w:tab w:val="clear" w:pos="6480"/>
          <w:tab w:val="clear" w:pos="7200"/>
        </w:tabs>
        <w:spacing w:after="260" w:line="280" w:lineRule="exact"/>
        <w:ind w:right="0" w:firstLine="0"/>
        <w:jc w:val="both"/>
        <w:rPr>
          <w:rFonts w:ascii="Times New Roman" w:hAnsi="Times New Roman"/>
        </w:rPr>
      </w:pPr>
    </w:p>
    <w:sectPr w:rsidR="00FF6755" w:rsidRPr="00A04489" w:rsidSect="002D2334">
      <w:headerReference w:type="default" r:id="rId27"/>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E7607" w14:textId="77777777" w:rsidR="00135B2D" w:rsidRDefault="00135B2D">
      <w:pPr>
        <w:spacing w:line="240" w:lineRule="auto"/>
      </w:pPr>
      <w:r>
        <w:separator/>
      </w:r>
    </w:p>
  </w:endnote>
  <w:endnote w:type="continuationSeparator" w:id="0">
    <w:p w14:paraId="50BCE2E9" w14:textId="77777777" w:rsidR="00135B2D" w:rsidRDefault="00135B2D">
      <w:pPr>
        <w:spacing w:line="240" w:lineRule="auto"/>
      </w:pPr>
      <w:r>
        <w:continuationSeparator/>
      </w:r>
    </w:p>
  </w:endnote>
  <w:endnote w:type="continuationNotice" w:id="1">
    <w:p w14:paraId="06321E50" w14:textId="77777777" w:rsidR="00135B2D" w:rsidRDefault="00135B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ungsuh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C35F1" w14:textId="77777777" w:rsidR="00CA61AF" w:rsidRDefault="00CA6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09399" w14:textId="77777777" w:rsidR="00CA61AF" w:rsidRDefault="00CA61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04767" w14:textId="77777777" w:rsidR="00CA61AF" w:rsidRDefault="00CA61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1C17F" w14:textId="77777777" w:rsidR="005C3622" w:rsidRDefault="00D27B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ADA5" w14:textId="77777777" w:rsidR="005C3622" w:rsidRDefault="00D27B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EF02B" w14:textId="77777777" w:rsidR="005C3622" w:rsidRDefault="00D27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9BBE1" w14:textId="77777777" w:rsidR="00135B2D" w:rsidRPr="00A04489" w:rsidRDefault="00135B2D" w:rsidP="00A04489">
      <w:pPr>
        <w:pStyle w:val="Footer"/>
        <w:spacing w:before="120" w:after="20"/>
        <w:ind w:right="0"/>
        <w:rPr>
          <w:rFonts w:ascii="Times New Roman" w:hAnsi="Times New Roman"/>
        </w:rPr>
      </w:pPr>
      <w:r>
        <w:continuationSeparator/>
      </w:r>
    </w:p>
  </w:footnote>
  <w:footnote w:type="continuationSeparator" w:id="0">
    <w:p w14:paraId="3F94B96F" w14:textId="77777777" w:rsidR="00135B2D" w:rsidRPr="00A04489" w:rsidRDefault="00135B2D" w:rsidP="00A04489">
      <w:pPr>
        <w:pStyle w:val="Footer"/>
        <w:spacing w:before="120" w:after="20"/>
        <w:ind w:right="0"/>
        <w:rPr>
          <w:rFonts w:ascii="Times New Roman" w:hAnsi="Times New Roman"/>
        </w:rPr>
      </w:pPr>
      <w:r w:rsidRPr="00A04489">
        <w:rPr>
          <w:rFonts w:ascii="Times New Roman" w:hAnsi="Times New Roman"/>
        </w:rPr>
        <w:continuationSeparator/>
      </w:r>
    </w:p>
  </w:footnote>
  <w:footnote w:type="continuationNotice" w:id="1">
    <w:p w14:paraId="1224459C" w14:textId="77777777" w:rsidR="00135B2D" w:rsidRPr="002D2334" w:rsidRDefault="00135B2D">
      <w:pPr>
        <w:jc w:val="right"/>
        <w:rPr>
          <w:rFonts w:ascii="Times New Roman" w:hAnsi="Times New Roman"/>
          <w:sz w:val="24"/>
        </w:rPr>
      </w:pPr>
    </w:p>
  </w:footnote>
  <w:footnote w:id="2">
    <w:p w14:paraId="11012F9A" w14:textId="1AE9584E" w:rsidR="00DB44CB" w:rsidRPr="00A04489" w:rsidRDefault="00DB44CB" w:rsidP="00A04489">
      <w:pPr>
        <w:pStyle w:val="FootnoteText"/>
        <w:spacing w:line="280" w:lineRule="exact"/>
        <w:ind w:left="720" w:right="0" w:hanging="72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t>EM Act, s 10.</w:t>
      </w:r>
    </w:p>
  </w:footnote>
  <w:footnote w:id="3">
    <w:p w14:paraId="441A86E1" w14:textId="77777777" w:rsidR="00B521C0" w:rsidRPr="00A04489" w:rsidRDefault="00B521C0" w:rsidP="00A04489">
      <w:pPr>
        <w:pStyle w:val="FootnoteText"/>
        <w:spacing w:line="280" w:lineRule="exact"/>
        <w:ind w:left="720" w:right="0" w:hanging="72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t>EM Act, s 3.</w:t>
      </w:r>
    </w:p>
  </w:footnote>
  <w:footnote w:id="4">
    <w:p w14:paraId="48B546EC" w14:textId="77777777" w:rsidR="00B521C0" w:rsidRPr="00A04489" w:rsidRDefault="00B521C0" w:rsidP="00A04489">
      <w:pPr>
        <w:pStyle w:val="FootnoteText"/>
        <w:spacing w:line="280" w:lineRule="exact"/>
        <w:ind w:left="720" w:right="0" w:hanging="72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t>EM Act, s 57, s 58(1).</w:t>
      </w:r>
    </w:p>
  </w:footnote>
  <w:footnote w:id="5">
    <w:p w14:paraId="6D6E95C3" w14:textId="77777777" w:rsidR="00B521C0" w:rsidRPr="00A04489" w:rsidRDefault="00B521C0" w:rsidP="00A04489">
      <w:pPr>
        <w:pStyle w:val="FootnoteText"/>
        <w:spacing w:line="280" w:lineRule="exact"/>
        <w:ind w:left="720" w:right="0" w:hanging="72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t>EM Act, s 58(1).</w:t>
      </w:r>
    </w:p>
  </w:footnote>
  <w:footnote w:id="6">
    <w:p w14:paraId="7595CD6F" w14:textId="4592FB80" w:rsidR="00B521C0" w:rsidRPr="00A04489" w:rsidRDefault="00B521C0" w:rsidP="00A04489">
      <w:pPr>
        <w:pStyle w:val="FootnoteText"/>
        <w:spacing w:line="280" w:lineRule="exact"/>
        <w:ind w:left="720" w:right="0" w:hanging="72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t xml:space="preserve">EM Act, s 3 </w:t>
      </w:r>
      <w:r w:rsidR="003C1DEC" w:rsidRPr="00A04489">
        <w:rPr>
          <w:rFonts w:ascii="Times New Roman" w:hAnsi="Times New Roman"/>
          <w:sz w:val="24"/>
        </w:rPr>
        <w:t>(</w:t>
      </w:r>
      <w:r w:rsidRPr="00A04489">
        <w:rPr>
          <w:rFonts w:ascii="Times New Roman" w:hAnsi="Times New Roman"/>
          <w:sz w:val="24"/>
        </w:rPr>
        <w:t>definition</w:t>
      </w:r>
      <w:r w:rsidR="002437A1" w:rsidRPr="00A04489">
        <w:rPr>
          <w:rFonts w:ascii="Times New Roman" w:hAnsi="Times New Roman"/>
          <w:sz w:val="24"/>
        </w:rPr>
        <w:t xml:space="preserve"> of "authorised officer")</w:t>
      </w:r>
      <w:r w:rsidRPr="00A04489">
        <w:rPr>
          <w:rFonts w:ascii="Times New Roman" w:hAnsi="Times New Roman"/>
          <w:sz w:val="24"/>
        </w:rPr>
        <w:t>.</w:t>
      </w:r>
    </w:p>
  </w:footnote>
  <w:footnote w:id="7">
    <w:p w14:paraId="0EF71490" w14:textId="78563D6A" w:rsidR="00B521C0" w:rsidRPr="00A04489" w:rsidRDefault="00B521C0" w:rsidP="00A04489">
      <w:pPr>
        <w:pStyle w:val="FootnoteText"/>
        <w:spacing w:line="280" w:lineRule="exact"/>
        <w:ind w:left="720" w:right="0" w:hanging="72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t xml:space="preserve">EM Act, s 3 </w:t>
      </w:r>
      <w:r w:rsidR="00E638A1" w:rsidRPr="00A04489">
        <w:rPr>
          <w:rFonts w:ascii="Times New Roman" w:hAnsi="Times New Roman"/>
          <w:sz w:val="24"/>
        </w:rPr>
        <w:t>(</w:t>
      </w:r>
      <w:r w:rsidRPr="00A04489">
        <w:rPr>
          <w:rFonts w:ascii="Times New Roman" w:hAnsi="Times New Roman"/>
          <w:sz w:val="24"/>
        </w:rPr>
        <w:t xml:space="preserve">definition </w:t>
      </w:r>
      <w:r w:rsidR="00E638A1" w:rsidRPr="00A04489">
        <w:rPr>
          <w:rFonts w:ascii="Times New Roman" w:hAnsi="Times New Roman"/>
          <w:sz w:val="24"/>
        </w:rPr>
        <w:t xml:space="preserve">of </w:t>
      </w:r>
      <w:r w:rsidRPr="00A04489">
        <w:rPr>
          <w:rFonts w:ascii="Times New Roman" w:hAnsi="Times New Roman"/>
          <w:sz w:val="24"/>
        </w:rPr>
        <w:t>"emergency management</w:t>
      </w:r>
      <w:r w:rsidR="00775523" w:rsidRPr="00A04489">
        <w:rPr>
          <w:rFonts w:ascii="Times New Roman" w:hAnsi="Times New Roman"/>
          <w:sz w:val="24"/>
        </w:rPr>
        <w:t>"</w:t>
      </w:r>
      <w:r w:rsidRPr="00A04489">
        <w:rPr>
          <w:rFonts w:ascii="Times New Roman" w:hAnsi="Times New Roman"/>
          <w:sz w:val="24"/>
        </w:rPr>
        <w:t xml:space="preserve"> (a) and (c)</w:t>
      </w:r>
      <w:r w:rsidR="00E638A1" w:rsidRPr="00A04489">
        <w:rPr>
          <w:rFonts w:ascii="Times New Roman" w:hAnsi="Times New Roman"/>
          <w:sz w:val="24"/>
        </w:rPr>
        <w:t>)</w:t>
      </w:r>
      <w:r w:rsidRPr="00A04489">
        <w:rPr>
          <w:rFonts w:ascii="Times New Roman" w:hAnsi="Times New Roman"/>
          <w:sz w:val="24"/>
        </w:rPr>
        <w:t>.</w:t>
      </w:r>
    </w:p>
  </w:footnote>
  <w:footnote w:id="8">
    <w:p w14:paraId="37DC87E5" w14:textId="77777777" w:rsidR="00B521C0" w:rsidRPr="00A04489" w:rsidRDefault="00B521C0" w:rsidP="00A04489">
      <w:pPr>
        <w:pStyle w:val="FootnoteText"/>
        <w:spacing w:line="280" w:lineRule="exact"/>
        <w:ind w:left="720" w:right="0" w:hanging="72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t>EM Act, s 86(1).</w:t>
      </w:r>
    </w:p>
  </w:footnote>
  <w:footnote w:id="9">
    <w:p w14:paraId="2875B6A4" w14:textId="3BD87D1C" w:rsidR="00283789" w:rsidRPr="00A04489" w:rsidRDefault="00283789" w:rsidP="00A04489">
      <w:pPr>
        <w:pStyle w:val="FootnoteText"/>
        <w:spacing w:line="280" w:lineRule="exact"/>
        <w:ind w:left="720" w:right="0" w:hanging="72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Pr="00A04489">
        <w:rPr>
          <w:rFonts w:ascii="Times New Roman" w:hAnsi="Times New Roman"/>
          <w:i/>
          <w:sz w:val="24"/>
        </w:rPr>
        <w:t xml:space="preserve">Palmer v Western Australia </w:t>
      </w:r>
      <w:r w:rsidR="00BB6774" w:rsidRPr="00A04489">
        <w:rPr>
          <w:rFonts w:ascii="Times New Roman" w:hAnsi="Times New Roman"/>
          <w:i/>
          <w:sz w:val="24"/>
        </w:rPr>
        <w:t>[</w:t>
      </w:r>
      <w:r w:rsidRPr="00A04489">
        <w:rPr>
          <w:rFonts w:ascii="Times New Roman" w:hAnsi="Times New Roman"/>
          <w:i/>
          <w:sz w:val="24"/>
        </w:rPr>
        <w:t>No</w:t>
      </w:r>
      <w:r w:rsidR="000929A2" w:rsidRPr="00A04489">
        <w:rPr>
          <w:rFonts w:ascii="Times New Roman" w:hAnsi="Times New Roman"/>
          <w:i/>
          <w:sz w:val="24"/>
        </w:rPr>
        <w:t xml:space="preserve"> </w:t>
      </w:r>
      <w:r w:rsidRPr="00A04489">
        <w:rPr>
          <w:rFonts w:ascii="Times New Roman" w:hAnsi="Times New Roman"/>
          <w:i/>
          <w:sz w:val="24"/>
        </w:rPr>
        <w:t>4</w:t>
      </w:r>
      <w:r w:rsidR="00BB6774" w:rsidRPr="00A04489">
        <w:rPr>
          <w:rFonts w:ascii="Times New Roman" w:hAnsi="Times New Roman"/>
          <w:i/>
          <w:sz w:val="24"/>
        </w:rPr>
        <w:t>]</w:t>
      </w:r>
      <w:r w:rsidRPr="00A04489">
        <w:rPr>
          <w:rFonts w:ascii="Times New Roman" w:hAnsi="Times New Roman"/>
          <w:sz w:val="24"/>
        </w:rPr>
        <w:t xml:space="preserve"> </w:t>
      </w:r>
      <w:r w:rsidR="00D36F3F" w:rsidRPr="00A04489">
        <w:rPr>
          <w:rFonts w:ascii="Times New Roman" w:hAnsi="Times New Roman"/>
          <w:sz w:val="24"/>
        </w:rPr>
        <w:t>[</w:t>
      </w:r>
      <w:r w:rsidRPr="00A04489">
        <w:rPr>
          <w:rFonts w:ascii="Times New Roman" w:hAnsi="Times New Roman"/>
          <w:sz w:val="24"/>
        </w:rPr>
        <w:t>2020</w:t>
      </w:r>
      <w:r w:rsidR="00D36F3F" w:rsidRPr="00A04489">
        <w:rPr>
          <w:rFonts w:ascii="Times New Roman" w:hAnsi="Times New Roman"/>
          <w:sz w:val="24"/>
        </w:rPr>
        <w:t>]</w:t>
      </w:r>
      <w:r w:rsidRPr="00A04489">
        <w:rPr>
          <w:rFonts w:ascii="Times New Roman" w:hAnsi="Times New Roman"/>
          <w:sz w:val="24"/>
        </w:rPr>
        <w:t xml:space="preserve"> FCA 1221 at [</w:t>
      </w:r>
      <w:r w:rsidR="00CB080D" w:rsidRPr="00A04489">
        <w:rPr>
          <w:rFonts w:ascii="Times New Roman" w:hAnsi="Times New Roman"/>
          <w:sz w:val="24"/>
        </w:rPr>
        <w:t>363]-</w:t>
      </w:r>
      <w:r w:rsidRPr="00A04489">
        <w:rPr>
          <w:rFonts w:ascii="Times New Roman" w:hAnsi="Times New Roman"/>
          <w:sz w:val="24"/>
        </w:rPr>
        <w:t>[364].</w:t>
      </w:r>
    </w:p>
  </w:footnote>
  <w:footnote w:id="10">
    <w:p w14:paraId="46EC72FE" w14:textId="7B447814" w:rsidR="00283789" w:rsidRPr="00A04489" w:rsidRDefault="00283789" w:rsidP="00A04489">
      <w:pPr>
        <w:pStyle w:val="FootnoteText"/>
        <w:spacing w:line="280" w:lineRule="exact"/>
        <w:ind w:left="720" w:right="0" w:hanging="72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0929A2" w:rsidRPr="00A04489">
        <w:rPr>
          <w:rFonts w:ascii="Times New Roman" w:hAnsi="Times New Roman"/>
          <w:i/>
          <w:sz w:val="24"/>
        </w:rPr>
        <w:t xml:space="preserve">Palmer v Western Australia </w:t>
      </w:r>
      <w:r w:rsidR="00BB6774" w:rsidRPr="00A04489">
        <w:rPr>
          <w:rFonts w:ascii="Times New Roman" w:hAnsi="Times New Roman"/>
          <w:i/>
          <w:sz w:val="24"/>
        </w:rPr>
        <w:t>[</w:t>
      </w:r>
      <w:r w:rsidR="000929A2" w:rsidRPr="00A04489">
        <w:rPr>
          <w:rFonts w:ascii="Times New Roman" w:hAnsi="Times New Roman"/>
          <w:i/>
          <w:sz w:val="24"/>
        </w:rPr>
        <w:t>No 4</w:t>
      </w:r>
      <w:r w:rsidR="00BB6774" w:rsidRPr="00A04489">
        <w:rPr>
          <w:rFonts w:ascii="Times New Roman" w:hAnsi="Times New Roman"/>
          <w:i/>
          <w:sz w:val="24"/>
        </w:rPr>
        <w:t>]</w:t>
      </w:r>
      <w:r w:rsidR="000929A2" w:rsidRPr="00A04489">
        <w:rPr>
          <w:rFonts w:ascii="Times New Roman" w:hAnsi="Times New Roman"/>
          <w:sz w:val="24"/>
        </w:rPr>
        <w:t xml:space="preserve"> [2020] FCA 1221 </w:t>
      </w:r>
      <w:r w:rsidRPr="00A04489">
        <w:rPr>
          <w:rFonts w:ascii="Times New Roman" w:hAnsi="Times New Roman"/>
          <w:sz w:val="24"/>
        </w:rPr>
        <w:t>at [366].</w:t>
      </w:r>
    </w:p>
  </w:footnote>
  <w:footnote w:id="11">
    <w:p w14:paraId="3C723C73" w14:textId="612B1911" w:rsidR="00FB4C98" w:rsidRPr="00A04489" w:rsidRDefault="00FB4C98"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71300E" w:rsidRPr="00A04489">
        <w:rPr>
          <w:rFonts w:ascii="Times New Roman" w:hAnsi="Times New Roman"/>
          <w:sz w:val="24"/>
        </w:rPr>
        <w:t>(1988) 165 CLR 360.</w:t>
      </w:r>
    </w:p>
  </w:footnote>
  <w:footnote w:id="12">
    <w:p w14:paraId="075B9D5C" w14:textId="022F06FC" w:rsidR="00DC2929" w:rsidRPr="00A04489" w:rsidRDefault="00DC2929" w:rsidP="00A04489">
      <w:pPr>
        <w:pStyle w:val="FootnoteText"/>
        <w:spacing w:line="280" w:lineRule="exact"/>
        <w:ind w:right="0"/>
        <w:jc w:val="both"/>
        <w:rPr>
          <w:rFonts w:ascii="Times New Roman" w:hAnsi="Times New Roman"/>
          <w:i/>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Pr="00A04489">
        <w:rPr>
          <w:rFonts w:ascii="Times New Roman" w:hAnsi="Times New Roman"/>
          <w:i/>
          <w:sz w:val="24"/>
        </w:rPr>
        <w:t>APLA Ltd v Legal Services Commission</w:t>
      </w:r>
      <w:r w:rsidR="001B6E27" w:rsidRPr="00A04489">
        <w:rPr>
          <w:rFonts w:ascii="Times New Roman" w:hAnsi="Times New Roman"/>
          <w:i/>
          <w:sz w:val="24"/>
        </w:rPr>
        <w:t xml:space="preserve">er </w:t>
      </w:r>
      <w:r w:rsidR="0067194F" w:rsidRPr="00A04489">
        <w:rPr>
          <w:rFonts w:ascii="Times New Roman" w:hAnsi="Times New Roman"/>
          <w:i/>
          <w:sz w:val="24"/>
        </w:rPr>
        <w:t>(NSW)</w:t>
      </w:r>
      <w:r w:rsidRPr="00A04489">
        <w:rPr>
          <w:rFonts w:ascii="Times New Roman" w:hAnsi="Times New Roman"/>
          <w:i/>
          <w:sz w:val="24"/>
        </w:rPr>
        <w:t xml:space="preserve"> </w:t>
      </w:r>
      <w:r w:rsidRPr="00A04489">
        <w:rPr>
          <w:rFonts w:ascii="Times New Roman" w:hAnsi="Times New Roman"/>
          <w:sz w:val="24"/>
        </w:rPr>
        <w:t>(2005) 224 CLR 322 at 45</w:t>
      </w:r>
      <w:r w:rsidR="00F5556A" w:rsidRPr="00A04489">
        <w:rPr>
          <w:rFonts w:ascii="Times New Roman" w:hAnsi="Times New Roman"/>
          <w:sz w:val="24"/>
        </w:rPr>
        <w:t>6</w:t>
      </w:r>
      <w:r w:rsidRPr="00A04489">
        <w:rPr>
          <w:rFonts w:ascii="Times New Roman" w:hAnsi="Times New Roman"/>
          <w:sz w:val="24"/>
        </w:rPr>
        <w:t xml:space="preserve"> [40</w:t>
      </w:r>
      <w:r w:rsidR="00F5556A" w:rsidRPr="00A04489">
        <w:rPr>
          <w:rFonts w:ascii="Times New Roman" w:hAnsi="Times New Roman"/>
          <w:sz w:val="24"/>
        </w:rPr>
        <w:t>0</w:t>
      </w:r>
      <w:r w:rsidRPr="00A04489">
        <w:rPr>
          <w:rFonts w:ascii="Times New Roman" w:hAnsi="Times New Roman"/>
          <w:sz w:val="24"/>
        </w:rPr>
        <w:t>] per Hayne J.</w:t>
      </w:r>
    </w:p>
  </w:footnote>
  <w:footnote w:id="13">
    <w:p w14:paraId="60B0969B" w14:textId="6A3B692E"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0A1B0D" w:rsidRPr="00A04489">
        <w:rPr>
          <w:rFonts w:ascii="Times New Roman" w:hAnsi="Times New Roman"/>
          <w:i/>
          <w:sz w:val="24"/>
        </w:rPr>
        <w:t xml:space="preserve">Bank of </w:t>
      </w:r>
      <w:r w:rsidRPr="00A04489">
        <w:rPr>
          <w:rFonts w:ascii="Times New Roman" w:hAnsi="Times New Roman"/>
          <w:i/>
          <w:sz w:val="24"/>
        </w:rPr>
        <w:t>N</w:t>
      </w:r>
      <w:r w:rsidR="000A1B0D" w:rsidRPr="00A04489">
        <w:rPr>
          <w:rFonts w:ascii="Times New Roman" w:hAnsi="Times New Roman"/>
          <w:i/>
          <w:sz w:val="24"/>
        </w:rPr>
        <w:t xml:space="preserve">ew </w:t>
      </w:r>
      <w:r w:rsidRPr="00A04489">
        <w:rPr>
          <w:rFonts w:ascii="Times New Roman" w:hAnsi="Times New Roman"/>
          <w:i/>
          <w:sz w:val="24"/>
        </w:rPr>
        <w:t>S</w:t>
      </w:r>
      <w:r w:rsidR="000A1B0D" w:rsidRPr="00A04489">
        <w:rPr>
          <w:rFonts w:ascii="Times New Roman" w:hAnsi="Times New Roman"/>
          <w:i/>
          <w:sz w:val="24"/>
        </w:rPr>
        <w:t xml:space="preserve">outh </w:t>
      </w:r>
      <w:r w:rsidRPr="00A04489">
        <w:rPr>
          <w:rFonts w:ascii="Times New Roman" w:hAnsi="Times New Roman"/>
          <w:i/>
          <w:sz w:val="24"/>
        </w:rPr>
        <w:t>W</w:t>
      </w:r>
      <w:r w:rsidR="000A1B0D" w:rsidRPr="00A04489">
        <w:rPr>
          <w:rFonts w:ascii="Times New Roman" w:hAnsi="Times New Roman"/>
          <w:i/>
          <w:sz w:val="24"/>
        </w:rPr>
        <w:t>ales</w:t>
      </w:r>
      <w:r w:rsidRPr="00A04489">
        <w:rPr>
          <w:rFonts w:ascii="Times New Roman" w:hAnsi="Times New Roman"/>
          <w:i/>
          <w:sz w:val="24"/>
        </w:rPr>
        <w:t xml:space="preserve"> v </w:t>
      </w:r>
      <w:r w:rsidR="000A1B0D" w:rsidRPr="00A04489">
        <w:rPr>
          <w:rFonts w:ascii="Times New Roman" w:hAnsi="Times New Roman"/>
          <w:i/>
          <w:sz w:val="24"/>
        </w:rPr>
        <w:t xml:space="preserve">The </w:t>
      </w:r>
      <w:r w:rsidRPr="00A04489">
        <w:rPr>
          <w:rFonts w:ascii="Times New Roman" w:hAnsi="Times New Roman"/>
          <w:i/>
          <w:sz w:val="24"/>
        </w:rPr>
        <w:t>Commonwealth</w:t>
      </w:r>
      <w:r w:rsidRPr="00A04489">
        <w:rPr>
          <w:rFonts w:ascii="Times New Roman" w:hAnsi="Times New Roman"/>
          <w:sz w:val="24"/>
        </w:rPr>
        <w:t xml:space="preserve"> </w:t>
      </w:r>
      <w:r w:rsidR="00951BCE" w:rsidRPr="00A04489">
        <w:rPr>
          <w:rFonts w:ascii="Times New Roman" w:hAnsi="Times New Roman"/>
          <w:sz w:val="24"/>
        </w:rPr>
        <w:t>("the</w:t>
      </w:r>
      <w:r w:rsidR="00951BCE" w:rsidRPr="00A04489">
        <w:rPr>
          <w:rFonts w:ascii="Times New Roman" w:hAnsi="Times New Roman"/>
          <w:i/>
          <w:sz w:val="24"/>
        </w:rPr>
        <w:t xml:space="preserve"> Bank Nationalisation Case</w:t>
      </w:r>
      <w:r w:rsidR="00951BCE" w:rsidRPr="00A04489">
        <w:rPr>
          <w:rFonts w:ascii="Times New Roman" w:hAnsi="Times New Roman"/>
          <w:sz w:val="24"/>
        </w:rPr>
        <w:t xml:space="preserve">") </w:t>
      </w:r>
      <w:r w:rsidRPr="00A04489">
        <w:rPr>
          <w:rFonts w:ascii="Times New Roman" w:hAnsi="Times New Roman"/>
          <w:sz w:val="24"/>
        </w:rPr>
        <w:t>(1948) 7</w:t>
      </w:r>
      <w:r w:rsidR="00114BD7" w:rsidRPr="00A04489">
        <w:rPr>
          <w:rFonts w:ascii="Times New Roman" w:hAnsi="Times New Roman"/>
          <w:sz w:val="24"/>
        </w:rPr>
        <w:t>6</w:t>
      </w:r>
      <w:r w:rsidRPr="00A04489">
        <w:rPr>
          <w:rFonts w:ascii="Times New Roman" w:hAnsi="Times New Roman"/>
          <w:sz w:val="24"/>
        </w:rPr>
        <w:t xml:space="preserve"> CLR 1 at 381</w:t>
      </w:r>
      <w:r w:rsidR="00D4361C" w:rsidRPr="00A04489">
        <w:rPr>
          <w:rFonts w:ascii="Times New Roman" w:hAnsi="Times New Roman"/>
          <w:sz w:val="24"/>
        </w:rPr>
        <w:t>-382</w:t>
      </w:r>
      <w:r w:rsidRPr="00A04489">
        <w:rPr>
          <w:rFonts w:ascii="Times New Roman" w:hAnsi="Times New Roman"/>
          <w:sz w:val="24"/>
        </w:rPr>
        <w:t xml:space="preserve"> per Dixon J.</w:t>
      </w:r>
    </w:p>
  </w:footnote>
  <w:footnote w:id="14">
    <w:p w14:paraId="0738BA15" w14:textId="043EE940"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3B02BD" w:rsidRPr="00A04489">
        <w:rPr>
          <w:rFonts w:ascii="Times New Roman" w:hAnsi="Times New Roman"/>
          <w:sz w:val="24"/>
        </w:rPr>
        <w:t>S</w:t>
      </w:r>
      <w:r w:rsidRPr="00A04489">
        <w:rPr>
          <w:rFonts w:ascii="Times New Roman" w:hAnsi="Times New Roman"/>
          <w:sz w:val="24"/>
        </w:rPr>
        <w:t xml:space="preserve">ee </w:t>
      </w:r>
      <w:r w:rsidRPr="00A04489">
        <w:rPr>
          <w:rFonts w:ascii="Times New Roman" w:hAnsi="Times New Roman"/>
          <w:i/>
          <w:sz w:val="24"/>
        </w:rPr>
        <w:t>Gratwick v Johnson</w:t>
      </w:r>
      <w:r w:rsidRPr="00A04489">
        <w:rPr>
          <w:rFonts w:ascii="Times New Roman" w:hAnsi="Times New Roman"/>
          <w:sz w:val="24"/>
        </w:rPr>
        <w:t xml:space="preserve"> (1945) 70 CLR 1 at 20</w:t>
      </w:r>
      <w:r w:rsidR="00535F5E" w:rsidRPr="00A04489">
        <w:rPr>
          <w:rFonts w:ascii="Times New Roman" w:hAnsi="Times New Roman"/>
          <w:sz w:val="24"/>
        </w:rPr>
        <w:t xml:space="preserve"> per Dixon J</w:t>
      </w:r>
      <w:r w:rsidRPr="00A04489">
        <w:rPr>
          <w:rFonts w:ascii="Times New Roman" w:hAnsi="Times New Roman"/>
          <w:sz w:val="24"/>
        </w:rPr>
        <w:t>.</w:t>
      </w:r>
    </w:p>
  </w:footnote>
  <w:footnote w:id="15">
    <w:p w14:paraId="26476650" w14:textId="5D4EBF45"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t>(1988) 165 CLR 360 at 400-</w:t>
      </w:r>
      <w:r w:rsidR="00964195" w:rsidRPr="00A04489">
        <w:rPr>
          <w:rFonts w:ascii="Times New Roman" w:hAnsi="Times New Roman"/>
          <w:sz w:val="24"/>
        </w:rPr>
        <w:t>40</w:t>
      </w:r>
      <w:r w:rsidRPr="00A04489">
        <w:rPr>
          <w:rFonts w:ascii="Times New Roman" w:hAnsi="Times New Roman"/>
          <w:sz w:val="24"/>
        </w:rPr>
        <w:t>2.</w:t>
      </w:r>
    </w:p>
  </w:footnote>
  <w:footnote w:id="16">
    <w:p w14:paraId="1C2CC4C3" w14:textId="310CA4D7"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t>(1988) 165 CLR 360 at 39</w:t>
      </w:r>
      <w:r w:rsidR="0009311F" w:rsidRPr="00A04489">
        <w:rPr>
          <w:rFonts w:ascii="Times New Roman" w:hAnsi="Times New Roman"/>
          <w:sz w:val="24"/>
        </w:rPr>
        <w:t>4</w:t>
      </w:r>
      <w:r w:rsidRPr="00A04489">
        <w:rPr>
          <w:rFonts w:ascii="Times New Roman" w:hAnsi="Times New Roman"/>
          <w:sz w:val="24"/>
        </w:rPr>
        <w:t>.</w:t>
      </w:r>
    </w:p>
  </w:footnote>
  <w:footnote w:id="17">
    <w:p w14:paraId="7C851B11" w14:textId="419B0C99"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2937C5" w:rsidRPr="00A04489">
        <w:rPr>
          <w:rFonts w:ascii="Times New Roman" w:hAnsi="Times New Roman"/>
          <w:i/>
          <w:sz w:val="24"/>
        </w:rPr>
        <w:t xml:space="preserve">Cole v Whitfield </w:t>
      </w:r>
      <w:r w:rsidR="002937C5" w:rsidRPr="00A04489">
        <w:rPr>
          <w:rFonts w:ascii="Times New Roman" w:hAnsi="Times New Roman"/>
          <w:sz w:val="24"/>
        </w:rPr>
        <w:t xml:space="preserve">(1988) 165 CLR 360 </w:t>
      </w:r>
      <w:r w:rsidRPr="00A04489">
        <w:rPr>
          <w:rFonts w:ascii="Times New Roman" w:hAnsi="Times New Roman"/>
          <w:sz w:val="24"/>
        </w:rPr>
        <w:t>at 398.</w:t>
      </w:r>
    </w:p>
  </w:footnote>
  <w:footnote w:id="18">
    <w:p w14:paraId="196C5E27" w14:textId="161969EB"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2937C5" w:rsidRPr="00A04489">
        <w:rPr>
          <w:rFonts w:ascii="Times New Roman" w:hAnsi="Times New Roman"/>
          <w:i/>
          <w:sz w:val="24"/>
        </w:rPr>
        <w:t xml:space="preserve">Cole v Whitfield </w:t>
      </w:r>
      <w:r w:rsidR="002937C5" w:rsidRPr="00A04489">
        <w:rPr>
          <w:rFonts w:ascii="Times New Roman" w:hAnsi="Times New Roman"/>
          <w:sz w:val="24"/>
        </w:rPr>
        <w:t xml:space="preserve">(1988) 165 CLR 360 </w:t>
      </w:r>
      <w:r w:rsidRPr="00A04489">
        <w:rPr>
          <w:rFonts w:ascii="Times New Roman" w:hAnsi="Times New Roman"/>
          <w:sz w:val="24"/>
        </w:rPr>
        <w:t>at 393.</w:t>
      </w:r>
    </w:p>
  </w:footnote>
  <w:footnote w:id="19">
    <w:p w14:paraId="6D64C51F" w14:textId="4619887F"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557F06" w:rsidRPr="00A04489">
        <w:rPr>
          <w:rFonts w:ascii="Times New Roman" w:hAnsi="Times New Roman"/>
          <w:sz w:val="24"/>
        </w:rPr>
        <w:t>S</w:t>
      </w:r>
      <w:r w:rsidRPr="00A04489">
        <w:rPr>
          <w:rFonts w:ascii="Times New Roman" w:hAnsi="Times New Roman"/>
          <w:sz w:val="24"/>
        </w:rPr>
        <w:t>ee</w:t>
      </w:r>
      <w:r w:rsidR="00557F06" w:rsidRPr="00A04489">
        <w:rPr>
          <w:rFonts w:ascii="Times New Roman" w:hAnsi="Times New Roman"/>
          <w:sz w:val="24"/>
        </w:rPr>
        <w:t>, eg,</w:t>
      </w:r>
      <w:r w:rsidRPr="00A04489">
        <w:rPr>
          <w:rFonts w:ascii="Times New Roman" w:hAnsi="Times New Roman"/>
          <w:sz w:val="24"/>
        </w:rPr>
        <w:t xml:space="preserve"> </w:t>
      </w:r>
      <w:r w:rsidR="00FB2041" w:rsidRPr="00A04489">
        <w:rPr>
          <w:rFonts w:ascii="Times New Roman" w:hAnsi="Times New Roman"/>
          <w:i/>
          <w:sz w:val="24"/>
        </w:rPr>
        <w:t>R</w:t>
      </w:r>
      <w:r w:rsidRPr="00A04489">
        <w:rPr>
          <w:rFonts w:ascii="Times New Roman" w:hAnsi="Times New Roman"/>
          <w:i/>
          <w:sz w:val="24"/>
        </w:rPr>
        <w:t xml:space="preserve"> v Smithers; </w:t>
      </w:r>
      <w:r w:rsidR="008C6F51" w:rsidRPr="00A04489">
        <w:rPr>
          <w:rFonts w:ascii="Times New Roman" w:hAnsi="Times New Roman"/>
          <w:i/>
          <w:sz w:val="24"/>
        </w:rPr>
        <w:t>E</w:t>
      </w:r>
      <w:r w:rsidRPr="00A04489">
        <w:rPr>
          <w:rFonts w:ascii="Times New Roman" w:hAnsi="Times New Roman"/>
          <w:i/>
          <w:sz w:val="24"/>
        </w:rPr>
        <w:t>x parte Benson</w:t>
      </w:r>
      <w:r w:rsidRPr="00A04489">
        <w:rPr>
          <w:rFonts w:ascii="Times New Roman" w:hAnsi="Times New Roman"/>
          <w:sz w:val="24"/>
        </w:rPr>
        <w:t xml:space="preserve"> (1912) 16 CLR 99 at 110 per Barton J; </w:t>
      </w:r>
      <w:r w:rsidRPr="00A04489">
        <w:rPr>
          <w:rFonts w:ascii="Times New Roman" w:hAnsi="Times New Roman"/>
          <w:i/>
          <w:sz w:val="24"/>
        </w:rPr>
        <w:t>Gratwick v Johnson</w:t>
      </w:r>
      <w:r w:rsidRPr="00A04489">
        <w:rPr>
          <w:rFonts w:ascii="Times New Roman" w:hAnsi="Times New Roman"/>
          <w:sz w:val="24"/>
        </w:rPr>
        <w:t xml:space="preserve"> (1945) 70 CLR 1 at 13 per Latham CJ.</w:t>
      </w:r>
    </w:p>
  </w:footnote>
  <w:footnote w:id="20">
    <w:p w14:paraId="4DEB36FD" w14:textId="21739010"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Pr="00A04489">
        <w:rPr>
          <w:rFonts w:ascii="Times New Roman" w:hAnsi="Times New Roman"/>
          <w:i/>
          <w:sz w:val="24"/>
        </w:rPr>
        <w:t xml:space="preserve">Nationwide News Pty Ltd v Wills </w:t>
      </w:r>
      <w:r w:rsidRPr="00A04489">
        <w:rPr>
          <w:rFonts w:ascii="Times New Roman" w:hAnsi="Times New Roman"/>
          <w:sz w:val="24"/>
        </w:rPr>
        <w:t>(199</w:t>
      </w:r>
      <w:r w:rsidR="00001CF9" w:rsidRPr="00A04489">
        <w:rPr>
          <w:rFonts w:ascii="Times New Roman" w:hAnsi="Times New Roman"/>
          <w:sz w:val="24"/>
        </w:rPr>
        <w:t>2</w:t>
      </w:r>
      <w:r w:rsidRPr="00A04489">
        <w:rPr>
          <w:rFonts w:ascii="Times New Roman" w:hAnsi="Times New Roman"/>
          <w:sz w:val="24"/>
        </w:rPr>
        <w:t xml:space="preserve">) 177 CLR 1 at 56 per Brennan J; </w:t>
      </w:r>
      <w:r w:rsidRPr="00A04489">
        <w:rPr>
          <w:rFonts w:ascii="Times New Roman" w:hAnsi="Times New Roman"/>
          <w:i/>
          <w:sz w:val="24"/>
        </w:rPr>
        <w:t>Australian Capital Television</w:t>
      </w:r>
      <w:r w:rsidR="00EE3430" w:rsidRPr="00A04489">
        <w:rPr>
          <w:rFonts w:ascii="Times New Roman" w:hAnsi="Times New Roman"/>
          <w:i/>
          <w:sz w:val="24"/>
        </w:rPr>
        <w:t xml:space="preserve"> Pty Ltd</w:t>
      </w:r>
      <w:r w:rsidRPr="00A04489">
        <w:rPr>
          <w:rFonts w:ascii="Times New Roman" w:hAnsi="Times New Roman"/>
          <w:i/>
          <w:sz w:val="24"/>
        </w:rPr>
        <w:t xml:space="preserve"> v </w:t>
      </w:r>
      <w:r w:rsidR="00EE3430" w:rsidRPr="00A04489">
        <w:rPr>
          <w:rFonts w:ascii="Times New Roman" w:hAnsi="Times New Roman"/>
          <w:i/>
          <w:sz w:val="24"/>
        </w:rPr>
        <w:t xml:space="preserve">The </w:t>
      </w:r>
      <w:r w:rsidRPr="00A04489">
        <w:rPr>
          <w:rFonts w:ascii="Times New Roman" w:hAnsi="Times New Roman"/>
          <w:i/>
          <w:sz w:val="24"/>
        </w:rPr>
        <w:t>Commonwealth</w:t>
      </w:r>
      <w:r w:rsidRPr="00A04489">
        <w:rPr>
          <w:rFonts w:ascii="Times New Roman" w:hAnsi="Times New Roman"/>
          <w:sz w:val="24"/>
        </w:rPr>
        <w:t xml:space="preserve"> (1992) 177 CLR </w:t>
      </w:r>
      <w:r w:rsidR="00EE3430" w:rsidRPr="00A04489">
        <w:rPr>
          <w:rFonts w:ascii="Times New Roman" w:hAnsi="Times New Roman"/>
          <w:sz w:val="24"/>
        </w:rPr>
        <w:t>1</w:t>
      </w:r>
      <w:r w:rsidRPr="00A04489">
        <w:rPr>
          <w:rFonts w:ascii="Times New Roman" w:hAnsi="Times New Roman"/>
          <w:sz w:val="24"/>
        </w:rPr>
        <w:t>06 at 192-</w:t>
      </w:r>
      <w:r w:rsidR="00C84013" w:rsidRPr="00A04489">
        <w:rPr>
          <w:rFonts w:ascii="Times New Roman" w:hAnsi="Times New Roman"/>
          <w:sz w:val="24"/>
        </w:rPr>
        <w:t>19</w:t>
      </w:r>
      <w:r w:rsidRPr="00A04489">
        <w:rPr>
          <w:rFonts w:ascii="Times New Roman" w:hAnsi="Times New Roman"/>
          <w:sz w:val="24"/>
        </w:rPr>
        <w:t xml:space="preserve">3 per Dawson J; </w:t>
      </w:r>
      <w:r w:rsidRPr="00A04489">
        <w:rPr>
          <w:rFonts w:ascii="Times New Roman" w:hAnsi="Times New Roman"/>
          <w:i/>
          <w:sz w:val="24"/>
        </w:rPr>
        <w:t>APLA Ltd v Legal Services Commissioner</w:t>
      </w:r>
      <w:r w:rsidR="00A56706" w:rsidRPr="00A04489">
        <w:rPr>
          <w:rFonts w:ascii="Times New Roman" w:hAnsi="Times New Roman"/>
          <w:i/>
          <w:sz w:val="24"/>
        </w:rPr>
        <w:t xml:space="preserve"> </w:t>
      </w:r>
      <w:r w:rsidR="00FD093D" w:rsidRPr="00A04489">
        <w:rPr>
          <w:rFonts w:ascii="Times New Roman" w:hAnsi="Times New Roman"/>
          <w:i/>
          <w:sz w:val="24"/>
        </w:rPr>
        <w:t>(NSW)</w:t>
      </w:r>
      <w:r w:rsidRPr="00A04489">
        <w:rPr>
          <w:rFonts w:ascii="Times New Roman" w:hAnsi="Times New Roman"/>
          <w:i/>
          <w:sz w:val="24"/>
        </w:rPr>
        <w:t xml:space="preserve"> </w:t>
      </w:r>
      <w:r w:rsidRPr="00A04489">
        <w:rPr>
          <w:rFonts w:ascii="Times New Roman" w:hAnsi="Times New Roman"/>
          <w:sz w:val="24"/>
        </w:rPr>
        <w:t xml:space="preserve">(2005) 224 CLR 322 at </w:t>
      </w:r>
      <w:r w:rsidR="00AC4D62" w:rsidRPr="00A04489">
        <w:rPr>
          <w:rFonts w:ascii="Times New Roman" w:hAnsi="Times New Roman"/>
          <w:sz w:val="24"/>
        </w:rPr>
        <w:t xml:space="preserve">394 </w:t>
      </w:r>
      <w:r w:rsidRPr="00A04489">
        <w:rPr>
          <w:rFonts w:ascii="Times New Roman" w:hAnsi="Times New Roman"/>
          <w:sz w:val="24"/>
        </w:rPr>
        <w:t>[178] per Gummow J.</w:t>
      </w:r>
    </w:p>
  </w:footnote>
  <w:footnote w:id="21">
    <w:p w14:paraId="53A96425" w14:textId="58CCC606"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DF32F4" w:rsidRPr="00A04489">
        <w:rPr>
          <w:rFonts w:ascii="Times New Roman" w:hAnsi="Times New Roman"/>
          <w:i/>
          <w:sz w:val="24"/>
        </w:rPr>
        <w:t xml:space="preserve">Cole v Whitfield </w:t>
      </w:r>
      <w:r w:rsidR="00DF32F4" w:rsidRPr="00A04489">
        <w:rPr>
          <w:rFonts w:ascii="Times New Roman" w:hAnsi="Times New Roman"/>
          <w:sz w:val="24"/>
        </w:rPr>
        <w:t xml:space="preserve">(1988) 165 CLR 360 </w:t>
      </w:r>
      <w:r w:rsidRPr="00A04489">
        <w:rPr>
          <w:rFonts w:ascii="Times New Roman" w:hAnsi="Times New Roman"/>
          <w:sz w:val="24"/>
        </w:rPr>
        <w:t xml:space="preserve">at </w:t>
      </w:r>
      <w:r w:rsidR="00B37EF8" w:rsidRPr="00A04489">
        <w:rPr>
          <w:rFonts w:ascii="Times New Roman" w:hAnsi="Times New Roman"/>
          <w:sz w:val="24"/>
        </w:rPr>
        <w:t xml:space="preserve">394, </w:t>
      </w:r>
      <w:r w:rsidRPr="00A04489">
        <w:rPr>
          <w:rFonts w:ascii="Times New Roman" w:hAnsi="Times New Roman"/>
          <w:sz w:val="24"/>
        </w:rPr>
        <w:t>399.</w:t>
      </w:r>
    </w:p>
  </w:footnote>
  <w:footnote w:id="22">
    <w:p w14:paraId="2473D049" w14:textId="33B0E509"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DF32F4" w:rsidRPr="00A04489">
        <w:rPr>
          <w:rFonts w:ascii="Times New Roman" w:hAnsi="Times New Roman"/>
          <w:i/>
          <w:sz w:val="24"/>
        </w:rPr>
        <w:t xml:space="preserve">Cole v Whitfield </w:t>
      </w:r>
      <w:r w:rsidR="00DF32F4" w:rsidRPr="00A04489">
        <w:rPr>
          <w:rFonts w:ascii="Times New Roman" w:hAnsi="Times New Roman"/>
          <w:sz w:val="24"/>
        </w:rPr>
        <w:t xml:space="preserve">(1988) 165 CLR 360 </w:t>
      </w:r>
      <w:r w:rsidRPr="00A04489">
        <w:rPr>
          <w:rFonts w:ascii="Times New Roman" w:hAnsi="Times New Roman"/>
          <w:sz w:val="24"/>
        </w:rPr>
        <w:t>at 394-395.</w:t>
      </w:r>
    </w:p>
  </w:footnote>
  <w:footnote w:id="23">
    <w:p w14:paraId="6F911C3E" w14:textId="77777777" w:rsidR="005671E9" w:rsidRPr="00A04489" w:rsidRDefault="005671E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t xml:space="preserve">See </w:t>
      </w:r>
      <w:r w:rsidRPr="00A04489">
        <w:rPr>
          <w:rFonts w:ascii="Times New Roman" w:hAnsi="Times New Roman"/>
          <w:i/>
          <w:sz w:val="24"/>
        </w:rPr>
        <w:t>Castlemaine Tooheys Ltd v South Australia</w:t>
      </w:r>
      <w:r w:rsidRPr="00A04489">
        <w:rPr>
          <w:rFonts w:ascii="Times New Roman" w:hAnsi="Times New Roman"/>
          <w:sz w:val="24"/>
        </w:rPr>
        <w:t xml:space="preserve"> (1990) 169 CLR 436 at 478, 480 per Gaudron and McHugh JJ.</w:t>
      </w:r>
    </w:p>
  </w:footnote>
  <w:footnote w:id="24">
    <w:p w14:paraId="0A0A4921" w14:textId="7EF23595"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DF32F4" w:rsidRPr="00A04489">
        <w:rPr>
          <w:rFonts w:ascii="Times New Roman" w:hAnsi="Times New Roman"/>
          <w:sz w:val="24"/>
        </w:rPr>
        <w:t>S</w:t>
      </w:r>
      <w:r w:rsidRPr="00A04489">
        <w:rPr>
          <w:rFonts w:ascii="Times New Roman" w:hAnsi="Times New Roman"/>
          <w:sz w:val="24"/>
        </w:rPr>
        <w:t>ee</w:t>
      </w:r>
      <w:r w:rsidR="005671E9" w:rsidRPr="00A04489">
        <w:rPr>
          <w:rFonts w:ascii="Times New Roman" w:hAnsi="Times New Roman"/>
          <w:sz w:val="24"/>
        </w:rPr>
        <w:t xml:space="preserve"> </w:t>
      </w:r>
      <w:r w:rsidR="005671E9" w:rsidRPr="00A04489">
        <w:rPr>
          <w:rFonts w:ascii="Times New Roman" w:hAnsi="Times New Roman"/>
          <w:i/>
          <w:sz w:val="24"/>
        </w:rPr>
        <w:t xml:space="preserve">Cole v Whitfield </w:t>
      </w:r>
      <w:r w:rsidR="005671E9" w:rsidRPr="00A04489">
        <w:rPr>
          <w:rFonts w:ascii="Times New Roman" w:hAnsi="Times New Roman"/>
          <w:sz w:val="24"/>
        </w:rPr>
        <w:t>(1988) 165 CLR 360 at 399</w:t>
      </w:r>
      <w:r w:rsidRPr="00A04489">
        <w:rPr>
          <w:rFonts w:ascii="Times New Roman" w:hAnsi="Times New Roman"/>
          <w:sz w:val="24"/>
        </w:rPr>
        <w:t>.</w:t>
      </w:r>
    </w:p>
  </w:footnote>
  <w:footnote w:id="25">
    <w:p w14:paraId="47A42AD7" w14:textId="15EAD75E"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Pr="00A04489">
        <w:rPr>
          <w:rFonts w:ascii="Times New Roman" w:hAnsi="Times New Roman"/>
          <w:i/>
          <w:sz w:val="24"/>
        </w:rPr>
        <w:t>Cole v Whitfield</w:t>
      </w:r>
      <w:r w:rsidRPr="00A04489">
        <w:rPr>
          <w:rFonts w:ascii="Times New Roman" w:hAnsi="Times New Roman"/>
          <w:sz w:val="24"/>
        </w:rPr>
        <w:t xml:space="preserve"> </w:t>
      </w:r>
      <w:r w:rsidR="008A3F46" w:rsidRPr="00A04489">
        <w:rPr>
          <w:rFonts w:ascii="Times New Roman" w:hAnsi="Times New Roman"/>
          <w:sz w:val="24"/>
        </w:rPr>
        <w:t xml:space="preserve">(1988) 165 CLR 360 </w:t>
      </w:r>
      <w:r w:rsidRPr="00A04489">
        <w:rPr>
          <w:rFonts w:ascii="Times New Roman" w:hAnsi="Times New Roman"/>
          <w:sz w:val="24"/>
        </w:rPr>
        <w:t>at 409.</w:t>
      </w:r>
    </w:p>
  </w:footnote>
  <w:footnote w:id="26">
    <w:p w14:paraId="000C4843" w14:textId="091DB7BC"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8A3F46" w:rsidRPr="00A04489">
        <w:rPr>
          <w:rFonts w:ascii="Times New Roman" w:hAnsi="Times New Roman"/>
          <w:i/>
          <w:sz w:val="24"/>
        </w:rPr>
        <w:t>Cole v Whitfield</w:t>
      </w:r>
      <w:r w:rsidR="008A3F46" w:rsidRPr="00A04489">
        <w:rPr>
          <w:rFonts w:ascii="Times New Roman" w:hAnsi="Times New Roman"/>
          <w:sz w:val="24"/>
        </w:rPr>
        <w:t xml:space="preserve"> (1988) 165 CLR 360 </w:t>
      </w:r>
      <w:r w:rsidRPr="00A04489">
        <w:rPr>
          <w:rFonts w:ascii="Times New Roman" w:hAnsi="Times New Roman"/>
          <w:sz w:val="24"/>
        </w:rPr>
        <w:t>at 409.</w:t>
      </w:r>
    </w:p>
  </w:footnote>
  <w:footnote w:id="27">
    <w:p w14:paraId="723CD0C2" w14:textId="541E5347"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8A3F46" w:rsidRPr="00A04489">
        <w:rPr>
          <w:rFonts w:ascii="Times New Roman" w:hAnsi="Times New Roman"/>
          <w:i/>
          <w:sz w:val="24"/>
        </w:rPr>
        <w:t>Cole v Whitfield</w:t>
      </w:r>
      <w:r w:rsidR="008A3F46" w:rsidRPr="00A04489">
        <w:rPr>
          <w:rFonts w:ascii="Times New Roman" w:hAnsi="Times New Roman"/>
          <w:sz w:val="24"/>
        </w:rPr>
        <w:t xml:space="preserve"> (1988) 165 CLR 360 </w:t>
      </w:r>
      <w:r w:rsidRPr="00A04489">
        <w:rPr>
          <w:rFonts w:ascii="Times New Roman" w:hAnsi="Times New Roman"/>
          <w:sz w:val="24"/>
        </w:rPr>
        <w:t>at 410.</w:t>
      </w:r>
    </w:p>
  </w:footnote>
  <w:footnote w:id="28">
    <w:p w14:paraId="222198F1" w14:textId="2A6DBC89"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8A3F46" w:rsidRPr="00A04489">
        <w:rPr>
          <w:rFonts w:ascii="Times New Roman" w:hAnsi="Times New Roman"/>
          <w:i/>
          <w:sz w:val="24"/>
        </w:rPr>
        <w:t>Cole v Whitfield</w:t>
      </w:r>
      <w:r w:rsidR="008A3F46" w:rsidRPr="00A04489">
        <w:rPr>
          <w:rFonts w:ascii="Times New Roman" w:hAnsi="Times New Roman"/>
          <w:sz w:val="24"/>
        </w:rPr>
        <w:t xml:space="preserve"> (1988) 165 CLR 360 </w:t>
      </w:r>
      <w:r w:rsidRPr="00A04489">
        <w:rPr>
          <w:rFonts w:ascii="Times New Roman" w:hAnsi="Times New Roman"/>
          <w:sz w:val="24"/>
        </w:rPr>
        <w:t>at 409-410.</w:t>
      </w:r>
    </w:p>
  </w:footnote>
  <w:footnote w:id="29">
    <w:p w14:paraId="7DF51D67" w14:textId="77777777"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t>(1990) 169 CLR 436.</w:t>
      </w:r>
    </w:p>
  </w:footnote>
  <w:footnote w:id="30">
    <w:p w14:paraId="3F76000A" w14:textId="2E7B98D3"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0006DA" w:rsidRPr="00A04489">
        <w:rPr>
          <w:rFonts w:ascii="Times New Roman" w:hAnsi="Times New Roman"/>
          <w:i/>
          <w:sz w:val="24"/>
        </w:rPr>
        <w:t>Castlemaine Tooheys Ltd v South Australia</w:t>
      </w:r>
      <w:r w:rsidR="000006DA" w:rsidRPr="00A04489">
        <w:rPr>
          <w:rFonts w:ascii="Times New Roman" w:hAnsi="Times New Roman"/>
          <w:sz w:val="24"/>
        </w:rPr>
        <w:t xml:space="preserve"> </w:t>
      </w:r>
      <w:r w:rsidR="00E44510" w:rsidRPr="00A04489">
        <w:rPr>
          <w:rFonts w:ascii="Times New Roman" w:hAnsi="Times New Roman"/>
          <w:sz w:val="24"/>
        </w:rPr>
        <w:t xml:space="preserve">(1990) 169 CLR 436 </w:t>
      </w:r>
      <w:r w:rsidRPr="00A04489">
        <w:rPr>
          <w:rFonts w:ascii="Times New Roman" w:hAnsi="Times New Roman"/>
          <w:sz w:val="24"/>
        </w:rPr>
        <w:t>at 473-</w:t>
      </w:r>
      <w:r w:rsidR="009264E3" w:rsidRPr="00A04489">
        <w:rPr>
          <w:rFonts w:ascii="Times New Roman" w:hAnsi="Times New Roman"/>
          <w:sz w:val="24"/>
        </w:rPr>
        <w:t>47</w:t>
      </w:r>
      <w:r w:rsidRPr="00A04489">
        <w:rPr>
          <w:rFonts w:ascii="Times New Roman" w:hAnsi="Times New Roman"/>
          <w:sz w:val="24"/>
        </w:rPr>
        <w:t>4.</w:t>
      </w:r>
    </w:p>
  </w:footnote>
  <w:footnote w:id="31">
    <w:p w14:paraId="2CEC50C8" w14:textId="3AAD2ED7"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E44510" w:rsidRPr="00A04489">
        <w:rPr>
          <w:rFonts w:ascii="Times New Roman" w:hAnsi="Times New Roman"/>
          <w:sz w:val="24"/>
        </w:rPr>
        <w:t xml:space="preserve">(1990) 169 CLR 436 </w:t>
      </w:r>
      <w:r w:rsidRPr="00A04489">
        <w:rPr>
          <w:rFonts w:ascii="Times New Roman" w:hAnsi="Times New Roman"/>
          <w:sz w:val="24"/>
        </w:rPr>
        <w:t>at 477.</w:t>
      </w:r>
    </w:p>
  </w:footnote>
  <w:footnote w:id="32">
    <w:p w14:paraId="00E3D7A3" w14:textId="77777777" w:rsidR="00DC2929" w:rsidRPr="00A04489" w:rsidRDefault="00DC2929" w:rsidP="00A04489">
      <w:pPr>
        <w:pStyle w:val="FootnoteText"/>
        <w:spacing w:line="280" w:lineRule="exact"/>
        <w:ind w:right="0"/>
        <w:jc w:val="both"/>
        <w:rPr>
          <w:rFonts w:ascii="Times New Roman" w:hAnsi="Times New Roman"/>
          <w:i/>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t>(2008) 234 CLR 418.</w:t>
      </w:r>
    </w:p>
  </w:footnote>
  <w:footnote w:id="33">
    <w:p w14:paraId="3FD42690" w14:textId="2CFE87FF"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525D78" w:rsidRPr="00A04489">
        <w:rPr>
          <w:rFonts w:ascii="Times New Roman" w:hAnsi="Times New Roman"/>
          <w:sz w:val="24"/>
        </w:rPr>
        <w:t xml:space="preserve">(2008) 234 CLR 418 </w:t>
      </w:r>
      <w:r w:rsidRPr="00A04489">
        <w:rPr>
          <w:rFonts w:ascii="Times New Roman" w:hAnsi="Times New Roman"/>
          <w:sz w:val="24"/>
        </w:rPr>
        <w:t>at 476-</w:t>
      </w:r>
      <w:r w:rsidR="00525D78" w:rsidRPr="00A04489">
        <w:rPr>
          <w:rFonts w:ascii="Times New Roman" w:hAnsi="Times New Roman"/>
          <w:sz w:val="24"/>
        </w:rPr>
        <w:t>47</w:t>
      </w:r>
      <w:r w:rsidRPr="00A04489">
        <w:rPr>
          <w:rFonts w:ascii="Times New Roman" w:hAnsi="Times New Roman"/>
          <w:sz w:val="24"/>
        </w:rPr>
        <w:t>7 [101]-[103] per Gleeson CJ, Gummow, Kirby, Hayne, Crennan and Kiefel JJ.</w:t>
      </w:r>
    </w:p>
  </w:footnote>
  <w:footnote w:id="34">
    <w:p w14:paraId="48D82B72" w14:textId="3BB406A5"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9268E2" w:rsidRPr="00A04489">
        <w:rPr>
          <w:rFonts w:ascii="Times New Roman" w:hAnsi="Times New Roman"/>
          <w:sz w:val="24"/>
        </w:rPr>
        <w:t>(</w:t>
      </w:r>
      <w:r w:rsidRPr="00A04489">
        <w:rPr>
          <w:rFonts w:ascii="Times New Roman" w:hAnsi="Times New Roman"/>
          <w:sz w:val="24"/>
        </w:rPr>
        <w:t>1975</w:t>
      </w:r>
      <w:r w:rsidR="009268E2" w:rsidRPr="00A04489">
        <w:rPr>
          <w:rFonts w:ascii="Times New Roman" w:hAnsi="Times New Roman"/>
          <w:sz w:val="24"/>
        </w:rPr>
        <w:t>)</w:t>
      </w:r>
      <w:r w:rsidRPr="00A04489">
        <w:rPr>
          <w:rFonts w:ascii="Times New Roman" w:hAnsi="Times New Roman"/>
          <w:sz w:val="24"/>
        </w:rPr>
        <w:t xml:space="preserve"> 134 CLR 55</w:t>
      </w:r>
      <w:r w:rsidR="00637E5A" w:rsidRPr="00A04489">
        <w:rPr>
          <w:rFonts w:ascii="Times New Roman" w:hAnsi="Times New Roman"/>
          <w:sz w:val="24"/>
        </w:rPr>
        <w:t>9</w:t>
      </w:r>
      <w:r w:rsidRPr="00A04489">
        <w:rPr>
          <w:rFonts w:ascii="Times New Roman" w:hAnsi="Times New Roman"/>
          <w:sz w:val="24"/>
        </w:rPr>
        <w:t xml:space="preserve"> at 608.</w:t>
      </w:r>
    </w:p>
  </w:footnote>
  <w:footnote w:id="35">
    <w:p w14:paraId="28077E25" w14:textId="3F2908CC"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8E3A6E" w:rsidRPr="00A04489">
        <w:rPr>
          <w:rFonts w:ascii="Times New Roman" w:hAnsi="Times New Roman"/>
          <w:sz w:val="24"/>
        </w:rPr>
        <w:t xml:space="preserve">(2008) 234 CLR 418 </w:t>
      </w:r>
      <w:r w:rsidRPr="00A04489">
        <w:rPr>
          <w:rFonts w:ascii="Times New Roman" w:hAnsi="Times New Roman"/>
          <w:sz w:val="24"/>
        </w:rPr>
        <w:t>at 477 [103].</w:t>
      </w:r>
    </w:p>
  </w:footnote>
  <w:footnote w:id="36">
    <w:p w14:paraId="6461E7BB" w14:textId="5921B944" w:rsidR="00241FD2" w:rsidRPr="00A04489" w:rsidRDefault="00241FD2"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275C3A" w:rsidRPr="00A04489">
        <w:rPr>
          <w:rFonts w:ascii="Times New Roman" w:hAnsi="Times New Roman"/>
          <w:i/>
          <w:sz w:val="24"/>
        </w:rPr>
        <w:t>Betfair N</w:t>
      </w:r>
      <w:r w:rsidR="00903924" w:rsidRPr="00A04489">
        <w:rPr>
          <w:rFonts w:ascii="Times New Roman" w:hAnsi="Times New Roman"/>
          <w:i/>
          <w:sz w:val="24"/>
        </w:rPr>
        <w:t>o</w:t>
      </w:r>
      <w:r w:rsidR="00990DC2" w:rsidRPr="00A04489">
        <w:rPr>
          <w:rFonts w:ascii="Times New Roman" w:hAnsi="Times New Roman"/>
          <w:i/>
          <w:sz w:val="24"/>
        </w:rPr>
        <w:t xml:space="preserve"> </w:t>
      </w:r>
      <w:r w:rsidR="00275C3A" w:rsidRPr="00A04489">
        <w:rPr>
          <w:rFonts w:ascii="Times New Roman" w:hAnsi="Times New Roman"/>
          <w:i/>
          <w:sz w:val="24"/>
        </w:rPr>
        <w:t xml:space="preserve">1 </w:t>
      </w:r>
      <w:r w:rsidRPr="00A04489">
        <w:rPr>
          <w:rFonts w:ascii="Times New Roman" w:hAnsi="Times New Roman"/>
          <w:sz w:val="24"/>
        </w:rPr>
        <w:t>(2008) 234 CLR 418 at 481 [118], [120].</w:t>
      </w:r>
    </w:p>
  </w:footnote>
  <w:footnote w:id="37">
    <w:p w14:paraId="427F2117" w14:textId="46A6C22F"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275C3A" w:rsidRPr="00A04489">
        <w:rPr>
          <w:rFonts w:ascii="Times New Roman" w:hAnsi="Times New Roman"/>
          <w:i/>
          <w:sz w:val="24"/>
        </w:rPr>
        <w:t>Betfair No</w:t>
      </w:r>
      <w:r w:rsidR="00990DC2" w:rsidRPr="00A04489">
        <w:rPr>
          <w:rFonts w:ascii="Times New Roman" w:hAnsi="Times New Roman"/>
          <w:i/>
          <w:sz w:val="24"/>
        </w:rPr>
        <w:t xml:space="preserve"> </w:t>
      </w:r>
      <w:r w:rsidR="00275C3A" w:rsidRPr="00A04489">
        <w:rPr>
          <w:rFonts w:ascii="Times New Roman" w:hAnsi="Times New Roman"/>
          <w:i/>
          <w:sz w:val="24"/>
        </w:rPr>
        <w:t xml:space="preserve">1 </w:t>
      </w:r>
      <w:r w:rsidR="008E3A6E" w:rsidRPr="00A04489">
        <w:rPr>
          <w:rFonts w:ascii="Times New Roman" w:hAnsi="Times New Roman"/>
          <w:sz w:val="24"/>
        </w:rPr>
        <w:t xml:space="preserve">(2008) 234 CLR 418 </w:t>
      </w:r>
      <w:r w:rsidRPr="00A04489">
        <w:rPr>
          <w:rFonts w:ascii="Times New Roman" w:hAnsi="Times New Roman"/>
          <w:sz w:val="24"/>
        </w:rPr>
        <w:t>at 47</w:t>
      </w:r>
      <w:r w:rsidR="002837CC" w:rsidRPr="00A04489">
        <w:rPr>
          <w:rFonts w:ascii="Times New Roman" w:hAnsi="Times New Roman"/>
          <w:sz w:val="24"/>
        </w:rPr>
        <w:t>9</w:t>
      </w:r>
      <w:r w:rsidR="00815F6D" w:rsidRPr="00A04489">
        <w:rPr>
          <w:rFonts w:ascii="Times New Roman" w:hAnsi="Times New Roman"/>
          <w:sz w:val="24"/>
        </w:rPr>
        <w:t xml:space="preserve"> [110]</w:t>
      </w:r>
      <w:r w:rsidRPr="00A04489">
        <w:rPr>
          <w:rFonts w:ascii="Times New Roman" w:hAnsi="Times New Roman"/>
          <w:sz w:val="24"/>
        </w:rPr>
        <w:t>.</w:t>
      </w:r>
    </w:p>
  </w:footnote>
  <w:footnote w:id="38">
    <w:p w14:paraId="22254C6B" w14:textId="6189D740"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275C3A" w:rsidRPr="00A04489">
        <w:rPr>
          <w:rFonts w:ascii="Times New Roman" w:hAnsi="Times New Roman"/>
          <w:i/>
          <w:sz w:val="24"/>
        </w:rPr>
        <w:t>Betfair No</w:t>
      </w:r>
      <w:r w:rsidR="00C85929" w:rsidRPr="00A04489">
        <w:rPr>
          <w:rFonts w:ascii="Times New Roman" w:hAnsi="Times New Roman"/>
          <w:i/>
          <w:sz w:val="24"/>
        </w:rPr>
        <w:t xml:space="preserve"> </w:t>
      </w:r>
      <w:r w:rsidR="00275C3A" w:rsidRPr="00A04489">
        <w:rPr>
          <w:rFonts w:ascii="Times New Roman" w:hAnsi="Times New Roman"/>
          <w:i/>
          <w:sz w:val="24"/>
        </w:rPr>
        <w:t xml:space="preserve">1 </w:t>
      </w:r>
      <w:r w:rsidR="00D75DF3" w:rsidRPr="00A04489">
        <w:rPr>
          <w:rFonts w:ascii="Times New Roman" w:hAnsi="Times New Roman"/>
          <w:sz w:val="24"/>
        </w:rPr>
        <w:t xml:space="preserve">(2008) 234 CLR 418 </w:t>
      </w:r>
      <w:r w:rsidRPr="00A04489">
        <w:rPr>
          <w:rFonts w:ascii="Times New Roman" w:hAnsi="Times New Roman"/>
          <w:sz w:val="24"/>
        </w:rPr>
        <w:t>at 479 [110</w:t>
      </w:r>
      <w:r w:rsidR="00D75DF3" w:rsidRPr="00A04489">
        <w:rPr>
          <w:rFonts w:ascii="Times New Roman" w:hAnsi="Times New Roman"/>
          <w:sz w:val="24"/>
        </w:rPr>
        <w:t>]</w:t>
      </w:r>
      <w:r w:rsidRPr="00A04489">
        <w:rPr>
          <w:rFonts w:ascii="Times New Roman" w:hAnsi="Times New Roman"/>
          <w:sz w:val="24"/>
        </w:rPr>
        <w:t>.</w:t>
      </w:r>
    </w:p>
  </w:footnote>
  <w:footnote w:id="39">
    <w:p w14:paraId="0BF16F47" w14:textId="0A4550C5"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275C3A" w:rsidRPr="00A04489">
        <w:rPr>
          <w:rFonts w:ascii="Times New Roman" w:hAnsi="Times New Roman"/>
          <w:i/>
          <w:sz w:val="24"/>
        </w:rPr>
        <w:t>Betfair No</w:t>
      </w:r>
      <w:r w:rsidR="00C85929" w:rsidRPr="00A04489">
        <w:rPr>
          <w:rFonts w:ascii="Times New Roman" w:hAnsi="Times New Roman"/>
          <w:i/>
          <w:sz w:val="24"/>
        </w:rPr>
        <w:t xml:space="preserve"> </w:t>
      </w:r>
      <w:r w:rsidR="00275C3A" w:rsidRPr="00A04489">
        <w:rPr>
          <w:rFonts w:ascii="Times New Roman" w:hAnsi="Times New Roman"/>
          <w:i/>
          <w:sz w:val="24"/>
        </w:rPr>
        <w:t xml:space="preserve">1 </w:t>
      </w:r>
      <w:r w:rsidR="00FE7331" w:rsidRPr="00A04489">
        <w:rPr>
          <w:rFonts w:ascii="Times New Roman" w:hAnsi="Times New Roman"/>
          <w:sz w:val="24"/>
        </w:rPr>
        <w:t xml:space="preserve">(2008) 234 CLR 418 </w:t>
      </w:r>
      <w:r w:rsidRPr="00A04489">
        <w:rPr>
          <w:rFonts w:ascii="Times New Roman" w:hAnsi="Times New Roman"/>
          <w:sz w:val="24"/>
        </w:rPr>
        <w:t>at 479</w:t>
      </w:r>
      <w:r w:rsidR="00AA29CF" w:rsidRPr="00A04489">
        <w:rPr>
          <w:rFonts w:ascii="Times New Roman" w:hAnsi="Times New Roman"/>
          <w:sz w:val="24"/>
        </w:rPr>
        <w:t>-480</w:t>
      </w:r>
      <w:r w:rsidRPr="00A04489">
        <w:rPr>
          <w:rFonts w:ascii="Times New Roman" w:hAnsi="Times New Roman"/>
          <w:sz w:val="24"/>
        </w:rPr>
        <w:t xml:space="preserve"> [109]</w:t>
      </w:r>
      <w:r w:rsidR="00FE7331" w:rsidRPr="00A04489">
        <w:rPr>
          <w:rFonts w:ascii="Times New Roman" w:hAnsi="Times New Roman"/>
          <w:sz w:val="24"/>
        </w:rPr>
        <w:t>-</w:t>
      </w:r>
      <w:r w:rsidRPr="00A04489">
        <w:rPr>
          <w:rFonts w:ascii="Times New Roman" w:hAnsi="Times New Roman"/>
          <w:sz w:val="24"/>
        </w:rPr>
        <w:t>[11</w:t>
      </w:r>
      <w:r w:rsidR="00AA29CF" w:rsidRPr="00A04489">
        <w:rPr>
          <w:rFonts w:ascii="Times New Roman" w:hAnsi="Times New Roman"/>
          <w:sz w:val="24"/>
        </w:rPr>
        <w:t>2</w:t>
      </w:r>
      <w:r w:rsidRPr="00A04489">
        <w:rPr>
          <w:rFonts w:ascii="Times New Roman" w:hAnsi="Times New Roman"/>
          <w:sz w:val="24"/>
        </w:rPr>
        <w:t>].</w:t>
      </w:r>
    </w:p>
  </w:footnote>
  <w:footnote w:id="40">
    <w:p w14:paraId="4846B86E" w14:textId="76C94A78"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067278" w:rsidRPr="00A04489">
        <w:rPr>
          <w:rFonts w:ascii="Times New Roman" w:hAnsi="Times New Roman"/>
          <w:i/>
          <w:sz w:val="24"/>
        </w:rPr>
        <w:t xml:space="preserve">Cole v Whitfield </w:t>
      </w:r>
      <w:r w:rsidR="003532E7" w:rsidRPr="00A04489">
        <w:rPr>
          <w:rFonts w:ascii="Times New Roman" w:hAnsi="Times New Roman"/>
          <w:sz w:val="24"/>
        </w:rPr>
        <w:t xml:space="preserve">(1988) 165 CLR 360 </w:t>
      </w:r>
      <w:r w:rsidRPr="00A04489">
        <w:rPr>
          <w:rFonts w:ascii="Times New Roman" w:hAnsi="Times New Roman"/>
          <w:sz w:val="24"/>
        </w:rPr>
        <w:t>at 393.</w:t>
      </w:r>
    </w:p>
  </w:footnote>
  <w:footnote w:id="41">
    <w:p w14:paraId="5C1E324B" w14:textId="77777777"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t>(1945) 70 CLR 1 at 17.</w:t>
      </w:r>
    </w:p>
  </w:footnote>
  <w:footnote w:id="42">
    <w:p w14:paraId="0D7C5B63" w14:textId="14590C21"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Pr="00A04489">
        <w:rPr>
          <w:rFonts w:ascii="Times New Roman" w:hAnsi="Times New Roman"/>
          <w:i/>
          <w:sz w:val="24"/>
        </w:rPr>
        <w:t>Cole v Whitfield</w:t>
      </w:r>
      <w:r w:rsidRPr="00A04489">
        <w:rPr>
          <w:rFonts w:ascii="Times New Roman" w:hAnsi="Times New Roman"/>
          <w:sz w:val="24"/>
        </w:rPr>
        <w:t xml:space="preserve"> </w:t>
      </w:r>
      <w:r w:rsidR="00FF7EB4" w:rsidRPr="00A04489">
        <w:rPr>
          <w:rFonts w:ascii="Times New Roman" w:hAnsi="Times New Roman"/>
          <w:sz w:val="24"/>
        </w:rPr>
        <w:t xml:space="preserve">(1988) 165 CLR 360 </w:t>
      </w:r>
      <w:r w:rsidRPr="00A04489">
        <w:rPr>
          <w:rFonts w:ascii="Times New Roman" w:hAnsi="Times New Roman"/>
          <w:sz w:val="24"/>
        </w:rPr>
        <w:t>at 393.</w:t>
      </w:r>
    </w:p>
  </w:footnote>
  <w:footnote w:id="43">
    <w:p w14:paraId="76CAAD45" w14:textId="0EE33DBA"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FF7EB4" w:rsidRPr="00A04489">
        <w:rPr>
          <w:rFonts w:ascii="Times New Roman" w:hAnsi="Times New Roman"/>
          <w:i/>
          <w:sz w:val="24"/>
        </w:rPr>
        <w:t xml:space="preserve">Cole v Whitfield </w:t>
      </w:r>
      <w:r w:rsidR="00FF7EB4" w:rsidRPr="00A04489">
        <w:rPr>
          <w:rFonts w:ascii="Times New Roman" w:hAnsi="Times New Roman"/>
          <w:sz w:val="24"/>
        </w:rPr>
        <w:t xml:space="preserve">(1988) 165 CLR 360 </w:t>
      </w:r>
      <w:r w:rsidRPr="00A04489">
        <w:rPr>
          <w:rFonts w:ascii="Times New Roman" w:hAnsi="Times New Roman"/>
          <w:sz w:val="24"/>
        </w:rPr>
        <w:t>at 393-394.</w:t>
      </w:r>
    </w:p>
  </w:footnote>
  <w:footnote w:id="44">
    <w:p w14:paraId="586614C5" w14:textId="3732F986"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Pr="00A04489">
        <w:rPr>
          <w:rFonts w:ascii="Times New Roman" w:hAnsi="Times New Roman"/>
          <w:i/>
          <w:sz w:val="24"/>
        </w:rPr>
        <w:t>Cole v Whitfield</w:t>
      </w:r>
      <w:r w:rsidRPr="00A04489">
        <w:rPr>
          <w:rFonts w:ascii="Times New Roman" w:hAnsi="Times New Roman"/>
          <w:sz w:val="24"/>
        </w:rPr>
        <w:t xml:space="preserve"> </w:t>
      </w:r>
      <w:r w:rsidR="00FF7EB4" w:rsidRPr="00A04489">
        <w:rPr>
          <w:rFonts w:ascii="Times New Roman" w:hAnsi="Times New Roman"/>
          <w:sz w:val="24"/>
        </w:rPr>
        <w:t xml:space="preserve">(1988) 165 CLR 360 </w:t>
      </w:r>
      <w:r w:rsidRPr="00A04489">
        <w:rPr>
          <w:rFonts w:ascii="Times New Roman" w:hAnsi="Times New Roman"/>
          <w:sz w:val="24"/>
        </w:rPr>
        <w:t>at 387-388.</w:t>
      </w:r>
    </w:p>
  </w:footnote>
  <w:footnote w:id="45">
    <w:p w14:paraId="5F37A833" w14:textId="2E4329B9"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8B4A97" w:rsidRPr="00A04489">
        <w:rPr>
          <w:rFonts w:ascii="Times New Roman" w:hAnsi="Times New Roman"/>
          <w:sz w:val="24"/>
        </w:rPr>
        <w:t>A</w:t>
      </w:r>
      <w:r w:rsidRPr="00A04489">
        <w:rPr>
          <w:rFonts w:ascii="Times New Roman" w:hAnsi="Times New Roman"/>
          <w:sz w:val="24"/>
        </w:rPr>
        <w:t>t</w:t>
      </w:r>
      <w:r w:rsidR="00D565DD" w:rsidRPr="00A04489">
        <w:rPr>
          <w:rFonts w:ascii="Times New Roman" w:hAnsi="Times New Roman"/>
          <w:sz w:val="24"/>
        </w:rPr>
        <w:t xml:space="preserve"> </w:t>
      </w:r>
      <w:r w:rsidR="008D48FC" w:rsidRPr="00A04489">
        <w:rPr>
          <w:rFonts w:ascii="Times New Roman" w:hAnsi="Times New Roman"/>
          <w:sz w:val="24"/>
        </w:rPr>
        <w:t>[</w:t>
      </w:r>
      <w:r w:rsidR="00D565DD" w:rsidRPr="00A04489">
        <w:rPr>
          <w:rFonts w:ascii="Times New Roman" w:hAnsi="Times New Roman"/>
          <w:sz w:val="24"/>
        </w:rPr>
        <w:t>27</w:t>
      </w:r>
      <w:r w:rsidR="008D48FC" w:rsidRPr="00A04489">
        <w:rPr>
          <w:rFonts w:ascii="Times New Roman" w:hAnsi="Times New Roman"/>
          <w:sz w:val="24"/>
        </w:rPr>
        <w:t>]</w:t>
      </w:r>
      <w:r w:rsidR="00D565DD" w:rsidRPr="00A04489">
        <w:rPr>
          <w:rFonts w:ascii="Times New Roman" w:hAnsi="Times New Roman"/>
          <w:sz w:val="24"/>
        </w:rPr>
        <w:t xml:space="preserve"> above</w:t>
      </w:r>
      <w:r w:rsidRPr="00A04489">
        <w:rPr>
          <w:rFonts w:ascii="Times New Roman" w:hAnsi="Times New Roman"/>
          <w:sz w:val="24"/>
        </w:rPr>
        <w:t>.</w:t>
      </w:r>
    </w:p>
  </w:footnote>
  <w:footnote w:id="46">
    <w:p w14:paraId="753C962C" w14:textId="4F932899"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Pr="00A04489">
        <w:rPr>
          <w:rFonts w:ascii="Times New Roman" w:hAnsi="Times New Roman"/>
          <w:i/>
          <w:sz w:val="24"/>
        </w:rPr>
        <w:t>APLA</w:t>
      </w:r>
      <w:r w:rsidRPr="00A04489">
        <w:rPr>
          <w:rFonts w:ascii="Times New Roman" w:hAnsi="Times New Roman"/>
          <w:sz w:val="24"/>
        </w:rPr>
        <w:t xml:space="preserve"> </w:t>
      </w:r>
      <w:r w:rsidRPr="00A04489">
        <w:rPr>
          <w:rFonts w:ascii="Times New Roman" w:hAnsi="Times New Roman"/>
          <w:i/>
          <w:sz w:val="24"/>
        </w:rPr>
        <w:t>Ltd v Legal Services Commissioner</w:t>
      </w:r>
      <w:r w:rsidR="0067194F" w:rsidRPr="00A04489">
        <w:rPr>
          <w:rFonts w:ascii="Times New Roman" w:hAnsi="Times New Roman"/>
          <w:i/>
          <w:sz w:val="24"/>
        </w:rPr>
        <w:t xml:space="preserve"> (NSW)</w:t>
      </w:r>
      <w:r w:rsidRPr="00A04489">
        <w:rPr>
          <w:rFonts w:ascii="Times New Roman" w:hAnsi="Times New Roman"/>
          <w:sz w:val="24"/>
        </w:rPr>
        <w:t xml:space="preserve"> (2005) 224 CLR 322 at </w:t>
      </w:r>
      <w:r w:rsidR="009C72EE" w:rsidRPr="00A04489">
        <w:rPr>
          <w:rFonts w:ascii="Times New Roman" w:hAnsi="Times New Roman"/>
          <w:sz w:val="24"/>
        </w:rPr>
        <w:t xml:space="preserve">456-457 </w:t>
      </w:r>
      <w:r w:rsidR="00753C2F" w:rsidRPr="00A04489">
        <w:rPr>
          <w:rFonts w:ascii="Times New Roman" w:hAnsi="Times New Roman"/>
          <w:sz w:val="24"/>
        </w:rPr>
        <w:t>[</w:t>
      </w:r>
      <w:r w:rsidRPr="00A04489">
        <w:rPr>
          <w:rFonts w:ascii="Times New Roman" w:hAnsi="Times New Roman"/>
          <w:sz w:val="24"/>
        </w:rPr>
        <w:t>402</w:t>
      </w:r>
      <w:r w:rsidR="00753C2F" w:rsidRPr="00A04489">
        <w:rPr>
          <w:rFonts w:ascii="Times New Roman" w:hAnsi="Times New Roman"/>
          <w:sz w:val="24"/>
        </w:rPr>
        <w:t>]</w:t>
      </w:r>
      <w:r w:rsidRPr="00A04489">
        <w:rPr>
          <w:rFonts w:ascii="Times New Roman" w:hAnsi="Times New Roman"/>
          <w:sz w:val="24"/>
        </w:rPr>
        <w:t xml:space="preserve"> per Hayne J.</w:t>
      </w:r>
    </w:p>
  </w:footnote>
  <w:footnote w:id="47">
    <w:p w14:paraId="344AD090" w14:textId="77777777" w:rsidR="0050701F" w:rsidRPr="00A04489" w:rsidRDefault="0050701F"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t>(2005) 224 CLR 322 at 456-457 [402].</w:t>
      </w:r>
    </w:p>
  </w:footnote>
  <w:footnote w:id="48">
    <w:p w14:paraId="305A1A89" w14:textId="08488F85"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3433FD" w:rsidRPr="00A04489">
        <w:rPr>
          <w:rFonts w:ascii="Times New Roman" w:hAnsi="Times New Roman"/>
          <w:sz w:val="24"/>
        </w:rPr>
        <w:t>R</w:t>
      </w:r>
      <w:r w:rsidRPr="00A04489">
        <w:rPr>
          <w:rFonts w:ascii="Times New Roman" w:hAnsi="Times New Roman"/>
          <w:sz w:val="24"/>
        </w:rPr>
        <w:t xml:space="preserve">eferring to </w:t>
      </w:r>
      <w:r w:rsidRPr="00A04489">
        <w:rPr>
          <w:rFonts w:ascii="Times New Roman" w:hAnsi="Times New Roman"/>
          <w:i/>
          <w:sz w:val="24"/>
        </w:rPr>
        <w:t>Nationwide</w:t>
      </w:r>
      <w:r w:rsidR="000D7BA1" w:rsidRPr="00A04489">
        <w:rPr>
          <w:rFonts w:ascii="Times New Roman" w:hAnsi="Times New Roman"/>
          <w:i/>
          <w:sz w:val="24"/>
        </w:rPr>
        <w:t xml:space="preserve"> News Pty Ltd v Wills </w:t>
      </w:r>
      <w:r w:rsidR="000D7BA1" w:rsidRPr="00A04489">
        <w:rPr>
          <w:rFonts w:ascii="Times New Roman" w:hAnsi="Times New Roman"/>
          <w:sz w:val="24"/>
        </w:rPr>
        <w:t>(1992) 177 CLR 1</w:t>
      </w:r>
      <w:r w:rsidRPr="00A04489">
        <w:rPr>
          <w:rFonts w:ascii="Times New Roman" w:hAnsi="Times New Roman"/>
          <w:sz w:val="24"/>
        </w:rPr>
        <w:t xml:space="preserve"> at 58-59</w:t>
      </w:r>
      <w:r w:rsidR="00005587" w:rsidRPr="00A04489">
        <w:rPr>
          <w:rFonts w:ascii="Times New Roman" w:hAnsi="Times New Roman"/>
          <w:sz w:val="24"/>
        </w:rPr>
        <w:t xml:space="preserve"> per Brennan J</w:t>
      </w:r>
      <w:r w:rsidR="00A06603" w:rsidRPr="00A04489">
        <w:rPr>
          <w:rFonts w:ascii="Times New Roman" w:hAnsi="Times New Roman"/>
          <w:sz w:val="24"/>
        </w:rPr>
        <w:t>;</w:t>
      </w:r>
      <w:r w:rsidRPr="00A04489">
        <w:rPr>
          <w:rFonts w:ascii="Times New Roman" w:hAnsi="Times New Roman"/>
          <w:sz w:val="24"/>
        </w:rPr>
        <w:t xml:space="preserve"> </w:t>
      </w:r>
      <w:r w:rsidRPr="00A04489">
        <w:rPr>
          <w:rFonts w:ascii="Times New Roman" w:hAnsi="Times New Roman"/>
          <w:i/>
          <w:sz w:val="24"/>
        </w:rPr>
        <w:t>Cunliffe</w:t>
      </w:r>
      <w:r w:rsidR="001054F7" w:rsidRPr="00A04489">
        <w:rPr>
          <w:rFonts w:ascii="Times New Roman" w:hAnsi="Times New Roman"/>
          <w:i/>
          <w:sz w:val="24"/>
        </w:rPr>
        <w:t xml:space="preserve"> v The Commonwealth </w:t>
      </w:r>
      <w:r w:rsidR="001054F7" w:rsidRPr="00A04489">
        <w:rPr>
          <w:rFonts w:ascii="Times New Roman" w:hAnsi="Times New Roman"/>
          <w:sz w:val="24"/>
        </w:rPr>
        <w:t>(1994) 182 CLR 272</w:t>
      </w:r>
      <w:r w:rsidRPr="00A04489">
        <w:rPr>
          <w:rFonts w:ascii="Times New Roman" w:hAnsi="Times New Roman"/>
          <w:sz w:val="24"/>
        </w:rPr>
        <w:t xml:space="preserve"> at 333</w:t>
      </w:r>
      <w:r w:rsidR="0022696C" w:rsidRPr="00A04489">
        <w:rPr>
          <w:rFonts w:ascii="Times New Roman" w:hAnsi="Times New Roman"/>
          <w:sz w:val="24"/>
        </w:rPr>
        <w:t xml:space="preserve"> per Brennan</w:t>
      </w:r>
      <w:r w:rsidR="006F14C0" w:rsidRPr="00A04489">
        <w:rPr>
          <w:rFonts w:ascii="Times New Roman" w:hAnsi="Times New Roman"/>
          <w:sz w:val="24"/>
        </w:rPr>
        <w:t> </w:t>
      </w:r>
      <w:r w:rsidR="0022696C" w:rsidRPr="00A04489">
        <w:rPr>
          <w:rFonts w:ascii="Times New Roman" w:hAnsi="Times New Roman"/>
          <w:sz w:val="24"/>
        </w:rPr>
        <w:t>J</w:t>
      </w:r>
      <w:r w:rsidRPr="00A04489">
        <w:rPr>
          <w:rFonts w:ascii="Times New Roman" w:hAnsi="Times New Roman"/>
          <w:sz w:val="24"/>
        </w:rPr>
        <w:t>,</w:t>
      </w:r>
      <w:r w:rsidR="001054F7" w:rsidRPr="00A04489">
        <w:rPr>
          <w:rFonts w:ascii="Times New Roman" w:hAnsi="Times New Roman"/>
          <w:sz w:val="24"/>
        </w:rPr>
        <w:t xml:space="preserve"> </w:t>
      </w:r>
      <w:r w:rsidRPr="00A04489">
        <w:rPr>
          <w:rFonts w:ascii="Times New Roman" w:hAnsi="Times New Roman"/>
          <w:sz w:val="24"/>
        </w:rPr>
        <w:t>384</w:t>
      </w:r>
      <w:r w:rsidR="00A91188" w:rsidRPr="00A04489">
        <w:rPr>
          <w:rFonts w:ascii="Times New Roman" w:hAnsi="Times New Roman"/>
          <w:sz w:val="24"/>
        </w:rPr>
        <w:t xml:space="preserve"> per Toohey J</w:t>
      </w:r>
      <w:r w:rsidR="00A06603" w:rsidRPr="00A04489">
        <w:rPr>
          <w:rFonts w:ascii="Times New Roman" w:hAnsi="Times New Roman"/>
          <w:sz w:val="24"/>
        </w:rPr>
        <w:t>;</w:t>
      </w:r>
      <w:r w:rsidRPr="00A04489">
        <w:rPr>
          <w:rFonts w:ascii="Times New Roman" w:hAnsi="Times New Roman"/>
          <w:sz w:val="24"/>
        </w:rPr>
        <w:t xml:space="preserve"> Kirk, </w:t>
      </w:r>
      <w:r w:rsidR="00AF0E6C" w:rsidRPr="00A04489">
        <w:rPr>
          <w:rFonts w:ascii="Times New Roman" w:hAnsi="Times New Roman"/>
          <w:sz w:val="24"/>
        </w:rPr>
        <w:t>"</w:t>
      </w:r>
      <w:r w:rsidRPr="00A04489">
        <w:rPr>
          <w:rFonts w:ascii="Times New Roman" w:hAnsi="Times New Roman"/>
          <w:sz w:val="24"/>
        </w:rPr>
        <w:t>Section 92 in its Second Century</w:t>
      </w:r>
      <w:r w:rsidR="00FD3DD2" w:rsidRPr="00A04489">
        <w:rPr>
          <w:rFonts w:ascii="Times New Roman" w:hAnsi="Times New Roman"/>
          <w:sz w:val="24"/>
        </w:rPr>
        <w:t>"</w:t>
      </w:r>
      <w:r w:rsidR="00C3762C" w:rsidRPr="00A04489">
        <w:rPr>
          <w:rFonts w:ascii="Times New Roman" w:hAnsi="Times New Roman"/>
          <w:sz w:val="24"/>
        </w:rPr>
        <w:t>,</w:t>
      </w:r>
      <w:r w:rsidRPr="00A04489">
        <w:rPr>
          <w:rFonts w:ascii="Times New Roman" w:hAnsi="Times New Roman"/>
          <w:sz w:val="24"/>
        </w:rPr>
        <w:t xml:space="preserve"> in </w:t>
      </w:r>
      <w:r w:rsidR="00FD3DD2" w:rsidRPr="00A04489">
        <w:rPr>
          <w:rFonts w:ascii="Times New Roman" w:hAnsi="Times New Roman"/>
          <w:sz w:val="24"/>
        </w:rPr>
        <w:t xml:space="preserve">Griffiths and Stellios (eds), </w:t>
      </w:r>
      <w:r w:rsidRPr="00A04489">
        <w:rPr>
          <w:rFonts w:ascii="Times New Roman" w:hAnsi="Times New Roman"/>
          <w:i/>
          <w:sz w:val="24"/>
        </w:rPr>
        <w:t>Current Issues in</w:t>
      </w:r>
      <w:r w:rsidRPr="00A04489">
        <w:rPr>
          <w:rFonts w:ascii="Times New Roman" w:hAnsi="Times New Roman"/>
          <w:sz w:val="24"/>
        </w:rPr>
        <w:t xml:space="preserve"> </w:t>
      </w:r>
      <w:r w:rsidRPr="00A04489">
        <w:rPr>
          <w:rFonts w:ascii="Times New Roman" w:hAnsi="Times New Roman"/>
          <w:i/>
          <w:sz w:val="24"/>
        </w:rPr>
        <w:t>Australian Constitutional Law</w:t>
      </w:r>
      <w:r w:rsidR="00A14611" w:rsidRPr="00A04489">
        <w:rPr>
          <w:rFonts w:ascii="Times New Roman" w:hAnsi="Times New Roman"/>
          <w:i/>
          <w:sz w:val="24"/>
        </w:rPr>
        <w:t>:</w:t>
      </w:r>
      <w:r w:rsidRPr="00A04489">
        <w:rPr>
          <w:rFonts w:ascii="Times New Roman" w:hAnsi="Times New Roman"/>
          <w:i/>
          <w:sz w:val="24"/>
        </w:rPr>
        <w:t xml:space="preserve"> Tributes to Professor Leslie Zines</w:t>
      </w:r>
      <w:r w:rsidR="005B24B0" w:rsidRPr="00A04489">
        <w:rPr>
          <w:rFonts w:ascii="Times New Roman" w:hAnsi="Times New Roman"/>
          <w:sz w:val="24"/>
        </w:rPr>
        <w:t xml:space="preserve"> (2020) </w:t>
      </w:r>
      <w:r w:rsidR="0011048B" w:rsidRPr="00A04489">
        <w:rPr>
          <w:rFonts w:ascii="Times New Roman" w:hAnsi="Times New Roman"/>
          <w:sz w:val="24"/>
        </w:rPr>
        <w:t xml:space="preserve">253 at </w:t>
      </w:r>
      <w:r w:rsidR="00F80DF0" w:rsidRPr="00A04489">
        <w:rPr>
          <w:rFonts w:ascii="Times New Roman" w:hAnsi="Times New Roman"/>
          <w:sz w:val="24"/>
        </w:rPr>
        <w:t>2</w:t>
      </w:r>
      <w:r w:rsidR="00256ADF" w:rsidRPr="00A04489">
        <w:rPr>
          <w:rFonts w:ascii="Times New Roman" w:hAnsi="Times New Roman"/>
          <w:sz w:val="24"/>
        </w:rPr>
        <w:t>79-280</w:t>
      </w:r>
      <w:r w:rsidRPr="00A04489">
        <w:rPr>
          <w:rFonts w:ascii="Times New Roman" w:hAnsi="Times New Roman"/>
          <w:sz w:val="24"/>
        </w:rPr>
        <w:t>.</w:t>
      </w:r>
    </w:p>
  </w:footnote>
  <w:footnote w:id="49">
    <w:p w14:paraId="0BB8B9B0" w14:textId="56A294D7"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Pr="00A04489">
        <w:rPr>
          <w:rFonts w:ascii="Times New Roman" w:hAnsi="Times New Roman"/>
          <w:i/>
          <w:sz w:val="24"/>
        </w:rPr>
        <w:t>AMS v AIF</w:t>
      </w:r>
      <w:r w:rsidRPr="00A04489">
        <w:rPr>
          <w:rFonts w:ascii="Times New Roman" w:hAnsi="Times New Roman"/>
          <w:sz w:val="24"/>
        </w:rPr>
        <w:t xml:space="preserve"> (1999) 199 CLR 160 at 179 [45]</w:t>
      </w:r>
      <w:r w:rsidR="00D4113B" w:rsidRPr="00A04489">
        <w:rPr>
          <w:rFonts w:ascii="Times New Roman" w:hAnsi="Times New Roman"/>
          <w:sz w:val="24"/>
        </w:rPr>
        <w:t xml:space="preserve"> per Gleeson CJ, McHugh and Gummow JJ</w:t>
      </w:r>
      <w:r w:rsidR="008D067F" w:rsidRPr="00A04489">
        <w:rPr>
          <w:rFonts w:ascii="Times New Roman" w:hAnsi="Times New Roman"/>
          <w:sz w:val="24"/>
        </w:rPr>
        <w:t>,</w:t>
      </w:r>
      <w:r w:rsidRPr="00A04489">
        <w:rPr>
          <w:rFonts w:ascii="Times New Roman" w:hAnsi="Times New Roman"/>
          <w:sz w:val="24"/>
        </w:rPr>
        <w:t xml:space="preserve"> </w:t>
      </w:r>
      <w:r w:rsidR="00A96A7D" w:rsidRPr="00A04489">
        <w:rPr>
          <w:rFonts w:ascii="Times New Roman" w:hAnsi="Times New Roman"/>
          <w:sz w:val="24"/>
        </w:rPr>
        <w:t>23</w:t>
      </w:r>
      <w:r w:rsidR="006F3B01" w:rsidRPr="00A04489">
        <w:rPr>
          <w:rFonts w:ascii="Times New Roman" w:hAnsi="Times New Roman"/>
          <w:sz w:val="24"/>
        </w:rPr>
        <w:t>2-23</w:t>
      </w:r>
      <w:r w:rsidR="00A96A7D" w:rsidRPr="00A04489">
        <w:rPr>
          <w:rFonts w:ascii="Times New Roman" w:hAnsi="Times New Roman"/>
          <w:sz w:val="24"/>
        </w:rPr>
        <w:t xml:space="preserve">3 </w:t>
      </w:r>
      <w:r w:rsidRPr="00A04489">
        <w:rPr>
          <w:rFonts w:ascii="Times New Roman" w:hAnsi="Times New Roman"/>
          <w:sz w:val="24"/>
        </w:rPr>
        <w:t>[221]</w:t>
      </w:r>
      <w:r w:rsidR="00D4113B" w:rsidRPr="00A04489">
        <w:rPr>
          <w:rFonts w:ascii="Times New Roman" w:hAnsi="Times New Roman"/>
          <w:sz w:val="24"/>
        </w:rPr>
        <w:t xml:space="preserve"> per </w:t>
      </w:r>
      <w:r w:rsidR="00EE6CDE" w:rsidRPr="00A04489">
        <w:rPr>
          <w:rFonts w:ascii="Times New Roman" w:hAnsi="Times New Roman"/>
          <w:sz w:val="24"/>
        </w:rPr>
        <w:t>Hayne</w:t>
      </w:r>
      <w:r w:rsidR="00D4113B" w:rsidRPr="00A04489">
        <w:rPr>
          <w:rFonts w:ascii="Times New Roman" w:hAnsi="Times New Roman"/>
          <w:sz w:val="24"/>
        </w:rPr>
        <w:t xml:space="preserve"> J</w:t>
      </w:r>
      <w:r w:rsidRPr="00A04489">
        <w:rPr>
          <w:rFonts w:ascii="Times New Roman" w:hAnsi="Times New Roman"/>
          <w:sz w:val="24"/>
        </w:rPr>
        <w:t xml:space="preserve">; </w:t>
      </w:r>
      <w:r w:rsidRPr="00A04489">
        <w:rPr>
          <w:rFonts w:ascii="Times New Roman" w:hAnsi="Times New Roman"/>
          <w:i/>
          <w:sz w:val="24"/>
        </w:rPr>
        <w:t>APLA Ltd v Legal Services Commission</w:t>
      </w:r>
      <w:r w:rsidR="0067194F" w:rsidRPr="00A04489">
        <w:rPr>
          <w:rFonts w:ascii="Times New Roman" w:hAnsi="Times New Roman"/>
          <w:i/>
          <w:sz w:val="24"/>
        </w:rPr>
        <w:t>er (NSW)</w:t>
      </w:r>
      <w:r w:rsidRPr="00A04489">
        <w:rPr>
          <w:rFonts w:ascii="Times New Roman" w:hAnsi="Times New Roman"/>
          <w:sz w:val="24"/>
        </w:rPr>
        <w:t xml:space="preserve"> (2005) 224 CLR 322 at 353 [38] per Gleeson CJ and Heydon J</w:t>
      </w:r>
      <w:r w:rsidR="003853B8" w:rsidRPr="00A04489">
        <w:rPr>
          <w:rFonts w:ascii="Times New Roman" w:hAnsi="Times New Roman"/>
          <w:sz w:val="24"/>
        </w:rPr>
        <w:t>,</w:t>
      </w:r>
      <w:r w:rsidRPr="00A04489">
        <w:rPr>
          <w:rFonts w:ascii="Times New Roman" w:hAnsi="Times New Roman"/>
          <w:sz w:val="24"/>
        </w:rPr>
        <w:t xml:space="preserve"> 393</w:t>
      </w:r>
      <w:r w:rsidR="00470EA3" w:rsidRPr="00A04489">
        <w:rPr>
          <w:rFonts w:ascii="Times New Roman" w:hAnsi="Times New Roman"/>
          <w:sz w:val="24"/>
        </w:rPr>
        <w:t>-394</w:t>
      </w:r>
      <w:r w:rsidRPr="00A04489">
        <w:rPr>
          <w:rFonts w:ascii="Times New Roman" w:hAnsi="Times New Roman"/>
          <w:sz w:val="24"/>
        </w:rPr>
        <w:t xml:space="preserve"> [177]</w:t>
      </w:r>
      <w:r w:rsidR="00470EA3" w:rsidRPr="00A04489">
        <w:rPr>
          <w:rFonts w:ascii="Times New Roman" w:hAnsi="Times New Roman"/>
          <w:sz w:val="24"/>
        </w:rPr>
        <w:t>, [179]</w:t>
      </w:r>
      <w:r w:rsidR="00903834" w:rsidRPr="00A04489">
        <w:rPr>
          <w:rFonts w:ascii="Times New Roman" w:hAnsi="Times New Roman"/>
          <w:sz w:val="24"/>
        </w:rPr>
        <w:t xml:space="preserve"> per</w:t>
      </w:r>
      <w:r w:rsidRPr="00A04489">
        <w:rPr>
          <w:rFonts w:ascii="Times New Roman" w:hAnsi="Times New Roman"/>
          <w:sz w:val="24"/>
        </w:rPr>
        <w:t xml:space="preserve"> Gummow J.</w:t>
      </w:r>
    </w:p>
  </w:footnote>
  <w:footnote w:id="50">
    <w:p w14:paraId="48B84617" w14:textId="26B93A12"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Pr="00A04489">
        <w:rPr>
          <w:rFonts w:ascii="Times New Roman" w:hAnsi="Times New Roman"/>
          <w:i/>
          <w:sz w:val="24"/>
        </w:rPr>
        <w:t xml:space="preserve">Cunliffe v </w:t>
      </w:r>
      <w:r w:rsidR="00A25DBF" w:rsidRPr="00A04489">
        <w:rPr>
          <w:rFonts w:ascii="Times New Roman" w:hAnsi="Times New Roman"/>
          <w:i/>
          <w:sz w:val="24"/>
        </w:rPr>
        <w:t xml:space="preserve">The </w:t>
      </w:r>
      <w:r w:rsidRPr="00A04489">
        <w:rPr>
          <w:rFonts w:ascii="Times New Roman" w:hAnsi="Times New Roman"/>
          <w:i/>
          <w:sz w:val="24"/>
        </w:rPr>
        <w:t>Commonwealth</w:t>
      </w:r>
      <w:r w:rsidRPr="00A04489">
        <w:rPr>
          <w:rFonts w:ascii="Times New Roman" w:hAnsi="Times New Roman"/>
          <w:sz w:val="24"/>
        </w:rPr>
        <w:t xml:space="preserve"> (199</w:t>
      </w:r>
      <w:r w:rsidR="00E94710" w:rsidRPr="00A04489">
        <w:rPr>
          <w:rFonts w:ascii="Times New Roman" w:hAnsi="Times New Roman"/>
          <w:sz w:val="24"/>
        </w:rPr>
        <w:t>4</w:t>
      </w:r>
      <w:r w:rsidRPr="00A04489">
        <w:rPr>
          <w:rFonts w:ascii="Times New Roman" w:hAnsi="Times New Roman"/>
          <w:sz w:val="24"/>
        </w:rPr>
        <w:t>) 182 CLR 272 at 307-308 per Mason CJ</w:t>
      </w:r>
      <w:r w:rsidR="00347DC0" w:rsidRPr="00A04489">
        <w:rPr>
          <w:rFonts w:ascii="Times New Roman" w:hAnsi="Times New Roman"/>
          <w:sz w:val="24"/>
        </w:rPr>
        <w:t>,</w:t>
      </w:r>
      <w:r w:rsidRPr="00A04489">
        <w:rPr>
          <w:rFonts w:ascii="Times New Roman" w:hAnsi="Times New Roman"/>
          <w:sz w:val="24"/>
        </w:rPr>
        <w:t xml:space="preserve"> 396 per McHugh J.</w:t>
      </w:r>
    </w:p>
  </w:footnote>
  <w:footnote w:id="51">
    <w:p w14:paraId="6065C030" w14:textId="16F32937"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Pr="00A04489">
        <w:rPr>
          <w:rFonts w:ascii="Times New Roman" w:hAnsi="Times New Roman"/>
          <w:i/>
          <w:sz w:val="24"/>
        </w:rPr>
        <w:t xml:space="preserve">Cunliffe v </w:t>
      </w:r>
      <w:r w:rsidR="00C2187B" w:rsidRPr="00A04489">
        <w:rPr>
          <w:rFonts w:ascii="Times New Roman" w:hAnsi="Times New Roman"/>
          <w:i/>
          <w:sz w:val="24"/>
        </w:rPr>
        <w:t xml:space="preserve">The </w:t>
      </w:r>
      <w:r w:rsidRPr="00A04489">
        <w:rPr>
          <w:rFonts w:ascii="Times New Roman" w:hAnsi="Times New Roman"/>
          <w:i/>
          <w:sz w:val="24"/>
        </w:rPr>
        <w:t>Commonwealth</w:t>
      </w:r>
      <w:r w:rsidRPr="00A04489">
        <w:rPr>
          <w:rFonts w:ascii="Times New Roman" w:hAnsi="Times New Roman"/>
          <w:sz w:val="24"/>
        </w:rPr>
        <w:t xml:space="preserve"> </w:t>
      </w:r>
      <w:r w:rsidR="00E94710" w:rsidRPr="00A04489">
        <w:rPr>
          <w:rFonts w:ascii="Times New Roman" w:hAnsi="Times New Roman"/>
          <w:sz w:val="24"/>
        </w:rPr>
        <w:t xml:space="preserve">(1994) 182 CLR 272 </w:t>
      </w:r>
      <w:r w:rsidRPr="00A04489">
        <w:rPr>
          <w:rFonts w:ascii="Times New Roman" w:hAnsi="Times New Roman"/>
          <w:sz w:val="24"/>
        </w:rPr>
        <w:t>at 346 per Deane J.</w:t>
      </w:r>
    </w:p>
  </w:footnote>
  <w:footnote w:id="52">
    <w:p w14:paraId="3A8AD77E" w14:textId="79CFC1DF"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CC11C6" w:rsidRPr="00A04489">
        <w:rPr>
          <w:rFonts w:ascii="Times New Roman" w:hAnsi="Times New Roman"/>
          <w:sz w:val="24"/>
        </w:rPr>
        <w:t>A</w:t>
      </w:r>
      <w:r w:rsidRPr="00A04489">
        <w:rPr>
          <w:rFonts w:ascii="Times New Roman" w:hAnsi="Times New Roman"/>
          <w:sz w:val="24"/>
        </w:rPr>
        <w:t xml:space="preserve">t </w:t>
      </w:r>
      <w:r w:rsidR="008D48FC" w:rsidRPr="00A04489">
        <w:rPr>
          <w:rFonts w:ascii="Times New Roman" w:hAnsi="Times New Roman"/>
          <w:sz w:val="24"/>
        </w:rPr>
        <w:t>[</w:t>
      </w:r>
      <w:r w:rsidR="00CC11C6" w:rsidRPr="00A04489">
        <w:rPr>
          <w:rFonts w:ascii="Times New Roman" w:hAnsi="Times New Roman"/>
          <w:sz w:val="24"/>
        </w:rPr>
        <w:t>37</w:t>
      </w:r>
      <w:r w:rsidR="008D48FC" w:rsidRPr="00A04489">
        <w:rPr>
          <w:rFonts w:ascii="Times New Roman" w:hAnsi="Times New Roman"/>
          <w:sz w:val="24"/>
        </w:rPr>
        <w:t>]</w:t>
      </w:r>
      <w:r w:rsidR="00CC11C6" w:rsidRPr="00A04489">
        <w:rPr>
          <w:rFonts w:ascii="Times New Roman" w:hAnsi="Times New Roman"/>
          <w:sz w:val="24"/>
        </w:rPr>
        <w:t xml:space="preserve"> above</w:t>
      </w:r>
      <w:r w:rsidRPr="00A04489">
        <w:rPr>
          <w:rFonts w:ascii="Times New Roman" w:hAnsi="Times New Roman"/>
          <w:sz w:val="24"/>
        </w:rPr>
        <w:t>.</w:t>
      </w:r>
    </w:p>
  </w:footnote>
  <w:footnote w:id="53">
    <w:p w14:paraId="06E5958E" w14:textId="3634F32B" w:rsidR="00DD0EB2" w:rsidRPr="00A04489" w:rsidRDefault="00DD0EB2"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Pr="00A04489">
        <w:rPr>
          <w:rFonts w:ascii="Times New Roman" w:hAnsi="Times New Roman"/>
          <w:i/>
          <w:sz w:val="24"/>
        </w:rPr>
        <w:t>Cole v Whitfield</w:t>
      </w:r>
      <w:r w:rsidR="003550C4" w:rsidRPr="00A04489">
        <w:rPr>
          <w:rFonts w:ascii="Times New Roman" w:hAnsi="Times New Roman"/>
          <w:i/>
          <w:sz w:val="24"/>
        </w:rPr>
        <w:t xml:space="preserve"> </w:t>
      </w:r>
      <w:r w:rsidR="003550C4" w:rsidRPr="00A04489">
        <w:rPr>
          <w:rFonts w:ascii="Times New Roman" w:hAnsi="Times New Roman"/>
          <w:sz w:val="24"/>
        </w:rPr>
        <w:t>(1988)</w:t>
      </w:r>
      <w:r w:rsidR="003550C4" w:rsidRPr="00A04489">
        <w:rPr>
          <w:rFonts w:ascii="Times New Roman" w:hAnsi="Times New Roman"/>
          <w:i/>
          <w:sz w:val="24"/>
        </w:rPr>
        <w:t xml:space="preserve"> </w:t>
      </w:r>
      <w:r w:rsidR="003550C4" w:rsidRPr="00A04489">
        <w:rPr>
          <w:rFonts w:ascii="Times New Roman" w:hAnsi="Times New Roman"/>
          <w:sz w:val="24"/>
        </w:rPr>
        <w:t xml:space="preserve">165 CLR 360 at </w:t>
      </w:r>
      <w:r w:rsidR="008D0751" w:rsidRPr="00A04489">
        <w:rPr>
          <w:rFonts w:ascii="Times New Roman" w:hAnsi="Times New Roman"/>
          <w:sz w:val="24"/>
        </w:rPr>
        <w:t>40</w:t>
      </w:r>
      <w:r w:rsidR="00C867F0" w:rsidRPr="00A04489">
        <w:rPr>
          <w:rFonts w:ascii="Times New Roman" w:hAnsi="Times New Roman"/>
          <w:sz w:val="24"/>
        </w:rPr>
        <w:t>8</w:t>
      </w:r>
      <w:r w:rsidR="003550C4" w:rsidRPr="00A04489">
        <w:rPr>
          <w:rFonts w:ascii="Times New Roman" w:hAnsi="Times New Roman"/>
          <w:sz w:val="24"/>
        </w:rPr>
        <w:t>-</w:t>
      </w:r>
      <w:r w:rsidR="008D0751" w:rsidRPr="00A04489">
        <w:rPr>
          <w:rFonts w:ascii="Times New Roman" w:hAnsi="Times New Roman"/>
          <w:sz w:val="24"/>
        </w:rPr>
        <w:t>410</w:t>
      </w:r>
      <w:r w:rsidR="003550C4" w:rsidRPr="00A04489">
        <w:rPr>
          <w:rFonts w:ascii="Times New Roman" w:hAnsi="Times New Roman"/>
          <w:sz w:val="24"/>
        </w:rPr>
        <w:t>;</w:t>
      </w:r>
      <w:r w:rsidRPr="00A04489">
        <w:rPr>
          <w:rFonts w:ascii="Times New Roman" w:hAnsi="Times New Roman"/>
          <w:sz w:val="24"/>
        </w:rPr>
        <w:t xml:space="preserve"> </w:t>
      </w:r>
      <w:r w:rsidRPr="00A04489">
        <w:rPr>
          <w:rFonts w:ascii="Times New Roman" w:hAnsi="Times New Roman"/>
          <w:i/>
          <w:sz w:val="24"/>
        </w:rPr>
        <w:t>Betfair No</w:t>
      </w:r>
      <w:r w:rsidR="00990DC2" w:rsidRPr="00A04489">
        <w:rPr>
          <w:rFonts w:ascii="Times New Roman" w:hAnsi="Times New Roman"/>
          <w:i/>
          <w:sz w:val="24"/>
        </w:rPr>
        <w:t xml:space="preserve"> </w:t>
      </w:r>
      <w:r w:rsidRPr="00A04489">
        <w:rPr>
          <w:rFonts w:ascii="Times New Roman" w:hAnsi="Times New Roman"/>
          <w:i/>
          <w:sz w:val="24"/>
        </w:rPr>
        <w:t>1</w:t>
      </w:r>
      <w:r w:rsidRPr="00A04489">
        <w:rPr>
          <w:rFonts w:ascii="Times New Roman" w:hAnsi="Times New Roman"/>
          <w:sz w:val="24"/>
        </w:rPr>
        <w:t xml:space="preserve"> (2008) 234 CLR 418 at</w:t>
      </w:r>
      <w:r w:rsidR="00506F54" w:rsidRPr="00A04489">
        <w:rPr>
          <w:rFonts w:ascii="Times New Roman" w:hAnsi="Times New Roman"/>
          <w:sz w:val="24"/>
        </w:rPr>
        <w:t xml:space="preserve"> </w:t>
      </w:r>
      <w:r w:rsidRPr="00A04489">
        <w:rPr>
          <w:rFonts w:ascii="Times New Roman" w:hAnsi="Times New Roman"/>
          <w:sz w:val="24"/>
        </w:rPr>
        <w:t xml:space="preserve">479-480 [110]-[112] per Gleeson CJ, Gummow, Kirby, Hayne, Crennan and Kiefel JJ; see also </w:t>
      </w:r>
      <w:r w:rsidRPr="00A04489">
        <w:rPr>
          <w:rFonts w:ascii="Times New Roman" w:hAnsi="Times New Roman"/>
          <w:i/>
          <w:sz w:val="24"/>
        </w:rPr>
        <w:t>Nationwide</w:t>
      </w:r>
      <w:r w:rsidRPr="00A04489">
        <w:rPr>
          <w:rFonts w:ascii="Times New Roman" w:hAnsi="Times New Roman"/>
          <w:sz w:val="24"/>
        </w:rPr>
        <w:t xml:space="preserve"> </w:t>
      </w:r>
      <w:r w:rsidRPr="00A04489">
        <w:rPr>
          <w:rFonts w:ascii="Times New Roman" w:hAnsi="Times New Roman"/>
          <w:i/>
          <w:sz w:val="24"/>
        </w:rPr>
        <w:t xml:space="preserve">News Pty Ltd v Wills </w:t>
      </w:r>
      <w:r w:rsidRPr="00A04489">
        <w:rPr>
          <w:rFonts w:ascii="Times New Roman" w:hAnsi="Times New Roman"/>
          <w:sz w:val="24"/>
        </w:rPr>
        <w:t>(1992) 177 CLR 1 at 51 per Brennan J.</w:t>
      </w:r>
    </w:p>
  </w:footnote>
  <w:footnote w:id="54">
    <w:p w14:paraId="62CEBD09" w14:textId="48F87092"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Pr="00A04489">
        <w:rPr>
          <w:rFonts w:ascii="Times New Roman" w:hAnsi="Times New Roman"/>
          <w:i/>
          <w:sz w:val="24"/>
        </w:rPr>
        <w:t>Nationwide</w:t>
      </w:r>
      <w:r w:rsidR="000C1739" w:rsidRPr="00A04489">
        <w:rPr>
          <w:rFonts w:ascii="Times New Roman" w:hAnsi="Times New Roman"/>
          <w:i/>
          <w:sz w:val="24"/>
        </w:rPr>
        <w:t xml:space="preserve"> News Pty Ltd v Wills </w:t>
      </w:r>
      <w:r w:rsidR="000C1739" w:rsidRPr="00A04489">
        <w:rPr>
          <w:rFonts w:ascii="Times New Roman" w:hAnsi="Times New Roman"/>
          <w:sz w:val="24"/>
        </w:rPr>
        <w:t>(1992) 177 CLR 1</w:t>
      </w:r>
      <w:r w:rsidRPr="00A04489">
        <w:rPr>
          <w:rFonts w:ascii="Times New Roman" w:hAnsi="Times New Roman"/>
          <w:sz w:val="24"/>
        </w:rPr>
        <w:t xml:space="preserve"> at 57 per Brennan J; </w:t>
      </w:r>
      <w:r w:rsidRPr="00A04489">
        <w:rPr>
          <w:rFonts w:ascii="Times New Roman" w:hAnsi="Times New Roman"/>
          <w:i/>
          <w:sz w:val="24"/>
        </w:rPr>
        <w:t>Cunliffe</w:t>
      </w:r>
      <w:r w:rsidR="00493DE9" w:rsidRPr="00A04489">
        <w:rPr>
          <w:rFonts w:ascii="Times New Roman" w:hAnsi="Times New Roman"/>
          <w:i/>
          <w:sz w:val="24"/>
        </w:rPr>
        <w:t xml:space="preserve"> v The Commonwealth </w:t>
      </w:r>
      <w:r w:rsidR="00493DE9" w:rsidRPr="00A04489">
        <w:rPr>
          <w:rFonts w:ascii="Times New Roman" w:hAnsi="Times New Roman"/>
          <w:sz w:val="24"/>
        </w:rPr>
        <w:t>(1994) 182 CLR 272</w:t>
      </w:r>
      <w:r w:rsidRPr="00A04489">
        <w:rPr>
          <w:rFonts w:ascii="Times New Roman" w:hAnsi="Times New Roman"/>
          <w:i/>
          <w:sz w:val="24"/>
        </w:rPr>
        <w:t xml:space="preserve"> </w:t>
      </w:r>
      <w:r w:rsidRPr="00A04489">
        <w:rPr>
          <w:rFonts w:ascii="Times New Roman" w:hAnsi="Times New Roman"/>
          <w:sz w:val="24"/>
        </w:rPr>
        <w:t>at 346 per Deane J.</w:t>
      </w:r>
    </w:p>
  </w:footnote>
  <w:footnote w:id="55">
    <w:p w14:paraId="3036F5CF" w14:textId="6A1E1742"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E92184" w:rsidRPr="00A04489">
        <w:rPr>
          <w:rFonts w:ascii="Times New Roman" w:hAnsi="Times New Roman"/>
          <w:i/>
          <w:sz w:val="24"/>
        </w:rPr>
        <w:t>Australian Capital Television Pty Ltd v The Commonwealth</w:t>
      </w:r>
      <w:r w:rsidR="00E92184" w:rsidRPr="00A04489">
        <w:rPr>
          <w:rFonts w:ascii="Times New Roman" w:hAnsi="Times New Roman"/>
          <w:sz w:val="24"/>
        </w:rPr>
        <w:t xml:space="preserve"> (1992) 177 CLR 106 at 195 per Dawson J; </w:t>
      </w:r>
      <w:r w:rsidR="003C1698" w:rsidRPr="00A04489">
        <w:rPr>
          <w:rFonts w:ascii="Times New Roman" w:hAnsi="Times New Roman"/>
          <w:i/>
          <w:sz w:val="24"/>
        </w:rPr>
        <w:t xml:space="preserve">Cunliffe v The Commonwealth </w:t>
      </w:r>
      <w:r w:rsidR="003C1698" w:rsidRPr="00A04489">
        <w:rPr>
          <w:rFonts w:ascii="Times New Roman" w:hAnsi="Times New Roman"/>
          <w:sz w:val="24"/>
        </w:rPr>
        <w:t>(1994) 182 CLR 272</w:t>
      </w:r>
      <w:r w:rsidRPr="00A04489">
        <w:rPr>
          <w:rFonts w:ascii="Times New Roman" w:hAnsi="Times New Roman"/>
          <w:sz w:val="24"/>
        </w:rPr>
        <w:t xml:space="preserve"> at </w:t>
      </w:r>
      <w:r w:rsidR="00CC531E" w:rsidRPr="00A04489">
        <w:rPr>
          <w:rFonts w:ascii="Times New Roman" w:hAnsi="Times New Roman"/>
          <w:sz w:val="24"/>
        </w:rPr>
        <w:t xml:space="preserve">307-308 per Mason CJ, </w:t>
      </w:r>
      <w:r w:rsidR="00DB1610" w:rsidRPr="00A04489">
        <w:rPr>
          <w:rFonts w:ascii="Times New Roman" w:hAnsi="Times New Roman"/>
          <w:sz w:val="24"/>
        </w:rPr>
        <w:t xml:space="preserve">366 per Dawson J, </w:t>
      </w:r>
      <w:r w:rsidRPr="00A04489">
        <w:rPr>
          <w:rFonts w:ascii="Times New Roman" w:hAnsi="Times New Roman"/>
          <w:sz w:val="24"/>
        </w:rPr>
        <w:t>396</w:t>
      </w:r>
      <w:r w:rsidR="003C1698" w:rsidRPr="00A04489">
        <w:rPr>
          <w:rFonts w:ascii="Times New Roman" w:hAnsi="Times New Roman"/>
          <w:sz w:val="24"/>
        </w:rPr>
        <w:t xml:space="preserve"> per McHugh J</w:t>
      </w:r>
      <w:r w:rsidRPr="00A04489">
        <w:rPr>
          <w:rFonts w:ascii="Times New Roman" w:hAnsi="Times New Roman"/>
          <w:sz w:val="24"/>
        </w:rPr>
        <w:t>.</w:t>
      </w:r>
    </w:p>
  </w:footnote>
  <w:footnote w:id="56">
    <w:p w14:paraId="4780E37C" w14:textId="0FF18FF2"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425B97" w:rsidRPr="00A04489">
        <w:rPr>
          <w:rFonts w:ascii="Times New Roman" w:hAnsi="Times New Roman"/>
          <w:i/>
          <w:sz w:val="24"/>
        </w:rPr>
        <w:t>Australian Capital Television Pty Ltd v The Commonwealth</w:t>
      </w:r>
      <w:r w:rsidR="00425B97" w:rsidRPr="00A04489">
        <w:rPr>
          <w:rFonts w:ascii="Times New Roman" w:hAnsi="Times New Roman"/>
          <w:sz w:val="24"/>
        </w:rPr>
        <w:t xml:space="preserve"> (1992) 177 CLR 106</w:t>
      </w:r>
      <w:r w:rsidRPr="00A04489">
        <w:rPr>
          <w:rFonts w:ascii="Times New Roman" w:hAnsi="Times New Roman"/>
          <w:sz w:val="24"/>
        </w:rPr>
        <w:t xml:space="preserve"> at 195 per Dawson J.</w:t>
      </w:r>
    </w:p>
  </w:footnote>
  <w:footnote w:id="57">
    <w:p w14:paraId="65430FFF" w14:textId="4769E59B" w:rsidR="004663A7" w:rsidRPr="00A04489" w:rsidRDefault="004663A7"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222237" w:rsidRPr="00A04489">
        <w:rPr>
          <w:rFonts w:ascii="Times New Roman" w:hAnsi="Times New Roman"/>
          <w:sz w:val="24"/>
        </w:rPr>
        <w:t>(2015) 257 CLR 178 at 210 [57], 21</w:t>
      </w:r>
      <w:r w:rsidR="006667B3" w:rsidRPr="00A04489">
        <w:rPr>
          <w:rFonts w:ascii="Times New Roman" w:hAnsi="Times New Roman"/>
          <w:sz w:val="24"/>
        </w:rPr>
        <w:t>6</w:t>
      </w:r>
      <w:r w:rsidR="00222237" w:rsidRPr="00A04489">
        <w:rPr>
          <w:rFonts w:ascii="Times New Roman" w:hAnsi="Times New Roman"/>
          <w:sz w:val="24"/>
        </w:rPr>
        <w:t xml:space="preserve"> </w:t>
      </w:r>
      <w:r w:rsidR="006667B3" w:rsidRPr="00A04489">
        <w:rPr>
          <w:rFonts w:ascii="Times New Roman" w:hAnsi="Times New Roman"/>
          <w:sz w:val="24"/>
        </w:rPr>
        <w:t>[</w:t>
      </w:r>
      <w:r w:rsidR="00222237" w:rsidRPr="00A04489">
        <w:rPr>
          <w:rFonts w:ascii="Times New Roman" w:hAnsi="Times New Roman"/>
          <w:sz w:val="24"/>
        </w:rPr>
        <w:t>76] per French CJ</w:t>
      </w:r>
      <w:r w:rsidR="00F80A85" w:rsidRPr="00A04489">
        <w:rPr>
          <w:rFonts w:ascii="Times New Roman" w:hAnsi="Times New Roman"/>
          <w:sz w:val="24"/>
        </w:rPr>
        <w:t>,</w:t>
      </w:r>
      <w:r w:rsidR="00222237" w:rsidRPr="00A04489">
        <w:rPr>
          <w:rFonts w:ascii="Times New Roman" w:hAnsi="Times New Roman"/>
          <w:sz w:val="24"/>
        </w:rPr>
        <w:t xml:space="preserve"> Kiefel, Bell and Keane JJ.</w:t>
      </w:r>
    </w:p>
  </w:footnote>
  <w:footnote w:id="58">
    <w:p w14:paraId="2FC6E595" w14:textId="787632D1" w:rsidR="00EB15C3" w:rsidRPr="00A04489" w:rsidRDefault="00EB15C3"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410714" w:rsidRPr="00A04489">
        <w:rPr>
          <w:rFonts w:ascii="Times New Roman" w:hAnsi="Times New Roman"/>
          <w:sz w:val="24"/>
        </w:rPr>
        <w:t>Winkelman</w:t>
      </w:r>
      <w:r w:rsidR="00690C56" w:rsidRPr="00A04489">
        <w:rPr>
          <w:rFonts w:ascii="Times New Roman" w:hAnsi="Times New Roman"/>
          <w:sz w:val="24"/>
        </w:rPr>
        <w:t>n</w:t>
      </w:r>
      <w:r w:rsidR="00410714" w:rsidRPr="00A04489">
        <w:rPr>
          <w:rFonts w:ascii="Times New Roman" w:hAnsi="Times New Roman"/>
          <w:sz w:val="24"/>
        </w:rPr>
        <w:t xml:space="preserve"> et al,</w:t>
      </w:r>
      <w:r w:rsidR="00513FA8" w:rsidRPr="00A04489">
        <w:rPr>
          <w:rFonts w:ascii="Times New Roman" w:hAnsi="Times New Roman"/>
          <w:sz w:val="24"/>
        </w:rPr>
        <w:t xml:space="preserve"> "Panel Discussion: Judging"</w:t>
      </w:r>
      <w:r w:rsidR="00C65F63" w:rsidRPr="00A04489">
        <w:rPr>
          <w:rFonts w:ascii="Times New Roman" w:hAnsi="Times New Roman"/>
          <w:sz w:val="24"/>
        </w:rPr>
        <w:t>,</w:t>
      </w:r>
      <w:r w:rsidRPr="00A04489">
        <w:rPr>
          <w:rFonts w:ascii="Times New Roman" w:hAnsi="Times New Roman"/>
          <w:sz w:val="24"/>
        </w:rPr>
        <w:t xml:space="preserve"> in </w:t>
      </w:r>
      <w:r w:rsidR="005E3055" w:rsidRPr="00A04489">
        <w:rPr>
          <w:rFonts w:ascii="Times New Roman" w:hAnsi="Times New Roman"/>
          <w:sz w:val="24"/>
        </w:rPr>
        <w:t xml:space="preserve">Mount and Harris (eds), </w:t>
      </w:r>
      <w:r w:rsidR="005E3055" w:rsidRPr="00A04489">
        <w:rPr>
          <w:rFonts w:ascii="Times New Roman" w:hAnsi="Times New Roman"/>
          <w:i/>
          <w:sz w:val="24"/>
        </w:rPr>
        <w:t>T</w:t>
      </w:r>
      <w:r w:rsidRPr="00A04489">
        <w:rPr>
          <w:rFonts w:ascii="Times New Roman" w:hAnsi="Times New Roman"/>
          <w:i/>
          <w:sz w:val="24"/>
        </w:rPr>
        <w:t xml:space="preserve">he Promise of Law: </w:t>
      </w:r>
      <w:r w:rsidR="00E62CC7" w:rsidRPr="00A04489">
        <w:rPr>
          <w:rFonts w:ascii="Times New Roman" w:hAnsi="Times New Roman"/>
          <w:i/>
          <w:sz w:val="24"/>
        </w:rPr>
        <w:t xml:space="preserve">Essays </w:t>
      </w:r>
      <w:r w:rsidR="005E3055" w:rsidRPr="00A04489">
        <w:rPr>
          <w:rFonts w:ascii="Times New Roman" w:hAnsi="Times New Roman"/>
          <w:i/>
          <w:sz w:val="24"/>
        </w:rPr>
        <w:t>M</w:t>
      </w:r>
      <w:r w:rsidR="00E62CC7" w:rsidRPr="00A04489">
        <w:rPr>
          <w:rFonts w:ascii="Times New Roman" w:hAnsi="Times New Roman"/>
          <w:i/>
          <w:sz w:val="24"/>
        </w:rPr>
        <w:t xml:space="preserve">arking the </w:t>
      </w:r>
      <w:r w:rsidR="005E3055" w:rsidRPr="00A04489">
        <w:rPr>
          <w:rFonts w:ascii="Times New Roman" w:hAnsi="Times New Roman"/>
          <w:i/>
          <w:sz w:val="24"/>
        </w:rPr>
        <w:t>R</w:t>
      </w:r>
      <w:r w:rsidR="00E62CC7" w:rsidRPr="00A04489">
        <w:rPr>
          <w:rFonts w:ascii="Times New Roman" w:hAnsi="Times New Roman"/>
          <w:i/>
          <w:sz w:val="24"/>
        </w:rPr>
        <w:t>etirement of Dame Sian Elias as</w:t>
      </w:r>
      <w:r w:rsidR="00E62CC7" w:rsidRPr="00A04489">
        <w:rPr>
          <w:rFonts w:ascii="Times New Roman" w:hAnsi="Times New Roman"/>
          <w:sz w:val="24"/>
        </w:rPr>
        <w:t xml:space="preserve"> </w:t>
      </w:r>
      <w:r w:rsidR="00E62CC7" w:rsidRPr="00A04489">
        <w:rPr>
          <w:rFonts w:ascii="Times New Roman" w:hAnsi="Times New Roman"/>
          <w:i/>
          <w:sz w:val="24"/>
        </w:rPr>
        <w:t>Chief Justice of New Zealand</w:t>
      </w:r>
      <w:r w:rsidR="00542E47" w:rsidRPr="00A04489">
        <w:rPr>
          <w:rFonts w:ascii="Times New Roman" w:hAnsi="Times New Roman"/>
          <w:sz w:val="24"/>
        </w:rPr>
        <w:t xml:space="preserve"> (2020)</w:t>
      </w:r>
      <w:r w:rsidR="00C61807" w:rsidRPr="00A04489">
        <w:rPr>
          <w:rFonts w:ascii="Times New Roman" w:hAnsi="Times New Roman"/>
          <w:sz w:val="24"/>
        </w:rPr>
        <w:t xml:space="preserve"> 471 </w:t>
      </w:r>
      <w:r w:rsidR="000130DA" w:rsidRPr="00A04489">
        <w:rPr>
          <w:rFonts w:ascii="Times New Roman" w:hAnsi="Times New Roman"/>
          <w:sz w:val="24"/>
        </w:rPr>
        <w:t>at 478.</w:t>
      </w:r>
    </w:p>
  </w:footnote>
  <w:footnote w:id="59">
    <w:p w14:paraId="1E856A84" w14:textId="6112A867" w:rsidR="00C57F3A" w:rsidRPr="00A04489" w:rsidRDefault="00C57F3A"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4C6407" w:rsidRPr="00A04489">
        <w:rPr>
          <w:rFonts w:ascii="Times New Roman" w:hAnsi="Times New Roman"/>
          <w:sz w:val="24"/>
        </w:rPr>
        <w:t>[</w:t>
      </w:r>
      <w:r w:rsidR="00FA3D24" w:rsidRPr="00A04489">
        <w:rPr>
          <w:rFonts w:ascii="Times New Roman" w:hAnsi="Times New Roman"/>
          <w:sz w:val="24"/>
        </w:rPr>
        <w:t>1986</w:t>
      </w:r>
      <w:r w:rsidR="004C6407" w:rsidRPr="00A04489">
        <w:rPr>
          <w:rFonts w:ascii="Times New Roman" w:hAnsi="Times New Roman"/>
          <w:sz w:val="24"/>
        </w:rPr>
        <w:t>]</w:t>
      </w:r>
      <w:r w:rsidR="00FA3D24" w:rsidRPr="00A04489">
        <w:rPr>
          <w:rFonts w:ascii="Times New Roman" w:hAnsi="Times New Roman"/>
          <w:sz w:val="24"/>
        </w:rPr>
        <w:t xml:space="preserve"> 1 SCR 103.</w:t>
      </w:r>
    </w:p>
  </w:footnote>
  <w:footnote w:id="60">
    <w:p w14:paraId="787D4A1E" w14:textId="6527491D" w:rsidR="00BD6238" w:rsidRPr="00A04489" w:rsidRDefault="00BD6238"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4F7C29" w:rsidRPr="00A04489">
        <w:rPr>
          <w:rFonts w:ascii="Times New Roman" w:hAnsi="Times New Roman"/>
          <w:sz w:val="24"/>
        </w:rPr>
        <w:t>[</w:t>
      </w:r>
      <w:r w:rsidR="00A9410B" w:rsidRPr="00A04489">
        <w:rPr>
          <w:rFonts w:ascii="Times New Roman" w:hAnsi="Times New Roman"/>
          <w:sz w:val="24"/>
        </w:rPr>
        <w:t>201</w:t>
      </w:r>
      <w:r w:rsidR="004413A8" w:rsidRPr="00A04489">
        <w:rPr>
          <w:rFonts w:ascii="Times New Roman" w:hAnsi="Times New Roman"/>
          <w:sz w:val="24"/>
        </w:rPr>
        <w:t>4</w:t>
      </w:r>
      <w:r w:rsidR="004F7C29" w:rsidRPr="00A04489">
        <w:rPr>
          <w:rFonts w:ascii="Times New Roman" w:hAnsi="Times New Roman"/>
          <w:sz w:val="24"/>
        </w:rPr>
        <w:t>]</w:t>
      </w:r>
      <w:r w:rsidR="000A30C6" w:rsidRPr="00A04489">
        <w:rPr>
          <w:rFonts w:ascii="Times New Roman" w:hAnsi="Times New Roman"/>
          <w:sz w:val="24"/>
        </w:rPr>
        <w:t xml:space="preserve"> </w:t>
      </w:r>
      <w:r w:rsidR="004413A8" w:rsidRPr="00A04489">
        <w:rPr>
          <w:rFonts w:ascii="Times New Roman" w:hAnsi="Times New Roman"/>
          <w:sz w:val="24"/>
        </w:rPr>
        <w:t>AC 700</w:t>
      </w:r>
      <w:r w:rsidR="00A9410B" w:rsidRPr="00A04489">
        <w:rPr>
          <w:rFonts w:ascii="Times New Roman" w:hAnsi="Times New Roman"/>
          <w:sz w:val="24"/>
        </w:rPr>
        <w:t>.</w:t>
      </w:r>
    </w:p>
  </w:footnote>
  <w:footnote w:id="61">
    <w:p w14:paraId="74BE7C5F" w14:textId="2F2CD845" w:rsidR="00A9410B" w:rsidRPr="00A04489" w:rsidRDefault="00A9410B"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C021B8" w:rsidRPr="00A04489">
        <w:rPr>
          <w:rFonts w:ascii="Times New Roman" w:hAnsi="Times New Roman"/>
          <w:sz w:val="24"/>
        </w:rPr>
        <w:t>[</w:t>
      </w:r>
      <w:r w:rsidRPr="00A04489">
        <w:rPr>
          <w:rFonts w:ascii="Times New Roman" w:hAnsi="Times New Roman"/>
          <w:sz w:val="24"/>
        </w:rPr>
        <w:t>2007</w:t>
      </w:r>
      <w:r w:rsidR="00C021B8" w:rsidRPr="00A04489">
        <w:rPr>
          <w:rFonts w:ascii="Times New Roman" w:hAnsi="Times New Roman"/>
          <w:sz w:val="24"/>
        </w:rPr>
        <w:t>]</w:t>
      </w:r>
      <w:r w:rsidRPr="00A04489">
        <w:rPr>
          <w:rFonts w:ascii="Times New Roman" w:hAnsi="Times New Roman"/>
          <w:sz w:val="24"/>
        </w:rPr>
        <w:t xml:space="preserve"> </w:t>
      </w:r>
      <w:r w:rsidR="00C021B8" w:rsidRPr="00A04489">
        <w:rPr>
          <w:rFonts w:ascii="Times New Roman" w:hAnsi="Times New Roman"/>
          <w:sz w:val="24"/>
        </w:rPr>
        <w:t>3 NZLR 1</w:t>
      </w:r>
      <w:r w:rsidRPr="00A04489">
        <w:rPr>
          <w:rFonts w:ascii="Times New Roman" w:hAnsi="Times New Roman"/>
          <w:sz w:val="24"/>
        </w:rPr>
        <w:t>.</w:t>
      </w:r>
    </w:p>
  </w:footnote>
  <w:footnote w:id="62">
    <w:p w14:paraId="5FF22F24" w14:textId="34F4529A" w:rsidR="0028365D" w:rsidRPr="00A04489" w:rsidRDefault="0028365D"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t xml:space="preserve">Barak, </w:t>
      </w:r>
      <w:r w:rsidRPr="00A04489">
        <w:rPr>
          <w:rFonts w:ascii="Times New Roman" w:hAnsi="Times New Roman"/>
          <w:i/>
          <w:sz w:val="24"/>
        </w:rPr>
        <w:t>Proportionality: Constitutional Rights and their Limitations</w:t>
      </w:r>
      <w:r w:rsidR="00BC332C" w:rsidRPr="00A04489">
        <w:rPr>
          <w:rFonts w:ascii="Times New Roman" w:hAnsi="Times New Roman"/>
          <w:sz w:val="24"/>
        </w:rPr>
        <w:t xml:space="preserve"> (2012).</w:t>
      </w:r>
    </w:p>
  </w:footnote>
  <w:footnote w:id="63">
    <w:p w14:paraId="7B17A395" w14:textId="60FD14D0" w:rsidR="001625CC" w:rsidRPr="00A04489" w:rsidRDefault="001625CC"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5738FD" w:rsidRPr="00A04489">
        <w:rPr>
          <w:rFonts w:ascii="Times New Roman" w:hAnsi="Times New Roman"/>
          <w:sz w:val="24"/>
        </w:rPr>
        <w:t>Chordia</w:t>
      </w:r>
      <w:r w:rsidR="00441568" w:rsidRPr="00A04489">
        <w:rPr>
          <w:rFonts w:ascii="Times New Roman" w:hAnsi="Times New Roman"/>
          <w:sz w:val="24"/>
        </w:rPr>
        <w:t xml:space="preserve">, </w:t>
      </w:r>
      <w:r w:rsidR="00441568" w:rsidRPr="00A04489">
        <w:rPr>
          <w:rFonts w:ascii="Times New Roman" w:hAnsi="Times New Roman"/>
          <w:i/>
          <w:sz w:val="24"/>
        </w:rPr>
        <w:t xml:space="preserve">Proportionality in Australian Constitutional Law </w:t>
      </w:r>
      <w:r w:rsidR="00441568" w:rsidRPr="00A04489">
        <w:rPr>
          <w:rFonts w:ascii="Times New Roman" w:hAnsi="Times New Roman"/>
          <w:sz w:val="24"/>
        </w:rPr>
        <w:t>(</w:t>
      </w:r>
      <w:r w:rsidR="00ED6652" w:rsidRPr="00A04489">
        <w:rPr>
          <w:rFonts w:ascii="Times New Roman" w:hAnsi="Times New Roman"/>
          <w:sz w:val="24"/>
        </w:rPr>
        <w:t>2020)</w:t>
      </w:r>
      <w:r w:rsidR="005738FD" w:rsidRPr="00A04489">
        <w:rPr>
          <w:rFonts w:ascii="Times New Roman" w:hAnsi="Times New Roman"/>
          <w:sz w:val="24"/>
        </w:rPr>
        <w:t xml:space="preserve"> at 164.</w:t>
      </w:r>
    </w:p>
  </w:footnote>
  <w:footnote w:id="64">
    <w:p w14:paraId="71AC6404" w14:textId="18993827" w:rsidR="001D5CD4" w:rsidRPr="00A04489" w:rsidRDefault="001D5CD4"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D83E29" w:rsidRPr="00A04489">
        <w:rPr>
          <w:rFonts w:ascii="Times New Roman" w:hAnsi="Times New Roman"/>
          <w:sz w:val="24"/>
        </w:rPr>
        <w:t xml:space="preserve">Sir Anthony </w:t>
      </w:r>
      <w:r w:rsidR="00576439" w:rsidRPr="00A04489">
        <w:rPr>
          <w:rFonts w:ascii="Times New Roman" w:hAnsi="Times New Roman"/>
          <w:sz w:val="24"/>
        </w:rPr>
        <w:t>Mason, "</w:t>
      </w:r>
      <w:r w:rsidR="00261038" w:rsidRPr="00A04489">
        <w:rPr>
          <w:rFonts w:ascii="Times New Roman" w:hAnsi="Times New Roman"/>
          <w:sz w:val="24"/>
        </w:rPr>
        <w:t>Foreword"</w:t>
      </w:r>
      <w:r w:rsidR="00C65F63" w:rsidRPr="00A04489">
        <w:rPr>
          <w:rFonts w:ascii="Times New Roman" w:hAnsi="Times New Roman"/>
          <w:sz w:val="24"/>
        </w:rPr>
        <w:t>,</w:t>
      </w:r>
      <w:r w:rsidR="00261038" w:rsidRPr="00A04489">
        <w:rPr>
          <w:rFonts w:ascii="Times New Roman" w:hAnsi="Times New Roman"/>
          <w:sz w:val="24"/>
        </w:rPr>
        <w:t xml:space="preserve"> in </w:t>
      </w:r>
      <w:r w:rsidRPr="00A04489">
        <w:rPr>
          <w:rFonts w:ascii="Times New Roman" w:hAnsi="Times New Roman"/>
          <w:sz w:val="24"/>
        </w:rPr>
        <w:t>Chordia</w:t>
      </w:r>
      <w:r w:rsidR="00C61197" w:rsidRPr="00A04489">
        <w:rPr>
          <w:rFonts w:ascii="Times New Roman" w:hAnsi="Times New Roman"/>
          <w:color w:val="000000"/>
          <w:sz w:val="24"/>
          <w:szCs w:val="27"/>
          <w:shd w:val="clear" w:color="auto" w:fill="FFFFFF"/>
        </w:rPr>
        <w:t>,</w:t>
      </w:r>
      <w:r w:rsidR="00AB5048" w:rsidRPr="00A04489">
        <w:rPr>
          <w:rFonts w:ascii="Times New Roman" w:hAnsi="Times New Roman"/>
          <w:i/>
          <w:color w:val="000000"/>
          <w:sz w:val="24"/>
          <w:szCs w:val="27"/>
          <w:shd w:val="clear" w:color="auto" w:fill="FFFFFF"/>
        </w:rPr>
        <w:t xml:space="preserve"> </w:t>
      </w:r>
      <w:r w:rsidR="00C61197" w:rsidRPr="00A04489">
        <w:rPr>
          <w:rFonts w:ascii="Times New Roman" w:hAnsi="Times New Roman"/>
          <w:i/>
          <w:color w:val="000000"/>
          <w:sz w:val="24"/>
          <w:szCs w:val="27"/>
          <w:shd w:val="clear" w:color="auto" w:fill="FFFFFF"/>
        </w:rPr>
        <w:t>Proportionality in Australian Constitutional Law </w:t>
      </w:r>
      <w:r w:rsidR="00C61197" w:rsidRPr="00A04489">
        <w:rPr>
          <w:rFonts w:ascii="Times New Roman" w:hAnsi="Times New Roman"/>
          <w:color w:val="000000"/>
          <w:sz w:val="24"/>
          <w:szCs w:val="27"/>
          <w:shd w:val="clear" w:color="auto" w:fill="FFFFFF"/>
        </w:rPr>
        <w:t>(2020)</w:t>
      </w:r>
      <w:r w:rsidR="00856D6B" w:rsidRPr="00A04489">
        <w:rPr>
          <w:rFonts w:ascii="Times New Roman" w:hAnsi="Times New Roman"/>
          <w:color w:val="000000"/>
          <w:sz w:val="24"/>
          <w:szCs w:val="27"/>
          <w:shd w:val="clear" w:color="auto" w:fill="FFFFFF"/>
        </w:rPr>
        <w:t xml:space="preserve"> v</w:t>
      </w:r>
      <w:r w:rsidR="00A92989" w:rsidRPr="00A04489">
        <w:rPr>
          <w:rFonts w:ascii="Times New Roman" w:hAnsi="Times New Roman"/>
          <w:sz w:val="24"/>
        </w:rPr>
        <w:t xml:space="preserve"> at </w:t>
      </w:r>
      <w:r w:rsidR="00EC267C" w:rsidRPr="00A04489">
        <w:rPr>
          <w:rFonts w:ascii="Times New Roman" w:hAnsi="Times New Roman"/>
          <w:sz w:val="24"/>
        </w:rPr>
        <w:t>vi</w:t>
      </w:r>
      <w:r w:rsidR="009E4F52" w:rsidRPr="00A04489">
        <w:rPr>
          <w:rFonts w:ascii="Times New Roman" w:hAnsi="Times New Roman"/>
          <w:sz w:val="24"/>
        </w:rPr>
        <w:t>, summarising Chordia</w:t>
      </w:r>
      <w:r w:rsidR="009E4F52" w:rsidRPr="00A04489">
        <w:rPr>
          <w:rFonts w:ascii="Times New Roman" w:hAnsi="Times New Roman"/>
          <w:color w:val="000000"/>
          <w:sz w:val="24"/>
          <w:szCs w:val="27"/>
          <w:shd w:val="clear" w:color="auto" w:fill="FFFFFF"/>
        </w:rPr>
        <w:t>,</w:t>
      </w:r>
      <w:r w:rsidR="009E4F52" w:rsidRPr="00A04489">
        <w:rPr>
          <w:rFonts w:ascii="Times New Roman" w:hAnsi="Times New Roman"/>
          <w:i/>
          <w:color w:val="000000"/>
          <w:sz w:val="24"/>
          <w:szCs w:val="27"/>
          <w:shd w:val="clear" w:color="auto" w:fill="FFFFFF"/>
        </w:rPr>
        <w:t xml:space="preserve"> Proportionality in Australian Constitutional Law </w:t>
      </w:r>
      <w:r w:rsidR="009E4F52" w:rsidRPr="00A04489">
        <w:rPr>
          <w:rFonts w:ascii="Times New Roman" w:hAnsi="Times New Roman"/>
          <w:color w:val="000000"/>
          <w:sz w:val="24"/>
          <w:szCs w:val="27"/>
          <w:shd w:val="clear" w:color="auto" w:fill="FFFFFF"/>
        </w:rPr>
        <w:t>(2020)</w:t>
      </w:r>
      <w:r w:rsidR="009E46E6" w:rsidRPr="00A04489">
        <w:rPr>
          <w:rFonts w:ascii="Times New Roman" w:hAnsi="Times New Roman"/>
          <w:color w:val="000000"/>
          <w:sz w:val="24"/>
          <w:szCs w:val="27"/>
          <w:shd w:val="clear" w:color="auto" w:fill="FFFFFF"/>
        </w:rPr>
        <w:t>,</w:t>
      </w:r>
      <w:r w:rsidR="00EF0F6B" w:rsidRPr="00A04489">
        <w:rPr>
          <w:rFonts w:ascii="Times New Roman" w:hAnsi="Times New Roman"/>
          <w:color w:val="000000"/>
          <w:sz w:val="24"/>
          <w:szCs w:val="27"/>
          <w:shd w:val="clear" w:color="auto" w:fill="FFFFFF"/>
        </w:rPr>
        <w:t xml:space="preserve"> </w:t>
      </w:r>
      <w:r w:rsidR="006658C7" w:rsidRPr="00A04489">
        <w:rPr>
          <w:rFonts w:ascii="Times New Roman" w:hAnsi="Times New Roman"/>
          <w:color w:val="000000"/>
          <w:sz w:val="24"/>
          <w:szCs w:val="27"/>
          <w:shd w:val="clear" w:color="auto" w:fill="FFFFFF"/>
        </w:rPr>
        <w:t>ch 5</w:t>
      </w:r>
      <w:r w:rsidR="00EC267C" w:rsidRPr="00A04489">
        <w:rPr>
          <w:rFonts w:ascii="Times New Roman" w:hAnsi="Times New Roman"/>
          <w:sz w:val="24"/>
        </w:rPr>
        <w:t>.</w:t>
      </w:r>
    </w:p>
  </w:footnote>
  <w:footnote w:id="65">
    <w:p w14:paraId="1887E3B3" w14:textId="6671A23C" w:rsidR="00000A12" w:rsidRPr="00A04489" w:rsidRDefault="00000A12"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t xml:space="preserve">Kirk, </w:t>
      </w:r>
      <w:r w:rsidR="000D3468" w:rsidRPr="00A04489">
        <w:rPr>
          <w:rFonts w:ascii="Times New Roman" w:hAnsi="Times New Roman"/>
          <w:sz w:val="24"/>
        </w:rPr>
        <w:t>"</w:t>
      </w:r>
      <w:r w:rsidRPr="00A04489">
        <w:rPr>
          <w:rFonts w:ascii="Times New Roman" w:hAnsi="Times New Roman"/>
          <w:sz w:val="24"/>
        </w:rPr>
        <w:t>Constitutional Guarantees, Characterisation and the Concept of Proportionality</w:t>
      </w:r>
      <w:r w:rsidR="000D3468" w:rsidRPr="00A04489">
        <w:rPr>
          <w:rFonts w:ascii="Times New Roman" w:hAnsi="Times New Roman"/>
          <w:sz w:val="24"/>
        </w:rPr>
        <w:t>"</w:t>
      </w:r>
      <w:r w:rsidR="00943BEB" w:rsidRPr="00A04489">
        <w:rPr>
          <w:rFonts w:ascii="Times New Roman" w:hAnsi="Times New Roman"/>
          <w:sz w:val="24"/>
        </w:rPr>
        <w:t xml:space="preserve"> (1997) 21 </w:t>
      </w:r>
      <w:r w:rsidR="00943BEB" w:rsidRPr="00A04489">
        <w:rPr>
          <w:rFonts w:ascii="Times New Roman" w:hAnsi="Times New Roman"/>
          <w:i/>
          <w:sz w:val="24"/>
        </w:rPr>
        <w:t xml:space="preserve">Melbourne University Law Review </w:t>
      </w:r>
      <w:r w:rsidR="00943BEB" w:rsidRPr="00A04489">
        <w:rPr>
          <w:rFonts w:ascii="Times New Roman" w:hAnsi="Times New Roman"/>
          <w:sz w:val="24"/>
        </w:rPr>
        <w:t>1 at 13-16</w:t>
      </w:r>
      <w:r w:rsidR="00C73BA2" w:rsidRPr="00A04489">
        <w:rPr>
          <w:rFonts w:ascii="Times New Roman" w:hAnsi="Times New Roman"/>
          <w:sz w:val="24"/>
        </w:rPr>
        <w:t>,</w:t>
      </w:r>
      <w:r w:rsidR="00943BEB" w:rsidRPr="00A04489">
        <w:rPr>
          <w:rFonts w:ascii="Times New Roman" w:hAnsi="Times New Roman"/>
          <w:sz w:val="24"/>
        </w:rPr>
        <w:t xml:space="preserve"> referred to in Chordia, </w:t>
      </w:r>
      <w:r w:rsidR="00F23318" w:rsidRPr="00A04489">
        <w:rPr>
          <w:rFonts w:ascii="Times New Roman" w:hAnsi="Times New Roman"/>
          <w:i/>
          <w:color w:val="000000"/>
          <w:sz w:val="24"/>
          <w:szCs w:val="27"/>
          <w:shd w:val="clear" w:color="auto" w:fill="FFFFFF"/>
        </w:rPr>
        <w:t>Proportionality in Australian Constitutional Law </w:t>
      </w:r>
      <w:r w:rsidR="00F23318" w:rsidRPr="00A04489">
        <w:rPr>
          <w:rFonts w:ascii="Times New Roman" w:hAnsi="Times New Roman"/>
          <w:color w:val="000000"/>
          <w:sz w:val="24"/>
          <w:szCs w:val="27"/>
          <w:shd w:val="clear" w:color="auto" w:fill="FFFFFF"/>
        </w:rPr>
        <w:t>(2020)</w:t>
      </w:r>
      <w:r w:rsidR="00943BEB" w:rsidRPr="00A04489">
        <w:rPr>
          <w:rFonts w:ascii="Times New Roman" w:hAnsi="Times New Roman"/>
          <w:sz w:val="24"/>
        </w:rPr>
        <w:t xml:space="preserve"> a</w:t>
      </w:r>
      <w:r w:rsidR="00DB2FA7" w:rsidRPr="00A04489">
        <w:rPr>
          <w:rFonts w:ascii="Times New Roman" w:hAnsi="Times New Roman"/>
          <w:sz w:val="24"/>
        </w:rPr>
        <w:t>t</w:t>
      </w:r>
      <w:r w:rsidR="00943BEB" w:rsidRPr="00A04489">
        <w:rPr>
          <w:rFonts w:ascii="Times New Roman" w:hAnsi="Times New Roman"/>
          <w:sz w:val="24"/>
        </w:rPr>
        <w:t xml:space="preserve"> 147.</w:t>
      </w:r>
    </w:p>
  </w:footnote>
  <w:footnote w:id="66">
    <w:p w14:paraId="5C6DA0D5" w14:textId="159E5AB7" w:rsidR="002B4BE4" w:rsidRPr="00A04489" w:rsidRDefault="002B4BE4"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F27A5D" w:rsidRPr="00A04489">
        <w:rPr>
          <w:rFonts w:ascii="Times New Roman" w:hAnsi="Times New Roman"/>
          <w:sz w:val="24"/>
        </w:rPr>
        <w:t>(</w:t>
      </w:r>
      <w:r w:rsidRPr="00A04489">
        <w:rPr>
          <w:rFonts w:ascii="Times New Roman" w:hAnsi="Times New Roman"/>
          <w:sz w:val="24"/>
        </w:rPr>
        <w:t>1980</w:t>
      </w:r>
      <w:r w:rsidR="00F27A5D" w:rsidRPr="00A04489">
        <w:rPr>
          <w:rFonts w:ascii="Times New Roman" w:hAnsi="Times New Roman"/>
          <w:sz w:val="24"/>
        </w:rPr>
        <w:t>)</w:t>
      </w:r>
      <w:r w:rsidRPr="00A04489">
        <w:rPr>
          <w:rFonts w:ascii="Times New Roman" w:hAnsi="Times New Roman"/>
          <w:sz w:val="24"/>
        </w:rPr>
        <w:t xml:space="preserve"> 145 CLR 266</w:t>
      </w:r>
      <w:r w:rsidR="00F27A5D" w:rsidRPr="00A04489">
        <w:rPr>
          <w:rFonts w:ascii="Times New Roman" w:hAnsi="Times New Roman"/>
          <w:sz w:val="24"/>
        </w:rPr>
        <w:t xml:space="preserve"> at 304-306</w:t>
      </w:r>
      <w:r w:rsidRPr="00A04489">
        <w:rPr>
          <w:rFonts w:ascii="Times New Roman" w:hAnsi="Times New Roman"/>
          <w:sz w:val="24"/>
        </w:rPr>
        <w:t>.</w:t>
      </w:r>
    </w:p>
  </w:footnote>
  <w:footnote w:id="67">
    <w:p w14:paraId="45F3FEA4" w14:textId="54EF3CF9" w:rsidR="0065543E" w:rsidRPr="00A04489" w:rsidRDefault="0065543E"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t>Chordia</w:t>
      </w:r>
      <w:r w:rsidR="00F23318" w:rsidRPr="00A04489">
        <w:rPr>
          <w:rFonts w:ascii="Times New Roman" w:hAnsi="Times New Roman"/>
          <w:sz w:val="24"/>
        </w:rPr>
        <w:t xml:space="preserve">, </w:t>
      </w:r>
      <w:r w:rsidR="00F23318" w:rsidRPr="00A04489">
        <w:rPr>
          <w:rFonts w:ascii="Times New Roman" w:hAnsi="Times New Roman"/>
          <w:i/>
          <w:color w:val="000000"/>
          <w:sz w:val="24"/>
          <w:szCs w:val="27"/>
          <w:shd w:val="clear" w:color="auto" w:fill="FFFFFF"/>
        </w:rPr>
        <w:t>Proportionality in Australian Constitutional Law </w:t>
      </w:r>
      <w:r w:rsidR="00F23318" w:rsidRPr="00A04489">
        <w:rPr>
          <w:rFonts w:ascii="Times New Roman" w:hAnsi="Times New Roman"/>
          <w:color w:val="000000"/>
          <w:sz w:val="24"/>
          <w:szCs w:val="27"/>
          <w:shd w:val="clear" w:color="auto" w:fill="FFFFFF"/>
        </w:rPr>
        <w:t>(2020)</w:t>
      </w:r>
      <w:r w:rsidRPr="00A04489">
        <w:rPr>
          <w:rFonts w:ascii="Times New Roman" w:hAnsi="Times New Roman"/>
          <w:sz w:val="24"/>
        </w:rPr>
        <w:t xml:space="preserve"> </w:t>
      </w:r>
      <w:r w:rsidR="006F14C0" w:rsidRPr="00A04489">
        <w:rPr>
          <w:rFonts w:ascii="Times New Roman" w:hAnsi="Times New Roman"/>
          <w:sz w:val="24"/>
        </w:rPr>
        <w:t xml:space="preserve">at </w:t>
      </w:r>
      <w:r w:rsidRPr="00A04489">
        <w:rPr>
          <w:rFonts w:ascii="Times New Roman" w:hAnsi="Times New Roman"/>
          <w:sz w:val="24"/>
        </w:rPr>
        <w:t>151; see also at 143</w:t>
      </w:r>
      <w:r w:rsidR="00400050" w:rsidRPr="00A04489">
        <w:rPr>
          <w:rFonts w:ascii="Times New Roman" w:hAnsi="Times New Roman"/>
          <w:sz w:val="24"/>
        </w:rPr>
        <w:t xml:space="preserve">, </w:t>
      </w:r>
      <w:r w:rsidR="00941835" w:rsidRPr="00A04489">
        <w:rPr>
          <w:rFonts w:ascii="Times New Roman" w:hAnsi="Times New Roman"/>
          <w:sz w:val="24"/>
        </w:rPr>
        <w:t xml:space="preserve">referred to </w:t>
      </w:r>
      <w:r w:rsidR="006F61FE" w:rsidRPr="00A04489">
        <w:rPr>
          <w:rFonts w:ascii="Times New Roman" w:hAnsi="Times New Roman"/>
          <w:sz w:val="24"/>
        </w:rPr>
        <w:t xml:space="preserve">in </w:t>
      </w:r>
      <w:r w:rsidRPr="00A04489">
        <w:rPr>
          <w:rFonts w:ascii="Times New Roman" w:hAnsi="Times New Roman"/>
          <w:sz w:val="24"/>
        </w:rPr>
        <w:t>Sir Anthony Mason</w:t>
      </w:r>
      <w:r w:rsidR="00400050" w:rsidRPr="00A04489">
        <w:rPr>
          <w:rFonts w:ascii="Times New Roman" w:hAnsi="Times New Roman"/>
          <w:sz w:val="24"/>
        </w:rPr>
        <w:t>, "Foreword", in Chordia</w:t>
      </w:r>
      <w:r w:rsidR="00400050" w:rsidRPr="00A04489">
        <w:rPr>
          <w:rFonts w:ascii="Times New Roman" w:hAnsi="Times New Roman"/>
          <w:color w:val="000000"/>
          <w:sz w:val="24"/>
          <w:szCs w:val="27"/>
          <w:shd w:val="clear" w:color="auto" w:fill="FFFFFF"/>
        </w:rPr>
        <w:t>,</w:t>
      </w:r>
      <w:r w:rsidR="00400050" w:rsidRPr="00A04489">
        <w:rPr>
          <w:rFonts w:ascii="Times New Roman" w:hAnsi="Times New Roman"/>
          <w:i/>
          <w:color w:val="000000"/>
          <w:sz w:val="24"/>
          <w:szCs w:val="27"/>
          <w:shd w:val="clear" w:color="auto" w:fill="FFFFFF"/>
        </w:rPr>
        <w:t xml:space="preserve"> Proportionality in Australian Constitutional Law </w:t>
      </w:r>
      <w:r w:rsidR="00400050" w:rsidRPr="00A04489">
        <w:rPr>
          <w:rFonts w:ascii="Times New Roman" w:hAnsi="Times New Roman"/>
          <w:color w:val="000000"/>
          <w:sz w:val="24"/>
          <w:szCs w:val="27"/>
          <w:shd w:val="clear" w:color="auto" w:fill="FFFFFF"/>
        </w:rPr>
        <w:t xml:space="preserve">(2020) </w:t>
      </w:r>
      <w:r w:rsidR="00DD6E81" w:rsidRPr="00A04489">
        <w:rPr>
          <w:rFonts w:ascii="Times New Roman" w:hAnsi="Times New Roman"/>
          <w:color w:val="000000"/>
          <w:sz w:val="24"/>
          <w:szCs w:val="27"/>
          <w:shd w:val="clear" w:color="auto" w:fill="FFFFFF"/>
        </w:rPr>
        <w:t>v</w:t>
      </w:r>
      <w:r w:rsidR="00400050" w:rsidRPr="00A04489">
        <w:rPr>
          <w:rFonts w:ascii="Times New Roman" w:hAnsi="Times New Roman"/>
          <w:color w:val="000000"/>
          <w:sz w:val="24"/>
          <w:szCs w:val="27"/>
          <w:shd w:val="clear" w:color="auto" w:fill="FFFFFF"/>
        </w:rPr>
        <w:t xml:space="preserve"> </w:t>
      </w:r>
      <w:r w:rsidRPr="00A04489">
        <w:rPr>
          <w:rFonts w:ascii="Times New Roman" w:hAnsi="Times New Roman"/>
          <w:sz w:val="24"/>
        </w:rPr>
        <w:t>at vi.</w:t>
      </w:r>
    </w:p>
  </w:footnote>
  <w:footnote w:id="68">
    <w:p w14:paraId="06AE3A81" w14:textId="6EA5DE93" w:rsidR="00675A05" w:rsidRPr="00A04489" w:rsidRDefault="00675A05"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150081" w:rsidRPr="00A04489">
        <w:rPr>
          <w:rFonts w:ascii="Times New Roman" w:hAnsi="Times New Roman"/>
          <w:sz w:val="24"/>
        </w:rPr>
        <w:t xml:space="preserve">Zines, </w:t>
      </w:r>
      <w:r w:rsidR="00150081" w:rsidRPr="00A04489">
        <w:rPr>
          <w:rFonts w:ascii="Times New Roman" w:hAnsi="Times New Roman"/>
          <w:i/>
          <w:sz w:val="24"/>
        </w:rPr>
        <w:t>The High Court and the Constitution</w:t>
      </w:r>
      <w:r w:rsidR="003301B2" w:rsidRPr="00A04489">
        <w:rPr>
          <w:rFonts w:ascii="Times New Roman" w:hAnsi="Times New Roman"/>
          <w:sz w:val="24"/>
        </w:rPr>
        <w:t>, 5th ed</w:t>
      </w:r>
      <w:r w:rsidR="00150081" w:rsidRPr="00A04489">
        <w:rPr>
          <w:rFonts w:ascii="Times New Roman" w:hAnsi="Times New Roman"/>
          <w:i/>
          <w:sz w:val="24"/>
        </w:rPr>
        <w:t xml:space="preserve"> </w:t>
      </w:r>
      <w:r w:rsidR="00150081" w:rsidRPr="00A04489">
        <w:rPr>
          <w:rFonts w:ascii="Times New Roman" w:hAnsi="Times New Roman"/>
          <w:sz w:val="24"/>
        </w:rPr>
        <w:t>(</w:t>
      </w:r>
      <w:r w:rsidR="003A392E" w:rsidRPr="00A04489">
        <w:rPr>
          <w:rFonts w:ascii="Times New Roman" w:hAnsi="Times New Roman"/>
          <w:sz w:val="24"/>
        </w:rPr>
        <w:t xml:space="preserve">2008) at </w:t>
      </w:r>
      <w:r w:rsidRPr="00A04489">
        <w:rPr>
          <w:rFonts w:ascii="Times New Roman" w:hAnsi="Times New Roman"/>
          <w:sz w:val="24"/>
        </w:rPr>
        <w:t>5</w:t>
      </w:r>
      <w:r w:rsidR="002C37F5" w:rsidRPr="00A04489">
        <w:rPr>
          <w:rFonts w:ascii="Times New Roman" w:hAnsi="Times New Roman"/>
          <w:sz w:val="24"/>
        </w:rPr>
        <w:t>9</w:t>
      </w:r>
      <w:r w:rsidRPr="00A04489">
        <w:rPr>
          <w:rFonts w:ascii="Times New Roman" w:hAnsi="Times New Roman"/>
          <w:sz w:val="24"/>
        </w:rPr>
        <w:t>.</w:t>
      </w:r>
    </w:p>
  </w:footnote>
  <w:footnote w:id="69">
    <w:p w14:paraId="5DC576AA" w14:textId="7BF1FD57" w:rsidR="00336B22" w:rsidRPr="00A04489" w:rsidRDefault="00336B22"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Pr="00A04489">
        <w:rPr>
          <w:rFonts w:ascii="Times New Roman" w:hAnsi="Times New Roman"/>
          <w:i/>
          <w:sz w:val="24"/>
        </w:rPr>
        <w:t xml:space="preserve">McCloy v New South Wales </w:t>
      </w:r>
      <w:r w:rsidRPr="00A04489">
        <w:rPr>
          <w:rFonts w:ascii="Times New Roman" w:hAnsi="Times New Roman"/>
          <w:sz w:val="24"/>
        </w:rPr>
        <w:t>(2015) 257 CLR 178 at 218-220 [84]-[89] per French</w:t>
      </w:r>
      <w:r w:rsidR="006F14C0" w:rsidRPr="00A04489">
        <w:rPr>
          <w:rFonts w:ascii="Times New Roman" w:hAnsi="Times New Roman"/>
          <w:sz w:val="24"/>
        </w:rPr>
        <w:t> </w:t>
      </w:r>
      <w:r w:rsidRPr="00A04489">
        <w:rPr>
          <w:rFonts w:ascii="Times New Roman" w:hAnsi="Times New Roman"/>
          <w:sz w:val="24"/>
        </w:rPr>
        <w:t xml:space="preserve">CJ, Kiefel, Bell and Keane JJ; </w:t>
      </w:r>
      <w:r w:rsidRPr="00A04489">
        <w:rPr>
          <w:rFonts w:ascii="Times New Roman" w:hAnsi="Times New Roman"/>
          <w:i/>
          <w:sz w:val="24"/>
        </w:rPr>
        <w:t>Clubb v Edwards</w:t>
      </w:r>
      <w:r w:rsidRPr="00A04489">
        <w:rPr>
          <w:rFonts w:ascii="Times New Roman" w:hAnsi="Times New Roman"/>
          <w:sz w:val="24"/>
        </w:rPr>
        <w:t xml:space="preserve"> (2019) </w:t>
      </w:r>
      <w:r w:rsidR="00AE7930" w:rsidRPr="00A04489">
        <w:rPr>
          <w:rFonts w:ascii="Times New Roman" w:hAnsi="Times New Roman"/>
          <w:sz w:val="24"/>
        </w:rPr>
        <w:t>267 CLR 171</w:t>
      </w:r>
      <w:r w:rsidRPr="00A04489">
        <w:rPr>
          <w:rFonts w:ascii="Times New Roman" w:hAnsi="Times New Roman"/>
          <w:sz w:val="24"/>
        </w:rPr>
        <w:t xml:space="preserve"> at </w:t>
      </w:r>
      <w:r w:rsidR="00AE7930" w:rsidRPr="00A04489">
        <w:rPr>
          <w:rFonts w:ascii="Times New Roman" w:hAnsi="Times New Roman"/>
          <w:sz w:val="24"/>
        </w:rPr>
        <w:t>208-209</w:t>
      </w:r>
      <w:r w:rsidRPr="00A04489">
        <w:rPr>
          <w:rFonts w:ascii="Times New Roman" w:hAnsi="Times New Roman"/>
          <w:sz w:val="24"/>
        </w:rPr>
        <w:t xml:space="preserve"> [96]-[102] per Kiefel CJ, Bell and Keane JJ, </w:t>
      </w:r>
      <w:r w:rsidR="00AE7930" w:rsidRPr="00A04489">
        <w:rPr>
          <w:rFonts w:ascii="Times New Roman" w:hAnsi="Times New Roman"/>
          <w:sz w:val="24"/>
        </w:rPr>
        <w:t>266-269</w:t>
      </w:r>
      <w:r w:rsidRPr="00A04489">
        <w:rPr>
          <w:rFonts w:ascii="Times New Roman" w:hAnsi="Times New Roman"/>
          <w:sz w:val="24"/>
        </w:rPr>
        <w:t xml:space="preserve"> [270]-[275] per Nettle</w:t>
      </w:r>
      <w:r w:rsidR="006F14C0" w:rsidRPr="00A04489">
        <w:rPr>
          <w:rFonts w:ascii="Times New Roman" w:hAnsi="Times New Roman"/>
          <w:sz w:val="24"/>
        </w:rPr>
        <w:t> </w:t>
      </w:r>
      <w:r w:rsidRPr="00A04489">
        <w:rPr>
          <w:rFonts w:ascii="Times New Roman" w:hAnsi="Times New Roman"/>
          <w:sz w:val="24"/>
        </w:rPr>
        <w:t xml:space="preserve">J, </w:t>
      </w:r>
      <w:r w:rsidR="00AE7930" w:rsidRPr="00A04489">
        <w:rPr>
          <w:rFonts w:ascii="Times New Roman" w:hAnsi="Times New Roman"/>
          <w:sz w:val="24"/>
        </w:rPr>
        <w:t>341-345</w:t>
      </w:r>
      <w:r w:rsidRPr="00A04489">
        <w:rPr>
          <w:rFonts w:ascii="Times New Roman" w:hAnsi="Times New Roman"/>
          <w:sz w:val="24"/>
        </w:rPr>
        <w:t xml:space="preserve"> [491]-[501] per Edelman J; </w:t>
      </w:r>
      <w:r w:rsidRPr="00A04489">
        <w:rPr>
          <w:rFonts w:ascii="Times New Roman" w:hAnsi="Times New Roman"/>
          <w:i/>
          <w:sz w:val="24"/>
        </w:rPr>
        <w:t xml:space="preserve">Comcare v Banerji </w:t>
      </w:r>
      <w:r w:rsidRPr="00A04489">
        <w:rPr>
          <w:rFonts w:ascii="Times New Roman" w:hAnsi="Times New Roman"/>
          <w:sz w:val="24"/>
        </w:rPr>
        <w:t>(2019) 93 ALJR 900 at 914-915 [38]-[42] per Kiefel CJ, Bell, Keane and Nettle JJ, 944-945 [202]-[206] per Edelman</w:t>
      </w:r>
      <w:r w:rsidR="006F14C0" w:rsidRPr="00A04489">
        <w:rPr>
          <w:rFonts w:ascii="Times New Roman" w:hAnsi="Times New Roman"/>
          <w:sz w:val="24"/>
        </w:rPr>
        <w:t> </w:t>
      </w:r>
      <w:r w:rsidRPr="00A04489">
        <w:rPr>
          <w:rFonts w:ascii="Times New Roman" w:hAnsi="Times New Roman"/>
          <w:sz w:val="24"/>
        </w:rPr>
        <w:t>J</w:t>
      </w:r>
      <w:r w:rsidR="00277176" w:rsidRPr="00A04489">
        <w:rPr>
          <w:rFonts w:ascii="Times New Roman" w:hAnsi="Times New Roman"/>
          <w:sz w:val="24"/>
        </w:rPr>
        <w:t>; 372 ALR 42 at 57-59, 98-99</w:t>
      </w:r>
      <w:r w:rsidRPr="00A04489">
        <w:rPr>
          <w:rFonts w:ascii="Times New Roman" w:hAnsi="Times New Roman"/>
          <w:sz w:val="24"/>
        </w:rPr>
        <w:t>.</w:t>
      </w:r>
    </w:p>
  </w:footnote>
  <w:footnote w:id="70">
    <w:p w14:paraId="01D5EFD7" w14:textId="0204F150"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686803" w:rsidRPr="00A04489">
        <w:rPr>
          <w:rFonts w:ascii="Times New Roman" w:hAnsi="Times New Roman"/>
          <w:sz w:val="24"/>
        </w:rPr>
        <w:t>(</w:t>
      </w:r>
      <w:r w:rsidRPr="00A04489">
        <w:rPr>
          <w:rFonts w:ascii="Times New Roman" w:hAnsi="Times New Roman"/>
          <w:sz w:val="24"/>
        </w:rPr>
        <w:t>2015</w:t>
      </w:r>
      <w:r w:rsidR="00686803" w:rsidRPr="00A04489">
        <w:rPr>
          <w:rFonts w:ascii="Times New Roman" w:hAnsi="Times New Roman"/>
          <w:sz w:val="24"/>
        </w:rPr>
        <w:t>)</w:t>
      </w:r>
      <w:r w:rsidRPr="00A04489">
        <w:rPr>
          <w:rFonts w:ascii="Times New Roman" w:hAnsi="Times New Roman"/>
          <w:sz w:val="24"/>
        </w:rPr>
        <w:t xml:space="preserve"> 257 CLR 178 at 218 [84].</w:t>
      </w:r>
    </w:p>
  </w:footnote>
  <w:footnote w:id="71">
    <w:p w14:paraId="075EBBF6" w14:textId="54655BF3" w:rsidR="00DC2929" w:rsidRPr="00A04489" w:rsidRDefault="00DC2929" w:rsidP="00A04489">
      <w:pPr>
        <w:pStyle w:val="FootnoteText"/>
        <w:spacing w:line="280" w:lineRule="exact"/>
        <w:ind w:right="0"/>
        <w:jc w:val="both"/>
        <w:rPr>
          <w:rFonts w:ascii="Times New Roman" w:hAnsi="Times New Roman"/>
          <w:i/>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t>(2012) 246 CLR 1.</w:t>
      </w:r>
    </w:p>
  </w:footnote>
  <w:footnote w:id="72">
    <w:p w14:paraId="585D9054" w14:textId="4BCF152B"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t>(1986) 161 CLR 556 at 613</w:t>
      </w:r>
      <w:r w:rsidRPr="00A04489">
        <w:rPr>
          <w:rFonts w:ascii="Times New Roman" w:hAnsi="Times New Roman"/>
          <w:sz w:val="24"/>
        </w:rPr>
        <w:noBreakHyphen/>
        <w:t>614.</w:t>
      </w:r>
    </w:p>
  </w:footnote>
  <w:footnote w:id="73">
    <w:p w14:paraId="1876CDAF" w14:textId="36C2711D"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1C4256" w:rsidRPr="00A04489">
        <w:rPr>
          <w:rFonts w:ascii="Times New Roman" w:hAnsi="Times New Roman"/>
          <w:sz w:val="24"/>
        </w:rPr>
        <w:t xml:space="preserve">(2012) 246 CLR 1 </w:t>
      </w:r>
      <w:r w:rsidRPr="00A04489">
        <w:rPr>
          <w:rFonts w:ascii="Times New Roman" w:hAnsi="Times New Roman"/>
          <w:sz w:val="24"/>
        </w:rPr>
        <w:t xml:space="preserve">at </w:t>
      </w:r>
      <w:r w:rsidR="007E2ADE" w:rsidRPr="00A04489">
        <w:rPr>
          <w:rFonts w:ascii="Times New Roman" w:hAnsi="Times New Roman"/>
          <w:sz w:val="24"/>
        </w:rPr>
        <w:t>9</w:t>
      </w:r>
      <w:r w:rsidR="002C7142" w:rsidRPr="00A04489">
        <w:rPr>
          <w:rFonts w:ascii="Times New Roman" w:hAnsi="Times New Roman"/>
          <w:sz w:val="24"/>
        </w:rPr>
        <w:t>-10</w:t>
      </w:r>
      <w:r w:rsidR="007E2ADE" w:rsidRPr="00A04489">
        <w:rPr>
          <w:rFonts w:ascii="Times New Roman" w:hAnsi="Times New Roman"/>
          <w:sz w:val="24"/>
        </w:rPr>
        <w:t xml:space="preserve"> [10], </w:t>
      </w:r>
      <w:r w:rsidR="00207E74" w:rsidRPr="00A04489">
        <w:rPr>
          <w:rFonts w:ascii="Times New Roman" w:hAnsi="Times New Roman"/>
          <w:sz w:val="24"/>
        </w:rPr>
        <w:t>13-</w:t>
      </w:r>
      <w:r w:rsidRPr="00A04489">
        <w:rPr>
          <w:rFonts w:ascii="Times New Roman" w:hAnsi="Times New Roman"/>
          <w:sz w:val="24"/>
        </w:rPr>
        <w:t>14 [2</w:t>
      </w:r>
      <w:r w:rsidR="00207E74" w:rsidRPr="00A04489">
        <w:rPr>
          <w:rFonts w:ascii="Times New Roman" w:hAnsi="Times New Roman"/>
          <w:sz w:val="24"/>
        </w:rPr>
        <w:t>1</w:t>
      </w:r>
      <w:r w:rsidRPr="00A04489">
        <w:rPr>
          <w:rFonts w:ascii="Times New Roman" w:hAnsi="Times New Roman"/>
          <w:sz w:val="24"/>
        </w:rPr>
        <w:t>]</w:t>
      </w:r>
      <w:r w:rsidR="00767786" w:rsidRPr="00A04489">
        <w:rPr>
          <w:rFonts w:ascii="Times New Roman" w:hAnsi="Times New Roman"/>
          <w:sz w:val="24"/>
        </w:rPr>
        <w:t xml:space="preserve">, </w:t>
      </w:r>
      <w:r w:rsidR="0093256E" w:rsidRPr="00A04489">
        <w:rPr>
          <w:rFonts w:ascii="Times New Roman" w:hAnsi="Times New Roman"/>
          <w:sz w:val="24"/>
        </w:rPr>
        <w:t>[24]</w:t>
      </w:r>
      <w:r w:rsidR="00D305AB" w:rsidRPr="00A04489">
        <w:rPr>
          <w:rFonts w:ascii="Times New Roman" w:hAnsi="Times New Roman"/>
          <w:sz w:val="24"/>
        </w:rPr>
        <w:t xml:space="preserve"> per French CJ, Gummow, Hayne, Crennan and Bell JJ</w:t>
      </w:r>
      <w:r w:rsidR="00516947" w:rsidRPr="00A04489">
        <w:rPr>
          <w:rFonts w:ascii="Times New Roman" w:hAnsi="Times New Roman"/>
          <w:sz w:val="24"/>
        </w:rPr>
        <w:t xml:space="preserve">; see also </w:t>
      </w:r>
      <w:r w:rsidR="00611744" w:rsidRPr="00A04489">
        <w:rPr>
          <w:rFonts w:ascii="Times New Roman" w:hAnsi="Times New Roman"/>
          <w:sz w:val="24"/>
        </w:rPr>
        <w:t xml:space="preserve">at </w:t>
      </w:r>
      <w:r w:rsidR="00A76FE3" w:rsidRPr="00A04489">
        <w:rPr>
          <w:rFonts w:ascii="Times New Roman" w:hAnsi="Times New Roman"/>
          <w:sz w:val="24"/>
        </w:rPr>
        <w:t>29</w:t>
      </w:r>
      <w:r w:rsidR="001A7E74" w:rsidRPr="00A04489">
        <w:rPr>
          <w:rFonts w:ascii="Times New Roman" w:hAnsi="Times New Roman"/>
          <w:sz w:val="24"/>
        </w:rPr>
        <w:t>-30</w:t>
      </w:r>
      <w:r w:rsidR="00A76FE3" w:rsidRPr="00A04489">
        <w:rPr>
          <w:rFonts w:ascii="Times New Roman" w:hAnsi="Times New Roman"/>
          <w:sz w:val="24"/>
        </w:rPr>
        <w:t xml:space="preserve"> [74] per Kiefel J</w:t>
      </w:r>
      <w:r w:rsidRPr="00A04489">
        <w:rPr>
          <w:rFonts w:ascii="Times New Roman" w:hAnsi="Times New Roman"/>
          <w:sz w:val="24"/>
        </w:rPr>
        <w:t>.</w:t>
      </w:r>
    </w:p>
  </w:footnote>
  <w:footnote w:id="74">
    <w:p w14:paraId="20BD81B3" w14:textId="58E1B191"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35197B" w:rsidRPr="00A04489">
        <w:rPr>
          <w:rFonts w:ascii="Times New Roman" w:hAnsi="Times New Roman"/>
          <w:i/>
          <w:sz w:val="24"/>
        </w:rPr>
        <w:t>Wotton v Queensland</w:t>
      </w:r>
      <w:r w:rsidR="0035197B" w:rsidRPr="00A04489">
        <w:rPr>
          <w:rFonts w:ascii="Times New Roman" w:hAnsi="Times New Roman"/>
          <w:sz w:val="24"/>
        </w:rPr>
        <w:t xml:space="preserve"> </w:t>
      </w:r>
      <w:r w:rsidR="001C4256" w:rsidRPr="00A04489">
        <w:rPr>
          <w:rFonts w:ascii="Times New Roman" w:hAnsi="Times New Roman"/>
          <w:sz w:val="24"/>
        </w:rPr>
        <w:t xml:space="preserve">(2012) 246 CLR 1 </w:t>
      </w:r>
      <w:r w:rsidRPr="00A04489">
        <w:rPr>
          <w:rFonts w:ascii="Times New Roman" w:hAnsi="Times New Roman"/>
          <w:sz w:val="24"/>
        </w:rPr>
        <w:t>at 14 [22].</w:t>
      </w:r>
    </w:p>
  </w:footnote>
  <w:footnote w:id="75">
    <w:p w14:paraId="3712E7BD" w14:textId="04BE30CA"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t>(199</w:t>
      </w:r>
      <w:r w:rsidR="00AB0107" w:rsidRPr="00A04489">
        <w:rPr>
          <w:rFonts w:ascii="Times New Roman" w:hAnsi="Times New Roman"/>
          <w:sz w:val="24"/>
        </w:rPr>
        <w:t>7</w:t>
      </w:r>
      <w:r w:rsidRPr="00A04489">
        <w:rPr>
          <w:rFonts w:ascii="Times New Roman" w:hAnsi="Times New Roman"/>
          <w:sz w:val="24"/>
        </w:rPr>
        <w:t>) 189 CLR 520.</w:t>
      </w:r>
    </w:p>
  </w:footnote>
  <w:footnote w:id="76">
    <w:p w14:paraId="6B50FCAC" w14:textId="62F0FE89" w:rsidR="00DC2929" w:rsidRPr="00A04489" w:rsidRDefault="00DC2929" w:rsidP="00A04489">
      <w:pPr>
        <w:pStyle w:val="FootnoteText"/>
        <w:spacing w:line="280" w:lineRule="exact"/>
        <w:ind w:right="0"/>
        <w:jc w:val="both"/>
        <w:rPr>
          <w:rFonts w:ascii="Times New Roman" w:hAnsi="Times New Roman"/>
          <w:i/>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Pr="00A04489">
        <w:rPr>
          <w:rFonts w:ascii="Times New Roman" w:hAnsi="Times New Roman"/>
          <w:i/>
          <w:sz w:val="24"/>
        </w:rPr>
        <w:t xml:space="preserve">Wotton v Queensland </w:t>
      </w:r>
      <w:r w:rsidRPr="00A04489">
        <w:rPr>
          <w:rFonts w:ascii="Times New Roman" w:hAnsi="Times New Roman"/>
          <w:sz w:val="24"/>
        </w:rPr>
        <w:t xml:space="preserve">(2012) 246 CLR 1 at 16 </w:t>
      </w:r>
      <w:r w:rsidR="00D01720" w:rsidRPr="00A04489">
        <w:rPr>
          <w:rFonts w:ascii="Times New Roman" w:hAnsi="Times New Roman"/>
          <w:sz w:val="24"/>
        </w:rPr>
        <w:t>[31]-</w:t>
      </w:r>
      <w:r w:rsidRPr="00A04489">
        <w:rPr>
          <w:rFonts w:ascii="Times New Roman" w:hAnsi="Times New Roman"/>
          <w:sz w:val="24"/>
        </w:rPr>
        <w:t>[3</w:t>
      </w:r>
      <w:r w:rsidR="00120C07" w:rsidRPr="00A04489">
        <w:rPr>
          <w:rFonts w:ascii="Times New Roman" w:hAnsi="Times New Roman"/>
          <w:sz w:val="24"/>
        </w:rPr>
        <w:t>3</w:t>
      </w:r>
      <w:r w:rsidRPr="00A04489">
        <w:rPr>
          <w:rFonts w:ascii="Times New Roman" w:hAnsi="Times New Roman"/>
          <w:sz w:val="24"/>
        </w:rPr>
        <w:t>]</w:t>
      </w:r>
      <w:r w:rsidR="00120C07" w:rsidRPr="00A04489">
        <w:rPr>
          <w:rFonts w:ascii="Times New Roman" w:hAnsi="Times New Roman"/>
          <w:sz w:val="24"/>
        </w:rPr>
        <w:t xml:space="preserve"> per French CJ, Gummow, Hayne, Crennan and Bell JJ</w:t>
      </w:r>
      <w:r w:rsidRPr="00A04489">
        <w:rPr>
          <w:rFonts w:ascii="Times New Roman" w:hAnsi="Times New Roman"/>
          <w:sz w:val="24"/>
        </w:rPr>
        <w:t>; see also at 33-34 [89]-[</w:t>
      </w:r>
      <w:r w:rsidR="003A09D3" w:rsidRPr="00A04489">
        <w:rPr>
          <w:rFonts w:ascii="Times New Roman" w:hAnsi="Times New Roman"/>
          <w:sz w:val="24"/>
        </w:rPr>
        <w:t>92</w:t>
      </w:r>
      <w:r w:rsidRPr="00A04489">
        <w:rPr>
          <w:rFonts w:ascii="Times New Roman" w:hAnsi="Times New Roman"/>
          <w:sz w:val="24"/>
        </w:rPr>
        <w:t>]</w:t>
      </w:r>
      <w:r w:rsidR="00093AE1" w:rsidRPr="00A04489">
        <w:rPr>
          <w:rFonts w:ascii="Times New Roman" w:hAnsi="Times New Roman"/>
          <w:sz w:val="24"/>
        </w:rPr>
        <w:t xml:space="preserve"> per Kiefel J</w:t>
      </w:r>
      <w:r w:rsidRPr="00A04489">
        <w:rPr>
          <w:rFonts w:ascii="Times New Roman" w:hAnsi="Times New Roman"/>
          <w:sz w:val="24"/>
        </w:rPr>
        <w:t>.</w:t>
      </w:r>
    </w:p>
  </w:footnote>
  <w:footnote w:id="77">
    <w:p w14:paraId="1CFA4979" w14:textId="5261B9AA" w:rsidR="00DC2929" w:rsidRPr="00A04489" w:rsidRDefault="00DC2929"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t xml:space="preserve">Stellios, </w:t>
      </w:r>
      <w:r w:rsidR="00E509DF" w:rsidRPr="00A04489">
        <w:rPr>
          <w:rFonts w:ascii="Times New Roman" w:hAnsi="Times New Roman"/>
          <w:sz w:val="24"/>
        </w:rPr>
        <w:t>"</w:t>
      </w:r>
      <w:r w:rsidRPr="00A04489">
        <w:rPr>
          <w:rFonts w:ascii="Times New Roman" w:hAnsi="Times New Roman"/>
          <w:i/>
          <w:sz w:val="24"/>
        </w:rPr>
        <w:t>Marbury v Madison</w:t>
      </w:r>
      <w:r w:rsidRPr="00A04489">
        <w:rPr>
          <w:rFonts w:ascii="Times New Roman" w:hAnsi="Times New Roman"/>
          <w:sz w:val="24"/>
        </w:rPr>
        <w:t>:</w:t>
      </w:r>
      <w:r w:rsidRPr="00A04489">
        <w:rPr>
          <w:rFonts w:ascii="Times New Roman" w:hAnsi="Times New Roman"/>
          <w:i/>
          <w:sz w:val="24"/>
        </w:rPr>
        <w:t xml:space="preserve"> </w:t>
      </w:r>
      <w:r w:rsidRPr="00A04489">
        <w:rPr>
          <w:rFonts w:ascii="Times New Roman" w:hAnsi="Times New Roman"/>
          <w:sz w:val="24"/>
        </w:rPr>
        <w:t>Constitutional Limitations and Statutory Discretions</w:t>
      </w:r>
      <w:r w:rsidR="00E509DF" w:rsidRPr="00A04489">
        <w:rPr>
          <w:rFonts w:ascii="Times New Roman" w:hAnsi="Times New Roman"/>
          <w:sz w:val="24"/>
        </w:rPr>
        <w:t>"</w:t>
      </w:r>
      <w:r w:rsidRPr="00A04489">
        <w:rPr>
          <w:rFonts w:ascii="Times New Roman" w:hAnsi="Times New Roman"/>
          <w:sz w:val="24"/>
        </w:rPr>
        <w:t xml:space="preserve"> (2016) 42 </w:t>
      </w:r>
      <w:r w:rsidRPr="00A04489">
        <w:rPr>
          <w:rFonts w:ascii="Times New Roman" w:hAnsi="Times New Roman"/>
          <w:i/>
          <w:sz w:val="24"/>
        </w:rPr>
        <w:t>Australian Bar Review</w:t>
      </w:r>
      <w:r w:rsidRPr="00A04489">
        <w:rPr>
          <w:rFonts w:ascii="Times New Roman" w:hAnsi="Times New Roman"/>
          <w:sz w:val="24"/>
        </w:rPr>
        <w:t xml:space="preserve"> 324 at 327-</w:t>
      </w:r>
      <w:r w:rsidR="00A27350" w:rsidRPr="00A04489">
        <w:rPr>
          <w:rFonts w:ascii="Times New Roman" w:hAnsi="Times New Roman"/>
          <w:sz w:val="24"/>
        </w:rPr>
        <w:t>32</w:t>
      </w:r>
      <w:r w:rsidRPr="00A04489">
        <w:rPr>
          <w:rFonts w:ascii="Times New Roman" w:hAnsi="Times New Roman"/>
          <w:sz w:val="24"/>
        </w:rPr>
        <w:t>8.</w:t>
      </w:r>
    </w:p>
  </w:footnote>
  <w:footnote w:id="78">
    <w:p w14:paraId="60DFFFAE" w14:textId="4D72E283" w:rsidR="00C33A4E" w:rsidRPr="00A04489" w:rsidRDefault="00C33A4E"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t>(1945) 70 CLR 1.</w:t>
      </w:r>
    </w:p>
  </w:footnote>
  <w:footnote w:id="79">
    <w:p w14:paraId="60C1F7B7" w14:textId="3B9122D0" w:rsidR="003D49A6" w:rsidRPr="00A04489" w:rsidRDefault="003D49A6"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Pr="00A04489">
        <w:rPr>
          <w:rFonts w:ascii="Times New Roman" w:hAnsi="Times New Roman"/>
          <w:i/>
          <w:sz w:val="24"/>
        </w:rPr>
        <w:t>Gratwick v Johnson</w:t>
      </w:r>
      <w:r w:rsidRPr="00A04489">
        <w:rPr>
          <w:rFonts w:ascii="Times New Roman" w:hAnsi="Times New Roman"/>
          <w:sz w:val="24"/>
        </w:rPr>
        <w:t xml:space="preserve"> (1945) 70 CLR 1 at </w:t>
      </w:r>
      <w:r w:rsidR="00CD03AD" w:rsidRPr="00A04489">
        <w:rPr>
          <w:rFonts w:ascii="Times New Roman" w:hAnsi="Times New Roman"/>
          <w:sz w:val="24"/>
        </w:rPr>
        <w:t>14 per Latham CJ</w:t>
      </w:r>
      <w:r w:rsidR="00B661F2" w:rsidRPr="00A04489">
        <w:rPr>
          <w:rFonts w:ascii="Times New Roman" w:hAnsi="Times New Roman"/>
          <w:sz w:val="24"/>
        </w:rPr>
        <w:t>,</w:t>
      </w:r>
      <w:r w:rsidR="00CD03AD" w:rsidRPr="00A04489">
        <w:rPr>
          <w:rFonts w:ascii="Times New Roman" w:hAnsi="Times New Roman"/>
          <w:sz w:val="24"/>
        </w:rPr>
        <w:t xml:space="preserve"> </w:t>
      </w:r>
      <w:r w:rsidR="00FB3F95" w:rsidRPr="00A04489">
        <w:rPr>
          <w:rFonts w:ascii="Times New Roman" w:hAnsi="Times New Roman"/>
          <w:sz w:val="24"/>
        </w:rPr>
        <w:t>16 per Rich J</w:t>
      </w:r>
      <w:r w:rsidR="00B661F2" w:rsidRPr="00A04489">
        <w:rPr>
          <w:rFonts w:ascii="Times New Roman" w:hAnsi="Times New Roman"/>
          <w:sz w:val="24"/>
        </w:rPr>
        <w:t>,</w:t>
      </w:r>
      <w:r w:rsidR="00FB3F95" w:rsidRPr="00A04489">
        <w:rPr>
          <w:rFonts w:ascii="Times New Roman" w:hAnsi="Times New Roman"/>
          <w:sz w:val="24"/>
        </w:rPr>
        <w:t xml:space="preserve"> </w:t>
      </w:r>
      <w:r w:rsidR="00DB2335" w:rsidRPr="00A04489">
        <w:rPr>
          <w:rFonts w:ascii="Times New Roman" w:hAnsi="Times New Roman"/>
          <w:sz w:val="24"/>
        </w:rPr>
        <w:t>17</w:t>
      </w:r>
      <w:r w:rsidR="00683E3C" w:rsidRPr="00A04489">
        <w:rPr>
          <w:rFonts w:ascii="Times New Roman" w:hAnsi="Times New Roman"/>
          <w:sz w:val="24"/>
        </w:rPr>
        <w:t xml:space="preserve"> per Starke J</w:t>
      </w:r>
      <w:r w:rsidR="00B661F2" w:rsidRPr="00A04489">
        <w:rPr>
          <w:rFonts w:ascii="Times New Roman" w:hAnsi="Times New Roman"/>
          <w:sz w:val="24"/>
        </w:rPr>
        <w:t>,</w:t>
      </w:r>
      <w:r w:rsidR="00683E3C" w:rsidRPr="00A04489">
        <w:rPr>
          <w:rFonts w:ascii="Times New Roman" w:hAnsi="Times New Roman"/>
          <w:sz w:val="24"/>
        </w:rPr>
        <w:t xml:space="preserve"> </w:t>
      </w:r>
      <w:r w:rsidR="00F902D2" w:rsidRPr="00A04489">
        <w:rPr>
          <w:rFonts w:ascii="Times New Roman" w:hAnsi="Times New Roman"/>
          <w:sz w:val="24"/>
        </w:rPr>
        <w:t>19</w:t>
      </w:r>
      <w:r w:rsidR="00AF2849" w:rsidRPr="00A04489">
        <w:rPr>
          <w:rFonts w:ascii="Times New Roman" w:hAnsi="Times New Roman"/>
          <w:sz w:val="24"/>
        </w:rPr>
        <w:t>-20</w:t>
      </w:r>
      <w:r w:rsidR="00F902D2" w:rsidRPr="00A04489">
        <w:rPr>
          <w:rFonts w:ascii="Times New Roman" w:hAnsi="Times New Roman"/>
          <w:sz w:val="24"/>
        </w:rPr>
        <w:t xml:space="preserve"> per Dixon J</w:t>
      </w:r>
      <w:r w:rsidR="00B661F2" w:rsidRPr="00A04489">
        <w:rPr>
          <w:rFonts w:ascii="Times New Roman" w:hAnsi="Times New Roman"/>
          <w:sz w:val="24"/>
        </w:rPr>
        <w:t>,</w:t>
      </w:r>
      <w:r w:rsidR="00F902D2" w:rsidRPr="00A04489">
        <w:rPr>
          <w:rFonts w:ascii="Times New Roman" w:hAnsi="Times New Roman"/>
          <w:sz w:val="24"/>
        </w:rPr>
        <w:t xml:space="preserve"> </w:t>
      </w:r>
      <w:r w:rsidR="00143C59" w:rsidRPr="00A04489">
        <w:rPr>
          <w:rFonts w:ascii="Times New Roman" w:hAnsi="Times New Roman"/>
          <w:sz w:val="24"/>
        </w:rPr>
        <w:t>2</w:t>
      </w:r>
      <w:r w:rsidR="003C46DD" w:rsidRPr="00A04489">
        <w:rPr>
          <w:rFonts w:ascii="Times New Roman" w:hAnsi="Times New Roman"/>
          <w:sz w:val="24"/>
        </w:rPr>
        <w:t>2</w:t>
      </w:r>
      <w:r w:rsidR="00143C59" w:rsidRPr="00A04489">
        <w:rPr>
          <w:rFonts w:ascii="Times New Roman" w:hAnsi="Times New Roman"/>
          <w:sz w:val="24"/>
        </w:rPr>
        <w:t xml:space="preserve"> per McTiernan J</w:t>
      </w:r>
      <w:r w:rsidR="004662FF" w:rsidRPr="00A04489">
        <w:rPr>
          <w:rFonts w:ascii="Times New Roman" w:hAnsi="Times New Roman"/>
          <w:sz w:val="24"/>
        </w:rPr>
        <w:t>.</w:t>
      </w:r>
    </w:p>
  </w:footnote>
  <w:footnote w:id="80">
    <w:p w14:paraId="0C60AEED" w14:textId="07B9DE0F" w:rsidR="00C33A4E" w:rsidRPr="00A04489" w:rsidRDefault="00C33A4E"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t>(1912) 16 CLR 99 at 110.</w:t>
      </w:r>
    </w:p>
  </w:footnote>
  <w:footnote w:id="81">
    <w:p w14:paraId="74235F1C" w14:textId="5B0577D0" w:rsidR="00C33A4E" w:rsidRPr="00A04489" w:rsidRDefault="00C33A4E"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t>(1928) 42 CLR 209</w:t>
      </w:r>
      <w:r w:rsidR="003F7B5E" w:rsidRPr="00A04489">
        <w:rPr>
          <w:rFonts w:ascii="Times New Roman" w:hAnsi="Times New Roman"/>
          <w:sz w:val="24"/>
        </w:rPr>
        <w:t xml:space="preserve"> at 218 per Knox CJ, </w:t>
      </w:r>
      <w:r w:rsidR="002E2BD8" w:rsidRPr="00A04489">
        <w:rPr>
          <w:rFonts w:ascii="Times New Roman" w:hAnsi="Times New Roman"/>
          <w:sz w:val="24"/>
        </w:rPr>
        <w:t>Gavan Duffy and Starke JJ</w:t>
      </w:r>
      <w:r w:rsidRPr="00A04489">
        <w:rPr>
          <w:rFonts w:ascii="Times New Roman" w:hAnsi="Times New Roman"/>
          <w:sz w:val="24"/>
        </w:rPr>
        <w:t>.</w:t>
      </w:r>
    </w:p>
  </w:footnote>
  <w:footnote w:id="82">
    <w:p w14:paraId="0C04AB0A" w14:textId="4D0AD587" w:rsidR="00C33A4E" w:rsidRPr="00A04489" w:rsidRDefault="00C33A4E" w:rsidP="00A04489">
      <w:pPr>
        <w:pStyle w:val="FootnoteText"/>
        <w:spacing w:line="280" w:lineRule="exact"/>
        <w:ind w:right="0"/>
        <w:jc w:val="both"/>
        <w:rPr>
          <w:rFonts w:ascii="Times New Roman" w:hAnsi="Times New Roman"/>
          <w:sz w:val="24"/>
        </w:rPr>
      </w:pPr>
      <w:r w:rsidRPr="00A04489">
        <w:rPr>
          <w:rStyle w:val="FootnoteReference"/>
          <w:rFonts w:ascii="Times New Roman" w:hAnsi="Times New Roman"/>
          <w:sz w:val="22"/>
          <w:vertAlign w:val="baseline"/>
        </w:rPr>
        <w:footnoteRef/>
      </w:r>
      <w:r w:rsidRPr="00A04489">
        <w:rPr>
          <w:rFonts w:ascii="Times New Roman" w:hAnsi="Times New Roman"/>
          <w:sz w:val="24"/>
        </w:rPr>
        <w:t xml:space="preserve"> </w:t>
      </w:r>
      <w:r w:rsidRPr="00A04489">
        <w:rPr>
          <w:rFonts w:ascii="Times New Roman" w:hAnsi="Times New Roman"/>
          <w:sz w:val="24"/>
        </w:rPr>
        <w:tab/>
      </w:r>
      <w:r w:rsidR="0078418A" w:rsidRPr="00A04489">
        <w:rPr>
          <w:rFonts w:ascii="Times New Roman" w:hAnsi="Times New Roman"/>
          <w:sz w:val="24"/>
        </w:rPr>
        <w:t>(1975) 134 CLR 559</w:t>
      </w:r>
      <w:r w:rsidR="00EF6DAD" w:rsidRPr="00A04489">
        <w:rPr>
          <w:rFonts w:ascii="Times New Roman" w:hAnsi="Times New Roman"/>
          <w:sz w:val="24"/>
        </w:rPr>
        <w:t xml:space="preserve"> at </w:t>
      </w:r>
      <w:r w:rsidR="003847E4" w:rsidRPr="00A04489">
        <w:rPr>
          <w:rFonts w:ascii="Times New Roman" w:hAnsi="Times New Roman"/>
          <w:sz w:val="24"/>
        </w:rPr>
        <w:t>607-608</w:t>
      </w:r>
      <w:r w:rsidR="00DB5A58" w:rsidRPr="00A04489">
        <w:rPr>
          <w:rFonts w:ascii="Times New Roman" w:hAnsi="Times New Roman"/>
          <w:sz w:val="24"/>
        </w:rPr>
        <w:t>, 61</w:t>
      </w:r>
      <w:r w:rsidR="00C14F00" w:rsidRPr="00A04489">
        <w:rPr>
          <w:rFonts w:ascii="Times New Roman" w:hAnsi="Times New Roman"/>
          <w:sz w:val="24"/>
        </w:rPr>
        <w:t>6</w:t>
      </w:r>
      <w:r w:rsidRPr="00A04489">
        <w:rPr>
          <w:rFonts w:ascii="Times New Roman" w:hAnsi="Times New Roman"/>
          <w:sz w:val="24"/>
        </w:rPr>
        <w:t>.</w:t>
      </w:r>
    </w:p>
  </w:footnote>
  <w:footnote w:id="83">
    <w:p w14:paraId="58F83318"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r>
      <w:r w:rsidRPr="00225BAD">
        <w:rPr>
          <w:rFonts w:ascii="Times New Roman" w:hAnsi="Times New Roman"/>
          <w:i/>
          <w:sz w:val="24"/>
        </w:rPr>
        <w:t>Wilcox Mofflin Ltd v New South Wales</w:t>
      </w:r>
      <w:r w:rsidRPr="00225BAD">
        <w:rPr>
          <w:rFonts w:ascii="Times New Roman" w:hAnsi="Times New Roman"/>
          <w:sz w:val="24"/>
        </w:rPr>
        <w:t xml:space="preserve"> (1952) 85 CLR 488 at 539.</w:t>
      </w:r>
    </w:p>
  </w:footnote>
  <w:footnote w:id="84">
    <w:p w14:paraId="44CCFCC8"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(1988) 165 CLR 360.</w:t>
      </w:r>
    </w:p>
  </w:footnote>
  <w:footnote w:id="85">
    <w:p w14:paraId="070A4F10"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(1988) 165 CLR 360 at 388.</w:t>
      </w:r>
    </w:p>
  </w:footnote>
  <w:footnote w:id="86">
    <w:p w14:paraId="3187DA73"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(1988) 165 CLR 360 at 394, 398. See also at 407-408.</w:t>
      </w:r>
    </w:p>
  </w:footnote>
  <w:footnote w:id="87">
    <w:p w14:paraId="43D44C1D"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r>
      <w:r w:rsidRPr="00225BAD">
        <w:rPr>
          <w:rFonts w:ascii="Times New Roman" w:hAnsi="Times New Roman"/>
          <w:i/>
          <w:sz w:val="24"/>
        </w:rPr>
        <w:t>Bath v Alston Holdings Pty Ltd</w:t>
      </w:r>
      <w:r w:rsidRPr="00225BAD">
        <w:rPr>
          <w:rFonts w:ascii="Times New Roman" w:hAnsi="Times New Roman"/>
          <w:sz w:val="24"/>
        </w:rPr>
        <w:t xml:space="preserve"> (1988) 165 CLR 411; </w:t>
      </w:r>
      <w:r w:rsidRPr="00225BAD">
        <w:rPr>
          <w:rFonts w:ascii="Times New Roman" w:hAnsi="Times New Roman"/>
          <w:i/>
          <w:sz w:val="24"/>
        </w:rPr>
        <w:t>Street v Queensland Bar Association</w:t>
      </w:r>
      <w:r w:rsidRPr="00225BAD">
        <w:rPr>
          <w:rFonts w:ascii="Times New Roman" w:hAnsi="Times New Roman"/>
          <w:sz w:val="24"/>
        </w:rPr>
        <w:t xml:space="preserve"> (1989) 168 CLR 461; </w:t>
      </w:r>
      <w:r w:rsidRPr="00225BAD">
        <w:rPr>
          <w:rFonts w:ascii="Times New Roman" w:hAnsi="Times New Roman"/>
          <w:i/>
          <w:sz w:val="24"/>
        </w:rPr>
        <w:t>Castlemaine Tooheys Ltd v South Australia</w:t>
      </w:r>
      <w:r w:rsidRPr="00225BAD">
        <w:rPr>
          <w:rFonts w:ascii="Times New Roman" w:hAnsi="Times New Roman"/>
          <w:sz w:val="24"/>
        </w:rPr>
        <w:t xml:space="preserve"> (1990) 169 CLR 436; </w:t>
      </w:r>
      <w:r w:rsidRPr="00225BAD">
        <w:rPr>
          <w:rFonts w:ascii="Times New Roman" w:hAnsi="Times New Roman"/>
          <w:i/>
          <w:sz w:val="24"/>
        </w:rPr>
        <w:t>Barley Marketing Board</w:t>
      </w:r>
      <w:r w:rsidRPr="00225BAD">
        <w:rPr>
          <w:rFonts w:ascii="Times New Roman" w:hAnsi="Times New Roman"/>
          <w:sz w:val="24"/>
        </w:rPr>
        <w:t xml:space="preserve"> </w:t>
      </w:r>
      <w:r w:rsidRPr="00225BAD">
        <w:rPr>
          <w:rFonts w:ascii="Times New Roman" w:hAnsi="Times New Roman"/>
          <w:i/>
          <w:sz w:val="24"/>
        </w:rPr>
        <w:t>(NSW)</w:t>
      </w:r>
      <w:r w:rsidRPr="00225BAD">
        <w:rPr>
          <w:rFonts w:ascii="Times New Roman" w:hAnsi="Times New Roman"/>
          <w:sz w:val="24"/>
        </w:rPr>
        <w:t xml:space="preserve"> </w:t>
      </w:r>
      <w:r w:rsidRPr="00225BAD">
        <w:rPr>
          <w:rFonts w:ascii="Times New Roman" w:hAnsi="Times New Roman"/>
          <w:i/>
          <w:sz w:val="24"/>
        </w:rPr>
        <w:t>v Norman</w:t>
      </w:r>
      <w:r w:rsidRPr="00225BAD">
        <w:rPr>
          <w:rFonts w:ascii="Times New Roman" w:hAnsi="Times New Roman"/>
          <w:sz w:val="24"/>
        </w:rPr>
        <w:t xml:space="preserve"> (1990) 171 CLR 182; </w:t>
      </w:r>
      <w:r w:rsidRPr="00225BAD">
        <w:rPr>
          <w:rFonts w:ascii="Times New Roman" w:hAnsi="Times New Roman"/>
          <w:i/>
          <w:sz w:val="24"/>
        </w:rPr>
        <w:t>APLA Ltd v Legal Services Commissioner (NSW)</w:t>
      </w:r>
      <w:r w:rsidRPr="00225BAD">
        <w:rPr>
          <w:rFonts w:ascii="Times New Roman" w:hAnsi="Times New Roman"/>
          <w:sz w:val="24"/>
        </w:rPr>
        <w:t xml:space="preserve"> (2005) 224 CLR 322; </w:t>
      </w:r>
      <w:r w:rsidRPr="00225BAD">
        <w:rPr>
          <w:rFonts w:ascii="Times New Roman" w:hAnsi="Times New Roman"/>
          <w:i/>
          <w:sz w:val="24"/>
        </w:rPr>
        <w:t>Betfair Pty Ltd v Western Australia</w:t>
      </w:r>
      <w:r w:rsidRPr="00225BAD">
        <w:rPr>
          <w:rFonts w:ascii="Times New Roman" w:hAnsi="Times New Roman"/>
          <w:sz w:val="24"/>
        </w:rPr>
        <w:t xml:space="preserve"> (2008) 234 CLR 418 ("</w:t>
      </w:r>
      <w:r w:rsidRPr="00225BAD">
        <w:rPr>
          <w:rFonts w:ascii="Times New Roman" w:hAnsi="Times New Roman"/>
          <w:i/>
          <w:sz w:val="24"/>
        </w:rPr>
        <w:t>Betfair [No 1]</w:t>
      </w:r>
      <w:r w:rsidRPr="00225BAD">
        <w:rPr>
          <w:rFonts w:ascii="Times New Roman" w:hAnsi="Times New Roman"/>
          <w:sz w:val="24"/>
        </w:rPr>
        <w:t xml:space="preserve">"); </w:t>
      </w:r>
      <w:r w:rsidRPr="00225BAD">
        <w:rPr>
          <w:rFonts w:ascii="Times New Roman" w:hAnsi="Times New Roman"/>
          <w:i/>
          <w:sz w:val="24"/>
        </w:rPr>
        <w:t>Betfair Pty Ltd v Racing New South Wales</w:t>
      </w:r>
      <w:r w:rsidRPr="00225BAD">
        <w:rPr>
          <w:rFonts w:ascii="Times New Roman" w:hAnsi="Times New Roman"/>
          <w:sz w:val="24"/>
        </w:rPr>
        <w:t xml:space="preserve"> (2012) 249 CLR 217 ("</w:t>
      </w:r>
      <w:r w:rsidRPr="00225BAD">
        <w:rPr>
          <w:rFonts w:ascii="Times New Roman" w:hAnsi="Times New Roman"/>
          <w:i/>
          <w:sz w:val="24"/>
        </w:rPr>
        <w:t>Betfair [No 2]</w:t>
      </w:r>
      <w:r w:rsidRPr="00225BAD">
        <w:rPr>
          <w:rFonts w:ascii="Times New Roman" w:hAnsi="Times New Roman"/>
          <w:sz w:val="24"/>
        </w:rPr>
        <w:t xml:space="preserve">"); </w:t>
      </w:r>
      <w:r w:rsidRPr="00225BAD">
        <w:rPr>
          <w:rFonts w:ascii="Times New Roman" w:hAnsi="Times New Roman"/>
          <w:i/>
          <w:sz w:val="24"/>
        </w:rPr>
        <w:t xml:space="preserve">Sportsbet Pty Ltd v New South Wales </w:t>
      </w:r>
      <w:r w:rsidRPr="00225BAD">
        <w:rPr>
          <w:rFonts w:ascii="Times New Roman" w:hAnsi="Times New Roman"/>
          <w:sz w:val="24"/>
        </w:rPr>
        <w:t>(2012) 249 CLR 298.</w:t>
      </w:r>
    </w:p>
  </w:footnote>
  <w:footnote w:id="88">
    <w:p w14:paraId="4278C250"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 xml:space="preserve">(2008) 234 CLR 418 at 477 [102]-[103]. See also </w:t>
      </w:r>
      <w:r w:rsidRPr="00225BAD">
        <w:rPr>
          <w:rFonts w:ascii="Times New Roman" w:hAnsi="Times New Roman"/>
          <w:i/>
          <w:sz w:val="24"/>
        </w:rPr>
        <w:t xml:space="preserve">Betfair [No 2] </w:t>
      </w:r>
      <w:r w:rsidRPr="00225BAD">
        <w:rPr>
          <w:rFonts w:ascii="Times New Roman" w:hAnsi="Times New Roman"/>
          <w:sz w:val="24"/>
        </w:rPr>
        <w:t>(2012) 249 CLR 217 at 269 [52].</w:t>
      </w:r>
    </w:p>
  </w:footnote>
  <w:footnote w:id="89">
    <w:p w14:paraId="2DC33F5F"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r>
      <w:r w:rsidRPr="00225BAD">
        <w:rPr>
          <w:rFonts w:ascii="Times New Roman" w:hAnsi="Times New Roman"/>
          <w:i/>
          <w:sz w:val="24"/>
        </w:rPr>
        <w:t>Australian Capital Television Pty Ltd v The Commonwealth</w:t>
      </w:r>
      <w:r w:rsidRPr="00225BAD">
        <w:rPr>
          <w:rFonts w:ascii="Times New Roman" w:hAnsi="Times New Roman"/>
          <w:sz w:val="24"/>
        </w:rPr>
        <w:t xml:space="preserve"> (1992) 177 CLR 106; </w:t>
      </w:r>
      <w:r w:rsidRPr="00225BAD">
        <w:rPr>
          <w:rFonts w:ascii="Times New Roman" w:hAnsi="Times New Roman"/>
          <w:i/>
          <w:sz w:val="24"/>
        </w:rPr>
        <w:t>Nationwide News Pty Ltd v Wills</w:t>
      </w:r>
      <w:r w:rsidRPr="00225BAD">
        <w:rPr>
          <w:rFonts w:ascii="Times New Roman" w:hAnsi="Times New Roman"/>
          <w:sz w:val="24"/>
        </w:rPr>
        <w:t xml:space="preserve"> (1992) 177 CLR 1; </w:t>
      </w:r>
      <w:r w:rsidRPr="00225BAD">
        <w:rPr>
          <w:rFonts w:ascii="Times New Roman" w:hAnsi="Times New Roman"/>
          <w:i/>
          <w:sz w:val="24"/>
        </w:rPr>
        <w:t xml:space="preserve">Cunliffe v The Commonwealth </w:t>
      </w:r>
      <w:r w:rsidRPr="00225BAD">
        <w:rPr>
          <w:rFonts w:ascii="Times New Roman" w:hAnsi="Times New Roman"/>
          <w:sz w:val="24"/>
        </w:rPr>
        <w:t xml:space="preserve">(1994) 182 CLR 272; </w:t>
      </w:r>
      <w:r w:rsidRPr="00225BAD">
        <w:rPr>
          <w:rFonts w:ascii="Times New Roman" w:hAnsi="Times New Roman"/>
          <w:i/>
          <w:sz w:val="24"/>
        </w:rPr>
        <w:t>AMS v AIF</w:t>
      </w:r>
      <w:r w:rsidRPr="00225BAD">
        <w:rPr>
          <w:rFonts w:ascii="Times New Roman" w:hAnsi="Times New Roman"/>
          <w:sz w:val="24"/>
        </w:rPr>
        <w:t xml:space="preserve"> (1999) 199 CLR 160; </w:t>
      </w:r>
      <w:r w:rsidRPr="00225BAD">
        <w:rPr>
          <w:rFonts w:ascii="Times New Roman" w:hAnsi="Times New Roman"/>
          <w:i/>
          <w:sz w:val="24"/>
        </w:rPr>
        <w:t xml:space="preserve">APLA Ltd v Legal Services Commissioner (NSW) </w:t>
      </w:r>
      <w:r w:rsidRPr="00225BAD">
        <w:rPr>
          <w:rFonts w:ascii="Times New Roman" w:hAnsi="Times New Roman"/>
          <w:sz w:val="24"/>
        </w:rPr>
        <w:t>(2005) 224 CLR 322.</w:t>
      </w:r>
    </w:p>
  </w:footnote>
  <w:footnote w:id="90">
    <w:p w14:paraId="3662DDDA"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Section 56 of the Act, read with the definitions of "emergency", "emergency area" and "hazard" in s 3 of the Act.</w:t>
      </w:r>
    </w:p>
  </w:footnote>
  <w:footnote w:id="91">
    <w:p w14:paraId="09E5D2D5"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Section 67 of the Act, read with the definition of "emergency management" in s 3 of the Act.</w:t>
      </w:r>
    </w:p>
  </w:footnote>
  <w:footnote w:id="92">
    <w:p w14:paraId="50D5F8AA"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Paragraph 1 of the Directions.</w:t>
      </w:r>
    </w:p>
  </w:footnote>
  <w:footnote w:id="93">
    <w:p w14:paraId="3BB16FF1"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Paragraphs 4 and 5 of the Directions.</w:t>
      </w:r>
    </w:p>
  </w:footnote>
  <w:footnote w:id="94">
    <w:p w14:paraId="212056C1"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 xml:space="preserve">Kirk, "Section 92 in its Second Century", in Griffiths and Stellios (eds), </w:t>
      </w:r>
      <w:r w:rsidRPr="00225BAD">
        <w:rPr>
          <w:rFonts w:ascii="Times New Roman" w:hAnsi="Times New Roman"/>
          <w:i/>
          <w:sz w:val="24"/>
        </w:rPr>
        <w:t>Current Issues in Australian Constitutional Law: Tributes to Professor Leslie Zines</w:t>
      </w:r>
      <w:r w:rsidRPr="00225BAD">
        <w:rPr>
          <w:rFonts w:ascii="Times New Roman" w:hAnsi="Times New Roman"/>
          <w:sz w:val="24"/>
        </w:rPr>
        <w:t xml:space="preserve"> (2020) 253.</w:t>
      </w:r>
    </w:p>
  </w:footnote>
  <w:footnote w:id="95">
    <w:p w14:paraId="70ACFAA9"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(1988) 165 CLR 360 at 368.</w:t>
      </w:r>
    </w:p>
  </w:footnote>
  <w:footnote w:id="96">
    <w:p w14:paraId="3719095A"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r>
      <w:r w:rsidRPr="00225BAD">
        <w:rPr>
          <w:rFonts w:ascii="Times New Roman" w:hAnsi="Times New Roman"/>
          <w:i/>
          <w:sz w:val="24"/>
        </w:rPr>
        <w:t>Castlemaine Tooheys Ltd v South Australia</w:t>
      </w:r>
      <w:r w:rsidRPr="00225BAD">
        <w:rPr>
          <w:rFonts w:ascii="Times New Roman" w:hAnsi="Times New Roman"/>
          <w:sz w:val="24"/>
        </w:rPr>
        <w:t xml:space="preserve"> (1990) 169 CLR 436 at 480.</w:t>
      </w:r>
    </w:p>
  </w:footnote>
  <w:footnote w:id="97">
    <w:p w14:paraId="56888129"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r>
      <w:r w:rsidRPr="00225BAD">
        <w:rPr>
          <w:rFonts w:ascii="Times New Roman" w:hAnsi="Times New Roman"/>
          <w:i/>
          <w:sz w:val="24"/>
        </w:rPr>
        <w:t>Castlemaine Tooheys Ltd v South Australia</w:t>
      </w:r>
      <w:r w:rsidRPr="00225BAD">
        <w:rPr>
          <w:rFonts w:ascii="Times New Roman" w:hAnsi="Times New Roman"/>
          <w:sz w:val="24"/>
        </w:rPr>
        <w:t xml:space="preserve"> (1990) 169 CLR 436 at 477; </w:t>
      </w:r>
      <w:r w:rsidRPr="00225BAD">
        <w:rPr>
          <w:rFonts w:ascii="Times New Roman" w:hAnsi="Times New Roman"/>
          <w:i/>
          <w:sz w:val="24"/>
        </w:rPr>
        <w:t>Betfair</w:t>
      </w:r>
      <w:r w:rsidRPr="00225BAD">
        <w:rPr>
          <w:rFonts w:ascii="Times New Roman" w:hAnsi="Times New Roman"/>
          <w:sz w:val="24"/>
        </w:rPr>
        <w:t xml:space="preserve"> </w:t>
      </w:r>
      <w:r w:rsidRPr="00225BAD">
        <w:rPr>
          <w:rFonts w:ascii="Times New Roman" w:hAnsi="Times New Roman"/>
          <w:i/>
          <w:sz w:val="24"/>
        </w:rPr>
        <w:t>[No 1]</w:t>
      </w:r>
      <w:r w:rsidRPr="00225BAD">
        <w:rPr>
          <w:rFonts w:ascii="Times New Roman" w:hAnsi="Times New Roman"/>
          <w:sz w:val="24"/>
        </w:rPr>
        <w:t xml:space="preserve"> (2008) 234 CLR 418 at 478-480 [106]-[113]. </w:t>
      </w:r>
    </w:p>
  </w:footnote>
  <w:footnote w:id="98">
    <w:p w14:paraId="4DCFD5F7"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(1988) 165 CLR 360 at 385-391.</w:t>
      </w:r>
    </w:p>
  </w:footnote>
  <w:footnote w:id="99">
    <w:p w14:paraId="395036ED"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 xml:space="preserve">(2008) 234 CLR 418 at 454-459 [21]-[32]. </w:t>
      </w:r>
    </w:p>
  </w:footnote>
  <w:footnote w:id="100">
    <w:p w14:paraId="555805E7"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(1988) 165 CLR 360 at 391.</w:t>
      </w:r>
    </w:p>
  </w:footnote>
  <w:footnote w:id="101">
    <w:p w14:paraId="2CE746A9"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 xml:space="preserve">(2008) 234 CLR 418 at 459-460 [34]-[35], quoting Tribe, </w:t>
      </w:r>
      <w:r w:rsidRPr="00225BAD">
        <w:rPr>
          <w:rFonts w:ascii="Times New Roman" w:hAnsi="Times New Roman"/>
          <w:i/>
          <w:sz w:val="24"/>
        </w:rPr>
        <w:t>American Constitutional Law</w:t>
      </w:r>
      <w:r w:rsidRPr="00225BAD">
        <w:rPr>
          <w:rFonts w:ascii="Times New Roman" w:hAnsi="Times New Roman"/>
          <w:sz w:val="24"/>
        </w:rPr>
        <w:t>, 3rd ed (2000), vol 1 at 1051-1052.</w:t>
      </w:r>
    </w:p>
  </w:footnote>
  <w:footnote w:id="102">
    <w:p w14:paraId="3F8E8FC5"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r>
      <w:r w:rsidRPr="00225BAD">
        <w:rPr>
          <w:rFonts w:ascii="Times New Roman" w:hAnsi="Times New Roman"/>
          <w:i/>
          <w:sz w:val="24"/>
        </w:rPr>
        <w:t xml:space="preserve">Betfair [No 1] </w:t>
      </w:r>
      <w:r w:rsidRPr="00225BAD">
        <w:rPr>
          <w:rFonts w:ascii="Times New Roman" w:hAnsi="Times New Roman"/>
          <w:sz w:val="24"/>
        </w:rPr>
        <w:t xml:space="preserve">(2008) 234 CLR 418 at 460 [35], quoting </w:t>
      </w:r>
      <w:r w:rsidRPr="00225BAD">
        <w:rPr>
          <w:rFonts w:ascii="Times New Roman" w:hAnsi="Times New Roman"/>
          <w:i/>
          <w:sz w:val="24"/>
        </w:rPr>
        <w:t xml:space="preserve">Baldwin v G A F Seelig Inc </w:t>
      </w:r>
      <w:r w:rsidRPr="00225BAD">
        <w:rPr>
          <w:rFonts w:ascii="Times New Roman" w:hAnsi="Times New Roman"/>
          <w:sz w:val="24"/>
        </w:rPr>
        <w:t>(1935) 294 US 511 at 523.</w:t>
      </w:r>
    </w:p>
  </w:footnote>
  <w:footnote w:id="103">
    <w:p w14:paraId="5B2E5241"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r>
      <w:r w:rsidRPr="00225BAD">
        <w:rPr>
          <w:rFonts w:ascii="Times New Roman" w:hAnsi="Times New Roman"/>
          <w:i/>
          <w:sz w:val="24"/>
        </w:rPr>
        <w:t>Official Report of the National Australasian Convention Debates</w:t>
      </w:r>
      <w:r w:rsidRPr="00225BAD">
        <w:rPr>
          <w:rFonts w:ascii="Times New Roman" w:hAnsi="Times New Roman"/>
          <w:sz w:val="24"/>
        </w:rPr>
        <w:t xml:space="preserve"> (Sydney), 4 March 1891 at 23.</w:t>
      </w:r>
    </w:p>
  </w:footnote>
  <w:footnote w:id="104">
    <w:p w14:paraId="1B1671B7"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 xml:space="preserve">Notably, </w:t>
      </w:r>
      <w:r w:rsidRPr="00225BAD">
        <w:rPr>
          <w:rFonts w:ascii="Times New Roman" w:hAnsi="Times New Roman"/>
          <w:i/>
          <w:sz w:val="24"/>
        </w:rPr>
        <w:t>Guy v Baltimore</w:t>
      </w:r>
      <w:r w:rsidRPr="00225BAD">
        <w:rPr>
          <w:rFonts w:ascii="Times New Roman" w:hAnsi="Times New Roman"/>
          <w:sz w:val="24"/>
        </w:rPr>
        <w:t xml:space="preserve"> (1879) 100 US 434 and </w:t>
      </w:r>
      <w:r w:rsidRPr="00225BAD">
        <w:rPr>
          <w:rFonts w:ascii="Times New Roman" w:hAnsi="Times New Roman"/>
          <w:i/>
          <w:sz w:val="24"/>
        </w:rPr>
        <w:t>Minnesota v Barber</w:t>
      </w:r>
      <w:r w:rsidRPr="00225BAD">
        <w:rPr>
          <w:rFonts w:ascii="Times New Roman" w:hAnsi="Times New Roman"/>
          <w:sz w:val="24"/>
        </w:rPr>
        <w:t xml:space="preserve"> (1890) 136 US 313, discussed in </w:t>
      </w:r>
      <w:r w:rsidRPr="00225BAD">
        <w:rPr>
          <w:rFonts w:ascii="Times New Roman" w:hAnsi="Times New Roman"/>
          <w:i/>
          <w:sz w:val="24"/>
        </w:rPr>
        <w:t>Betfair [No 1]</w:t>
      </w:r>
      <w:r w:rsidRPr="00225BAD">
        <w:rPr>
          <w:rFonts w:ascii="Times New Roman" w:hAnsi="Times New Roman"/>
          <w:sz w:val="24"/>
        </w:rPr>
        <w:t xml:space="preserve"> (2008) 234 CLR 418 at 462-464 [42]-[47].</w:t>
      </w:r>
    </w:p>
  </w:footnote>
  <w:footnote w:id="105">
    <w:p w14:paraId="471534C0"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r>
      <w:r w:rsidRPr="00225BAD">
        <w:rPr>
          <w:rFonts w:ascii="Times New Roman" w:hAnsi="Times New Roman"/>
          <w:i/>
          <w:sz w:val="24"/>
        </w:rPr>
        <w:t>United States Constitution</w:t>
      </w:r>
      <w:r w:rsidRPr="00225BAD">
        <w:rPr>
          <w:rFonts w:ascii="Times New Roman" w:hAnsi="Times New Roman"/>
          <w:sz w:val="24"/>
        </w:rPr>
        <w:t>,</w:t>
      </w:r>
      <w:r w:rsidRPr="00225BAD">
        <w:rPr>
          <w:rFonts w:ascii="Times New Roman" w:hAnsi="Times New Roman"/>
          <w:i/>
          <w:sz w:val="24"/>
        </w:rPr>
        <w:t xml:space="preserve"> </w:t>
      </w:r>
      <w:r w:rsidRPr="00225BAD">
        <w:rPr>
          <w:rFonts w:ascii="Times New Roman" w:hAnsi="Times New Roman"/>
          <w:sz w:val="24"/>
        </w:rPr>
        <w:t>Art I, §8, cl 3.</w:t>
      </w:r>
    </w:p>
  </w:footnote>
  <w:footnote w:id="106">
    <w:p w14:paraId="1395773B"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r>
      <w:r w:rsidRPr="00225BAD">
        <w:rPr>
          <w:rFonts w:ascii="Times New Roman" w:hAnsi="Times New Roman"/>
          <w:i/>
          <w:sz w:val="24"/>
        </w:rPr>
        <w:t>New York v Miln</w:t>
      </w:r>
      <w:r w:rsidRPr="00225BAD">
        <w:rPr>
          <w:rFonts w:ascii="Times New Roman" w:hAnsi="Times New Roman"/>
          <w:sz w:val="24"/>
        </w:rPr>
        <w:t xml:space="preserve"> (1837) 36 US 102.</w:t>
      </w:r>
    </w:p>
  </w:footnote>
  <w:footnote w:id="107">
    <w:p w14:paraId="680BBEDD"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r>
      <w:r w:rsidRPr="00225BAD">
        <w:rPr>
          <w:rFonts w:ascii="Times New Roman" w:hAnsi="Times New Roman"/>
          <w:i/>
          <w:sz w:val="24"/>
        </w:rPr>
        <w:t>The</w:t>
      </w:r>
      <w:r w:rsidRPr="00225BAD">
        <w:rPr>
          <w:rFonts w:ascii="Times New Roman" w:hAnsi="Times New Roman"/>
          <w:sz w:val="24"/>
        </w:rPr>
        <w:t xml:space="preserve"> </w:t>
      </w:r>
      <w:r w:rsidRPr="00225BAD">
        <w:rPr>
          <w:rFonts w:ascii="Times New Roman" w:hAnsi="Times New Roman"/>
          <w:i/>
          <w:sz w:val="24"/>
        </w:rPr>
        <w:t>Passenger Cases</w:t>
      </w:r>
      <w:r w:rsidRPr="00225BAD">
        <w:rPr>
          <w:rFonts w:ascii="Times New Roman" w:hAnsi="Times New Roman"/>
          <w:sz w:val="24"/>
        </w:rPr>
        <w:t xml:space="preserve"> (1849) 48 US 283.</w:t>
      </w:r>
    </w:p>
  </w:footnote>
  <w:footnote w:id="108">
    <w:p w14:paraId="25A6197A"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r>
      <w:r w:rsidRPr="00225BAD">
        <w:rPr>
          <w:rFonts w:ascii="Times New Roman" w:hAnsi="Times New Roman"/>
          <w:i/>
          <w:sz w:val="24"/>
        </w:rPr>
        <w:t>Crandall v Nevada</w:t>
      </w:r>
      <w:r w:rsidRPr="00225BAD">
        <w:rPr>
          <w:rFonts w:ascii="Times New Roman" w:hAnsi="Times New Roman"/>
          <w:sz w:val="24"/>
        </w:rPr>
        <w:t xml:space="preserve"> (1867) 73 US 35.</w:t>
      </w:r>
      <w:r w:rsidRPr="00225BAD">
        <w:rPr>
          <w:rFonts w:ascii="Times New Roman" w:hAnsi="Times New Roman"/>
          <w:i/>
          <w:sz w:val="24"/>
        </w:rPr>
        <w:t xml:space="preserve"> </w:t>
      </w:r>
    </w:p>
  </w:footnote>
  <w:footnote w:id="109">
    <w:p w14:paraId="702C1417"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r>
      <w:r w:rsidRPr="00225BAD">
        <w:rPr>
          <w:rFonts w:ascii="Times New Roman" w:hAnsi="Times New Roman"/>
          <w:i/>
          <w:sz w:val="24"/>
        </w:rPr>
        <w:t xml:space="preserve">Crandall v Nevada </w:t>
      </w:r>
      <w:r w:rsidRPr="00225BAD">
        <w:rPr>
          <w:rFonts w:ascii="Times New Roman" w:hAnsi="Times New Roman"/>
          <w:sz w:val="24"/>
        </w:rPr>
        <w:t xml:space="preserve">(1867) 73 US 35 at 49, quoting </w:t>
      </w:r>
      <w:r w:rsidRPr="00225BAD">
        <w:rPr>
          <w:rFonts w:ascii="Times New Roman" w:hAnsi="Times New Roman"/>
          <w:i/>
          <w:sz w:val="24"/>
        </w:rPr>
        <w:t>The</w:t>
      </w:r>
      <w:r w:rsidRPr="00225BAD">
        <w:rPr>
          <w:rFonts w:ascii="Times New Roman" w:hAnsi="Times New Roman"/>
          <w:sz w:val="24"/>
        </w:rPr>
        <w:t xml:space="preserve"> </w:t>
      </w:r>
      <w:r w:rsidRPr="00225BAD">
        <w:rPr>
          <w:rFonts w:ascii="Times New Roman" w:hAnsi="Times New Roman"/>
          <w:i/>
          <w:sz w:val="24"/>
        </w:rPr>
        <w:t>Passenger Cases</w:t>
      </w:r>
      <w:r w:rsidRPr="00225BAD">
        <w:rPr>
          <w:rFonts w:ascii="Times New Roman" w:hAnsi="Times New Roman"/>
          <w:sz w:val="24"/>
        </w:rPr>
        <w:t xml:space="preserve"> (1849) 48 US 283 at 492. See Willoughby, </w:t>
      </w:r>
      <w:r w:rsidRPr="00225BAD">
        <w:rPr>
          <w:rFonts w:ascii="Times New Roman" w:hAnsi="Times New Roman"/>
          <w:i/>
          <w:sz w:val="24"/>
        </w:rPr>
        <w:t>The Constitutional Law of the United States</w:t>
      </w:r>
      <w:r w:rsidRPr="00225BAD">
        <w:rPr>
          <w:rFonts w:ascii="Times New Roman" w:hAnsi="Times New Roman"/>
          <w:sz w:val="24"/>
        </w:rPr>
        <w:t>, 2nd ed (1929) at 1076.</w:t>
      </w:r>
    </w:p>
  </w:footnote>
  <w:footnote w:id="110">
    <w:p w14:paraId="660BAE17"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r>
      <w:r w:rsidRPr="00225BAD">
        <w:rPr>
          <w:rFonts w:ascii="Times New Roman" w:hAnsi="Times New Roman"/>
          <w:i/>
          <w:sz w:val="24"/>
        </w:rPr>
        <w:t>Official Report of the National Australasian Convention Debates</w:t>
      </w:r>
      <w:r w:rsidRPr="00225BAD">
        <w:rPr>
          <w:rFonts w:ascii="Times New Roman" w:hAnsi="Times New Roman"/>
          <w:sz w:val="24"/>
        </w:rPr>
        <w:t xml:space="preserve"> (Sydney), 4 March 1891 at 23.</w:t>
      </w:r>
    </w:p>
  </w:footnote>
  <w:footnote w:id="111">
    <w:p w14:paraId="69228C62"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r>
      <w:r w:rsidRPr="00225BAD">
        <w:rPr>
          <w:rFonts w:ascii="Times New Roman" w:hAnsi="Times New Roman"/>
          <w:i/>
          <w:sz w:val="24"/>
        </w:rPr>
        <w:t>Official Report of the National Australasian Convention Debates</w:t>
      </w:r>
      <w:r w:rsidRPr="00225BAD">
        <w:rPr>
          <w:rFonts w:ascii="Times New Roman" w:hAnsi="Times New Roman"/>
          <w:sz w:val="24"/>
        </w:rPr>
        <w:t xml:space="preserve"> (Sydney), 4 March 1891 at 24.</w:t>
      </w:r>
    </w:p>
  </w:footnote>
  <w:footnote w:id="112">
    <w:p w14:paraId="6D70783F"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 xml:space="preserve">La Nauze, "A Little Bit of Lawyers' Language: The History of 'Absolutely Free', 1890-1900", in Martin (ed), </w:t>
      </w:r>
      <w:r w:rsidRPr="00225BAD">
        <w:rPr>
          <w:rFonts w:ascii="Times New Roman" w:hAnsi="Times New Roman"/>
          <w:i/>
          <w:sz w:val="24"/>
        </w:rPr>
        <w:t xml:space="preserve">Essays in Australian Federation </w:t>
      </w:r>
      <w:r w:rsidRPr="00225BAD">
        <w:rPr>
          <w:rFonts w:ascii="Times New Roman" w:hAnsi="Times New Roman"/>
          <w:sz w:val="24"/>
        </w:rPr>
        <w:t>(1969) 57 at 70-71.</w:t>
      </w:r>
    </w:p>
  </w:footnote>
  <w:footnote w:id="113">
    <w:p w14:paraId="0EC1F144"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(1988) 165 CLR 360 at 393.</w:t>
      </w:r>
    </w:p>
  </w:footnote>
  <w:footnote w:id="114">
    <w:p w14:paraId="4151723A"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(1945) 70 CLR 1 at 17. See also at 14.</w:t>
      </w:r>
    </w:p>
  </w:footnote>
  <w:footnote w:id="115">
    <w:p w14:paraId="6C980192"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(1936) 55 CLR 1; [1936] AC 578.</w:t>
      </w:r>
    </w:p>
  </w:footnote>
  <w:footnote w:id="116">
    <w:p w14:paraId="1E812A76"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(1988) 165 CLR 360 at 397.</w:t>
      </w:r>
    </w:p>
  </w:footnote>
  <w:footnote w:id="117">
    <w:p w14:paraId="5C46C469"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(1945) 70 CLR 1 at 19.</w:t>
      </w:r>
    </w:p>
  </w:footnote>
  <w:footnote w:id="118">
    <w:p w14:paraId="21E9DE4B"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(1945) 70 CLR 1 at 20.</w:t>
      </w:r>
    </w:p>
  </w:footnote>
  <w:footnote w:id="119">
    <w:p w14:paraId="2401972C"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(1912) 16 CLR 99.</w:t>
      </w:r>
    </w:p>
  </w:footnote>
  <w:footnote w:id="120">
    <w:p w14:paraId="6C11481A"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(1912) 16 CLR 99 at 104.</w:t>
      </w:r>
    </w:p>
  </w:footnote>
  <w:footnote w:id="121">
    <w:p w14:paraId="6E07F478"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(1912) 16 CLR 99 at 108-109.</w:t>
      </w:r>
    </w:p>
  </w:footnote>
  <w:footnote w:id="122">
    <w:p w14:paraId="423A9681"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(1912) 16 CLR 99 at 109-110.</w:t>
      </w:r>
    </w:p>
  </w:footnote>
  <w:footnote w:id="123">
    <w:p w14:paraId="5CACB6E4"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(1912) 16 CLR 99 at 119.</w:t>
      </w:r>
    </w:p>
  </w:footnote>
  <w:footnote w:id="124">
    <w:p w14:paraId="68F13579"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(1928) 42 CLR 209.</w:t>
      </w:r>
    </w:p>
  </w:footnote>
  <w:footnote w:id="125">
    <w:p w14:paraId="089D4B56"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(1935) 52 CLR 157.</w:t>
      </w:r>
    </w:p>
  </w:footnote>
  <w:footnote w:id="126">
    <w:p w14:paraId="155FD6B2"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(1992) 177 CLR 1.</w:t>
      </w:r>
    </w:p>
  </w:footnote>
  <w:footnote w:id="127">
    <w:p w14:paraId="18BC23D6"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(1992) 177 CLR 1 at 57.</w:t>
      </w:r>
    </w:p>
  </w:footnote>
  <w:footnote w:id="128">
    <w:p w14:paraId="04B792ED"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(1992) 177 CLR 1 at 58-59.</w:t>
      </w:r>
    </w:p>
  </w:footnote>
  <w:footnote w:id="129">
    <w:p w14:paraId="118C3AD5"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(1992) 177 CLR 1 at 60.</w:t>
      </w:r>
    </w:p>
  </w:footnote>
  <w:footnote w:id="130">
    <w:p w14:paraId="4BB9C1B7"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(1994) 182 CLR 272.</w:t>
      </w:r>
    </w:p>
  </w:footnote>
  <w:footnote w:id="131">
    <w:p w14:paraId="30495622"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(1994) 182 CLR 272 at 333.</w:t>
      </w:r>
    </w:p>
  </w:footnote>
  <w:footnote w:id="132">
    <w:p w14:paraId="087A293A"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(1994) 182 CLR 272 at 384.</w:t>
      </w:r>
    </w:p>
  </w:footnote>
  <w:footnote w:id="133">
    <w:p w14:paraId="518C4580"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(1994) 182 CLR 272 at 346.</w:t>
      </w:r>
    </w:p>
  </w:footnote>
  <w:footnote w:id="134">
    <w:p w14:paraId="0D531885"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(1994) 182 CLR 272 at 392.</w:t>
      </w:r>
    </w:p>
  </w:footnote>
  <w:footnote w:id="135">
    <w:p w14:paraId="47E051B3"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(1994) 182 CLR 272 at 366.</w:t>
      </w:r>
    </w:p>
  </w:footnote>
  <w:footnote w:id="136">
    <w:p w14:paraId="03AB2064"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(1994) 182 CLR 272 at 396-397.</w:t>
      </w:r>
    </w:p>
  </w:footnote>
  <w:footnote w:id="137">
    <w:p w14:paraId="57064011"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(1999) 199 CLR 160.</w:t>
      </w:r>
    </w:p>
  </w:footnote>
  <w:footnote w:id="138">
    <w:p w14:paraId="25D4BEAB"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 xml:space="preserve">Section 49 of the </w:t>
      </w:r>
      <w:r w:rsidRPr="00225BAD">
        <w:rPr>
          <w:rFonts w:ascii="Times New Roman" w:hAnsi="Times New Roman"/>
          <w:i/>
          <w:sz w:val="24"/>
        </w:rPr>
        <w:t>Northern Territory</w:t>
      </w:r>
      <w:r w:rsidRPr="00225BAD">
        <w:rPr>
          <w:rFonts w:ascii="Times New Roman" w:hAnsi="Times New Roman"/>
          <w:sz w:val="24"/>
        </w:rPr>
        <w:t xml:space="preserve"> </w:t>
      </w:r>
      <w:r w:rsidRPr="00225BAD">
        <w:rPr>
          <w:rFonts w:ascii="Times New Roman" w:hAnsi="Times New Roman"/>
          <w:i/>
          <w:sz w:val="24"/>
        </w:rPr>
        <w:t>(Self-Government)</w:t>
      </w:r>
      <w:r w:rsidRPr="00225BAD">
        <w:rPr>
          <w:rFonts w:ascii="Times New Roman" w:hAnsi="Times New Roman"/>
          <w:sz w:val="24"/>
        </w:rPr>
        <w:t xml:space="preserve"> </w:t>
      </w:r>
      <w:r w:rsidRPr="00225BAD">
        <w:rPr>
          <w:rFonts w:ascii="Times New Roman" w:hAnsi="Times New Roman"/>
          <w:i/>
          <w:sz w:val="24"/>
        </w:rPr>
        <w:t>Act 1978</w:t>
      </w:r>
      <w:r w:rsidRPr="00225BAD">
        <w:rPr>
          <w:rFonts w:ascii="Times New Roman" w:hAnsi="Times New Roman"/>
          <w:sz w:val="24"/>
        </w:rPr>
        <w:t xml:space="preserve"> (Cth).</w:t>
      </w:r>
    </w:p>
  </w:footnote>
  <w:footnote w:id="139">
    <w:p w14:paraId="6DA36E93"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(1999) 199 CLR 160 at 179 [45].</w:t>
      </w:r>
    </w:p>
  </w:footnote>
  <w:footnote w:id="140">
    <w:p w14:paraId="31D5F00B"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(1999) 199 CLR 160 at 179 [45]. See also at 233 [221].</w:t>
      </w:r>
    </w:p>
  </w:footnote>
  <w:footnote w:id="141">
    <w:p w14:paraId="7766AC89"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(2005) 224 CLR 322 at 353 [38], 393-394 [177], 461 [420]. See also at 481-482 [462]-[464].</w:t>
      </w:r>
    </w:p>
  </w:footnote>
  <w:footnote w:id="142">
    <w:p w14:paraId="38F5FC1B"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 xml:space="preserve">Kirk, "Section 92 in its Second Century", in Griffiths and Stellios (eds), </w:t>
      </w:r>
      <w:r w:rsidRPr="00225BAD">
        <w:rPr>
          <w:rFonts w:ascii="Times New Roman" w:hAnsi="Times New Roman"/>
          <w:i/>
          <w:sz w:val="24"/>
        </w:rPr>
        <w:t>Current Issues in Australian Constitutional Law: Tributes to Professor Leslie Zines</w:t>
      </w:r>
      <w:r w:rsidRPr="00225BAD">
        <w:rPr>
          <w:rFonts w:ascii="Times New Roman" w:hAnsi="Times New Roman"/>
          <w:sz w:val="24"/>
        </w:rPr>
        <w:t xml:space="preserve"> (2020) 253 at 277.</w:t>
      </w:r>
    </w:p>
  </w:footnote>
  <w:footnote w:id="143">
    <w:p w14:paraId="4FD566DB"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(1992) 177 CLR 1 at 83-84.</w:t>
      </w:r>
    </w:p>
  </w:footnote>
  <w:footnote w:id="144">
    <w:p w14:paraId="48D7D199"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(2005) 224 CLR 322 at 390-391 [162]-[165], 458 [408].</w:t>
      </w:r>
    </w:p>
  </w:footnote>
  <w:footnote w:id="145">
    <w:p w14:paraId="1A90C5F5"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 xml:space="preserve">(2005) 65 NSWLR 331 at 344 [44]. </w:t>
      </w:r>
    </w:p>
  </w:footnote>
  <w:footnote w:id="146">
    <w:p w14:paraId="3F0706A5"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r>
      <w:r w:rsidRPr="00225BAD">
        <w:rPr>
          <w:rFonts w:ascii="Times New Roman" w:hAnsi="Times New Roman"/>
          <w:i/>
          <w:sz w:val="24"/>
        </w:rPr>
        <w:t xml:space="preserve">Cole v Whitfield </w:t>
      </w:r>
      <w:r w:rsidRPr="00225BAD">
        <w:rPr>
          <w:rFonts w:ascii="Times New Roman" w:hAnsi="Times New Roman"/>
          <w:sz w:val="24"/>
        </w:rPr>
        <w:t xml:space="preserve">(1988) 165 CLR 360 at 394, 409; </w:t>
      </w:r>
      <w:r w:rsidRPr="00225BAD">
        <w:rPr>
          <w:rFonts w:ascii="Times New Roman" w:hAnsi="Times New Roman"/>
          <w:i/>
          <w:sz w:val="24"/>
        </w:rPr>
        <w:t xml:space="preserve">Capital Duplicators Pty Ltd v Australian Capital Territory </w:t>
      </w:r>
      <w:r w:rsidRPr="00225BAD">
        <w:rPr>
          <w:rFonts w:ascii="Times New Roman" w:hAnsi="Times New Roman"/>
          <w:sz w:val="24"/>
        </w:rPr>
        <w:t>(1992) 177 CLR 248 at 275-276.</w:t>
      </w:r>
    </w:p>
  </w:footnote>
  <w:footnote w:id="147">
    <w:p w14:paraId="0B96BC17"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(1931) 46 CLR 73 at 101-102.</w:t>
      </w:r>
    </w:p>
  </w:footnote>
  <w:footnote w:id="148">
    <w:p w14:paraId="30BA7128"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 xml:space="preserve">See </w:t>
      </w:r>
      <w:r w:rsidRPr="00225BAD">
        <w:rPr>
          <w:rFonts w:ascii="Times New Roman" w:hAnsi="Times New Roman"/>
          <w:i/>
          <w:sz w:val="24"/>
        </w:rPr>
        <w:t>Buck v Bavone</w:t>
      </w:r>
      <w:r w:rsidRPr="00225BAD">
        <w:rPr>
          <w:rFonts w:ascii="Times New Roman" w:hAnsi="Times New Roman"/>
          <w:sz w:val="24"/>
        </w:rPr>
        <w:t xml:space="preserve"> (1976) 135 CLR 110 at 118-119, discussing </w:t>
      </w:r>
      <w:r w:rsidRPr="00225BAD">
        <w:rPr>
          <w:rFonts w:ascii="Times New Roman" w:hAnsi="Times New Roman"/>
          <w:i/>
          <w:sz w:val="24"/>
        </w:rPr>
        <w:t>Hughes and Vale Pty Ltd v New South Wales [No 2]</w:t>
      </w:r>
      <w:r w:rsidRPr="00225BAD">
        <w:rPr>
          <w:rFonts w:ascii="Times New Roman" w:hAnsi="Times New Roman"/>
          <w:sz w:val="24"/>
        </w:rPr>
        <w:t xml:space="preserve"> (1955) 93 CLR 127; </w:t>
      </w:r>
      <w:r w:rsidRPr="00225BAD">
        <w:rPr>
          <w:rFonts w:ascii="Times New Roman" w:hAnsi="Times New Roman"/>
          <w:i/>
          <w:sz w:val="24"/>
        </w:rPr>
        <w:t>Miller v TCN Channel Nine Pty Ltd</w:t>
      </w:r>
      <w:r w:rsidRPr="00225BAD">
        <w:rPr>
          <w:rFonts w:ascii="Times New Roman" w:hAnsi="Times New Roman"/>
          <w:sz w:val="24"/>
        </w:rPr>
        <w:t xml:space="preserve"> (1986) 161 CLR 556 at 614.</w:t>
      </w:r>
    </w:p>
  </w:footnote>
  <w:footnote w:id="149">
    <w:p w14:paraId="7B93EB36"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 xml:space="preserve">(1981) 151 CLR 170. See also </w:t>
      </w:r>
      <w:r w:rsidRPr="00225BAD">
        <w:rPr>
          <w:rFonts w:ascii="Times New Roman" w:hAnsi="Times New Roman"/>
          <w:i/>
          <w:sz w:val="24"/>
        </w:rPr>
        <w:t>FAI Insurances Ltd v Winneke</w:t>
      </w:r>
      <w:r w:rsidRPr="00225BAD">
        <w:rPr>
          <w:rFonts w:ascii="Times New Roman" w:hAnsi="Times New Roman"/>
          <w:sz w:val="24"/>
        </w:rPr>
        <w:t xml:space="preserve"> (1982) 151 CLR 342 at 363-366.</w:t>
      </w:r>
    </w:p>
  </w:footnote>
  <w:footnote w:id="150">
    <w:p w14:paraId="74B37518"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(2010) 239 CLR 531.</w:t>
      </w:r>
    </w:p>
  </w:footnote>
  <w:footnote w:id="151">
    <w:p w14:paraId="23A00AF0"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r>
      <w:r w:rsidRPr="00225BAD">
        <w:rPr>
          <w:rFonts w:ascii="Times New Roman" w:hAnsi="Times New Roman"/>
          <w:i/>
          <w:iCs/>
          <w:color w:val="000000"/>
          <w:sz w:val="24"/>
          <w:szCs w:val="27"/>
          <w:shd w:val="clear" w:color="auto" w:fill="FFFFFF"/>
        </w:rPr>
        <w:t>Miller v TCN Channel Nine Pty Ltd</w:t>
      </w:r>
      <w:r w:rsidRPr="00225BAD">
        <w:rPr>
          <w:rFonts w:ascii="Times New Roman" w:hAnsi="Times New Roman"/>
          <w:color w:val="000000"/>
          <w:sz w:val="24"/>
          <w:szCs w:val="27"/>
          <w:shd w:val="clear" w:color="auto" w:fill="FFFFFF"/>
        </w:rPr>
        <w:t xml:space="preserve"> (1986) 161 CLR 556 at 613-614; </w:t>
      </w:r>
      <w:r w:rsidRPr="00225BAD">
        <w:rPr>
          <w:rFonts w:ascii="Times New Roman" w:hAnsi="Times New Roman"/>
          <w:i/>
          <w:sz w:val="24"/>
        </w:rPr>
        <w:t>APLA Ltd v Legal Services Commissioner (NSW)</w:t>
      </w:r>
      <w:r w:rsidRPr="00225BAD">
        <w:rPr>
          <w:rFonts w:ascii="Times New Roman" w:hAnsi="Times New Roman"/>
          <w:i/>
          <w:color w:val="000000"/>
          <w:sz w:val="24"/>
          <w:szCs w:val="27"/>
          <w:shd w:val="clear" w:color="auto" w:fill="FFFFFF"/>
        </w:rPr>
        <w:t xml:space="preserve"> </w:t>
      </w:r>
      <w:r w:rsidRPr="00225BAD">
        <w:rPr>
          <w:rFonts w:ascii="Times New Roman" w:hAnsi="Times New Roman"/>
          <w:color w:val="000000"/>
          <w:sz w:val="24"/>
          <w:szCs w:val="27"/>
          <w:shd w:val="clear" w:color="auto" w:fill="FFFFFF"/>
        </w:rPr>
        <w:t xml:space="preserve">(2005) 224 CLR 322 at 373 [104]; </w:t>
      </w:r>
      <w:r w:rsidRPr="00225BAD">
        <w:rPr>
          <w:rFonts w:ascii="Times New Roman" w:hAnsi="Times New Roman"/>
          <w:i/>
          <w:color w:val="000000"/>
          <w:sz w:val="24"/>
          <w:szCs w:val="27"/>
          <w:shd w:val="clear" w:color="auto" w:fill="FFFFFF"/>
        </w:rPr>
        <w:t xml:space="preserve">Wotton v Queensland </w:t>
      </w:r>
      <w:r w:rsidRPr="00225BAD">
        <w:rPr>
          <w:rFonts w:ascii="Times New Roman" w:hAnsi="Times New Roman"/>
          <w:color w:val="000000"/>
          <w:sz w:val="24"/>
          <w:szCs w:val="27"/>
          <w:shd w:val="clear" w:color="auto" w:fill="FFFFFF"/>
        </w:rPr>
        <w:t xml:space="preserve">(2012) 246 CLR 1 at 9-10 [10]; </w:t>
      </w:r>
      <w:r w:rsidRPr="00225BAD">
        <w:rPr>
          <w:rFonts w:ascii="Times New Roman" w:hAnsi="Times New Roman"/>
          <w:i/>
          <w:sz w:val="24"/>
        </w:rPr>
        <w:t xml:space="preserve">Betfair [No 2] </w:t>
      </w:r>
      <w:r w:rsidRPr="00225BAD">
        <w:rPr>
          <w:rFonts w:ascii="Times New Roman" w:hAnsi="Times New Roman"/>
          <w:sz w:val="24"/>
        </w:rPr>
        <w:t>(2012) 249 CLR 217 at 282 [91].</w:t>
      </w:r>
    </w:p>
  </w:footnote>
  <w:footnote w:id="152">
    <w:p w14:paraId="4DD05E59"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 xml:space="preserve">See </w:t>
      </w:r>
      <w:r w:rsidRPr="00225BAD">
        <w:rPr>
          <w:rFonts w:ascii="Times New Roman" w:hAnsi="Times New Roman"/>
          <w:i/>
          <w:sz w:val="24"/>
        </w:rPr>
        <w:t xml:space="preserve">Clubb v Edwards </w:t>
      </w:r>
      <w:r w:rsidRPr="00225BAD">
        <w:rPr>
          <w:rFonts w:ascii="Times New Roman" w:hAnsi="Times New Roman"/>
          <w:sz w:val="24"/>
        </w:rPr>
        <w:t xml:space="preserve">(2019) 267 CLR 171 at 192-193 [32]-[36], 216-217 [135]-[138]. </w:t>
      </w:r>
    </w:p>
  </w:footnote>
  <w:footnote w:id="153">
    <w:p w14:paraId="4DC048E9"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 xml:space="preserve">(2005) 224 CLR 322 at 373 [104], quoting </w:t>
      </w:r>
      <w:r w:rsidRPr="00225BAD">
        <w:rPr>
          <w:rFonts w:ascii="Times New Roman" w:hAnsi="Times New Roman"/>
          <w:i/>
          <w:sz w:val="24"/>
        </w:rPr>
        <w:t>O'Sullivan v Noarlunga Meat Ltd</w:t>
      </w:r>
      <w:r w:rsidRPr="00225BAD">
        <w:rPr>
          <w:rFonts w:ascii="Times New Roman" w:hAnsi="Times New Roman"/>
          <w:sz w:val="24"/>
        </w:rPr>
        <w:t xml:space="preserve"> (1954) 92 CLR 565 at 594.</w:t>
      </w:r>
    </w:p>
  </w:footnote>
  <w:footnote w:id="154">
    <w:p w14:paraId="64B9DE8C"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r>
      <w:r w:rsidRPr="00225BAD">
        <w:rPr>
          <w:rFonts w:ascii="Times New Roman" w:hAnsi="Times New Roman"/>
          <w:i/>
          <w:sz w:val="24"/>
        </w:rPr>
        <w:t>Palmer v Western Australia [No 4]</w:t>
      </w:r>
      <w:r w:rsidRPr="00225BAD">
        <w:rPr>
          <w:rFonts w:ascii="Times New Roman" w:hAnsi="Times New Roman"/>
          <w:sz w:val="24"/>
        </w:rPr>
        <w:t xml:space="preserve"> [2020] FCA 1221.</w:t>
      </w:r>
    </w:p>
  </w:footnote>
  <w:footnote w:id="155">
    <w:p w14:paraId="499B7AC6"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(2012) 246 CLR 1 at 14 [22]. See also Stellios, "</w:t>
      </w:r>
      <w:r w:rsidRPr="00225BAD">
        <w:rPr>
          <w:rFonts w:ascii="Times New Roman" w:hAnsi="Times New Roman"/>
          <w:i/>
          <w:sz w:val="24"/>
        </w:rPr>
        <w:t>Marbury v Madison</w:t>
      </w:r>
      <w:r w:rsidRPr="00225BAD">
        <w:rPr>
          <w:rFonts w:ascii="Times New Roman" w:hAnsi="Times New Roman"/>
          <w:sz w:val="24"/>
        </w:rPr>
        <w:t xml:space="preserve">: Constitutional limitations and statutory discretions" (2016) 42 </w:t>
      </w:r>
      <w:r w:rsidRPr="00225BAD">
        <w:rPr>
          <w:rFonts w:ascii="Times New Roman" w:hAnsi="Times New Roman"/>
          <w:i/>
          <w:sz w:val="24"/>
        </w:rPr>
        <w:t>Australian Bar Review</w:t>
      </w:r>
      <w:r w:rsidRPr="00225BAD">
        <w:rPr>
          <w:rFonts w:ascii="Times New Roman" w:hAnsi="Times New Roman"/>
          <w:sz w:val="24"/>
        </w:rPr>
        <w:t xml:space="preserve"> 324 at 335-337, discussing </w:t>
      </w:r>
      <w:r w:rsidRPr="00225BAD">
        <w:rPr>
          <w:rFonts w:ascii="Times New Roman" w:hAnsi="Times New Roman"/>
          <w:i/>
          <w:sz w:val="24"/>
        </w:rPr>
        <w:t>Hogan v Hinch</w:t>
      </w:r>
      <w:r w:rsidRPr="00225BAD">
        <w:rPr>
          <w:rFonts w:ascii="Times New Roman" w:hAnsi="Times New Roman"/>
          <w:sz w:val="24"/>
        </w:rPr>
        <w:t xml:space="preserve"> (2011) 243 CLR 506 and </w:t>
      </w:r>
      <w:r w:rsidRPr="00225BAD">
        <w:rPr>
          <w:rFonts w:ascii="Times New Roman" w:hAnsi="Times New Roman"/>
          <w:i/>
          <w:sz w:val="24"/>
        </w:rPr>
        <w:t>Wainohu v New South Wales</w:t>
      </w:r>
      <w:r w:rsidRPr="00225BAD">
        <w:rPr>
          <w:rFonts w:ascii="Times New Roman" w:hAnsi="Times New Roman"/>
          <w:sz w:val="24"/>
        </w:rPr>
        <w:t xml:space="preserve"> (2011) 243 CLR 181.</w:t>
      </w:r>
    </w:p>
  </w:footnote>
  <w:footnote w:id="156">
    <w:p w14:paraId="6CC1D691"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(2019) 93 ALJR 900 at 915-916 [44], 924-925 [96]; 372 ALR 42 at 59, 72.</w:t>
      </w:r>
    </w:p>
  </w:footnote>
  <w:footnote w:id="157">
    <w:p w14:paraId="6351744E"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 xml:space="preserve">(1988) 165 CLR 360 at 408, quoting </w:t>
      </w:r>
      <w:r w:rsidRPr="00225BAD">
        <w:rPr>
          <w:rFonts w:ascii="Times New Roman" w:hAnsi="Times New Roman"/>
          <w:i/>
          <w:sz w:val="24"/>
        </w:rPr>
        <w:t>Freightlines &amp; Construction Holding Ltd v New South Wales</w:t>
      </w:r>
      <w:r w:rsidRPr="00225BAD">
        <w:rPr>
          <w:rFonts w:ascii="Times New Roman" w:hAnsi="Times New Roman"/>
          <w:sz w:val="24"/>
        </w:rPr>
        <w:t xml:space="preserve"> (1967) 116 CLR 1 at 5; [1968] AC 625 at 667. </w:t>
      </w:r>
    </w:p>
  </w:footnote>
  <w:footnote w:id="158">
    <w:p w14:paraId="46E7C973"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(1988) 165 CLR 360 at 408.</w:t>
      </w:r>
    </w:p>
  </w:footnote>
  <w:footnote w:id="159">
    <w:p w14:paraId="452816F2"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(1988) 165 CLR 360 at 409.</w:t>
      </w:r>
    </w:p>
  </w:footnote>
  <w:footnote w:id="160">
    <w:p w14:paraId="2E051769"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(1990) 169 CLR 436 at 473.</w:t>
      </w:r>
    </w:p>
  </w:footnote>
  <w:footnote w:id="161">
    <w:p w14:paraId="145FD44A"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(1990) 169 CLR 436 at 473, 477.</w:t>
      </w:r>
    </w:p>
  </w:footnote>
  <w:footnote w:id="162">
    <w:p w14:paraId="3B5FD6C0"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(1990) 169 CLR 436 at 474.</w:t>
      </w:r>
    </w:p>
  </w:footnote>
  <w:footnote w:id="163">
    <w:p w14:paraId="66BE629B"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(1990) 169 CLR 436 at 475-476.</w:t>
      </w:r>
    </w:p>
  </w:footnote>
  <w:footnote w:id="164">
    <w:p w14:paraId="30D9D2DD"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(2008) 234 CLR 418 at 477 [102]-[103].</w:t>
      </w:r>
    </w:p>
  </w:footnote>
  <w:footnote w:id="165">
    <w:p w14:paraId="2F7B3A1C"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(2008) 234 CLR 418 at 477 [103].</w:t>
      </w:r>
    </w:p>
  </w:footnote>
  <w:footnote w:id="166">
    <w:p w14:paraId="25710523"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(1997) 189 CLR 520 at 567-568.</w:t>
      </w:r>
    </w:p>
  </w:footnote>
  <w:footnote w:id="167">
    <w:p w14:paraId="7BDED5B2"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(2004) 220 CLR 1 at 51 [95]-[96], 77-78 [196], 82 [211].</w:t>
      </w:r>
    </w:p>
  </w:footnote>
  <w:footnote w:id="168">
    <w:p w14:paraId="2EB90088"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(1997) 189 CLR 520 at 562.</w:t>
      </w:r>
    </w:p>
  </w:footnote>
  <w:footnote w:id="169">
    <w:p w14:paraId="0A56266B"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(2004) 220 CLR 181 at 197 [32].</w:t>
      </w:r>
    </w:p>
  </w:footnote>
  <w:footnote w:id="170">
    <w:p w14:paraId="260C9583"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r>
      <w:r w:rsidRPr="00225BAD">
        <w:rPr>
          <w:rFonts w:ascii="Times New Roman" w:hAnsi="Times New Roman"/>
          <w:iCs/>
          <w:sz w:val="24"/>
        </w:rPr>
        <w:t xml:space="preserve">(2004) 220 CLR 181 at 197 </w:t>
      </w:r>
      <w:r w:rsidRPr="00225BAD">
        <w:rPr>
          <w:rFonts w:ascii="Times New Roman" w:hAnsi="Times New Roman"/>
          <w:sz w:val="24"/>
        </w:rPr>
        <w:t>[33].</w:t>
      </w:r>
    </w:p>
  </w:footnote>
  <w:footnote w:id="171">
    <w:p w14:paraId="4BD096BC"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r>
      <w:r w:rsidRPr="00225BAD">
        <w:rPr>
          <w:rFonts w:ascii="Times New Roman" w:hAnsi="Times New Roman"/>
          <w:iCs/>
          <w:sz w:val="24"/>
        </w:rPr>
        <w:t xml:space="preserve">(2004) 220 CLR 181 at 197-198 </w:t>
      </w:r>
      <w:r w:rsidRPr="00225BAD">
        <w:rPr>
          <w:rFonts w:ascii="Times New Roman" w:hAnsi="Times New Roman"/>
          <w:sz w:val="24"/>
        </w:rPr>
        <w:t xml:space="preserve">[34]. See also </w:t>
      </w:r>
      <w:r w:rsidRPr="00225BAD">
        <w:rPr>
          <w:rFonts w:ascii="Times New Roman" w:hAnsi="Times New Roman"/>
          <w:i/>
          <w:sz w:val="24"/>
        </w:rPr>
        <w:t>Roach v Electoral Commissioner</w:t>
      </w:r>
      <w:r w:rsidRPr="00225BAD">
        <w:rPr>
          <w:rFonts w:ascii="Times New Roman" w:hAnsi="Times New Roman"/>
          <w:sz w:val="24"/>
        </w:rPr>
        <w:t xml:space="preserve"> (2007) 233 CLR 162 at 178-179 [17].</w:t>
      </w:r>
    </w:p>
  </w:footnote>
  <w:footnote w:id="172">
    <w:p w14:paraId="1C338377"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 xml:space="preserve">(2004) 220 CLR 181 at 200 [40], referring to </w:t>
      </w:r>
      <w:r w:rsidRPr="00225BAD">
        <w:rPr>
          <w:rFonts w:ascii="Times New Roman" w:hAnsi="Times New Roman"/>
          <w:i/>
          <w:sz w:val="24"/>
        </w:rPr>
        <w:t>Australian Capital Television Pty Ltd v The Commonwealth</w:t>
      </w:r>
      <w:r w:rsidRPr="00225BAD">
        <w:rPr>
          <w:rFonts w:ascii="Times New Roman" w:hAnsi="Times New Roman"/>
          <w:sz w:val="24"/>
        </w:rPr>
        <w:t xml:space="preserve"> (1992) 177 CLR 106 at 169 and </w:t>
      </w:r>
      <w:r w:rsidRPr="00225BAD">
        <w:rPr>
          <w:rFonts w:ascii="Times New Roman" w:hAnsi="Times New Roman"/>
          <w:i/>
          <w:sz w:val="24"/>
        </w:rPr>
        <w:t>Levy v Victoria</w:t>
      </w:r>
      <w:r w:rsidRPr="00225BAD">
        <w:rPr>
          <w:rFonts w:ascii="Times New Roman" w:hAnsi="Times New Roman"/>
          <w:sz w:val="24"/>
        </w:rPr>
        <w:t xml:space="preserve"> (1997) 189 CLR 579 at 618.</w:t>
      </w:r>
    </w:p>
  </w:footnote>
  <w:footnote w:id="173">
    <w:p w14:paraId="7F47258C"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(2007) 233 CLR 307 at 331-333 [20]-[26].</w:t>
      </w:r>
    </w:p>
  </w:footnote>
  <w:footnote w:id="174">
    <w:p w14:paraId="67786A56"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(2008) 234 CLR 418 at 477 [102].</w:t>
      </w:r>
    </w:p>
  </w:footnote>
  <w:footnote w:id="175">
    <w:p w14:paraId="11945676"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(2008) 234 CLR 418 at 477 [103].</w:t>
      </w:r>
    </w:p>
  </w:footnote>
  <w:footnote w:id="176">
    <w:p w14:paraId="02C5B1F5"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(2008) 234 CLR 418 at 477 [102].</w:t>
      </w:r>
    </w:p>
  </w:footnote>
  <w:footnote w:id="177">
    <w:p w14:paraId="7548A33F"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(1975) 134 CLR 559 at 608.</w:t>
      </w:r>
    </w:p>
  </w:footnote>
  <w:footnote w:id="178">
    <w:p w14:paraId="7EAB9E46"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(2015) 257 CLR 178 at 193-195 [2]-[3].</w:t>
      </w:r>
    </w:p>
  </w:footnote>
  <w:footnote w:id="179">
    <w:p w14:paraId="18E3D40D"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(2015) 257 CLR 178 at 193-195 [2].</w:t>
      </w:r>
    </w:p>
  </w:footnote>
  <w:footnote w:id="180">
    <w:p w14:paraId="774AAA7F"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Bundesverfassungsgericht [German Federal Constitutional Court], Judgment of the Second Senate of 5 May 2020, 2 BvR 859/15, 2 BvR 1651/15, 2 BvR 2006/15, 2 BvR 980/16.</w:t>
      </w:r>
    </w:p>
  </w:footnote>
  <w:footnote w:id="181">
    <w:p w14:paraId="067BB7B0"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r>
      <w:r w:rsidRPr="00225BAD">
        <w:rPr>
          <w:rFonts w:ascii="Times New Roman" w:hAnsi="Times New Roman"/>
          <w:i/>
          <w:iCs/>
          <w:sz w:val="24"/>
        </w:rPr>
        <w:t>McCloy v New South Wales</w:t>
      </w:r>
      <w:r w:rsidRPr="00225BAD">
        <w:rPr>
          <w:rFonts w:ascii="Times New Roman" w:hAnsi="Times New Roman"/>
          <w:sz w:val="24"/>
        </w:rPr>
        <w:t xml:space="preserve"> (2015) 257 CLR 178 at 234-238 [140]-[149]; </w:t>
      </w:r>
      <w:r w:rsidRPr="00225BAD">
        <w:rPr>
          <w:rFonts w:ascii="Times New Roman" w:hAnsi="Times New Roman"/>
          <w:i/>
          <w:iCs/>
          <w:sz w:val="24"/>
        </w:rPr>
        <w:t>Murphy v Electoral Commissioner</w:t>
      </w:r>
      <w:r w:rsidRPr="00225BAD">
        <w:rPr>
          <w:rFonts w:ascii="Times New Roman" w:hAnsi="Times New Roman"/>
          <w:sz w:val="24"/>
        </w:rPr>
        <w:t xml:space="preserve"> (2016) 261 CLR 28 at 71-73 [99]-[105]; </w:t>
      </w:r>
      <w:r w:rsidRPr="00225BAD">
        <w:rPr>
          <w:rFonts w:ascii="Times New Roman" w:hAnsi="Times New Roman"/>
          <w:i/>
          <w:iCs/>
          <w:sz w:val="24"/>
        </w:rPr>
        <w:t>Brown v Tasmania</w:t>
      </w:r>
      <w:r w:rsidRPr="00225BAD">
        <w:rPr>
          <w:rFonts w:ascii="Times New Roman" w:hAnsi="Times New Roman"/>
          <w:sz w:val="24"/>
        </w:rPr>
        <w:t xml:space="preserve"> (2017) 261 CLR 328 at 376-377 [157]-[161]; </w:t>
      </w:r>
      <w:r w:rsidRPr="00225BAD">
        <w:rPr>
          <w:rFonts w:ascii="Times New Roman" w:hAnsi="Times New Roman"/>
          <w:i/>
          <w:sz w:val="24"/>
        </w:rPr>
        <w:t xml:space="preserve">Clubb v Edwards </w:t>
      </w:r>
      <w:r w:rsidRPr="00225BAD">
        <w:rPr>
          <w:rFonts w:ascii="Times New Roman" w:hAnsi="Times New Roman"/>
          <w:sz w:val="24"/>
        </w:rPr>
        <w:t>(2019) 267 CLR 171 at 224-225 [159]-[160].</w:t>
      </w:r>
    </w:p>
  </w:footnote>
  <w:footnote w:id="182">
    <w:p w14:paraId="53427DA1"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r>
      <w:r w:rsidRPr="00225BAD">
        <w:rPr>
          <w:rFonts w:ascii="Times New Roman" w:hAnsi="Times New Roman"/>
          <w:i/>
          <w:iCs/>
          <w:sz w:val="24"/>
        </w:rPr>
        <w:t>McCloy v New South Wales</w:t>
      </w:r>
      <w:r w:rsidRPr="00225BAD">
        <w:rPr>
          <w:rFonts w:ascii="Times New Roman" w:hAnsi="Times New Roman"/>
          <w:sz w:val="24"/>
        </w:rPr>
        <w:t xml:space="preserve"> (2015) 257 CLR 178 at 235-238 [142]-[149]; </w:t>
      </w:r>
      <w:r w:rsidRPr="00225BAD">
        <w:rPr>
          <w:rFonts w:ascii="Times New Roman" w:hAnsi="Times New Roman"/>
          <w:i/>
          <w:sz w:val="24"/>
        </w:rPr>
        <w:t>Murphy v Electoral Commissioner</w:t>
      </w:r>
      <w:r w:rsidRPr="00225BAD">
        <w:rPr>
          <w:rFonts w:ascii="Times New Roman" w:hAnsi="Times New Roman"/>
          <w:sz w:val="24"/>
        </w:rPr>
        <w:t xml:space="preserve"> (2016) 261 CLR 28 at 71-72 [99]-[101].</w:t>
      </w:r>
    </w:p>
  </w:footnote>
  <w:footnote w:id="183">
    <w:p w14:paraId="38DA6726"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 xml:space="preserve">Holmes, "Law in Science and Science in Law" (1899) 12 </w:t>
      </w:r>
      <w:r w:rsidRPr="00225BAD">
        <w:rPr>
          <w:rFonts w:ascii="Times New Roman" w:hAnsi="Times New Roman"/>
          <w:i/>
          <w:sz w:val="24"/>
        </w:rPr>
        <w:t>Harvard Law Review</w:t>
      </w:r>
      <w:r w:rsidRPr="00225BAD">
        <w:rPr>
          <w:rFonts w:ascii="Times New Roman" w:hAnsi="Times New Roman"/>
          <w:sz w:val="24"/>
        </w:rPr>
        <w:t xml:space="preserve"> 443 at 460.</w:t>
      </w:r>
    </w:p>
  </w:footnote>
  <w:footnote w:id="184">
    <w:p w14:paraId="2DB3F898"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r>
      <w:r w:rsidRPr="00225BAD">
        <w:rPr>
          <w:rFonts w:ascii="Times New Roman" w:hAnsi="Times New Roman"/>
          <w:i/>
          <w:iCs/>
          <w:sz w:val="24"/>
        </w:rPr>
        <w:t>Murphy v Electoral Commissioner</w:t>
      </w:r>
      <w:r w:rsidRPr="00225BAD">
        <w:rPr>
          <w:rFonts w:ascii="Times New Roman" w:hAnsi="Times New Roman"/>
          <w:sz w:val="24"/>
        </w:rPr>
        <w:t xml:space="preserve"> (2016) 261 CLR 28 at 71-72 [98]-[101].</w:t>
      </w:r>
    </w:p>
  </w:footnote>
  <w:footnote w:id="185">
    <w:p w14:paraId="6C54A640"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 xml:space="preserve">Associated with </w:t>
      </w:r>
      <w:r w:rsidRPr="00225BAD">
        <w:rPr>
          <w:rFonts w:ascii="Times New Roman" w:hAnsi="Times New Roman"/>
          <w:i/>
          <w:sz w:val="24"/>
        </w:rPr>
        <w:t>Hospital Provident Fund Pty Ltd v Victoria</w:t>
      </w:r>
      <w:r w:rsidRPr="00225BAD">
        <w:rPr>
          <w:rFonts w:ascii="Times New Roman" w:hAnsi="Times New Roman"/>
          <w:sz w:val="24"/>
        </w:rPr>
        <w:t xml:space="preserve"> (1953) 87 CLR 1.</w:t>
      </w:r>
    </w:p>
  </w:footnote>
  <w:footnote w:id="186">
    <w:p w14:paraId="067AC696"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 xml:space="preserve">Associated with </w:t>
      </w:r>
      <w:r w:rsidRPr="00225BAD">
        <w:rPr>
          <w:rFonts w:ascii="Times New Roman" w:hAnsi="Times New Roman"/>
          <w:i/>
          <w:sz w:val="24"/>
        </w:rPr>
        <w:t>Dennis Hotels Pty Ltd v Victoria</w:t>
      </w:r>
      <w:r w:rsidRPr="00225BAD">
        <w:rPr>
          <w:rFonts w:ascii="Times New Roman" w:hAnsi="Times New Roman"/>
          <w:sz w:val="24"/>
        </w:rPr>
        <w:t xml:space="preserve"> (1960) 104 CLR 529 and </w:t>
      </w:r>
      <w:r w:rsidRPr="00225BAD">
        <w:rPr>
          <w:rFonts w:ascii="Times New Roman" w:hAnsi="Times New Roman"/>
          <w:i/>
          <w:sz w:val="24"/>
        </w:rPr>
        <w:t>Bolton v Madsen</w:t>
      </w:r>
      <w:r w:rsidRPr="00225BAD">
        <w:rPr>
          <w:rFonts w:ascii="Times New Roman" w:hAnsi="Times New Roman"/>
          <w:sz w:val="24"/>
        </w:rPr>
        <w:t xml:space="preserve"> (1963) 110 CLR 264.</w:t>
      </w:r>
    </w:p>
  </w:footnote>
  <w:footnote w:id="187">
    <w:p w14:paraId="2F211A2C"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 xml:space="preserve">As to the confusion attending the criterion of liability doctrine of s 90, see: </w:t>
      </w:r>
      <w:r w:rsidRPr="00225BAD">
        <w:rPr>
          <w:rFonts w:ascii="Times New Roman" w:hAnsi="Times New Roman"/>
          <w:i/>
          <w:sz w:val="24"/>
        </w:rPr>
        <w:t>Philip Morris Ltd v Commissioner of Business Franchises</w:t>
      </w:r>
      <w:r w:rsidRPr="00225BAD">
        <w:rPr>
          <w:rFonts w:ascii="Times New Roman" w:hAnsi="Times New Roman"/>
          <w:sz w:val="24"/>
        </w:rPr>
        <w:t xml:space="preserve"> </w:t>
      </w:r>
      <w:r w:rsidRPr="00225BAD">
        <w:rPr>
          <w:rFonts w:ascii="Times New Roman" w:hAnsi="Times New Roman"/>
          <w:i/>
          <w:sz w:val="24"/>
        </w:rPr>
        <w:t>(Vict)</w:t>
      </w:r>
      <w:r w:rsidRPr="00225BAD">
        <w:rPr>
          <w:rFonts w:ascii="Times New Roman" w:hAnsi="Times New Roman"/>
          <w:sz w:val="24"/>
        </w:rPr>
        <w:t xml:space="preserve"> (1989) 167 CLR 399 at 429-433; </w:t>
      </w:r>
      <w:r w:rsidRPr="00225BAD">
        <w:rPr>
          <w:rFonts w:ascii="Times New Roman" w:hAnsi="Times New Roman"/>
          <w:i/>
          <w:sz w:val="24"/>
        </w:rPr>
        <w:t>Capital Duplicators Pty Ltd v Australian Capital Territory [No 2]</w:t>
      </w:r>
      <w:r w:rsidRPr="00225BAD">
        <w:rPr>
          <w:rFonts w:ascii="Times New Roman" w:hAnsi="Times New Roman"/>
          <w:sz w:val="24"/>
        </w:rPr>
        <w:t xml:space="preserve"> (1993) 178 CLR 561 at 582-584.</w:t>
      </w:r>
    </w:p>
  </w:footnote>
  <w:footnote w:id="188">
    <w:p w14:paraId="23F5CDDF"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(1997) 189 CLR 465.</w:t>
      </w:r>
    </w:p>
  </w:footnote>
  <w:footnote w:id="189">
    <w:p w14:paraId="27E7AD38"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 xml:space="preserve">(1988) 165 CLR 360 at 384. </w:t>
      </w:r>
    </w:p>
  </w:footnote>
  <w:footnote w:id="190">
    <w:p w14:paraId="7DED0293"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 xml:space="preserve">(1988) 165 CLR 360 at 402. See also the discussion of </w:t>
      </w:r>
      <w:r w:rsidRPr="00225BAD">
        <w:rPr>
          <w:rFonts w:ascii="Times New Roman" w:hAnsi="Times New Roman"/>
          <w:i/>
          <w:sz w:val="24"/>
        </w:rPr>
        <w:t>Mansell v Beck</w:t>
      </w:r>
      <w:r w:rsidRPr="00225BAD">
        <w:rPr>
          <w:rFonts w:ascii="Times New Roman" w:hAnsi="Times New Roman"/>
          <w:sz w:val="24"/>
        </w:rPr>
        <w:t xml:space="preserve"> (1956) 95 CLR 550 in Stellios,</w:t>
      </w:r>
      <w:r w:rsidRPr="00225BAD">
        <w:rPr>
          <w:rFonts w:ascii="Times New Roman" w:hAnsi="Times New Roman"/>
          <w:i/>
          <w:sz w:val="24"/>
        </w:rPr>
        <w:t xml:space="preserve"> Zines's The High Court and The Constitution</w:t>
      </w:r>
      <w:r w:rsidRPr="00225BAD">
        <w:rPr>
          <w:rFonts w:ascii="Times New Roman" w:hAnsi="Times New Roman"/>
          <w:sz w:val="24"/>
        </w:rPr>
        <w:t>, 6th ed (2015) at 674.</w:t>
      </w:r>
    </w:p>
  </w:footnote>
  <w:footnote w:id="191">
    <w:p w14:paraId="0888BB50"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r>
      <w:r w:rsidRPr="00225BAD">
        <w:rPr>
          <w:rFonts w:ascii="Times New Roman" w:hAnsi="Times New Roman"/>
          <w:i/>
          <w:sz w:val="24"/>
        </w:rPr>
        <w:t>Clubb v Edwards</w:t>
      </w:r>
      <w:r w:rsidRPr="00225BAD">
        <w:rPr>
          <w:rFonts w:ascii="Times New Roman" w:hAnsi="Times New Roman"/>
          <w:sz w:val="24"/>
        </w:rPr>
        <w:t xml:space="preserve"> (2019) 267 CLR 171 at 224 [159].</w:t>
      </w:r>
    </w:p>
  </w:footnote>
  <w:footnote w:id="192">
    <w:p w14:paraId="0086B3EC"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 xml:space="preserve">Jacobs, "The Successor Books to 'The Province and Function of Law' – Lawyers' Reasonings: Some Extra-judicial Reflections" (1967) 5 </w:t>
      </w:r>
      <w:r w:rsidRPr="00225BAD">
        <w:rPr>
          <w:rFonts w:ascii="Times New Roman" w:hAnsi="Times New Roman"/>
          <w:i/>
          <w:sz w:val="24"/>
        </w:rPr>
        <w:t>Sydney Law Review</w:t>
      </w:r>
      <w:r w:rsidRPr="00225BAD">
        <w:rPr>
          <w:rFonts w:ascii="Times New Roman" w:hAnsi="Times New Roman"/>
          <w:sz w:val="24"/>
        </w:rPr>
        <w:t xml:space="preserve"> 425 at 428, quoted in Stellios, </w:t>
      </w:r>
      <w:r w:rsidRPr="00225BAD">
        <w:rPr>
          <w:rFonts w:ascii="Times New Roman" w:hAnsi="Times New Roman"/>
          <w:i/>
          <w:sz w:val="24"/>
        </w:rPr>
        <w:t>Zines's The High Court and The Constitution</w:t>
      </w:r>
      <w:r w:rsidRPr="00225BAD">
        <w:rPr>
          <w:rFonts w:ascii="Times New Roman" w:hAnsi="Times New Roman"/>
          <w:sz w:val="24"/>
        </w:rPr>
        <w:t>, 6th ed (2015) at 674.</w:t>
      </w:r>
    </w:p>
  </w:footnote>
  <w:footnote w:id="193">
    <w:p w14:paraId="4AB11FA1"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(2016) 261 CLR 28 at 53 [39]. See also at 94 [202].</w:t>
      </w:r>
    </w:p>
  </w:footnote>
  <w:footnote w:id="194">
    <w:p w14:paraId="0817347E"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(2018) 262 CLR 333 at 343-344 [25]-[32].</w:t>
      </w:r>
    </w:p>
  </w:footnote>
  <w:footnote w:id="195">
    <w:p w14:paraId="7D456BE9"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 xml:space="preserve">Mason, "Foreword", in Chordia, </w:t>
      </w:r>
      <w:r w:rsidRPr="00225BAD">
        <w:rPr>
          <w:rFonts w:ascii="Times New Roman" w:hAnsi="Times New Roman"/>
          <w:i/>
          <w:sz w:val="24"/>
        </w:rPr>
        <w:t>Proportionality in Australian Constitutional Law</w:t>
      </w:r>
      <w:r w:rsidRPr="00225BAD">
        <w:rPr>
          <w:rFonts w:ascii="Times New Roman" w:hAnsi="Times New Roman"/>
          <w:sz w:val="24"/>
        </w:rPr>
        <w:t xml:space="preserve"> (2020) v at vi. See also Simpson, "Section 92 as a Transplant Recipient?", in Griffiths and Stellios (eds), </w:t>
      </w:r>
      <w:r w:rsidRPr="00225BAD">
        <w:rPr>
          <w:rFonts w:ascii="Times New Roman" w:hAnsi="Times New Roman"/>
          <w:i/>
          <w:sz w:val="24"/>
        </w:rPr>
        <w:t>Current Issues in Australian Constitutional Law: Tributes to Professor Leslie Zines</w:t>
      </w:r>
      <w:r w:rsidRPr="00225BAD">
        <w:rPr>
          <w:rFonts w:ascii="Times New Roman" w:hAnsi="Times New Roman"/>
          <w:sz w:val="24"/>
        </w:rPr>
        <w:t xml:space="preserve"> (2020) 283 at 291-292.</w:t>
      </w:r>
    </w:p>
  </w:footnote>
  <w:footnote w:id="196">
    <w:p w14:paraId="6B49B4F1"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Section 3 of the Act.</w:t>
      </w:r>
    </w:p>
  </w:footnote>
  <w:footnote w:id="197">
    <w:p w14:paraId="05AF5F97"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Section 56(1) of the Act.</w:t>
      </w:r>
    </w:p>
  </w:footnote>
  <w:footnote w:id="198">
    <w:p w14:paraId="33F2D5D5"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r>
      <w:r w:rsidRPr="00225BAD">
        <w:rPr>
          <w:rFonts w:ascii="Times New Roman" w:hAnsi="Times New Roman"/>
          <w:i/>
          <w:sz w:val="24"/>
        </w:rPr>
        <w:t>Pape v Federal Commissioner of Taxation</w:t>
      </w:r>
      <w:r w:rsidRPr="00225BAD">
        <w:rPr>
          <w:rFonts w:ascii="Times New Roman" w:hAnsi="Times New Roman"/>
          <w:sz w:val="24"/>
        </w:rPr>
        <w:t xml:space="preserve"> (2009) 238 CLR 1 at 89 [233].</w:t>
      </w:r>
    </w:p>
  </w:footnote>
  <w:footnote w:id="199">
    <w:p w14:paraId="06022C24"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Section 56(2)(a) of the Act.</w:t>
      </w:r>
    </w:p>
  </w:footnote>
  <w:footnote w:id="200">
    <w:p w14:paraId="1C6419CD"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Section 11(1) of the Act.</w:t>
      </w:r>
    </w:p>
  </w:footnote>
  <w:footnote w:id="201">
    <w:p w14:paraId="473E9434"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Section 56(2)(b) of the Act.</w:t>
      </w:r>
    </w:p>
  </w:footnote>
  <w:footnote w:id="202">
    <w:p w14:paraId="46C87AB6"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Section 56(2)(c)(i) of the Act.</w:t>
      </w:r>
    </w:p>
  </w:footnote>
  <w:footnote w:id="203">
    <w:p w14:paraId="14188092"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 xml:space="preserve">Lee, Adams, Campbell and Emerton, </w:t>
      </w:r>
      <w:r w:rsidRPr="00225BAD">
        <w:rPr>
          <w:rFonts w:ascii="Times New Roman" w:hAnsi="Times New Roman"/>
          <w:i/>
          <w:sz w:val="24"/>
        </w:rPr>
        <w:t>Emergency Powers in Australia</w:t>
      </w:r>
      <w:r w:rsidRPr="00225BAD">
        <w:rPr>
          <w:rFonts w:ascii="Times New Roman" w:hAnsi="Times New Roman"/>
          <w:sz w:val="24"/>
        </w:rPr>
        <w:t xml:space="preserve">, 2nd ed (2019) at 179, referring to Walker and Broderick, </w:t>
      </w:r>
      <w:r w:rsidRPr="00225BAD">
        <w:rPr>
          <w:rFonts w:ascii="Times New Roman" w:hAnsi="Times New Roman"/>
          <w:i/>
          <w:sz w:val="24"/>
        </w:rPr>
        <w:t>The Civil Contingencies Act 2004: Risk, Resilience, and the Law in the United Kingdom</w:t>
      </w:r>
      <w:r w:rsidRPr="00225BAD">
        <w:rPr>
          <w:rFonts w:ascii="Times New Roman" w:hAnsi="Times New Roman"/>
          <w:sz w:val="24"/>
        </w:rPr>
        <w:t xml:space="preserve"> (2006) at 52, 72-73.</w:t>
      </w:r>
    </w:p>
  </w:footnote>
  <w:footnote w:id="204">
    <w:p w14:paraId="0B091C76"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r>
      <w:r w:rsidRPr="00225BAD">
        <w:rPr>
          <w:rFonts w:ascii="Times New Roman" w:hAnsi="Times New Roman"/>
          <w:i/>
          <w:sz w:val="24"/>
        </w:rPr>
        <w:t>Graham v Minister for Immigration and Border Protection</w:t>
      </w:r>
      <w:r w:rsidRPr="00225BAD">
        <w:rPr>
          <w:rFonts w:ascii="Times New Roman" w:hAnsi="Times New Roman"/>
          <w:sz w:val="24"/>
        </w:rPr>
        <w:t xml:space="preserve"> (2017) 263 CLR 1 at 30 [57].</w:t>
      </w:r>
    </w:p>
  </w:footnote>
  <w:footnote w:id="205">
    <w:p w14:paraId="77958FEA"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r>
      <w:r w:rsidRPr="00225BAD">
        <w:rPr>
          <w:rFonts w:ascii="Times New Roman" w:hAnsi="Times New Roman"/>
          <w:i/>
          <w:sz w:val="24"/>
        </w:rPr>
        <w:t>ABT17 v Minister for Immigration and Border Protection</w:t>
      </w:r>
      <w:r w:rsidRPr="00225BAD">
        <w:rPr>
          <w:rFonts w:ascii="Times New Roman" w:hAnsi="Times New Roman"/>
          <w:sz w:val="24"/>
        </w:rPr>
        <w:t xml:space="preserve"> (2020) 94 ALJR 928 at 936 [19]-[20]; 383 ALR 407 at 413. </w:t>
      </w:r>
    </w:p>
  </w:footnote>
  <w:footnote w:id="206">
    <w:p w14:paraId="3FBEF4ED"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Section 59 of the Act.</w:t>
      </w:r>
    </w:p>
  </w:footnote>
  <w:footnote w:id="207">
    <w:p w14:paraId="1BC6F7C0"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Section 57 of the Act.</w:t>
      </w:r>
    </w:p>
  </w:footnote>
  <w:footnote w:id="208">
    <w:p w14:paraId="3B1B3773"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Section 58 of the Act.</w:t>
      </w:r>
    </w:p>
  </w:footnote>
  <w:footnote w:id="209">
    <w:p w14:paraId="1E2B012F"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Section 67 of the Act.</w:t>
      </w:r>
    </w:p>
  </w:footnote>
  <w:footnote w:id="210">
    <w:p w14:paraId="72D929B5"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Section 65 of the Act.</w:t>
      </w:r>
    </w:p>
  </w:footnote>
  <w:footnote w:id="211">
    <w:p w14:paraId="10220975"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Sections 3 (definition of "authorised officer") and 61 of the Act.</w:t>
      </w:r>
    </w:p>
  </w:footnote>
  <w:footnote w:id="212">
    <w:p w14:paraId="04D174FF"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t>Section 3 of the Act, definition of "emergency management".</w:t>
      </w:r>
    </w:p>
  </w:footnote>
  <w:footnote w:id="213">
    <w:p w14:paraId="7282038B" w14:textId="77777777" w:rsidR="002D2334" w:rsidRPr="00225BAD" w:rsidRDefault="002D2334" w:rsidP="00225BAD">
      <w:pPr>
        <w:pStyle w:val="FootnoteText"/>
        <w:spacing w:line="280" w:lineRule="exact"/>
        <w:ind w:right="0"/>
        <w:jc w:val="both"/>
        <w:rPr>
          <w:rFonts w:ascii="Times New Roman" w:hAnsi="Times New Roman"/>
          <w:sz w:val="24"/>
        </w:rPr>
      </w:pPr>
      <w:r w:rsidRPr="00225BAD">
        <w:rPr>
          <w:rStyle w:val="FootnoteReference"/>
          <w:rFonts w:ascii="Times New Roman" w:hAnsi="Times New Roman"/>
          <w:sz w:val="22"/>
          <w:vertAlign w:val="baseline"/>
        </w:rPr>
        <w:footnoteRef/>
      </w:r>
      <w:r w:rsidRPr="00225BAD">
        <w:rPr>
          <w:rFonts w:ascii="Times New Roman" w:hAnsi="Times New Roman"/>
          <w:sz w:val="24"/>
        </w:rPr>
        <w:t xml:space="preserve"> </w:t>
      </w:r>
      <w:r w:rsidRPr="00225BAD">
        <w:rPr>
          <w:rFonts w:ascii="Times New Roman" w:hAnsi="Times New Roman"/>
          <w:sz w:val="24"/>
        </w:rPr>
        <w:tab/>
      </w:r>
      <w:r w:rsidRPr="00225BAD">
        <w:rPr>
          <w:rFonts w:ascii="Times New Roman" w:hAnsi="Times New Roman"/>
          <w:i/>
          <w:sz w:val="24"/>
        </w:rPr>
        <w:t>Swan Hill Corporation v Bradbury</w:t>
      </w:r>
      <w:r w:rsidRPr="00225BAD">
        <w:rPr>
          <w:rFonts w:ascii="Times New Roman" w:hAnsi="Times New Roman"/>
          <w:sz w:val="24"/>
        </w:rPr>
        <w:t xml:space="preserve"> (1937) 56 CLR 746 at 757. See also </w:t>
      </w:r>
      <w:r w:rsidRPr="00225BAD">
        <w:rPr>
          <w:rFonts w:ascii="Times New Roman" w:hAnsi="Times New Roman"/>
          <w:i/>
          <w:sz w:val="24"/>
        </w:rPr>
        <w:t>Miller v TCN Channel Nine Pty Ltd</w:t>
      </w:r>
      <w:r w:rsidRPr="00225BAD">
        <w:rPr>
          <w:rFonts w:ascii="Times New Roman" w:hAnsi="Times New Roman"/>
          <w:sz w:val="24"/>
        </w:rPr>
        <w:t xml:space="preserve"> (1986) 161 CLR 556 at 613.</w:t>
      </w:r>
    </w:p>
  </w:footnote>
  <w:footnote w:id="214">
    <w:p w14:paraId="248F6591"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The State Emergency Coordinator is an office held by the Commissioner of Police and, among other things, is responsible for "coordinating the response to an emergency during a state of emergency": </w:t>
      </w:r>
      <w:r w:rsidRPr="002F0E54">
        <w:rPr>
          <w:rFonts w:ascii="Times New Roman" w:hAnsi="Times New Roman"/>
          <w:i/>
          <w:sz w:val="24"/>
        </w:rPr>
        <w:t>Emergency Management Act</w:t>
      </w:r>
      <w:r w:rsidRPr="002F0E54">
        <w:rPr>
          <w:rFonts w:ascii="Times New Roman" w:hAnsi="Times New Roman"/>
          <w:sz w:val="24"/>
        </w:rPr>
        <w:t>, ss 10 and 11(1).</w:t>
      </w:r>
    </w:p>
  </w:footnote>
  <w:footnote w:id="215">
    <w:p w14:paraId="2C3826CC"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Emergency Management Act</w:t>
      </w:r>
      <w:r w:rsidRPr="002F0E54">
        <w:rPr>
          <w:rFonts w:ascii="Times New Roman" w:hAnsi="Times New Roman"/>
          <w:sz w:val="24"/>
        </w:rPr>
        <w:t>, s 67, read with s 56.</w:t>
      </w:r>
    </w:p>
  </w:footnote>
  <w:footnote w:id="216">
    <w:p w14:paraId="01351FA7"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Emergency Management Act</w:t>
      </w:r>
      <w:r w:rsidRPr="002F0E54">
        <w:rPr>
          <w:rFonts w:ascii="Times New Roman" w:hAnsi="Times New Roman"/>
          <w:sz w:val="24"/>
        </w:rPr>
        <w:t xml:space="preserve">, s 56(2)(a). </w:t>
      </w:r>
    </w:p>
  </w:footnote>
  <w:footnote w:id="217">
    <w:p w14:paraId="6E0BFE57"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Emergency Management Act</w:t>
      </w:r>
      <w:r w:rsidRPr="002F0E54">
        <w:rPr>
          <w:rFonts w:ascii="Times New Roman" w:hAnsi="Times New Roman"/>
          <w:sz w:val="24"/>
        </w:rPr>
        <w:t>, s 56(2)(c)(i).</w:t>
      </w:r>
    </w:p>
  </w:footnote>
  <w:footnote w:id="218">
    <w:p w14:paraId="5D29440B"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Emergency Management Act</w:t>
      </w:r>
      <w:r w:rsidRPr="002F0E54">
        <w:rPr>
          <w:rFonts w:ascii="Times New Roman" w:hAnsi="Times New Roman"/>
          <w:sz w:val="24"/>
        </w:rPr>
        <w:t>, s 56(2)(b), read with s 3 definitions of "emergency" and "hazard". Referred to by the Minister as a "pandemic" in the Declaration of State of Emergency dated 15 March 2020.</w:t>
      </w:r>
    </w:p>
  </w:footnote>
  <w:footnote w:id="219">
    <w:p w14:paraId="132449B8"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Emergency Management Act</w:t>
      </w:r>
      <w:r w:rsidRPr="002F0E54">
        <w:rPr>
          <w:rFonts w:ascii="Times New Roman" w:hAnsi="Times New Roman"/>
          <w:sz w:val="24"/>
        </w:rPr>
        <w:t>, s 3 definition of "emergency management".</w:t>
      </w:r>
    </w:p>
  </w:footnote>
  <w:footnote w:id="220">
    <w:p w14:paraId="722CC4A6"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Emergency Management Act</w:t>
      </w:r>
      <w:r w:rsidRPr="002F0E54">
        <w:rPr>
          <w:rFonts w:ascii="Times New Roman" w:hAnsi="Times New Roman"/>
          <w:sz w:val="24"/>
        </w:rPr>
        <w:t>, s 3 definition of "emergency".</w:t>
      </w:r>
    </w:p>
  </w:footnote>
  <w:footnote w:id="221">
    <w:p w14:paraId="3A8105F9"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Emergency Management Act</w:t>
      </w:r>
      <w:r w:rsidRPr="002F0E54">
        <w:rPr>
          <w:rFonts w:ascii="Times New Roman" w:hAnsi="Times New Roman"/>
          <w:sz w:val="24"/>
        </w:rPr>
        <w:t>, s 67.</w:t>
      </w:r>
    </w:p>
  </w:footnote>
  <w:footnote w:id="222">
    <w:p w14:paraId="02CEEA11"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Reasons of Kiefel CJ and Keane J at [8]-[24].</w:t>
      </w:r>
    </w:p>
  </w:footnote>
  <w:footnote w:id="223">
    <w:p w14:paraId="56F64206"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Emergency Management Act</w:t>
      </w:r>
      <w:r w:rsidRPr="002F0E54">
        <w:rPr>
          <w:rFonts w:ascii="Times New Roman" w:hAnsi="Times New Roman"/>
          <w:sz w:val="24"/>
        </w:rPr>
        <w:t>, long title.</w:t>
      </w:r>
    </w:p>
  </w:footnote>
  <w:footnote w:id="224">
    <w:p w14:paraId="404FD4B2"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Emergency Management Act</w:t>
      </w:r>
      <w:r w:rsidRPr="002F0E54">
        <w:rPr>
          <w:rFonts w:ascii="Times New Roman" w:hAnsi="Times New Roman"/>
          <w:sz w:val="24"/>
        </w:rPr>
        <w:t xml:space="preserve">, s 56(2)(a). </w:t>
      </w:r>
    </w:p>
  </w:footnote>
  <w:footnote w:id="225">
    <w:p w14:paraId="519F8C73"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Emergency Management Act</w:t>
      </w:r>
      <w:r w:rsidRPr="002F0E54">
        <w:rPr>
          <w:rFonts w:ascii="Times New Roman" w:hAnsi="Times New Roman"/>
          <w:sz w:val="24"/>
        </w:rPr>
        <w:t>, s 56(2)(b).</w:t>
      </w:r>
    </w:p>
  </w:footnote>
  <w:footnote w:id="226">
    <w:p w14:paraId="70DC052C"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Emergency Management Act</w:t>
      </w:r>
      <w:r w:rsidRPr="002F0E54">
        <w:rPr>
          <w:rFonts w:ascii="Times New Roman" w:hAnsi="Times New Roman"/>
          <w:sz w:val="24"/>
        </w:rPr>
        <w:t>, s 56(2)(c)(i).</w:t>
      </w:r>
    </w:p>
  </w:footnote>
  <w:footnote w:id="227">
    <w:p w14:paraId="43BF4A51"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Emergency Management Act</w:t>
      </w:r>
      <w:r w:rsidRPr="002F0E54">
        <w:rPr>
          <w:rFonts w:ascii="Times New Roman" w:hAnsi="Times New Roman"/>
          <w:sz w:val="24"/>
        </w:rPr>
        <w:t>, s 3 definition of "emergency".</w:t>
      </w:r>
    </w:p>
  </w:footnote>
  <w:footnote w:id="228">
    <w:p w14:paraId="1C92DD78"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Emergency Management Act</w:t>
      </w:r>
      <w:r w:rsidRPr="002F0E54">
        <w:rPr>
          <w:rFonts w:ascii="Times New Roman" w:hAnsi="Times New Roman"/>
          <w:sz w:val="24"/>
        </w:rPr>
        <w:t>, s 3 paras (d) and (f)(i) of the definition of "hazard".</w:t>
      </w:r>
    </w:p>
  </w:footnote>
  <w:footnote w:id="229">
    <w:p w14:paraId="4947087B"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See </w:t>
      </w:r>
      <w:r w:rsidRPr="002F0E54">
        <w:rPr>
          <w:rFonts w:ascii="Times New Roman" w:hAnsi="Times New Roman"/>
          <w:i/>
          <w:sz w:val="24"/>
        </w:rPr>
        <w:t xml:space="preserve">Graham v Minister for Immigration and Border Protection </w:t>
      </w:r>
      <w:r w:rsidRPr="002F0E54">
        <w:rPr>
          <w:rFonts w:ascii="Times New Roman" w:hAnsi="Times New Roman"/>
          <w:sz w:val="24"/>
        </w:rPr>
        <w:t>(2017) 263 CLR 1 at 30 [57].</w:t>
      </w:r>
    </w:p>
  </w:footnote>
  <w:footnote w:id="230">
    <w:p w14:paraId="451D1FE3"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Emergency Management Act</w:t>
      </w:r>
      <w:r w:rsidRPr="002F0E54">
        <w:rPr>
          <w:rFonts w:ascii="Times New Roman" w:hAnsi="Times New Roman"/>
          <w:sz w:val="24"/>
        </w:rPr>
        <w:t>, ss 57 and 58.</w:t>
      </w:r>
    </w:p>
  </w:footnote>
  <w:footnote w:id="231">
    <w:p w14:paraId="095D3311"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Emergency Management Act</w:t>
      </w:r>
      <w:r w:rsidRPr="002F0E54">
        <w:rPr>
          <w:rFonts w:ascii="Times New Roman" w:hAnsi="Times New Roman"/>
          <w:sz w:val="24"/>
        </w:rPr>
        <w:t>, s 57(b).</w:t>
      </w:r>
    </w:p>
  </w:footnote>
  <w:footnote w:id="232">
    <w:p w14:paraId="577CC05B"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Emergency Management Act</w:t>
      </w:r>
      <w:r w:rsidRPr="002F0E54">
        <w:rPr>
          <w:rFonts w:ascii="Times New Roman" w:hAnsi="Times New Roman"/>
          <w:sz w:val="24"/>
        </w:rPr>
        <w:t>, s 58(1) and (4)(a).</w:t>
      </w:r>
    </w:p>
  </w:footnote>
  <w:footnote w:id="233">
    <w:p w14:paraId="67EC5133"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Emergency Management Act</w:t>
      </w:r>
      <w:r w:rsidRPr="002F0E54">
        <w:rPr>
          <w:rFonts w:ascii="Times New Roman" w:hAnsi="Times New Roman"/>
          <w:sz w:val="24"/>
        </w:rPr>
        <w:t>, s 65.</w:t>
      </w:r>
    </w:p>
  </w:footnote>
  <w:footnote w:id="234">
    <w:p w14:paraId="6FF4122D"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Section 67 is also expressed to apply for the purpose of emergency management during an "emergency situation". Section 50 addresses the circumstances in which an emergency situation declaration may be made. The power in s 50 was not in issue in this matter.</w:t>
      </w:r>
    </w:p>
  </w:footnote>
  <w:footnote w:id="235">
    <w:p w14:paraId="016A43D5"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Defined to mean the State Emergency Coordinator and a person authorised under s 61 of the Act: </w:t>
      </w:r>
      <w:r w:rsidRPr="002F0E54">
        <w:rPr>
          <w:rFonts w:ascii="Times New Roman" w:hAnsi="Times New Roman"/>
          <w:i/>
          <w:sz w:val="24"/>
        </w:rPr>
        <w:t>Emergency Management Act</w:t>
      </w:r>
      <w:r w:rsidRPr="002F0E54">
        <w:rPr>
          <w:rFonts w:ascii="Times New Roman" w:hAnsi="Times New Roman"/>
          <w:sz w:val="24"/>
        </w:rPr>
        <w:t>, s 3 definition of "authorised officer".</w:t>
      </w:r>
    </w:p>
  </w:footnote>
  <w:footnote w:id="236">
    <w:p w14:paraId="64B9030A"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Defined to mean "the area to which an emergency situation declaration or a state of emergency declaration applies": </w:t>
      </w:r>
      <w:r w:rsidRPr="002F0E54">
        <w:rPr>
          <w:rFonts w:ascii="Times New Roman" w:hAnsi="Times New Roman"/>
          <w:i/>
          <w:sz w:val="24"/>
        </w:rPr>
        <w:t>Emergency Management Act</w:t>
      </w:r>
      <w:r w:rsidRPr="002F0E54">
        <w:rPr>
          <w:rFonts w:ascii="Times New Roman" w:hAnsi="Times New Roman"/>
          <w:sz w:val="24"/>
        </w:rPr>
        <w:t>, s 3 definition of "emergency area".</w:t>
      </w:r>
    </w:p>
  </w:footnote>
  <w:footnote w:id="237">
    <w:p w14:paraId="28B68D79"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Emergency Management Act</w:t>
      </w:r>
      <w:r w:rsidRPr="002F0E54">
        <w:rPr>
          <w:rFonts w:ascii="Times New Roman" w:hAnsi="Times New Roman"/>
          <w:sz w:val="24"/>
        </w:rPr>
        <w:t>, s 3 definition of "emergency management".</w:t>
      </w:r>
    </w:p>
  </w:footnote>
  <w:footnote w:id="238">
    <w:p w14:paraId="7E5E1D0A"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Directions, para 4. At the time of the hearing before this Court, an exempt traveller was defined in para 27 as certain persons in the following classes: senior government officials carrying out their duties; active Australian military personnel required to be on duty in Western Australia; members of the Commonwealth Parliament; persons carrying out functions under Commonwealth law; the Premier of Western Australia and members of their staff; persons requested to assist in the provision of health services in Western Australia; persons engaged in transport, freight and logistics into or out of Western Australia; persons who have specialist skills; "FIFO"</w:t>
      </w:r>
      <w:r>
        <w:rPr>
          <w:rFonts w:ascii="Times New Roman" w:hAnsi="Times New Roman"/>
          <w:sz w:val="24"/>
        </w:rPr>
        <w:t> </w:t>
      </w:r>
      <w:r w:rsidRPr="002F0E54">
        <w:rPr>
          <w:rFonts w:ascii="Times New Roman" w:hAnsi="Times New Roman"/>
          <w:sz w:val="24"/>
        </w:rPr>
        <w:t>employees who are not specialists and their families; emergency service workers; judicial officers and staff of courts, tribunals and commissions; and persons whose entry is otherwise approved on specified grounds.</w:t>
      </w:r>
    </w:p>
  </w:footnote>
  <w:footnote w:id="239">
    <w:p w14:paraId="7B8D10C6"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Directions, para 5. </w:t>
      </w:r>
    </w:p>
  </w:footnote>
  <w:footnote w:id="240">
    <w:p w14:paraId="6DC97DC7"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Cole v Whitfield</w:t>
      </w:r>
      <w:r w:rsidRPr="002F0E54">
        <w:rPr>
          <w:rFonts w:ascii="Times New Roman" w:hAnsi="Times New Roman"/>
          <w:sz w:val="24"/>
        </w:rPr>
        <w:t xml:space="preserve"> (1988) 165 CLR 360 at 392.</w:t>
      </w:r>
    </w:p>
  </w:footnote>
  <w:footnote w:id="241">
    <w:p w14:paraId="65EB3340"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 xml:space="preserve">Cole </w:t>
      </w:r>
      <w:r w:rsidRPr="002F0E54">
        <w:rPr>
          <w:rFonts w:ascii="Times New Roman" w:hAnsi="Times New Roman"/>
          <w:sz w:val="24"/>
        </w:rPr>
        <w:t xml:space="preserve">(1988) 165 CLR 360 at 383-385, 392. See also </w:t>
      </w:r>
      <w:r w:rsidRPr="002F0E54">
        <w:rPr>
          <w:rFonts w:ascii="Times New Roman" w:hAnsi="Times New Roman"/>
          <w:i/>
          <w:sz w:val="24"/>
        </w:rPr>
        <w:t xml:space="preserve">Betfair Pty Ltd v Western Australia </w:t>
      </w:r>
      <w:r w:rsidRPr="002F0E54">
        <w:rPr>
          <w:rFonts w:ascii="Times New Roman" w:hAnsi="Times New Roman"/>
          <w:sz w:val="24"/>
        </w:rPr>
        <w:t>("</w:t>
      </w:r>
      <w:r w:rsidRPr="002F0E54">
        <w:rPr>
          <w:rFonts w:ascii="Times New Roman" w:hAnsi="Times New Roman"/>
          <w:i/>
          <w:sz w:val="24"/>
        </w:rPr>
        <w:t>Betfair No 1</w:t>
      </w:r>
      <w:r w:rsidRPr="002F0E54">
        <w:rPr>
          <w:rFonts w:ascii="Times New Roman" w:hAnsi="Times New Roman"/>
          <w:sz w:val="24"/>
        </w:rPr>
        <w:t>") (2008) 234 CLR 418 at 452-454 [12]-[20].</w:t>
      </w:r>
    </w:p>
  </w:footnote>
  <w:footnote w:id="242">
    <w:p w14:paraId="0B1A171D"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See </w:t>
      </w:r>
      <w:r w:rsidRPr="002F0E54">
        <w:rPr>
          <w:rFonts w:ascii="Times New Roman" w:hAnsi="Times New Roman"/>
          <w:i/>
          <w:sz w:val="24"/>
        </w:rPr>
        <w:t xml:space="preserve">Gratwick v Johnson </w:t>
      </w:r>
      <w:r w:rsidRPr="002F0E54">
        <w:rPr>
          <w:rFonts w:ascii="Times New Roman" w:hAnsi="Times New Roman"/>
          <w:sz w:val="24"/>
        </w:rPr>
        <w:t xml:space="preserve">(1945) 70 CLR 1 at 19; </w:t>
      </w:r>
      <w:r w:rsidRPr="002F0E54">
        <w:rPr>
          <w:rFonts w:ascii="Times New Roman" w:hAnsi="Times New Roman"/>
          <w:i/>
          <w:sz w:val="24"/>
        </w:rPr>
        <w:t>Cole</w:t>
      </w:r>
      <w:r w:rsidRPr="002F0E54">
        <w:rPr>
          <w:rFonts w:ascii="Times New Roman" w:hAnsi="Times New Roman"/>
          <w:sz w:val="24"/>
        </w:rPr>
        <w:t xml:space="preserve"> (1988) 165 CLR 360 at 393; </w:t>
      </w:r>
      <w:r w:rsidRPr="002F0E54">
        <w:rPr>
          <w:rFonts w:ascii="Times New Roman" w:hAnsi="Times New Roman"/>
          <w:i/>
          <w:sz w:val="24"/>
        </w:rPr>
        <w:t xml:space="preserve">AMS v AIF </w:t>
      </w:r>
      <w:r w:rsidRPr="002F0E54">
        <w:rPr>
          <w:rFonts w:ascii="Times New Roman" w:hAnsi="Times New Roman"/>
          <w:sz w:val="24"/>
        </w:rPr>
        <w:t>(1999) 199 CLR 160 at 178 [43].</w:t>
      </w:r>
    </w:p>
  </w:footnote>
  <w:footnote w:id="243">
    <w:p w14:paraId="02F5667E"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Palmer v Western Australia [No 4]</w:t>
      </w:r>
      <w:r w:rsidRPr="002F0E54">
        <w:rPr>
          <w:rFonts w:ascii="Times New Roman" w:hAnsi="Times New Roman"/>
          <w:sz w:val="24"/>
        </w:rPr>
        <w:t xml:space="preserve"> [2020] FCA 1221 at [84], [88]-[89].</w:t>
      </w:r>
    </w:p>
  </w:footnote>
  <w:footnote w:id="244">
    <w:p w14:paraId="1B6990AB"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 xml:space="preserve">Miller v TCN Channel Nine Pty Ltd </w:t>
      </w:r>
      <w:r w:rsidRPr="002F0E54">
        <w:rPr>
          <w:rFonts w:ascii="Times New Roman" w:hAnsi="Times New Roman"/>
          <w:sz w:val="24"/>
        </w:rPr>
        <w:t>(1986) 161 CLR 556 at 609</w:t>
      </w:r>
      <w:r w:rsidRPr="002F0E54">
        <w:rPr>
          <w:rFonts w:ascii="Times New Roman" w:hAnsi="Times New Roman"/>
          <w:sz w:val="24"/>
        </w:rPr>
        <w:noBreakHyphen/>
        <w:t xml:space="preserve">610; </w:t>
      </w:r>
      <w:r w:rsidRPr="002F0E54">
        <w:rPr>
          <w:rFonts w:ascii="Times New Roman" w:hAnsi="Times New Roman"/>
          <w:i/>
          <w:sz w:val="24"/>
        </w:rPr>
        <w:t>Cole</w:t>
      </w:r>
      <w:r w:rsidRPr="002F0E54">
        <w:rPr>
          <w:rFonts w:ascii="Times New Roman" w:hAnsi="Times New Roman"/>
          <w:sz w:val="24"/>
        </w:rPr>
        <w:t xml:space="preserve"> (1988) 165 CLR 360; </w:t>
      </w:r>
      <w:r w:rsidRPr="002F0E54">
        <w:rPr>
          <w:rFonts w:ascii="Times New Roman" w:hAnsi="Times New Roman"/>
          <w:i/>
          <w:sz w:val="24"/>
        </w:rPr>
        <w:t xml:space="preserve">Betfair Pty Ltd v Racing New South Wales </w:t>
      </w:r>
      <w:r w:rsidRPr="002F0E54">
        <w:rPr>
          <w:rFonts w:ascii="Times New Roman" w:hAnsi="Times New Roman"/>
          <w:sz w:val="24"/>
        </w:rPr>
        <w:t>("</w:t>
      </w:r>
      <w:r w:rsidRPr="002F0E54">
        <w:rPr>
          <w:rFonts w:ascii="Times New Roman" w:hAnsi="Times New Roman"/>
          <w:i/>
          <w:sz w:val="24"/>
        </w:rPr>
        <w:t>Betfair No 2</w:t>
      </w:r>
      <w:r w:rsidRPr="002F0E54">
        <w:rPr>
          <w:rFonts w:ascii="Times New Roman" w:hAnsi="Times New Roman"/>
          <w:sz w:val="24"/>
        </w:rPr>
        <w:t>") (2012) 249 CLR 217 at 266-267 [42]</w:t>
      </w:r>
      <w:r w:rsidRPr="002F0E54">
        <w:rPr>
          <w:rFonts w:ascii="Times New Roman" w:hAnsi="Times New Roman"/>
          <w:sz w:val="24"/>
        </w:rPr>
        <w:noBreakHyphen/>
        <w:t>[44].</w:t>
      </w:r>
    </w:p>
  </w:footnote>
  <w:footnote w:id="245">
    <w:p w14:paraId="3BDFBFFF"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Cole</w:t>
      </w:r>
      <w:r w:rsidRPr="002F0E54">
        <w:rPr>
          <w:rFonts w:ascii="Times New Roman" w:hAnsi="Times New Roman"/>
          <w:sz w:val="24"/>
        </w:rPr>
        <w:t xml:space="preserve"> (1988) 165 CLR 360 at 394; </w:t>
      </w:r>
      <w:r w:rsidRPr="002F0E54">
        <w:rPr>
          <w:rFonts w:ascii="Times New Roman" w:hAnsi="Times New Roman"/>
          <w:i/>
          <w:sz w:val="24"/>
        </w:rPr>
        <w:t xml:space="preserve">Australian Capital Television Pty Ltd v The Commonwealth </w:t>
      </w:r>
      <w:r w:rsidRPr="002F0E54">
        <w:rPr>
          <w:rFonts w:ascii="Times New Roman" w:hAnsi="Times New Roman"/>
          <w:sz w:val="24"/>
        </w:rPr>
        <w:t>("</w:t>
      </w:r>
      <w:r w:rsidRPr="002F0E54">
        <w:rPr>
          <w:rFonts w:ascii="Times New Roman" w:hAnsi="Times New Roman"/>
          <w:i/>
          <w:sz w:val="24"/>
        </w:rPr>
        <w:t>ACTV</w:t>
      </w:r>
      <w:r w:rsidRPr="002F0E54">
        <w:rPr>
          <w:rFonts w:ascii="Times New Roman" w:hAnsi="Times New Roman"/>
          <w:sz w:val="24"/>
        </w:rPr>
        <w:t xml:space="preserve">") (1992) 177 CLR 106 at 150; </w:t>
      </w:r>
      <w:r w:rsidRPr="002F0E54">
        <w:rPr>
          <w:rFonts w:ascii="Times New Roman" w:hAnsi="Times New Roman"/>
          <w:i/>
          <w:sz w:val="24"/>
        </w:rPr>
        <w:t xml:space="preserve">Betfair No 2 </w:t>
      </w:r>
      <w:r w:rsidRPr="002F0E54">
        <w:rPr>
          <w:rFonts w:ascii="Times New Roman" w:hAnsi="Times New Roman"/>
          <w:sz w:val="24"/>
        </w:rPr>
        <w:t>(2012) 249</w:t>
      </w:r>
      <w:r>
        <w:rPr>
          <w:rFonts w:ascii="Times New Roman" w:hAnsi="Times New Roman"/>
          <w:sz w:val="24"/>
        </w:rPr>
        <w:t> </w:t>
      </w:r>
      <w:r w:rsidRPr="002F0E54">
        <w:rPr>
          <w:rFonts w:ascii="Times New Roman" w:hAnsi="Times New Roman"/>
          <w:sz w:val="24"/>
        </w:rPr>
        <w:t>CLR 217 at 258 [14].</w:t>
      </w:r>
    </w:p>
  </w:footnote>
  <w:footnote w:id="246">
    <w:p w14:paraId="11D57C3F"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 xml:space="preserve">Cole </w:t>
      </w:r>
      <w:r w:rsidRPr="002F0E54">
        <w:rPr>
          <w:rFonts w:ascii="Times New Roman" w:hAnsi="Times New Roman"/>
          <w:sz w:val="24"/>
        </w:rPr>
        <w:t xml:space="preserve">(1988) 165 CLR 360 at 394; </w:t>
      </w:r>
      <w:r w:rsidRPr="002F0E54">
        <w:rPr>
          <w:rFonts w:ascii="Times New Roman" w:hAnsi="Times New Roman"/>
          <w:i/>
          <w:sz w:val="24"/>
        </w:rPr>
        <w:t>Nationwide News Pty Ltd v Wills</w:t>
      </w:r>
      <w:r w:rsidRPr="002F0E54">
        <w:rPr>
          <w:rFonts w:ascii="Times New Roman" w:hAnsi="Times New Roman"/>
          <w:sz w:val="24"/>
        </w:rPr>
        <w:t xml:space="preserve"> (1992) 177 CLR 1 at 54, 58; </w:t>
      </w:r>
      <w:r w:rsidRPr="002F0E54">
        <w:rPr>
          <w:rFonts w:ascii="Times New Roman" w:hAnsi="Times New Roman"/>
          <w:i/>
          <w:sz w:val="24"/>
        </w:rPr>
        <w:t>ACTV</w:t>
      </w:r>
      <w:r w:rsidRPr="002F0E54" w:rsidDel="001F064C">
        <w:rPr>
          <w:rFonts w:ascii="Times New Roman" w:hAnsi="Times New Roman"/>
          <w:i/>
          <w:sz w:val="24"/>
        </w:rPr>
        <w:t xml:space="preserve"> </w:t>
      </w:r>
      <w:r w:rsidRPr="002F0E54">
        <w:rPr>
          <w:rFonts w:ascii="Times New Roman" w:hAnsi="Times New Roman"/>
          <w:sz w:val="24"/>
        </w:rPr>
        <w:t xml:space="preserve">(1992) 177 CLR 106 at 192-194; </w:t>
      </w:r>
      <w:r w:rsidRPr="002F0E54">
        <w:rPr>
          <w:rFonts w:ascii="Times New Roman" w:hAnsi="Times New Roman"/>
          <w:i/>
          <w:sz w:val="24"/>
        </w:rPr>
        <w:t xml:space="preserve">Cunliffe v The Commonwealth </w:t>
      </w:r>
      <w:r w:rsidRPr="002F0E54">
        <w:rPr>
          <w:rFonts w:ascii="Times New Roman" w:hAnsi="Times New Roman"/>
          <w:sz w:val="24"/>
        </w:rPr>
        <w:t>(1994) 182 CLR 272 at 307, 346, 395.</w:t>
      </w:r>
    </w:p>
  </w:footnote>
  <w:footnote w:id="247">
    <w:p w14:paraId="460C31DC"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Cunliffe</w:t>
      </w:r>
      <w:r w:rsidRPr="002F0E54">
        <w:rPr>
          <w:rFonts w:ascii="Times New Roman" w:hAnsi="Times New Roman"/>
          <w:sz w:val="24"/>
        </w:rPr>
        <w:t xml:space="preserve"> (1994) 182 CLR 272 at 366, 396; </w:t>
      </w:r>
      <w:r w:rsidRPr="002F0E54" w:rsidDel="006E52B9">
        <w:rPr>
          <w:rFonts w:ascii="Times New Roman" w:hAnsi="Times New Roman"/>
          <w:i/>
          <w:sz w:val="24"/>
        </w:rPr>
        <w:t xml:space="preserve">AMS </w:t>
      </w:r>
      <w:r w:rsidRPr="002F0E54" w:rsidDel="006E52B9">
        <w:rPr>
          <w:rFonts w:ascii="Times New Roman" w:hAnsi="Times New Roman"/>
          <w:sz w:val="24"/>
        </w:rPr>
        <w:t xml:space="preserve">(1999) 199 CLR 160 at </w:t>
      </w:r>
      <w:r w:rsidRPr="002F0E54">
        <w:rPr>
          <w:rFonts w:ascii="Times New Roman" w:hAnsi="Times New Roman"/>
          <w:sz w:val="24"/>
        </w:rPr>
        <w:t xml:space="preserve">179 [45], </w:t>
      </w:r>
      <w:r w:rsidRPr="002F0E54" w:rsidDel="006E52B9">
        <w:rPr>
          <w:rFonts w:ascii="Times New Roman" w:hAnsi="Times New Roman"/>
          <w:sz w:val="24"/>
        </w:rPr>
        <w:t xml:space="preserve">179-180 [48], 232-233 [221]; </w:t>
      </w:r>
      <w:r w:rsidRPr="002F0E54" w:rsidDel="006E52B9">
        <w:rPr>
          <w:rFonts w:ascii="Times New Roman" w:hAnsi="Times New Roman"/>
          <w:i/>
          <w:sz w:val="24"/>
        </w:rPr>
        <w:t>APLA Ltd v Legal Services Commissioner (NSW)</w:t>
      </w:r>
      <w:r w:rsidRPr="002F0E54" w:rsidDel="006E52B9">
        <w:rPr>
          <w:rFonts w:ascii="Times New Roman" w:hAnsi="Times New Roman"/>
          <w:sz w:val="24"/>
        </w:rPr>
        <w:t xml:space="preserve"> (2005) 224 CLR 322 at 353 [38], 393-394 [177], 461 [420]; </w:t>
      </w:r>
      <w:r w:rsidRPr="002F0E54">
        <w:rPr>
          <w:rFonts w:ascii="Times New Roman" w:hAnsi="Times New Roman"/>
          <w:i/>
          <w:sz w:val="24"/>
        </w:rPr>
        <w:t>Betfair No 1</w:t>
      </w:r>
      <w:r w:rsidRPr="002F0E54">
        <w:rPr>
          <w:rFonts w:ascii="Times New Roman" w:hAnsi="Times New Roman"/>
          <w:sz w:val="24"/>
        </w:rPr>
        <w:t xml:space="preserve"> (2008) 234</w:t>
      </w:r>
      <w:r>
        <w:rPr>
          <w:rFonts w:ascii="Times New Roman" w:hAnsi="Times New Roman"/>
          <w:sz w:val="24"/>
        </w:rPr>
        <w:t> </w:t>
      </w:r>
      <w:r w:rsidRPr="002F0E54">
        <w:rPr>
          <w:rFonts w:ascii="Times New Roman" w:hAnsi="Times New Roman"/>
          <w:sz w:val="24"/>
        </w:rPr>
        <w:t xml:space="preserve">CLR 418 at 477 [102]; </w:t>
      </w:r>
      <w:r w:rsidRPr="002F0E54">
        <w:rPr>
          <w:rFonts w:ascii="Times New Roman" w:hAnsi="Times New Roman"/>
          <w:i/>
          <w:sz w:val="24"/>
        </w:rPr>
        <w:t>Betfair No 2</w:t>
      </w:r>
      <w:r w:rsidRPr="002F0E54">
        <w:rPr>
          <w:rFonts w:ascii="Times New Roman" w:hAnsi="Times New Roman"/>
          <w:sz w:val="24"/>
        </w:rPr>
        <w:t xml:space="preserve"> (2012) 249 CLR 217 at 269 [52], 295 [136].</w:t>
      </w:r>
    </w:p>
  </w:footnote>
  <w:footnote w:id="248">
    <w:p w14:paraId="5CE1AEDE"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(1988) 165 CLR 360 at 388.</w:t>
      </w:r>
    </w:p>
  </w:footnote>
  <w:footnote w:id="249">
    <w:p w14:paraId="58FE74B5"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(1988) 165 CLR 360 at 387-388. See also </w:t>
      </w:r>
      <w:r w:rsidRPr="002F0E54">
        <w:rPr>
          <w:rFonts w:ascii="Times New Roman" w:hAnsi="Times New Roman"/>
          <w:i/>
          <w:sz w:val="24"/>
        </w:rPr>
        <w:t xml:space="preserve">Nationwide News </w:t>
      </w:r>
      <w:r w:rsidRPr="002F0E54">
        <w:rPr>
          <w:rFonts w:ascii="Times New Roman" w:hAnsi="Times New Roman"/>
          <w:sz w:val="24"/>
        </w:rPr>
        <w:t xml:space="preserve">(1992) 177 CLR 1 at 54-55, 82-83; </w:t>
      </w:r>
      <w:r w:rsidRPr="002F0E54">
        <w:rPr>
          <w:rFonts w:ascii="Times New Roman" w:hAnsi="Times New Roman"/>
          <w:i/>
          <w:sz w:val="24"/>
        </w:rPr>
        <w:t xml:space="preserve">ACTV </w:t>
      </w:r>
      <w:r w:rsidRPr="002F0E54">
        <w:rPr>
          <w:rFonts w:ascii="Times New Roman" w:hAnsi="Times New Roman"/>
          <w:sz w:val="24"/>
        </w:rPr>
        <w:t xml:space="preserve">(1992) 177 CLR 106 at 192; </w:t>
      </w:r>
      <w:r w:rsidRPr="002F0E54">
        <w:rPr>
          <w:rFonts w:ascii="Times New Roman" w:hAnsi="Times New Roman"/>
          <w:i/>
          <w:sz w:val="24"/>
        </w:rPr>
        <w:t xml:space="preserve">Cunliffe </w:t>
      </w:r>
      <w:r w:rsidRPr="002F0E54">
        <w:rPr>
          <w:rFonts w:ascii="Times New Roman" w:hAnsi="Times New Roman"/>
          <w:sz w:val="24"/>
        </w:rPr>
        <w:t xml:space="preserve">(1994) 182 CLR 272 at 307, 346, 395; </w:t>
      </w:r>
      <w:r w:rsidRPr="002F0E54">
        <w:rPr>
          <w:rFonts w:ascii="Times New Roman" w:hAnsi="Times New Roman"/>
          <w:i/>
          <w:sz w:val="24"/>
        </w:rPr>
        <w:t xml:space="preserve">AMS </w:t>
      </w:r>
      <w:r w:rsidRPr="002F0E54">
        <w:rPr>
          <w:rFonts w:ascii="Times New Roman" w:hAnsi="Times New Roman"/>
          <w:sz w:val="24"/>
        </w:rPr>
        <w:t xml:space="preserve">(1999) 199 CLR 160 at 192 [98]; </w:t>
      </w:r>
      <w:r w:rsidRPr="002F0E54">
        <w:rPr>
          <w:rFonts w:ascii="Times New Roman" w:hAnsi="Times New Roman"/>
          <w:i/>
          <w:sz w:val="24"/>
        </w:rPr>
        <w:t xml:space="preserve">APLA </w:t>
      </w:r>
      <w:r w:rsidRPr="002F0E54">
        <w:rPr>
          <w:rFonts w:ascii="Times New Roman" w:hAnsi="Times New Roman"/>
          <w:sz w:val="24"/>
        </w:rPr>
        <w:t>(2005) 224 CLR 322 at 456 [400</w:t>
      </w:r>
      <w:r w:rsidRPr="002F0E54" w:rsidDel="001135A7">
        <w:rPr>
          <w:rFonts w:ascii="Times New Roman" w:hAnsi="Times New Roman"/>
          <w:sz w:val="24"/>
        </w:rPr>
        <w:t>]</w:t>
      </w:r>
      <w:r w:rsidRPr="002F0E54">
        <w:rPr>
          <w:rFonts w:ascii="Times New Roman" w:hAnsi="Times New Roman"/>
          <w:sz w:val="24"/>
        </w:rPr>
        <w:t>.</w:t>
      </w:r>
    </w:p>
  </w:footnote>
  <w:footnote w:id="250">
    <w:p w14:paraId="34D01979"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See </w:t>
      </w:r>
      <w:r w:rsidRPr="002F0E54">
        <w:rPr>
          <w:rFonts w:ascii="Times New Roman" w:hAnsi="Times New Roman"/>
          <w:i/>
          <w:sz w:val="24"/>
        </w:rPr>
        <w:t xml:space="preserve">Betfair No 1 </w:t>
      </w:r>
      <w:r w:rsidRPr="002F0E54">
        <w:rPr>
          <w:rFonts w:ascii="Times New Roman" w:hAnsi="Times New Roman"/>
          <w:sz w:val="24"/>
        </w:rPr>
        <w:t xml:space="preserve">(2008) 234 CLR 418 at 476 [101]; </w:t>
      </w:r>
      <w:r w:rsidRPr="002F0E54">
        <w:rPr>
          <w:rFonts w:ascii="Times New Roman" w:hAnsi="Times New Roman"/>
          <w:i/>
          <w:sz w:val="24"/>
        </w:rPr>
        <w:t xml:space="preserve">Betfair No 2 </w:t>
      </w:r>
      <w:r w:rsidRPr="002F0E54">
        <w:rPr>
          <w:rFonts w:ascii="Times New Roman" w:hAnsi="Times New Roman"/>
          <w:sz w:val="24"/>
        </w:rPr>
        <w:t>(2012) 249 CLR 217 at 263 [31].</w:t>
      </w:r>
    </w:p>
  </w:footnote>
  <w:footnote w:id="251">
    <w:p w14:paraId="2E6E0901"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(2005) 224 CLR 322 at 456-457 [401]-[402].</w:t>
      </w:r>
    </w:p>
  </w:footnote>
  <w:footnote w:id="252">
    <w:p w14:paraId="4E5C413B"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 xml:space="preserve">APLA </w:t>
      </w:r>
      <w:r w:rsidRPr="002F0E54">
        <w:rPr>
          <w:rFonts w:ascii="Times New Roman" w:hAnsi="Times New Roman"/>
          <w:sz w:val="24"/>
        </w:rPr>
        <w:t>(2005) 224 CLR 322 at 456 [401].</w:t>
      </w:r>
    </w:p>
  </w:footnote>
  <w:footnote w:id="253">
    <w:p w14:paraId="443F546B"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 xml:space="preserve">APLA </w:t>
      </w:r>
      <w:r w:rsidRPr="002F0E54">
        <w:rPr>
          <w:rFonts w:ascii="Times New Roman" w:hAnsi="Times New Roman"/>
          <w:sz w:val="24"/>
        </w:rPr>
        <w:t>(2005) 224 CLR 322 at 456-457 [402].</w:t>
      </w:r>
    </w:p>
  </w:footnote>
  <w:footnote w:id="254">
    <w:p w14:paraId="4C965A7F"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See, eg, </w:t>
      </w:r>
      <w:r w:rsidRPr="002F0E54">
        <w:rPr>
          <w:rFonts w:ascii="Times New Roman" w:hAnsi="Times New Roman"/>
          <w:i/>
          <w:sz w:val="24"/>
        </w:rPr>
        <w:t xml:space="preserve">Nationwide News </w:t>
      </w:r>
      <w:r w:rsidRPr="002F0E54">
        <w:rPr>
          <w:rFonts w:ascii="Times New Roman" w:hAnsi="Times New Roman"/>
          <w:sz w:val="24"/>
        </w:rPr>
        <w:t xml:space="preserve">(1992) 177 CLR 1 at 54-55, 59; </w:t>
      </w:r>
      <w:r w:rsidRPr="002F0E54">
        <w:rPr>
          <w:rFonts w:ascii="Times New Roman" w:hAnsi="Times New Roman"/>
          <w:i/>
          <w:sz w:val="24"/>
        </w:rPr>
        <w:t>APLA </w:t>
      </w:r>
      <w:r w:rsidRPr="002F0E54">
        <w:rPr>
          <w:rFonts w:ascii="Times New Roman" w:hAnsi="Times New Roman"/>
          <w:sz w:val="24"/>
        </w:rPr>
        <w:t>(2005) 224 CLR 322 at 353-354 [39], 390-391 [164]</w:t>
      </w:r>
      <w:r w:rsidRPr="002F0E54">
        <w:rPr>
          <w:rFonts w:ascii="Times New Roman" w:hAnsi="Times New Roman"/>
          <w:sz w:val="24"/>
        </w:rPr>
        <w:noBreakHyphen/>
        <w:t>[165], 456 [400], 458 [408].</w:t>
      </w:r>
    </w:p>
  </w:footnote>
  <w:footnote w:id="255">
    <w:p w14:paraId="3F1A9ADF"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 xml:space="preserve">Cole </w:t>
      </w:r>
      <w:r w:rsidRPr="002F0E54">
        <w:rPr>
          <w:rFonts w:ascii="Times New Roman" w:hAnsi="Times New Roman"/>
          <w:sz w:val="24"/>
        </w:rPr>
        <w:t xml:space="preserve">(1988) 165 CLR 360 at 391. See also </w:t>
      </w:r>
      <w:r w:rsidRPr="002F0E54">
        <w:rPr>
          <w:rFonts w:ascii="Times New Roman" w:hAnsi="Times New Roman"/>
          <w:i/>
          <w:sz w:val="24"/>
        </w:rPr>
        <w:t xml:space="preserve">Nationwide News </w:t>
      </w:r>
      <w:r w:rsidRPr="002F0E54">
        <w:rPr>
          <w:rFonts w:ascii="Times New Roman" w:hAnsi="Times New Roman"/>
          <w:sz w:val="24"/>
        </w:rPr>
        <w:t>(1992) 177 CLR 1 at 82.</w:t>
      </w:r>
    </w:p>
  </w:footnote>
  <w:footnote w:id="256">
    <w:p w14:paraId="7AB42397"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Kirk, "Section 92 in its Second Century", in Griffiths and Stellios (eds), </w:t>
      </w:r>
      <w:r w:rsidRPr="002F0E54">
        <w:rPr>
          <w:rFonts w:ascii="Times New Roman" w:hAnsi="Times New Roman"/>
          <w:i/>
          <w:sz w:val="24"/>
        </w:rPr>
        <w:t>Current</w:t>
      </w:r>
      <w:r>
        <w:rPr>
          <w:rFonts w:ascii="Times New Roman" w:hAnsi="Times New Roman"/>
          <w:i/>
          <w:sz w:val="24"/>
        </w:rPr>
        <w:t> </w:t>
      </w:r>
      <w:r w:rsidRPr="002F0E54">
        <w:rPr>
          <w:rFonts w:ascii="Times New Roman" w:hAnsi="Times New Roman"/>
          <w:i/>
          <w:sz w:val="24"/>
        </w:rPr>
        <w:t>Issues in Australian Constitutional Law</w:t>
      </w:r>
      <w:r>
        <w:rPr>
          <w:rFonts w:ascii="Times New Roman" w:hAnsi="Times New Roman"/>
          <w:i/>
          <w:sz w:val="24"/>
        </w:rPr>
        <w:t>: Tributes to Professor Leslie Zines</w:t>
      </w:r>
      <w:r w:rsidRPr="002F0E54">
        <w:rPr>
          <w:rFonts w:ascii="Times New Roman" w:hAnsi="Times New Roman"/>
          <w:i/>
          <w:sz w:val="24"/>
        </w:rPr>
        <w:t xml:space="preserve"> </w:t>
      </w:r>
      <w:r w:rsidRPr="002F0E54">
        <w:rPr>
          <w:rFonts w:ascii="Times New Roman" w:hAnsi="Times New Roman"/>
          <w:sz w:val="24"/>
        </w:rPr>
        <w:t>(2020) 253 at 279.</w:t>
      </w:r>
    </w:p>
  </w:footnote>
  <w:footnote w:id="257">
    <w:p w14:paraId="6BC65C1A"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 xml:space="preserve">Castlemaine Tooheys Ltd v South Australia </w:t>
      </w:r>
      <w:r w:rsidRPr="002F0E54">
        <w:rPr>
          <w:rFonts w:ascii="Times New Roman" w:hAnsi="Times New Roman"/>
          <w:sz w:val="24"/>
        </w:rPr>
        <w:t>(1990) 169 CLR 436 at 480.</w:t>
      </w:r>
    </w:p>
  </w:footnote>
  <w:footnote w:id="258">
    <w:p w14:paraId="33C84237"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Cole</w:t>
      </w:r>
      <w:r w:rsidRPr="002F0E54">
        <w:rPr>
          <w:rFonts w:ascii="Times New Roman" w:hAnsi="Times New Roman"/>
          <w:sz w:val="24"/>
        </w:rPr>
        <w:t xml:space="preserve"> (1988) 165 CLR 360 at 399.</w:t>
      </w:r>
    </w:p>
  </w:footnote>
  <w:footnote w:id="259">
    <w:p w14:paraId="24A0F9B2"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 xml:space="preserve">Betfair No 1 </w:t>
      </w:r>
      <w:r w:rsidRPr="002F0E54">
        <w:rPr>
          <w:rFonts w:ascii="Times New Roman" w:hAnsi="Times New Roman"/>
          <w:sz w:val="24"/>
        </w:rPr>
        <w:t xml:space="preserve">(2008) 234 CLR 418 at 455-456 [24], quoting </w:t>
      </w:r>
      <w:r w:rsidRPr="002F0E54">
        <w:rPr>
          <w:rFonts w:ascii="Times New Roman" w:hAnsi="Times New Roman"/>
          <w:i/>
          <w:sz w:val="24"/>
        </w:rPr>
        <w:t xml:space="preserve">Cole </w:t>
      </w:r>
      <w:r w:rsidRPr="002F0E54">
        <w:rPr>
          <w:rFonts w:ascii="Times New Roman" w:hAnsi="Times New Roman"/>
          <w:sz w:val="24"/>
        </w:rPr>
        <w:t xml:space="preserve">(1988) 165 CLR 360 at 392-393. See also </w:t>
      </w:r>
      <w:r w:rsidRPr="002F0E54">
        <w:rPr>
          <w:rFonts w:ascii="Times New Roman" w:hAnsi="Times New Roman"/>
          <w:i/>
          <w:sz w:val="24"/>
        </w:rPr>
        <w:t xml:space="preserve">Cole </w:t>
      </w:r>
      <w:r w:rsidRPr="002F0E54">
        <w:rPr>
          <w:rFonts w:ascii="Times New Roman" w:hAnsi="Times New Roman"/>
          <w:sz w:val="24"/>
        </w:rPr>
        <w:t>(1988) 165 CLR 360 at 408.</w:t>
      </w:r>
    </w:p>
  </w:footnote>
  <w:footnote w:id="260">
    <w:p w14:paraId="4E97E09A"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See, eg, </w:t>
      </w:r>
      <w:r w:rsidRPr="002F0E54">
        <w:rPr>
          <w:rFonts w:ascii="Times New Roman" w:hAnsi="Times New Roman"/>
          <w:i/>
          <w:sz w:val="24"/>
        </w:rPr>
        <w:t xml:space="preserve">North Eastern Dairy Co Ltd v Dairy Industry Authority of NSW </w:t>
      </w:r>
      <w:r w:rsidRPr="002F0E54">
        <w:rPr>
          <w:rFonts w:ascii="Times New Roman" w:hAnsi="Times New Roman"/>
          <w:sz w:val="24"/>
        </w:rPr>
        <w:t>(1975) 134</w:t>
      </w:r>
      <w:r>
        <w:rPr>
          <w:rFonts w:ascii="Times New Roman" w:hAnsi="Times New Roman"/>
          <w:sz w:val="24"/>
        </w:rPr>
        <w:t> </w:t>
      </w:r>
      <w:r w:rsidRPr="002F0E54">
        <w:rPr>
          <w:rFonts w:ascii="Times New Roman" w:hAnsi="Times New Roman"/>
          <w:sz w:val="24"/>
        </w:rPr>
        <w:t xml:space="preserve">CLR 559 at 608; </w:t>
      </w:r>
      <w:r w:rsidRPr="002F0E54">
        <w:rPr>
          <w:rFonts w:ascii="Times New Roman" w:hAnsi="Times New Roman"/>
          <w:i/>
          <w:sz w:val="24"/>
        </w:rPr>
        <w:t xml:space="preserve">Cole </w:t>
      </w:r>
      <w:r w:rsidRPr="002F0E54">
        <w:rPr>
          <w:rFonts w:ascii="Times New Roman" w:hAnsi="Times New Roman"/>
          <w:sz w:val="24"/>
        </w:rPr>
        <w:t xml:space="preserve">(1988) 165 CLR 360 at 394, 398, 407-408; </w:t>
      </w:r>
      <w:r w:rsidRPr="002F0E54">
        <w:rPr>
          <w:rFonts w:ascii="Times New Roman" w:hAnsi="Times New Roman"/>
          <w:i/>
          <w:sz w:val="24"/>
        </w:rPr>
        <w:t>Castlemaine</w:t>
      </w:r>
      <w:r>
        <w:rPr>
          <w:rFonts w:ascii="Times New Roman" w:hAnsi="Times New Roman"/>
          <w:i/>
          <w:sz w:val="24"/>
        </w:rPr>
        <w:t> </w:t>
      </w:r>
      <w:r w:rsidRPr="002F0E54">
        <w:rPr>
          <w:rFonts w:ascii="Times New Roman" w:hAnsi="Times New Roman"/>
          <w:i/>
          <w:sz w:val="24"/>
        </w:rPr>
        <w:t xml:space="preserve">Tooheys </w:t>
      </w:r>
      <w:r w:rsidRPr="002F0E54">
        <w:rPr>
          <w:rFonts w:ascii="Times New Roman" w:hAnsi="Times New Roman"/>
          <w:sz w:val="24"/>
        </w:rPr>
        <w:t xml:space="preserve">(1990) 169 CLR 436 at 465-467; </w:t>
      </w:r>
      <w:r w:rsidRPr="002F0E54">
        <w:rPr>
          <w:rFonts w:ascii="Times New Roman" w:hAnsi="Times New Roman"/>
          <w:i/>
          <w:sz w:val="24"/>
        </w:rPr>
        <w:t>Betfair No 1</w:t>
      </w:r>
      <w:r w:rsidRPr="002F0E54">
        <w:rPr>
          <w:rFonts w:ascii="Times New Roman" w:hAnsi="Times New Roman"/>
          <w:sz w:val="24"/>
        </w:rPr>
        <w:t xml:space="preserve"> (2008) 234</w:t>
      </w:r>
      <w:r>
        <w:rPr>
          <w:rFonts w:ascii="Times New Roman" w:hAnsi="Times New Roman"/>
          <w:sz w:val="24"/>
        </w:rPr>
        <w:t> </w:t>
      </w:r>
      <w:r w:rsidRPr="002F0E54">
        <w:rPr>
          <w:rFonts w:ascii="Times New Roman" w:hAnsi="Times New Roman"/>
          <w:sz w:val="24"/>
        </w:rPr>
        <w:t>CLR 418 at 481 [118], [121], 482 [122</w:t>
      </w:r>
      <w:r w:rsidRPr="002F0E54" w:rsidDel="00C42D7B">
        <w:rPr>
          <w:rFonts w:ascii="Times New Roman" w:hAnsi="Times New Roman"/>
          <w:sz w:val="24"/>
        </w:rPr>
        <w:t>]</w:t>
      </w:r>
      <w:r w:rsidRPr="002F0E54">
        <w:rPr>
          <w:rFonts w:ascii="Times New Roman" w:hAnsi="Times New Roman"/>
          <w:sz w:val="24"/>
        </w:rPr>
        <w:t xml:space="preserve">; </w:t>
      </w:r>
      <w:r w:rsidRPr="002F0E54">
        <w:rPr>
          <w:rFonts w:ascii="Times New Roman" w:hAnsi="Times New Roman"/>
          <w:i/>
          <w:sz w:val="24"/>
        </w:rPr>
        <w:t xml:space="preserve">Betfair No 2 </w:t>
      </w:r>
      <w:r w:rsidRPr="002F0E54">
        <w:rPr>
          <w:rFonts w:ascii="Times New Roman" w:hAnsi="Times New Roman"/>
          <w:sz w:val="24"/>
        </w:rPr>
        <w:t xml:space="preserve">(2012) 249 CLR 217 at 264-265 [34]-[36], 269 [52]. </w:t>
      </w:r>
    </w:p>
  </w:footnote>
  <w:footnote w:id="261">
    <w:p w14:paraId="339063F7"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(1992) 177 CLR 1 at 57; see also 58-59. However, Brennan J held that "discrimination is not an essential feature of an impermissible burden imposed on interstate intercourse": at 57. See also </w:t>
      </w:r>
      <w:r w:rsidRPr="002F0E54">
        <w:rPr>
          <w:rFonts w:ascii="Times New Roman" w:hAnsi="Times New Roman"/>
          <w:i/>
          <w:sz w:val="24"/>
        </w:rPr>
        <w:t xml:space="preserve">Cunliffe </w:t>
      </w:r>
      <w:r w:rsidRPr="002F0E54">
        <w:rPr>
          <w:rFonts w:ascii="Times New Roman" w:hAnsi="Times New Roman"/>
          <w:sz w:val="24"/>
        </w:rPr>
        <w:t>(1994) 182 CLR 272 at 333.</w:t>
      </w:r>
    </w:p>
  </w:footnote>
  <w:footnote w:id="262">
    <w:p w14:paraId="4557C369"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(1994) 182 CLR 272.</w:t>
      </w:r>
    </w:p>
  </w:footnote>
  <w:footnote w:id="263">
    <w:p w14:paraId="52F07453"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 xml:space="preserve">Cunliffe </w:t>
      </w:r>
      <w:r w:rsidRPr="002F0E54">
        <w:rPr>
          <w:rFonts w:ascii="Times New Roman" w:hAnsi="Times New Roman"/>
          <w:sz w:val="24"/>
        </w:rPr>
        <w:t>(1994) 182 CLR 272 at 384.</w:t>
      </w:r>
    </w:p>
  </w:footnote>
  <w:footnote w:id="264">
    <w:p w14:paraId="6DAB848B"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Kirk, "Section 92 in its Second Century", in Griffiths and Stellios (eds), </w:t>
      </w:r>
      <w:r w:rsidRPr="002F0E54">
        <w:rPr>
          <w:rFonts w:ascii="Times New Roman" w:hAnsi="Times New Roman"/>
          <w:i/>
          <w:sz w:val="24"/>
        </w:rPr>
        <w:t>Current</w:t>
      </w:r>
      <w:r>
        <w:rPr>
          <w:rFonts w:ascii="Times New Roman" w:hAnsi="Times New Roman"/>
          <w:i/>
          <w:sz w:val="24"/>
        </w:rPr>
        <w:t> </w:t>
      </w:r>
      <w:r w:rsidRPr="002F0E54">
        <w:rPr>
          <w:rFonts w:ascii="Times New Roman" w:hAnsi="Times New Roman"/>
          <w:i/>
          <w:sz w:val="24"/>
        </w:rPr>
        <w:t>Issues in Australian Constitutional Law</w:t>
      </w:r>
      <w:r>
        <w:rPr>
          <w:rFonts w:ascii="Times New Roman" w:hAnsi="Times New Roman"/>
          <w:i/>
          <w:sz w:val="24"/>
        </w:rPr>
        <w:t>: Tributes to Professor Leslie Zines</w:t>
      </w:r>
      <w:r w:rsidRPr="002F0E54">
        <w:rPr>
          <w:rFonts w:ascii="Times New Roman" w:hAnsi="Times New Roman"/>
          <w:i/>
          <w:sz w:val="24"/>
        </w:rPr>
        <w:t xml:space="preserve"> </w:t>
      </w:r>
      <w:r w:rsidRPr="002F0E54">
        <w:rPr>
          <w:rFonts w:ascii="Times New Roman" w:hAnsi="Times New Roman"/>
          <w:sz w:val="24"/>
        </w:rPr>
        <w:t>(2020) 253 at 279.</w:t>
      </w:r>
    </w:p>
  </w:footnote>
  <w:footnote w:id="265">
    <w:p w14:paraId="6808B404"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 xml:space="preserve">Cole </w:t>
      </w:r>
      <w:r w:rsidRPr="002F0E54">
        <w:rPr>
          <w:rFonts w:ascii="Times New Roman" w:hAnsi="Times New Roman"/>
          <w:sz w:val="24"/>
        </w:rPr>
        <w:t>(1988) 165 CLR 360 at 408. See Kirk, "Section 92 in its Second Century", in</w:t>
      </w:r>
      <w:r>
        <w:rPr>
          <w:rFonts w:ascii="Times New Roman" w:hAnsi="Times New Roman"/>
          <w:sz w:val="24"/>
        </w:rPr>
        <w:t> </w:t>
      </w:r>
      <w:r w:rsidRPr="002F0E54">
        <w:rPr>
          <w:rFonts w:ascii="Times New Roman" w:hAnsi="Times New Roman"/>
          <w:sz w:val="24"/>
        </w:rPr>
        <w:t xml:space="preserve">Griffiths and Stellios (eds), </w:t>
      </w:r>
      <w:r w:rsidRPr="002F0E54">
        <w:rPr>
          <w:rFonts w:ascii="Times New Roman" w:hAnsi="Times New Roman"/>
          <w:i/>
          <w:sz w:val="24"/>
        </w:rPr>
        <w:t>Current Issues in Australian Constitutional Law</w:t>
      </w:r>
      <w:r>
        <w:rPr>
          <w:rFonts w:ascii="Times New Roman" w:hAnsi="Times New Roman"/>
          <w:i/>
          <w:sz w:val="24"/>
        </w:rPr>
        <w:t>: Tributes to Professor Leslie Zines</w:t>
      </w:r>
      <w:r w:rsidRPr="002F0E54">
        <w:rPr>
          <w:rFonts w:ascii="Times New Roman" w:hAnsi="Times New Roman"/>
          <w:i/>
          <w:sz w:val="24"/>
        </w:rPr>
        <w:t xml:space="preserve"> </w:t>
      </w:r>
      <w:r w:rsidRPr="002F0E54">
        <w:rPr>
          <w:rFonts w:ascii="Times New Roman" w:hAnsi="Times New Roman"/>
          <w:sz w:val="24"/>
        </w:rPr>
        <w:t>(2020) 253 at 253-254, 270, 275-277.</w:t>
      </w:r>
    </w:p>
  </w:footnote>
  <w:footnote w:id="266">
    <w:p w14:paraId="30EEF078"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Kirk, "Section 92 in its Second Century", in Griffiths and Stellios (eds), </w:t>
      </w:r>
      <w:r w:rsidRPr="002F0E54">
        <w:rPr>
          <w:rFonts w:ascii="Times New Roman" w:hAnsi="Times New Roman"/>
          <w:i/>
          <w:sz w:val="24"/>
        </w:rPr>
        <w:t>Current</w:t>
      </w:r>
      <w:r>
        <w:rPr>
          <w:rFonts w:ascii="Times New Roman" w:hAnsi="Times New Roman"/>
          <w:i/>
          <w:sz w:val="24"/>
        </w:rPr>
        <w:t> </w:t>
      </w:r>
      <w:r w:rsidRPr="002F0E54">
        <w:rPr>
          <w:rFonts w:ascii="Times New Roman" w:hAnsi="Times New Roman"/>
          <w:i/>
          <w:sz w:val="24"/>
        </w:rPr>
        <w:t>Issues in Australian Constitutional Law</w:t>
      </w:r>
      <w:r>
        <w:rPr>
          <w:rFonts w:ascii="Times New Roman" w:hAnsi="Times New Roman"/>
          <w:i/>
          <w:sz w:val="24"/>
        </w:rPr>
        <w:t>: Tributes to Professor Leslie Zines</w:t>
      </w:r>
      <w:r w:rsidRPr="002F0E54">
        <w:rPr>
          <w:rFonts w:ascii="Times New Roman" w:hAnsi="Times New Roman"/>
          <w:i/>
          <w:sz w:val="24"/>
        </w:rPr>
        <w:t xml:space="preserve"> </w:t>
      </w:r>
      <w:r w:rsidRPr="002F0E54">
        <w:rPr>
          <w:rFonts w:ascii="Times New Roman" w:hAnsi="Times New Roman"/>
          <w:sz w:val="24"/>
        </w:rPr>
        <w:t>(2020) 253 at 275, 279-280.</w:t>
      </w:r>
    </w:p>
  </w:footnote>
  <w:footnote w:id="267">
    <w:p w14:paraId="598BFE77"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See [</w:t>
      </w:r>
      <w:r>
        <w:rPr>
          <w:rFonts w:ascii="Times New Roman" w:hAnsi="Times New Roman"/>
          <w:sz w:val="24"/>
        </w:rPr>
        <w:t>183</w:t>
      </w:r>
      <w:r w:rsidRPr="002F0E54">
        <w:rPr>
          <w:rFonts w:ascii="Times New Roman" w:hAnsi="Times New Roman"/>
          <w:sz w:val="24"/>
        </w:rPr>
        <w:t>] above.</w:t>
      </w:r>
    </w:p>
  </w:footnote>
  <w:footnote w:id="268">
    <w:p w14:paraId="6AADF105"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 xml:space="preserve">Cole </w:t>
      </w:r>
      <w:r w:rsidRPr="002F0E54">
        <w:rPr>
          <w:rFonts w:ascii="Times New Roman" w:hAnsi="Times New Roman"/>
          <w:sz w:val="24"/>
        </w:rPr>
        <w:t xml:space="preserve">(1988) 165 CLR 360 at 399-400, 407-408. </w:t>
      </w:r>
    </w:p>
  </w:footnote>
  <w:footnote w:id="269">
    <w:p w14:paraId="2E044C32"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See </w:t>
      </w:r>
      <w:r w:rsidRPr="002F0E54">
        <w:rPr>
          <w:rFonts w:ascii="Times New Roman" w:hAnsi="Times New Roman"/>
          <w:i/>
          <w:sz w:val="24"/>
        </w:rPr>
        <w:t xml:space="preserve">Cross v Barnes Towing and Salvage (Qld) Pty Ltd </w:t>
      </w:r>
      <w:r w:rsidRPr="002F0E54">
        <w:rPr>
          <w:rFonts w:ascii="Times New Roman" w:hAnsi="Times New Roman"/>
          <w:sz w:val="24"/>
        </w:rPr>
        <w:t xml:space="preserve">(2005) 65 NSWLR 331 at 344 [44]. cf </w:t>
      </w:r>
      <w:r w:rsidRPr="002F0E54">
        <w:rPr>
          <w:rFonts w:ascii="Times New Roman" w:hAnsi="Times New Roman"/>
          <w:i/>
          <w:sz w:val="24"/>
        </w:rPr>
        <w:t>APLA</w:t>
      </w:r>
      <w:r w:rsidRPr="002F0E54">
        <w:rPr>
          <w:rFonts w:ascii="Times New Roman" w:hAnsi="Times New Roman"/>
          <w:sz w:val="24"/>
        </w:rPr>
        <w:t xml:space="preserve"> (2005) 224 CLR 322 at 353</w:t>
      </w:r>
      <w:r w:rsidRPr="002F0E54">
        <w:rPr>
          <w:rFonts w:ascii="Times New Roman" w:hAnsi="Times New Roman"/>
          <w:sz w:val="24"/>
        </w:rPr>
        <w:noBreakHyphen/>
        <w:t>354 [39], 390-391 [165], 458 [408].</w:t>
      </w:r>
    </w:p>
  </w:footnote>
  <w:footnote w:id="270">
    <w:p w14:paraId="75EBEBE8"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See, eg, </w:t>
      </w:r>
      <w:r w:rsidRPr="002F0E54">
        <w:rPr>
          <w:rFonts w:ascii="Times New Roman" w:hAnsi="Times New Roman"/>
          <w:i/>
          <w:sz w:val="24"/>
        </w:rPr>
        <w:t>Cole</w:t>
      </w:r>
      <w:r w:rsidRPr="002F0E54">
        <w:rPr>
          <w:rFonts w:ascii="Times New Roman" w:hAnsi="Times New Roman"/>
          <w:sz w:val="24"/>
        </w:rPr>
        <w:t xml:space="preserve"> (1988) 165 CLR 360 at 387-388; </w:t>
      </w:r>
      <w:r w:rsidRPr="002F0E54">
        <w:rPr>
          <w:rFonts w:ascii="Times New Roman" w:hAnsi="Times New Roman"/>
          <w:i/>
          <w:sz w:val="24"/>
        </w:rPr>
        <w:t xml:space="preserve">ACTV </w:t>
      </w:r>
      <w:r w:rsidRPr="002F0E54">
        <w:rPr>
          <w:rFonts w:ascii="Times New Roman" w:hAnsi="Times New Roman"/>
          <w:sz w:val="24"/>
        </w:rPr>
        <w:t xml:space="preserve">(1992) 177 CLR 106 at 192; </w:t>
      </w:r>
      <w:r w:rsidRPr="002F0E54">
        <w:rPr>
          <w:rFonts w:ascii="Times New Roman" w:hAnsi="Times New Roman"/>
          <w:i/>
          <w:sz w:val="24"/>
        </w:rPr>
        <w:t xml:space="preserve">Cunliffe </w:t>
      </w:r>
      <w:r w:rsidRPr="002F0E54">
        <w:rPr>
          <w:rFonts w:ascii="Times New Roman" w:hAnsi="Times New Roman"/>
          <w:sz w:val="24"/>
        </w:rPr>
        <w:t xml:space="preserve">(1994) 182 CLR 272 at 346, 395. </w:t>
      </w:r>
    </w:p>
  </w:footnote>
  <w:footnote w:id="271">
    <w:p w14:paraId="76C62A00"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APLA</w:t>
      </w:r>
      <w:r w:rsidRPr="002F0E54">
        <w:rPr>
          <w:rFonts w:ascii="Times New Roman" w:hAnsi="Times New Roman"/>
          <w:sz w:val="24"/>
        </w:rPr>
        <w:t xml:space="preserve"> (2005) 224 CLR 322 at 394 [178], citing </w:t>
      </w:r>
      <w:r w:rsidRPr="002F0E54">
        <w:rPr>
          <w:rFonts w:ascii="Times New Roman" w:hAnsi="Times New Roman"/>
          <w:i/>
          <w:sz w:val="24"/>
        </w:rPr>
        <w:t>Nationwide News</w:t>
      </w:r>
      <w:r w:rsidRPr="002F0E54">
        <w:rPr>
          <w:rFonts w:ascii="Times New Roman" w:hAnsi="Times New Roman"/>
          <w:sz w:val="24"/>
        </w:rPr>
        <w:t xml:space="preserve"> (1992) 177 CLR 1 at 57.</w:t>
      </w:r>
    </w:p>
  </w:footnote>
  <w:footnote w:id="272">
    <w:p w14:paraId="2B46329E"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APLA</w:t>
      </w:r>
      <w:r w:rsidRPr="002F0E54">
        <w:rPr>
          <w:rFonts w:ascii="Times New Roman" w:hAnsi="Times New Roman"/>
          <w:sz w:val="24"/>
        </w:rPr>
        <w:t xml:space="preserve"> (2005) 224 CLR 322 at 394 [178]. See also </w:t>
      </w:r>
      <w:r w:rsidRPr="002F0E54">
        <w:rPr>
          <w:rFonts w:ascii="Times New Roman" w:hAnsi="Times New Roman"/>
          <w:i/>
          <w:sz w:val="24"/>
        </w:rPr>
        <w:t xml:space="preserve">Brown </w:t>
      </w:r>
      <w:r w:rsidRPr="002F0E54" w:rsidDel="000016E2">
        <w:rPr>
          <w:rFonts w:ascii="Times New Roman" w:hAnsi="Times New Roman"/>
          <w:i/>
          <w:sz w:val="24"/>
        </w:rPr>
        <w:t xml:space="preserve">v Tasmania </w:t>
      </w:r>
      <w:r w:rsidRPr="002F0E54">
        <w:rPr>
          <w:rFonts w:ascii="Times New Roman" w:hAnsi="Times New Roman"/>
          <w:sz w:val="24"/>
        </w:rPr>
        <w:t>(2017) 261</w:t>
      </w:r>
      <w:r>
        <w:rPr>
          <w:rFonts w:ascii="Times New Roman" w:hAnsi="Times New Roman"/>
          <w:sz w:val="24"/>
        </w:rPr>
        <w:t> </w:t>
      </w:r>
      <w:r w:rsidRPr="002F0E54">
        <w:rPr>
          <w:rFonts w:ascii="Times New Roman" w:hAnsi="Times New Roman"/>
          <w:sz w:val="24"/>
        </w:rPr>
        <w:t>CLR 328 at 363 [101], 392 [208], 432 [321].</w:t>
      </w:r>
    </w:p>
  </w:footnote>
  <w:footnote w:id="273">
    <w:p w14:paraId="3F10B18A"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McCloy</w:t>
      </w:r>
      <w:r w:rsidRPr="002F0E54">
        <w:rPr>
          <w:rFonts w:ascii="Times New Roman" w:hAnsi="Times New Roman"/>
          <w:sz w:val="24"/>
        </w:rPr>
        <w:t xml:space="preserve"> </w:t>
      </w:r>
      <w:r w:rsidRPr="002F0E54">
        <w:rPr>
          <w:rFonts w:ascii="Times New Roman" w:hAnsi="Times New Roman"/>
          <w:i/>
          <w:sz w:val="24"/>
        </w:rPr>
        <w:t xml:space="preserve">v New South Wales </w:t>
      </w:r>
      <w:r w:rsidRPr="002F0E54">
        <w:rPr>
          <w:rFonts w:ascii="Times New Roman" w:hAnsi="Times New Roman"/>
          <w:sz w:val="24"/>
        </w:rPr>
        <w:t xml:space="preserve">(2015) 257 CLR 178 at 232 [132], citing </w:t>
      </w:r>
      <w:r w:rsidRPr="002F0E54">
        <w:rPr>
          <w:rFonts w:ascii="Times New Roman" w:hAnsi="Times New Roman"/>
          <w:i/>
          <w:sz w:val="24"/>
        </w:rPr>
        <w:t>APLA</w:t>
      </w:r>
      <w:r w:rsidRPr="002F0E54">
        <w:rPr>
          <w:rFonts w:ascii="Times New Roman" w:hAnsi="Times New Roman"/>
          <w:sz w:val="24"/>
        </w:rPr>
        <w:t xml:space="preserve"> (2005) 224 CLR 322 at 394 [178].</w:t>
      </w:r>
    </w:p>
  </w:footnote>
  <w:footnote w:id="274">
    <w:p w14:paraId="7E77C250"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ACTV</w:t>
      </w:r>
      <w:r w:rsidRPr="002F0E54">
        <w:rPr>
          <w:rFonts w:ascii="Times New Roman" w:hAnsi="Times New Roman"/>
          <w:sz w:val="24"/>
        </w:rPr>
        <w:t xml:space="preserve"> (1992) 177 CLR 106 at 195. See also </w:t>
      </w:r>
      <w:r w:rsidRPr="002F0E54">
        <w:rPr>
          <w:rFonts w:ascii="Times New Roman" w:hAnsi="Times New Roman"/>
          <w:i/>
          <w:sz w:val="24"/>
        </w:rPr>
        <w:t>Nationwide News</w:t>
      </w:r>
      <w:r w:rsidRPr="002F0E54">
        <w:rPr>
          <w:rFonts w:ascii="Times New Roman" w:hAnsi="Times New Roman"/>
          <w:sz w:val="24"/>
        </w:rPr>
        <w:t xml:space="preserve"> (1992) 177 CLR 1 at 94.</w:t>
      </w:r>
    </w:p>
  </w:footnote>
  <w:footnote w:id="275">
    <w:p w14:paraId="53666655"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See </w:t>
      </w:r>
      <w:r w:rsidRPr="002F0E54">
        <w:rPr>
          <w:rFonts w:ascii="Times New Roman" w:hAnsi="Times New Roman"/>
          <w:i/>
          <w:sz w:val="24"/>
        </w:rPr>
        <w:t xml:space="preserve">ACTV </w:t>
      </w:r>
      <w:r w:rsidRPr="002F0E54">
        <w:rPr>
          <w:rFonts w:ascii="Times New Roman" w:hAnsi="Times New Roman"/>
          <w:sz w:val="24"/>
        </w:rPr>
        <w:t xml:space="preserve">(1992) 177 CLR 106 at 194; </w:t>
      </w:r>
      <w:r w:rsidRPr="002F0E54">
        <w:rPr>
          <w:rFonts w:ascii="Times New Roman" w:hAnsi="Times New Roman"/>
          <w:i/>
          <w:sz w:val="24"/>
        </w:rPr>
        <w:t>Cunliffe</w:t>
      </w:r>
      <w:r w:rsidRPr="002F0E54">
        <w:rPr>
          <w:rFonts w:ascii="Times New Roman" w:hAnsi="Times New Roman"/>
          <w:sz w:val="24"/>
        </w:rPr>
        <w:t xml:space="preserve"> (1994) 182 CLR 272 at 366. See</w:t>
      </w:r>
      <w:r>
        <w:rPr>
          <w:rFonts w:ascii="Times New Roman" w:hAnsi="Times New Roman"/>
          <w:sz w:val="24"/>
        </w:rPr>
        <w:t> </w:t>
      </w:r>
      <w:r w:rsidRPr="002F0E54">
        <w:rPr>
          <w:rFonts w:ascii="Times New Roman" w:hAnsi="Times New Roman"/>
          <w:sz w:val="24"/>
        </w:rPr>
        <w:t xml:space="preserve">also </w:t>
      </w:r>
      <w:r w:rsidRPr="002F0E54">
        <w:rPr>
          <w:rFonts w:ascii="Times New Roman" w:hAnsi="Times New Roman"/>
          <w:i/>
          <w:sz w:val="24"/>
        </w:rPr>
        <w:t xml:space="preserve">R v Smithers; Ex parte Benson </w:t>
      </w:r>
      <w:r w:rsidRPr="002F0E54">
        <w:rPr>
          <w:rFonts w:ascii="Times New Roman" w:hAnsi="Times New Roman"/>
          <w:sz w:val="24"/>
        </w:rPr>
        <w:t xml:space="preserve">(1912) 16 CLR 99; </w:t>
      </w:r>
      <w:r w:rsidRPr="002F0E54">
        <w:rPr>
          <w:rFonts w:ascii="Times New Roman" w:hAnsi="Times New Roman"/>
          <w:i/>
          <w:sz w:val="24"/>
        </w:rPr>
        <w:t xml:space="preserve">Gratwick </w:t>
      </w:r>
      <w:r w:rsidRPr="002F0E54">
        <w:rPr>
          <w:rFonts w:ascii="Times New Roman" w:hAnsi="Times New Roman"/>
          <w:sz w:val="24"/>
        </w:rPr>
        <w:t>(1945) 70 CLR 1, especially at 14</w:t>
      </w:r>
      <w:r w:rsidRPr="002F0E54">
        <w:rPr>
          <w:rFonts w:ascii="Times New Roman" w:hAnsi="Times New Roman"/>
          <w:sz w:val="24"/>
        </w:rPr>
        <w:noBreakHyphen/>
        <w:t>15, 16, 19.</w:t>
      </w:r>
    </w:p>
  </w:footnote>
  <w:footnote w:id="276">
    <w:p w14:paraId="1A709AAE"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 xml:space="preserve">Cole </w:t>
      </w:r>
      <w:r w:rsidRPr="002F0E54">
        <w:rPr>
          <w:rFonts w:ascii="Times New Roman" w:hAnsi="Times New Roman"/>
          <w:sz w:val="24"/>
        </w:rPr>
        <w:t xml:space="preserve">(1988) 165 CLR 360 at 408; </w:t>
      </w:r>
      <w:r w:rsidRPr="002F0E54">
        <w:rPr>
          <w:rFonts w:ascii="Times New Roman" w:hAnsi="Times New Roman"/>
          <w:i/>
          <w:sz w:val="24"/>
        </w:rPr>
        <w:t xml:space="preserve">Castlemaine Tooheys </w:t>
      </w:r>
      <w:r w:rsidRPr="002F0E54">
        <w:rPr>
          <w:rFonts w:ascii="Times New Roman" w:hAnsi="Times New Roman"/>
          <w:sz w:val="24"/>
        </w:rPr>
        <w:t xml:space="preserve">(1990) 169 CLR 436 at 467, 471; </w:t>
      </w:r>
      <w:r w:rsidRPr="002F0E54">
        <w:rPr>
          <w:rFonts w:ascii="Times New Roman" w:hAnsi="Times New Roman"/>
          <w:i/>
          <w:sz w:val="24"/>
        </w:rPr>
        <w:t>APLA</w:t>
      </w:r>
      <w:r w:rsidRPr="002F0E54" w:rsidDel="00CB489C">
        <w:rPr>
          <w:rFonts w:ascii="Times New Roman" w:hAnsi="Times New Roman"/>
          <w:i/>
          <w:sz w:val="24"/>
        </w:rPr>
        <w:t xml:space="preserve"> </w:t>
      </w:r>
      <w:r w:rsidRPr="002F0E54">
        <w:rPr>
          <w:rFonts w:ascii="Times New Roman" w:hAnsi="Times New Roman"/>
          <w:sz w:val="24"/>
        </w:rPr>
        <w:t xml:space="preserve">(2005) 224 CLR 322 at 394 [178]; </w:t>
      </w:r>
      <w:r w:rsidRPr="002F0E54">
        <w:rPr>
          <w:rFonts w:ascii="Times New Roman" w:hAnsi="Times New Roman"/>
          <w:i/>
          <w:sz w:val="24"/>
        </w:rPr>
        <w:t>Betfair No 2</w:t>
      </w:r>
      <w:r w:rsidRPr="002F0E54">
        <w:rPr>
          <w:rFonts w:ascii="Times New Roman" w:hAnsi="Times New Roman"/>
          <w:sz w:val="24"/>
        </w:rPr>
        <w:t xml:space="preserve"> (2012) 249 CLR 217 at 265 [38].</w:t>
      </w:r>
    </w:p>
  </w:footnote>
  <w:footnote w:id="277">
    <w:p w14:paraId="6CEAC9D8"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See fn </w:t>
      </w:r>
      <w:r>
        <w:rPr>
          <w:rFonts w:ascii="Times New Roman" w:hAnsi="Times New Roman"/>
          <w:sz w:val="24"/>
        </w:rPr>
        <w:t>246</w:t>
      </w:r>
      <w:r w:rsidRPr="002F0E54">
        <w:rPr>
          <w:rFonts w:ascii="Times New Roman" w:hAnsi="Times New Roman"/>
          <w:i/>
          <w:sz w:val="24"/>
        </w:rPr>
        <w:t xml:space="preserve"> </w:t>
      </w:r>
      <w:r w:rsidRPr="002F0E54">
        <w:rPr>
          <w:rFonts w:ascii="Times New Roman" w:hAnsi="Times New Roman"/>
          <w:sz w:val="24"/>
        </w:rPr>
        <w:t>above.</w:t>
      </w:r>
    </w:p>
  </w:footnote>
  <w:footnote w:id="278">
    <w:p w14:paraId="064E4BFF"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 xml:space="preserve">AMS </w:t>
      </w:r>
      <w:r w:rsidRPr="002F0E54">
        <w:rPr>
          <w:rFonts w:ascii="Times New Roman" w:hAnsi="Times New Roman"/>
          <w:sz w:val="24"/>
        </w:rPr>
        <w:t xml:space="preserve">(1999) 199 CLR 160 at 178 [43] (citing </w:t>
      </w:r>
      <w:r w:rsidRPr="002F0E54">
        <w:rPr>
          <w:rFonts w:ascii="Times New Roman" w:hAnsi="Times New Roman"/>
          <w:i/>
          <w:sz w:val="24"/>
        </w:rPr>
        <w:t>The Commonwealth v Bank of NSW</w:t>
      </w:r>
      <w:r w:rsidRPr="002F0E54">
        <w:rPr>
          <w:rFonts w:ascii="Times New Roman" w:hAnsi="Times New Roman"/>
          <w:sz w:val="24"/>
        </w:rPr>
        <w:t xml:space="preserve"> ("the </w:t>
      </w:r>
      <w:r w:rsidRPr="002F0E54">
        <w:rPr>
          <w:rFonts w:ascii="Times New Roman" w:hAnsi="Times New Roman"/>
          <w:i/>
          <w:sz w:val="24"/>
        </w:rPr>
        <w:t>Bank Nationalization Case</w:t>
      </w:r>
      <w:r w:rsidRPr="002F0E54">
        <w:rPr>
          <w:rFonts w:ascii="Times New Roman" w:hAnsi="Times New Roman"/>
          <w:sz w:val="24"/>
        </w:rPr>
        <w:t>")</w:t>
      </w:r>
      <w:r w:rsidRPr="002F0E54">
        <w:rPr>
          <w:rFonts w:ascii="Times New Roman" w:hAnsi="Times New Roman"/>
          <w:i/>
          <w:sz w:val="24"/>
        </w:rPr>
        <w:t xml:space="preserve"> </w:t>
      </w:r>
      <w:r w:rsidRPr="002F0E54">
        <w:rPr>
          <w:rFonts w:ascii="Times New Roman" w:hAnsi="Times New Roman"/>
          <w:sz w:val="24"/>
        </w:rPr>
        <w:t>(1949) 79 CLR 497 at 639-641; [1950] AC 235 at 309</w:t>
      </w:r>
      <w:r w:rsidRPr="002F0E54">
        <w:rPr>
          <w:rFonts w:ascii="Times New Roman" w:hAnsi="Times New Roman"/>
          <w:sz w:val="24"/>
        </w:rPr>
        <w:noBreakHyphen/>
        <w:t xml:space="preserve">311); </w:t>
      </w:r>
      <w:r w:rsidRPr="002F0E54">
        <w:rPr>
          <w:rFonts w:ascii="Times New Roman" w:hAnsi="Times New Roman"/>
          <w:i/>
          <w:sz w:val="24"/>
        </w:rPr>
        <w:t>Betfair No 1</w:t>
      </w:r>
      <w:r w:rsidRPr="002F0E54">
        <w:rPr>
          <w:rFonts w:ascii="Times New Roman" w:hAnsi="Times New Roman"/>
          <w:sz w:val="24"/>
        </w:rPr>
        <w:t xml:space="preserve"> (2008) 234 CLR 418 at 477 [102] (quoting </w:t>
      </w:r>
      <w:r w:rsidRPr="002F0E54">
        <w:rPr>
          <w:rFonts w:ascii="Times New Roman" w:hAnsi="Times New Roman"/>
          <w:i/>
          <w:sz w:val="24"/>
        </w:rPr>
        <w:t xml:space="preserve">North Eastern Dairy </w:t>
      </w:r>
      <w:r w:rsidRPr="002F0E54">
        <w:rPr>
          <w:rFonts w:ascii="Times New Roman" w:hAnsi="Times New Roman"/>
          <w:sz w:val="24"/>
        </w:rPr>
        <w:t xml:space="preserve">(1975) 134 CLR 559 at 608), 477 [103] (quoting </w:t>
      </w:r>
      <w:r w:rsidRPr="002F0E54">
        <w:rPr>
          <w:rFonts w:ascii="Times New Roman" w:hAnsi="Times New Roman"/>
          <w:i/>
          <w:sz w:val="24"/>
        </w:rPr>
        <w:t xml:space="preserve">Cole </w:t>
      </w:r>
      <w:r w:rsidRPr="002F0E54">
        <w:rPr>
          <w:rFonts w:ascii="Times New Roman" w:hAnsi="Times New Roman"/>
          <w:sz w:val="24"/>
        </w:rPr>
        <w:t>(1988) 165 CLR 360 at 409</w:t>
      </w:r>
      <w:r w:rsidRPr="002F0E54">
        <w:rPr>
          <w:rFonts w:ascii="Times New Roman" w:hAnsi="Times New Roman"/>
          <w:sz w:val="24"/>
        </w:rPr>
        <w:noBreakHyphen/>
        <w:t>410).</w:t>
      </w:r>
    </w:p>
  </w:footnote>
  <w:footnote w:id="279">
    <w:p w14:paraId="04C6381A"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(1994) 182 CLR 272 at 366; cf 396.</w:t>
      </w:r>
    </w:p>
  </w:footnote>
  <w:footnote w:id="280">
    <w:p w14:paraId="4362F558"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(1999) 199 CLR 160 at 179 [45], 179-180 [48], 232-233 [221].</w:t>
      </w:r>
    </w:p>
  </w:footnote>
  <w:footnote w:id="281">
    <w:p w14:paraId="466AF7C7"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(2005) 224 CLR 322 at 353 [38], 393-394 [177], 461 [420].</w:t>
      </w:r>
    </w:p>
  </w:footnote>
  <w:footnote w:id="282">
    <w:p w14:paraId="10B059B9"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(2008) 234 CLR 418 at 477 [102]-[103], where the majority of the Court endorsed the application "of a criterion of 'reasonable necessity'".</w:t>
      </w:r>
    </w:p>
  </w:footnote>
  <w:footnote w:id="283">
    <w:p w14:paraId="586ECC2C"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(2012) 249 CLR 217 at 269 [52], 295 [136].</w:t>
      </w:r>
    </w:p>
  </w:footnote>
  <w:footnote w:id="284">
    <w:p w14:paraId="2D9B9624"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eastAsia="Calibri" w:hAnsi="Times New Roman"/>
          <w:sz w:val="24"/>
        </w:rPr>
        <w:t>(</w:t>
      </w:r>
      <w:r w:rsidRPr="002F0E54">
        <w:rPr>
          <w:rFonts w:ascii="Times New Roman" w:hAnsi="Times New Roman"/>
          <w:sz w:val="24"/>
        </w:rPr>
        <w:t>1975</w:t>
      </w:r>
      <w:r w:rsidRPr="002F0E54">
        <w:rPr>
          <w:rFonts w:ascii="Times New Roman" w:eastAsia="Calibri" w:hAnsi="Times New Roman"/>
          <w:sz w:val="24"/>
        </w:rPr>
        <w:t>) 134 CLR 559 at 608.</w:t>
      </w:r>
    </w:p>
  </w:footnote>
  <w:footnote w:id="285">
    <w:p w14:paraId="44DBBAF8"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(1988) 165 CLR 360 at 409-410.</w:t>
      </w:r>
    </w:p>
  </w:footnote>
  <w:footnote w:id="286">
    <w:p w14:paraId="3CA09868"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(2008) 234 CLR 418 at 477 [102]-[103].</w:t>
      </w:r>
    </w:p>
  </w:footnote>
  <w:footnote w:id="287">
    <w:p w14:paraId="78039F3A"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(2012) 249 CLR 217 at 269 [52], 295 [136].</w:t>
      </w:r>
    </w:p>
  </w:footnote>
  <w:footnote w:id="288">
    <w:p w14:paraId="3E005EEB"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See </w:t>
      </w:r>
      <w:r w:rsidRPr="002F0E54">
        <w:rPr>
          <w:rFonts w:ascii="Times New Roman" w:hAnsi="Times New Roman"/>
          <w:i/>
          <w:sz w:val="24"/>
        </w:rPr>
        <w:t xml:space="preserve">Thomas v Mowbray </w:t>
      </w:r>
      <w:r w:rsidRPr="002F0E54">
        <w:rPr>
          <w:rFonts w:ascii="Times New Roman" w:hAnsi="Times New Roman"/>
          <w:sz w:val="24"/>
        </w:rPr>
        <w:t>(2007) 233 CLR 307 at 331-333 [21]</w:t>
      </w:r>
      <w:r w:rsidRPr="002F0E54">
        <w:rPr>
          <w:rFonts w:ascii="Times New Roman" w:hAnsi="Times New Roman"/>
          <w:sz w:val="24"/>
        </w:rPr>
        <w:noBreakHyphen/>
        <w:t>[26].</w:t>
      </w:r>
    </w:p>
  </w:footnote>
  <w:footnote w:id="289">
    <w:p w14:paraId="2F46381C"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(1949) 79 CLR 497 at 640; [1950] AC 235 at 311.</w:t>
      </w:r>
    </w:p>
  </w:footnote>
  <w:footnote w:id="290">
    <w:p w14:paraId="33E362BD" w14:textId="77777777" w:rsidR="002D2334" w:rsidRPr="002F0E54" w:rsidDel="00C03F2D" w:rsidRDefault="002D2334" w:rsidP="002F0E54">
      <w:pPr>
        <w:pStyle w:val="FootnoteText"/>
        <w:spacing w:line="280" w:lineRule="exact"/>
        <w:ind w:right="0"/>
        <w:jc w:val="both"/>
        <w:rPr>
          <w:rFonts w:ascii="Times New Roman" w:hAnsi="Times New Roman"/>
          <w:sz w:val="24"/>
        </w:rPr>
      </w:pPr>
      <w:r w:rsidRPr="002F0E54" w:rsidDel="00C03F2D">
        <w:rPr>
          <w:rStyle w:val="FootnoteReference"/>
          <w:rFonts w:ascii="Times New Roman" w:hAnsi="Times New Roman"/>
          <w:sz w:val="22"/>
          <w:vertAlign w:val="baseline"/>
        </w:rPr>
        <w:footnoteRef/>
      </w:r>
      <w:r w:rsidRPr="002F0E54" w:rsidDel="00C03F2D">
        <w:rPr>
          <w:rFonts w:ascii="Times New Roman" w:hAnsi="Times New Roman"/>
          <w:sz w:val="24"/>
        </w:rPr>
        <w:t xml:space="preserve"> </w:t>
      </w:r>
      <w:r w:rsidRPr="002F0E54" w:rsidDel="00C03F2D">
        <w:rPr>
          <w:rFonts w:ascii="Times New Roman" w:hAnsi="Times New Roman"/>
          <w:sz w:val="24"/>
        </w:rPr>
        <w:tab/>
      </w:r>
      <w:r w:rsidRPr="002F0E54">
        <w:rPr>
          <w:rFonts w:ascii="Times New Roman" w:hAnsi="Times New Roman"/>
          <w:i/>
          <w:sz w:val="24"/>
        </w:rPr>
        <w:t xml:space="preserve">Bank Nationalization Case </w:t>
      </w:r>
      <w:r w:rsidRPr="002F0E54" w:rsidDel="00C03F2D">
        <w:rPr>
          <w:rFonts w:ascii="Times New Roman" w:hAnsi="Times New Roman"/>
          <w:sz w:val="24"/>
        </w:rPr>
        <w:t xml:space="preserve">(1949) 79 CLR 497 at </w:t>
      </w:r>
      <w:r w:rsidRPr="002F0E54">
        <w:rPr>
          <w:rFonts w:ascii="Times New Roman" w:hAnsi="Times New Roman"/>
          <w:sz w:val="24"/>
        </w:rPr>
        <w:t>640-</w:t>
      </w:r>
      <w:r w:rsidRPr="002F0E54" w:rsidDel="00C03F2D">
        <w:rPr>
          <w:rFonts w:ascii="Times New Roman" w:hAnsi="Times New Roman"/>
          <w:sz w:val="24"/>
        </w:rPr>
        <w:t>641</w:t>
      </w:r>
      <w:r w:rsidRPr="002F0E54">
        <w:rPr>
          <w:rFonts w:ascii="Times New Roman" w:hAnsi="Times New Roman"/>
          <w:sz w:val="24"/>
        </w:rPr>
        <w:t>; [1950] AC 235 at 311</w:t>
      </w:r>
      <w:r w:rsidRPr="002F0E54" w:rsidDel="00C03F2D">
        <w:rPr>
          <w:rFonts w:ascii="Times New Roman" w:hAnsi="Times New Roman"/>
          <w:sz w:val="24"/>
        </w:rPr>
        <w:t>.</w:t>
      </w:r>
    </w:p>
  </w:footnote>
  <w:footnote w:id="291">
    <w:p w14:paraId="354FBAF6"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Cole</w:t>
      </w:r>
      <w:r w:rsidRPr="002F0E54">
        <w:rPr>
          <w:rFonts w:ascii="Times New Roman" w:hAnsi="Times New Roman"/>
          <w:sz w:val="24"/>
        </w:rPr>
        <w:t xml:space="preserve"> (1988) 165 CLR 360 at 394.</w:t>
      </w:r>
    </w:p>
  </w:footnote>
  <w:footnote w:id="292">
    <w:p w14:paraId="4EC44216"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 xml:space="preserve">Bank Nationalization Case </w:t>
      </w:r>
      <w:r w:rsidRPr="002F0E54">
        <w:rPr>
          <w:rFonts w:ascii="Times New Roman" w:hAnsi="Times New Roman"/>
          <w:sz w:val="24"/>
        </w:rPr>
        <w:t>(1949) 79 CLR 497 at 640; [1950] AC 235 at 311.</w:t>
      </w:r>
    </w:p>
  </w:footnote>
  <w:footnote w:id="293">
    <w:p w14:paraId="5A283436"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See, eg, </w:t>
      </w:r>
      <w:r w:rsidRPr="002F0E54">
        <w:rPr>
          <w:rFonts w:ascii="Times New Roman" w:hAnsi="Times New Roman"/>
          <w:i/>
          <w:sz w:val="24"/>
        </w:rPr>
        <w:t xml:space="preserve">Betfair No 1 </w:t>
      </w:r>
      <w:r w:rsidRPr="002F0E54">
        <w:rPr>
          <w:rFonts w:ascii="Times New Roman" w:hAnsi="Times New Roman"/>
          <w:sz w:val="24"/>
        </w:rPr>
        <w:t>(2008) 234 CLR 418 at 452-454 [12]</w:t>
      </w:r>
      <w:r w:rsidRPr="002F0E54">
        <w:rPr>
          <w:rFonts w:ascii="Times New Roman" w:hAnsi="Times New Roman"/>
          <w:sz w:val="24"/>
        </w:rPr>
        <w:noBreakHyphen/>
        <w:t>[20].</w:t>
      </w:r>
    </w:p>
  </w:footnote>
  <w:footnote w:id="294">
    <w:p w14:paraId="5367DCE0"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 xml:space="preserve">APLA </w:t>
      </w:r>
      <w:r w:rsidRPr="002F0E54">
        <w:rPr>
          <w:rFonts w:ascii="Times New Roman" w:hAnsi="Times New Roman"/>
          <w:sz w:val="24"/>
        </w:rPr>
        <w:t>(2005) 224 CLR 322 at 461 [422].</w:t>
      </w:r>
    </w:p>
  </w:footnote>
  <w:footnote w:id="295">
    <w:p w14:paraId="52914E5F"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 xml:space="preserve">APLA </w:t>
      </w:r>
      <w:r w:rsidRPr="002F0E54">
        <w:rPr>
          <w:rFonts w:ascii="Times New Roman" w:hAnsi="Times New Roman"/>
          <w:sz w:val="24"/>
        </w:rPr>
        <w:t>(2005) 224 CLR 322 at 462 [425].</w:t>
      </w:r>
    </w:p>
  </w:footnote>
  <w:footnote w:id="296">
    <w:p w14:paraId="2B7879EA"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(1988) 165 CLR 360 at 408, quoted in </w:t>
      </w:r>
      <w:r w:rsidRPr="002F0E54">
        <w:rPr>
          <w:rFonts w:ascii="Times New Roman" w:hAnsi="Times New Roman"/>
          <w:i/>
          <w:sz w:val="24"/>
        </w:rPr>
        <w:t xml:space="preserve">Castlemaine Tooheys </w:t>
      </w:r>
      <w:r w:rsidRPr="002F0E54">
        <w:rPr>
          <w:rFonts w:ascii="Times New Roman" w:hAnsi="Times New Roman"/>
          <w:sz w:val="24"/>
        </w:rPr>
        <w:t>(1990) 169 CLR 436 at 467.</w:t>
      </w:r>
    </w:p>
  </w:footnote>
  <w:footnote w:id="297">
    <w:p w14:paraId="47E9D2F6"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See </w:t>
      </w:r>
      <w:r w:rsidRPr="002F0E54">
        <w:rPr>
          <w:rFonts w:ascii="Times New Roman" w:hAnsi="Times New Roman"/>
          <w:i/>
          <w:sz w:val="24"/>
        </w:rPr>
        <w:t xml:space="preserve">Castlemaine Tooheys </w:t>
      </w:r>
      <w:r w:rsidRPr="002F0E54">
        <w:rPr>
          <w:rFonts w:ascii="Times New Roman" w:hAnsi="Times New Roman"/>
          <w:sz w:val="24"/>
        </w:rPr>
        <w:t>(1990) 169 CLR 436 at 472.</w:t>
      </w:r>
    </w:p>
  </w:footnote>
  <w:footnote w:id="298">
    <w:p w14:paraId="704EEFBF"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See Chordia, </w:t>
      </w:r>
      <w:r w:rsidRPr="002F0E54">
        <w:rPr>
          <w:rFonts w:ascii="Times New Roman" w:hAnsi="Times New Roman"/>
          <w:i/>
          <w:sz w:val="24"/>
        </w:rPr>
        <w:t xml:space="preserve">Proportionality in Australian Constitutional Law </w:t>
      </w:r>
      <w:r w:rsidRPr="002F0E54">
        <w:rPr>
          <w:rFonts w:ascii="Times New Roman" w:hAnsi="Times New Roman"/>
          <w:sz w:val="24"/>
        </w:rPr>
        <w:t>(2020) at 143, 150</w:t>
      </w:r>
      <w:r>
        <w:rPr>
          <w:rFonts w:ascii="Times New Roman" w:hAnsi="Times New Roman"/>
          <w:sz w:val="24"/>
        </w:rPr>
        <w:noBreakHyphen/>
      </w:r>
      <w:r w:rsidRPr="002F0E54">
        <w:rPr>
          <w:rFonts w:ascii="Times New Roman" w:hAnsi="Times New Roman"/>
          <w:sz w:val="24"/>
        </w:rPr>
        <w:t>151.</w:t>
      </w:r>
    </w:p>
  </w:footnote>
  <w:footnote w:id="299">
    <w:p w14:paraId="1F505E10"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(1990) 169 CLR 436 at 472. cf </w:t>
      </w:r>
      <w:r w:rsidRPr="002F0E54">
        <w:rPr>
          <w:rFonts w:ascii="Times New Roman" w:hAnsi="Times New Roman"/>
          <w:i/>
          <w:sz w:val="24"/>
        </w:rPr>
        <w:t>ACTV</w:t>
      </w:r>
      <w:r w:rsidRPr="002F0E54">
        <w:rPr>
          <w:rFonts w:ascii="Times New Roman" w:hAnsi="Times New Roman"/>
          <w:sz w:val="24"/>
        </w:rPr>
        <w:t xml:space="preserve"> (1992) 177 CLR 106 at 143-144; </w:t>
      </w:r>
      <w:r w:rsidRPr="002F0E54">
        <w:rPr>
          <w:rFonts w:ascii="Times New Roman" w:hAnsi="Times New Roman"/>
          <w:i/>
          <w:sz w:val="24"/>
        </w:rPr>
        <w:t>Cunliffe</w:t>
      </w:r>
      <w:r>
        <w:rPr>
          <w:rFonts w:ascii="Times New Roman" w:hAnsi="Times New Roman"/>
          <w:sz w:val="24"/>
        </w:rPr>
        <w:t> </w:t>
      </w:r>
      <w:r w:rsidRPr="002F0E54">
        <w:rPr>
          <w:rFonts w:ascii="Times New Roman" w:hAnsi="Times New Roman"/>
          <w:sz w:val="24"/>
        </w:rPr>
        <w:t>(1994) 182 CLR 272 at 324, 352, 388.</w:t>
      </w:r>
    </w:p>
  </w:footnote>
  <w:footnote w:id="300">
    <w:p w14:paraId="69354009"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 xml:space="preserve">McCloy </w:t>
      </w:r>
      <w:r w:rsidRPr="002F0E54">
        <w:rPr>
          <w:rFonts w:ascii="Times New Roman" w:hAnsi="Times New Roman"/>
          <w:sz w:val="24"/>
        </w:rPr>
        <w:t>(2015) 257 CLR 178 at 281-282 [308]-[311]; see also 222 [98], 234-238 [140]-[150];</w:t>
      </w:r>
      <w:r w:rsidRPr="002F0E54">
        <w:rPr>
          <w:rFonts w:ascii="Times New Roman" w:hAnsi="Times New Roman"/>
          <w:i/>
          <w:sz w:val="24"/>
        </w:rPr>
        <w:t xml:space="preserve"> Murphy v Electoral Commissioner </w:t>
      </w:r>
      <w:r w:rsidRPr="002F0E54">
        <w:rPr>
          <w:rFonts w:ascii="Times New Roman" w:hAnsi="Times New Roman"/>
          <w:sz w:val="24"/>
        </w:rPr>
        <w:t>(2016) 261 CLR 28 at 122-124 [294]-[305]; see also 72 [101];</w:t>
      </w:r>
      <w:r w:rsidRPr="002F0E54">
        <w:rPr>
          <w:rFonts w:ascii="Times New Roman" w:hAnsi="Times New Roman"/>
          <w:i/>
          <w:sz w:val="24"/>
        </w:rPr>
        <w:t xml:space="preserve"> Brown </w:t>
      </w:r>
      <w:r w:rsidRPr="002F0E54">
        <w:rPr>
          <w:rFonts w:ascii="Times New Roman" w:hAnsi="Times New Roman"/>
          <w:sz w:val="24"/>
        </w:rPr>
        <w:t>(2017) 261 CLR 328 at 464</w:t>
      </w:r>
      <w:r w:rsidRPr="002F0E54">
        <w:rPr>
          <w:rFonts w:ascii="Times New Roman" w:hAnsi="Times New Roman"/>
          <w:sz w:val="24"/>
        </w:rPr>
        <w:noBreakHyphen/>
        <w:t>468 [427]</w:t>
      </w:r>
      <w:r w:rsidRPr="002F0E54">
        <w:rPr>
          <w:rFonts w:ascii="Times New Roman" w:hAnsi="Times New Roman"/>
          <w:sz w:val="24"/>
        </w:rPr>
        <w:noBreakHyphen/>
        <w:t>[438]; see also 376-379 [159]</w:t>
      </w:r>
      <w:r w:rsidRPr="002F0E54">
        <w:rPr>
          <w:rFonts w:ascii="Times New Roman" w:hAnsi="Times New Roman"/>
          <w:sz w:val="24"/>
        </w:rPr>
        <w:noBreakHyphen/>
        <w:t xml:space="preserve">[165]; </w:t>
      </w:r>
      <w:r w:rsidRPr="002F0E54">
        <w:rPr>
          <w:rFonts w:ascii="Times New Roman" w:hAnsi="Times New Roman"/>
          <w:i/>
          <w:sz w:val="24"/>
        </w:rPr>
        <w:t>Clubb</w:t>
      </w:r>
      <w:r w:rsidRPr="002F0E54">
        <w:rPr>
          <w:rFonts w:ascii="Times New Roman" w:hAnsi="Times New Roman"/>
          <w:sz w:val="24"/>
        </w:rPr>
        <w:t xml:space="preserve"> </w:t>
      </w:r>
      <w:r w:rsidRPr="002F0E54">
        <w:rPr>
          <w:rFonts w:ascii="Times New Roman" w:hAnsi="Times New Roman"/>
          <w:i/>
          <w:sz w:val="24"/>
        </w:rPr>
        <w:t xml:space="preserve">v Edwards </w:t>
      </w:r>
      <w:r w:rsidRPr="002F0E54">
        <w:rPr>
          <w:rFonts w:ascii="Times New Roman" w:hAnsi="Times New Roman"/>
          <w:sz w:val="24"/>
        </w:rPr>
        <w:t>(2019) 267 CLR 171 at 304-310 [389]</w:t>
      </w:r>
      <w:r w:rsidRPr="002F0E54">
        <w:rPr>
          <w:rFonts w:ascii="Times New Roman" w:hAnsi="Times New Roman"/>
          <w:sz w:val="24"/>
        </w:rPr>
        <w:noBreakHyphen/>
        <w:t>[404]; see also 224-225 [159]</w:t>
      </w:r>
      <w:r w:rsidRPr="002F0E54">
        <w:rPr>
          <w:rFonts w:ascii="Times New Roman" w:hAnsi="Times New Roman"/>
          <w:sz w:val="24"/>
        </w:rPr>
        <w:noBreakHyphen/>
        <w:t>[160].</w:t>
      </w:r>
    </w:p>
  </w:footnote>
  <w:footnote w:id="301">
    <w:p w14:paraId="3AE68A43"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See </w:t>
      </w:r>
      <w:r w:rsidRPr="002F0E54">
        <w:rPr>
          <w:rFonts w:ascii="Times New Roman" w:hAnsi="Times New Roman"/>
          <w:i/>
          <w:sz w:val="24"/>
        </w:rPr>
        <w:t xml:space="preserve">Castlemaine Tooheys </w:t>
      </w:r>
      <w:r w:rsidRPr="002F0E54">
        <w:rPr>
          <w:rFonts w:ascii="Times New Roman" w:hAnsi="Times New Roman"/>
          <w:sz w:val="24"/>
        </w:rPr>
        <w:t>(1990) 169 CLR 436 at 472. cf </w:t>
      </w:r>
      <w:r w:rsidRPr="002F0E54">
        <w:rPr>
          <w:rFonts w:ascii="Times New Roman" w:hAnsi="Times New Roman"/>
          <w:i/>
          <w:sz w:val="24"/>
        </w:rPr>
        <w:t xml:space="preserve">Betfair No 1 </w:t>
      </w:r>
      <w:r w:rsidRPr="002F0E54">
        <w:rPr>
          <w:rFonts w:ascii="Times New Roman" w:hAnsi="Times New Roman"/>
          <w:sz w:val="24"/>
        </w:rPr>
        <w:t>(2008) 234</w:t>
      </w:r>
      <w:r>
        <w:rPr>
          <w:rFonts w:ascii="Times New Roman" w:hAnsi="Times New Roman"/>
          <w:sz w:val="24"/>
        </w:rPr>
        <w:t> </w:t>
      </w:r>
      <w:r w:rsidRPr="002F0E54">
        <w:rPr>
          <w:rFonts w:ascii="Times New Roman" w:hAnsi="Times New Roman"/>
          <w:sz w:val="24"/>
        </w:rPr>
        <w:t>CLR 418 at 479-480 [110]</w:t>
      </w:r>
      <w:r w:rsidRPr="002F0E54">
        <w:rPr>
          <w:rFonts w:ascii="Times New Roman" w:hAnsi="Times New Roman"/>
          <w:sz w:val="24"/>
        </w:rPr>
        <w:noBreakHyphen/>
        <w:t>[112].</w:t>
      </w:r>
    </w:p>
  </w:footnote>
  <w:footnote w:id="302">
    <w:p w14:paraId="395302E2"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See </w:t>
      </w:r>
      <w:r w:rsidRPr="002F0E54">
        <w:rPr>
          <w:rFonts w:ascii="Times New Roman" w:hAnsi="Times New Roman"/>
          <w:i/>
          <w:sz w:val="24"/>
        </w:rPr>
        <w:t xml:space="preserve">Murphy </w:t>
      </w:r>
      <w:r w:rsidRPr="002F0E54">
        <w:rPr>
          <w:rFonts w:ascii="Times New Roman" w:hAnsi="Times New Roman"/>
          <w:sz w:val="24"/>
        </w:rPr>
        <w:t>(2016) 261 CLR 28 at 122</w:t>
      </w:r>
      <w:r w:rsidRPr="002F0E54">
        <w:rPr>
          <w:rFonts w:ascii="Times New Roman" w:hAnsi="Times New Roman"/>
          <w:sz w:val="24"/>
        </w:rPr>
        <w:noBreakHyphen/>
        <w:t>123 [298]</w:t>
      </w:r>
      <w:r w:rsidRPr="002F0E54">
        <w:rPr>
          <w:rFonts w:ascii="Times New Roman" w:hAnsi="Times New Roman"/>
          <w:sz w:val="24"/>
        </w:rPr>
        <w:noBreakHyphen/>
        <w:t xml:space="preserve">[299]; </w:t>
      </w:r>
      <w:r w:rsidRPr="002F0E54">
        <w:rPr>
          <w:rFonts w:ascii="Times New Roman" w:hAnsi="Times New Roman"/>
          <w:i/>
          <w:sz w:val="24"/>
        </w:rPr>
        <w:t>Brown </w:t>
      </w:r>
      <w:r w:rsidRPr="002F0E54">
        <w:rPr>
          <w:rFonts w:ascii="Times New Roman" w:hAnsi="Times New Roman"/>
          <w:sz w:val="24"/>
        </w:rPr>
        <w:t xml:space="preserve">(2017) 261 CLR 328 at 377 [160]. </w:t>
      </w:r>
    </w:p>
  </w:footnote>
  <w:footnote w:id="303">
    <w:p w14:paraId="40A26A13"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 xml:space="preserve">Gratwick </w:t>
      </w:r>
      <w:r w:rsidRPr="002F0E54">
        <w:rPr>
          <w:rFonts w:ascii="Times New Roman" w:hAnsi="Times New Roman"/>
          <w:sz w:val="24"/>
        </w:rPr>
        <w:t>(1945) 70 CLR 1 at 19.</w:t>
      </w:r>
    </w:p>
  </w:footnote>
  <w:footnote w:id="304">
    <w:p w14:paraId="31CC29CE"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cf </w:t>
      </w:r>
      <w:r w:rsidRPr="002F0E54">
        <w:rPr>
          <w:rFonts w:ascii="Times New Roman" w:hAnsi="Times New Roman"/>
          <w:i/>
          <w:sz w:val="24"/>
        </w:rPr>
        <w:t xml:space="preserve">Murphy </w:t>
      </w:r>
      <w:r w:rsidRPr="002F0E54">
        <w:rPr>
          <w:rFonts w:ascii="Times New Roman" w:hAnsi="Times New Roman"/>
          <w:sz w:val="24"/>
        </w:rPr>
        <w:t xml:space="preserve">(2016) 261 CLR 28 at 123 [303]. See also </w:t>
      </w:r>
      <w:r w:rsidRPr="002F0E54">
        <w:rPr>
          <w:rFonts w:ascii="Times New Roman" w:hAnsi="Times New Roman"/>
          <w:i/>
          <w:sz w:val="24"/>
        </w:rPr>
        <w:t xml:space="preserve">Clubb </w:t>
      </w:r>
      <w:r w:rsidRPr="002F0E54">
        <w:rPr>
          <w:rFonts w:ascii="Times New Roman" w:hAnsi="Times New Roman"/>
          <w:sz w:val="24"/>
        </w:rPr>
        <w:t>(2019) 267 CLR 171 at 199 [64].</w:t>
      </w:r>
    </w:p>
  </w:footnote>
  <w:footnote w:id="305">
    <w:p w14:paraId="006C8195"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See [</w:t>
      </w:r>
      <w:r>
        <w:rPr>
          <w:rFonts w:ascii="Times New Roman" w:hAnsi="Times New Roman"/>
          <w:sz w:val="24"/>
        </w:rPr>
        <w:t>208</w:t>
      </w:r>
      <w:r w:rsidRPr="002F0E54">
        <w:rPr>
          <w:rFonts w:ascii="Times New Roman" w:hAnsi="Times New Roman"/>
          <w:sz w:val="24"/>
        </w:rPr>
        <w:t>] below.</w:t>
      </w:r>
    </w:p>
  </w:footnote>
  <w:footnote w:id="306">
    <w:p w14:paraId="5DB3D804"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See, eg, </w:t>
      </w:r>
      <w:r w:rsidRPr="002F0E54">
        <w:rPr>
          <w:rFonts w:ascii="Times New Roman" w:hAnsi="Times New Roman"/>
          <w:i/>
          <w:sz w:val="24"/>
        </w:rPr>
        <w:t xml:space="preserve">McCloy </w:t>
      </w:r>
      <w:r w:rsidRPr="002F0E54">
        <w:rPr>
          <w:rFonts w:ascii="Times New Roman" w:hAnsi="Times New Roman"/>
          <w:sz w:val="24"/>
        </w:rPr>
        <w:t xml:space="preserve">(2015) 257 CLR 178 at 235 [142]; </w:t>
      </w:r>
      <w:r w:rsidRPr="002F0E54">
        <w:rPr>
          <w:rFonts w:ascii="Times New Roman" w:hAnsi="Times New Roman"/>
          <w:i/>
          <w:sz w:val="24"/>
        </w:rPr>
        <w:t>Brown </w:t>
      </w:r>
      <w:r w:rsidRPr="002F0E54">
        <w:rPr>
          <w:rFonts w:ascii="Times New Roman" w:hAnsi="Times New Roman"/>
          <w:sz w:val="24"/>
        </w:rPr>
        <w:t>(2017) 261 CLR 328 at 477 [474]-[476].</w:t>
      </w:r>
    </w:p>
  </w:footnote>
  <w:footnote w:id="307">
    <w:p w14:paraId="5772F5B5"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 xml:space="preserve">Bank Nationalization Case </w:t>
      </w:r>
      <w:r w:rsidRPr="002F0E54">
        <w:rPr>
          <w:rFonts w:ascii="Times New Roman" w:hAnsi="Times New Roman"/>
          <w:sz w:val="24"/>
        </w:rPr>
        <w:t>(1949) 79 CLR 497 at 640; [1950] AC 235 at 311. See</w:t>
      </w:r>
      <w:r>
        <w:rPr>
          <w:rFonts w:ascii="Times New Roman" w:hAnsi="Times New Roman"/>
          <w:sz w:val="24"/>
        </w:rPr>
        <w:t> </w:t>
      </w:r>
      <w:r w:rsidRPr="002F0E54">
        <w:rPr>
          <w:rFonts w:ascii="Times New Roman" w:hAnsi="Times New Roman"/>
          <w:sz w:val="24"/>
        </w:rPr>
        <w:t xml:space="preserve">also </w:t>
      </w:r>
      <w:r w:rsidRPr="002F0E54">
        <w:rPr>
          <w:rFonts w:ascii="Times New Roman" w:hAnsi="Times New Roman"/>
          <w:i/>
          <w:sz w:val="24"/>
        </w:rPr>
        <w:t xml:space="preserve">Cole </w:t>
      </w:r>
      <w:r w:rsidRPr="002F0E54">
        <w:rPr>
          <w:rFonts w:ascii="Times New Roman" w:hAnsi="Times New Roman"/>
          <w:sz w:val="24"/>
        </w:rPr>
        <w:t xml:space="preserve">(1988) 165 CLR 360 at 394; </w:t>
      </w:r>
      <w:r w:rsidRPr="002F0E54">
        <w:rPr>
          <w:rFonts w:ascii="Times New Roman" w:hAnsi="Times New Roman"/>
          <w:i/>
          <w:sz w:val="24"/>
        </w:rPr>
        <w:t xml:space="preserve">Nationwide News </w:t>
      </w:r>
      <w:r w:rsidRPr="002F0E54">
        <w:rPr>
          <w:rFonts w:ascii="Times New Roman" w:hAnsi="Times New Roman"/>
          <w:sz w:val="24"/>
        </w:rPr>
        <w:t xml:space="preserve">(1992) 177 CLR 1 at 54, 58; </w:t>
      </w:r>
      <w:r w:rsidRPr="002F0E54">
        <w:rPr>
          <w:rFonts w:ascii="Times New Roman" w:hAnsi="Times New Roman"/>
          <w:i/>
          <w:sz w:val="24"/>
        </w:rPr>
        <w:t xml:space="preserve">ACTV </w:t>
      </w:r>
      <w:r w:rsidRPr="002F0E54">
        <w:rPr>
          <w:rFonts w:ascii="Times New Roman" w:hAnsi="Times New Roman"/>
          <w:sz w:val="24"/>
        </w:rPr>
        <w:t xml:space="preserve">(1992) 177 CLR 106 at 192-194; </w:t>
      </w:r>
      <w:r w:rsidRPr="002F0E54">
        <w:rPr>
          <w:rFonts w:ascii="Times New Roman" w:hAnsi="Times New Roman"/>
          <w:i/>
          <w:sz w:val="24"/>
        </w:rPr>
        <w:t xml:space="preserve">Cunliffe </w:t>
      </w:r>
      <w:r w:rsidRPr="002F0E54">
        <w:rPr>
          <w:rFonts w:ascii="Times New Roman" w:hAnsi="Times New Roman"/>
          <w:sz w:val="24"/>
        </w:rPr>
        <w:t>(1994) 182 CLR 272 at 307, 346, 395.</w:t>
      </w:r>
    </w:p>
  </w:footnote>
  <w:footnote w:id="308">
    <w:p w14:paraId="70490767"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 xml:space="preserve">McCloy </w:t>
      </w:r>
      <w:r w:rsidRPr="002F0E54">
        <w:rPr>
          <w:rFonts w:ascii="Times New Roman" w:hAnsi="Times New Roman"/>
          <w:sz w:val="24"/>
        </w:rPr>
        <w:t>(2015) 257 CLR 178 at 219 [87].</w:t>
      </w:r>
    </w:p>
  </w:footnote>
  <w:footnote w:id="309">
    <w:p w14:paraId="3CADF4C7"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 xml:space="preserve">McCloy </w:t>
      </w:r>
      <w:r w:rsidRPr="002F0E54">
        <w:rPr>
          <w:rFonts w:ascii="Times New Roman" w:hAnsi="Times New Roman"/>
          <w:sz w:val="24"/>
        </w:rPr>
        <w:t>(2015) 257 CLR 178 at 195 [2], 218-219 [83]-[87].</w:t>
      </w:r>
    </w:p>
  </w:footnote>
  <w:footnote w:id="310">
    <w:p w14:paraId="78944198"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(1990) 169 CLR 436 at 471.</w:t>
      </w:r>
    </w:p>
  </w:footnote>
  <w:footnote w:id="311">
    <w:p w14:paraId="6AA5531C"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See Chordia, </w:t>
      </w:r>
      <w:r w:rsidRPr="002F0E54">
        <w:rPr>
          <w:rFonts w:ascii="Times New Roman" w:hAnsi="Times New Roman"/>
          <w:i/>
          <w:sz w:val="24"/>
        </w:rPr>
        <w:t xml:space="preserve">Proportionality in Australian Constitutional Law </w:t>
      </w:r>
      <w:r w:rsidRPr="002F0E54">
        <w:rPr>
          <w:rFonts w:ascii="Times New Roman" w:hAnsi="Times New Roman"/>
          <w:sz w:val="24"/>
        </w:rPr>
        <w:t>(2020) at 143, 149, 150-151.</w:t>
      </w:r>
    </w:p>
  </w:footnote>
  <w:footnote w:id="312">
    <w:p w14:paraId="637252C7"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See, eg, </w:t>
      </w:r>
      <w:r w:rsidRPr="002F0E54">
        <w:rPr>
          <w:rFonts w:ascii="Times New Roman" w:hAnsi="Times New Roman"/>
          <w:i/>
          <w:sz w:val="24"/>
        </w:rPr>
        <w:t xml:space="preserve">Betfair No 1 </w:t>
      </w:r>
      <w:r w:rsidRPr="002F0E54">
        <w:rPr>
          <w:rFonts w:ascii="Times New Roman" w:hAnsi="Times New Roman"/>
          <w:sz w:val="24"/>
        </w:rPr>
        <w:t>(2008) 234 CLR 418 at 452-454 [12]</w:t>
      </w:r>
      <w:r w:rsidRPr="002F0E54">
        <w:rPr>
          <w:rFonts w:ascii="Times New Roman" w:hAnsi="Times New Roman"/>
          <w:sz w:val="24"/>
        </w:rPr>
        <w:noBreakHyphen/>
        <w:t>[20].</w:t>
      </w:r>
    </w:p>
  </w:footnote>
  <w:footnote w:id="313">
    <w:p w14:paraId="33DE94EE"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Or to extend the state of emergency declaration: see [</w:t>
      </w:r>
      <w:r>
        <w:rPr>
          <w:rFonts w:ascii="Times New Roman" w:hAnsi="Times New Roman"/>
          <w:sz w:val="24"/>
        </w:rPr>
        <w:t>175</w:t>
      </w:r>
      <w:r w:rsidRPr="002F0E54">
        <w:rPr>
          <w:rFonts w:ascii="Times New Roman" w:hAnsi="Times New Roman"/>
          <w:sz w:val="24"/>
        </w:rPr>
        <w:t>] above.</w:t>
      </w:r>
    </w:p>
  </w:footnote>
  <w:footnote w:id="314">
    <w:p w14:paraId="7D0432DE"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(2012) 246 CLR 1 at 14 [22].</w:t>
      </w:r>
    </w:p>
  </w:footnote>
  <w:footnote w:id="315">
    <w:p w14:paraId="252068A2"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(1986) 161 CLR 556 at 607, 611, 614. See also </w:t>
      </w:r>
      <w:r w:rsidRPr="002F0E54">
        <w:rPr>
          <w:rFonts w:ascii="Times New Roman" w:hAnsi="Times New Roman"/>
          <w:i/>
          <w:sz w:val="24"/>
        </w:rPr>
        <w:t xml:space="preserve">AMS </w:t>
      </w:r>
      <w:r w:rsidRPr="002F0E54">
        <w:rPr>
          <w:rFonts w:ascii="Times New Roman" w:hAnsi="Times New Roman"/>
          <w:sz w:val="24"/>
        </w:rPr>
        <w:t>(1999) 199 CLR 160 at 176 [37], 179 [45], 179-180 [48], 232-233 [221].</w:t>
      </w:r>
    </w:p>
  </w:footnote>
  <w:footnote w:id="316">
    <w:p w14:paraId="675ADD99"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(2019) 93 ALJR 900 at 916 [44], 924-925 [96], 945-946 [209]-[210]; 372 ALR 42 at 59, 72, 100.</w:t>
      </w:r>
    </w:p>
  </w:footnote>
  <w:footnote w:id="317">
    <w:p w14:paraId="23F4331D"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 xml:space="preserve">Miller </w:t>
      </w:r>
      <w:r w:rsidRPr="002F0E54">
        <w:rPr>
          <w:rFonts w:ascii="Times New Roman" w:hAnsi="Times New Roman"/>
          <w:sz w:val="24"/>
        </w:rPr>
        <w:t>(1986) 161 CLR 556 at 613-614.</w:t>
      </w:r>
    </w:p>
  </w:footnote>
  <w:footnote w:id="318">
    <w:p w14:paraId="6A59B507"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 xml:space="preserve">Wotton </w:t>
      </w:r>
      <w:r w:rsidRPr="002F0E54">
        <w:rPr>
          <w:rFonts w:ascii="Times New Roman" w:hAnsi="Times New Roman"/>
          <w:sz w:val="24"/>
        </w:rPr>
        <w:t>(2012) 246 CLR 1 at 14 [22].</w:t>
      </w:r>
    </w:p>
  </w:footnote>
  <w:footnote w:id="319">
    <w:p w14:paraId="0E82B10D"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 xml:space="preserve">Wotton </w:t>
      </w:r>
      <w:r w:rsidRPr="002F0E54">
        <w:rPr>
          <w:rFonts w:ascii="Times New Roman" w:hAnsi="Times New Roman"/>
          <w:sz w:val="24"/>
        </w:rPr>
        <w:t>(2012) 246 CLR 1 at 14 [22].</w:t>
      </w:r>
    </w:p>
  </w:footnote>
  <w:footnote w:id="320">
    <w:p w14:paraId="46CEFB97"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 xml:space="preserve">Wotton </w:t>
      </w:r>
      <w:r w:rsidRPr="002F0E54">
        <w:rPr>
          <w:rFonts w:ascii="Times New Roman" w:hAnsi="Times New Roman"/>
          <w:sz w:val="24"/>
        </w:rPr>
        <w:t>(2012) 246 CLR 1 at 9-10 [10], 13</w:t>
      </w:r>
      <w:r w:rsidRPr="002F0E54">
        <w:rPr>
          <w:rFonts w:ascii="Times New Roman" w:hAnsi="Times New Roman"/>
          <w:sz w:val="24"/>
        </w:rPr>
        <w:noBreakHyphen/>
        <w:t>14 [21]</w:t>
      </w:r>
      <w:r w:rsidRPr="002F0E54">
        <w:rPr>
          <w:rFonts w:ascii="Times New Roman" w:hAnsi="Times New Roman"/>
          <w:sz w:val="24"/>
        </w:rPr>
        <w:noBreakHyphen/>
        <w:t xml:space="preserve">[22], 16 [31]; </w:t>
      </w:r>
      <w:r w:rsidRPr="002F0E54">
        <w:rPr>
          <w:rFonts w:ascii="Times New Roman" w:hAnsi="Times New Roman"/>
          <w:i/>
          <w:sz w:val="24"/>
        </w:rPr>
        <w:t>Brown</w:t>
      </w:r>
      <w:r w:rsidRPr="002F0E54">
        <w:rPr>
          <w:rFonts w:ascii="Times New Roman" w:hAnsi="Times New Roman"/>
          <w:sz w:val="24"/>
        </w:rPr>
        <w:t xml:space="preserve"> (2017) 261</w:t>
      </w:r>
      <w:r>
        <w:rPr>
          <w:rFonts w:ascii="Times New Roman" w:hAnsi="Times New Roman"/>
          <w:sz w:val="24"/>
        </w:rPr>
        <w:t> </w:t>
      </w:r>
      <w:r w:rsidRPr="002F0E54">
        <w:rPr>
          <w:rFonts w:ascii="Times New Roman" w:hAnsi="Times New Roman"/>
          <w:sz w:val="24"/>
        </w:rPr>
        <w:t xml:space="preserve">CLR 328 at 442-443 [356]; </w:t>
      </w:r>
      <w:r w:rsidRPr="002F0E54">
        <w:rPr>
          <w:rFonts w:ascii="Times New Roman" w:hAnsi="Times New Roman"/>
          <w:i/>
          <w:sz w:val="24"/>
        </w:rPr>
        <w:t>Banerji </w:t>
      </w:r>
      <w:r w:rsidRPr="002F0E54">
        <w:rPr>
          <w:rFonts w:ascii="Times New Roman" w:hAnsi="Times New Roman"/>
          <w:sz w:val="24"/>
        </w:rPr>
        <w:t>(2019) 93 ALJR 900 at 916 [44], 924-925 [96], 945</w:t>
      </w:r>
      <w:r w:rsidRPr="002F0E54">
        <w:rPr>
          <w:rFonts w:ascii="Times New Roman" w:hAnsi="Times New Roman"/>
          <w:sz w:val="24"/>
        </w:rPr>
        <w:noBreakHyphen/>
        <w:t xml:space="preserve">946 [209]-[210]; 372 ALR 42 at 59, 72, 100. See also </w:t>
      </w:r>
      <w:r w:rsidRPr="002F0E54">
        <w:rPr>
          <w:rFonts w:ascii="Times New Roman" w:hAnsi="Times New Roman"/>
          <w:i/>
          <w:sz w:val="24"/>
        </w:rPr>
        <w:t>Miller</w:t>
      </w:r>
      <w:r w:rsidRPr="002F0E54">
        <w:rPr>
          <w:rFonts w:ascii="Times New Roman" w:hAnsi="Times New Roman"/>
          <w:sz w:val="24"/>
        </w:rPr>
        <w:t xml:space="preserve"> (1986) 161</w:t>
      </w:r>
      <w:r>
        <w:rPr>
          <w:rFonts w:ascii="Times New Roman" w:hAnsi="Times New Roman"/>
          <w:sz w:val="24"/>
        </w:rPr>
        <w:t> </w:t>
      </w:r>
      <w:r w:rsidRPr="002F0E54">
        <w:rPr>
          <w:rFonts w:ascii="Times New Roman" w:hAnsi="Times New Roman"/>
          <w:sz w:val="24"/>
        </w:rPr>
        <w:t xml:space="preserve">CLR 556 at 607, 611, 614; </w:t>
      </w:r>
      <w:r w:rsidRPr="002F0E54">
        <w:rPr>
          <w:rFonts w:ascii="Times New Roman" w:hAnsi="Times New Roman"/>
          <w:i/>
          <w:sz w:val="24"/>
        </w:rPr>
        <w:t>AMS</w:t>
      </w:r>
      <w:r w:rsidRPr="002F0E54">
        <w:rPr>
          <w:rFonts w:ascii="Times New Roman" w:hAnsi="Times New Roman"/>
          <w:sz w:val="24"/>
        </w:rPr>
        <w:t xml:space="preserve"> (1999) 199 CLR 160 at 176 [37], 179 [45], 179</w:t>
      </w:r>
      <w:r w:rsidRPr="002F0E54">
        <w:rPr>
          <w:rFonts w:ascii="Times New Roman" w:hAnsi="Times New Roman"/>
          <w:sz w:val="24"/>
        </w:rPr>
        <w:noBreakHyphen/>
        <w:t>180 [48], 232</w:t>
      </w:r>
      <w:r w:rsidRPr="002F0E54">
        <w:rPr>
          <w:rFonts w:ascii="Times New Roman" w:hAnsi="Times New Roman"/>
          <w:sz w:val="24"/>
        </w:rPr>
        <w:noBreakHyphen/>
        <w:t>233 [221]. cf </w:t>
      </w:r>
      <w:r w:rsidRPr="002F0E54">
        <w:rPr>
          <w:rFonts w:ascii="Times New Roman" w:hAnsi="Times New Roman"/>
          <w:i/>
          <w:sz w:val="24"/>
        </w:rPr>
        <w:t xml:space="preserve">Sportsbet Pty Ltd v New South Wales </w:t>
      </w:r>
      <w:r w:rsidRPr="002F0E54">
        <w:rPr>
          <w:rFonts w:ascii="Times New Roman" w:hAnsi="Times New Roman"/>
          <w:sz w:val="24"/>
        </w:rPr>
        <w:t>(2012) 249</w:t>
      </w:r>
      <w:r>
        <w:rPr>
          <w:rFonts w:ascii="Times New Roman" w:hAnsi="Times New Roman"/>
          <w:sz w:val="24"/>
        </w:rPr>
        <w:t> </w:t>
      </w:r>
      <w:r w:rsidRPr="002F0E54">
        <w:rPr>
          <w:rFonts w:ascii="Times New Roman" w:hAnsi="Times New Roman"/>
          <w:sz w:val="24"/>
        </w:rPr>
        <w:t>CLR 298 at 317 [14].</w:t>
      </w:r>
    </w:p>
  </w:footnote>
  <w:footnote w:id="321">
    <w:p w14:paraId="0D96AEB8"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Miller</w:t>
      </w:r>
      <w:r w:rsidRPr="002F0E54">
        <w:rPr>
          <w:rFonts w:ascii="Times New Roman" w:hAnsi="Times New Roman"/>
          <w:sz w:val="24"/>
        </w:rPr>
        <w:t xml:space="preserve"> (1986) 161 CLR 556 at 607.</w:t>
      </w:r>
    </w:p>
  </w:footnote>
  <w:footnote w:id="322">
    <w:p w14:paraId="68B97AAB"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See [</w:t>
      </w:r>
      <w:r>
        <w:rPr>
          <w:rFonts w:ascii="Times New Roman" w:hAnsi="Times New Roman"/>
          <w:sz w:val="24"/>
        </w:rPr>
        <w:t>174</w:t>
      </w:r>
      <w:r w:rsidRPr="002F0E54">
        <w:rPr>
          <w:rFonts w:ascii="Times New Roman" w:hAnsi="Times New Roman"/>
          <w:sz w:val="24"/>
        </w:rPr>
        <w:t>] above.</w:t>
      </w:r>
    </w:p>
  </w:footnote>
  <w:footnote w:id="323">
    <w:p w14:paraId="2EA3EA4F"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See [</w:t>
      </w:r>
      <w:r>
        <w:rPr>
          <w:rFonts w:ascii="Times New Roman" w:hAnsi="Times New Roman"/>
          <w:sz w:val="24"/>
        </w:rPr>
        <w:t>191</w:t>
      </w:r>
      <w:r w:rsidRPr="002F0E54">
        <w:rPr>
          <w:rFonts w:ascii="Times New Roman" w:hAnsi="Times New Roman"/>
          <w:sz w:val="24"/>
        </w:rPr>
        <w:t>] above.</w:t>
      </w:r>
    </w:p>
  </w:footnote>
  <w:footnote w:id="324">
    <w:p w14:paraId="616099A9"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See fn </w:t>
      </w:r>
      <w:r>
        <w:rPr>
          <w:rFonts w:ascii="Times New Roman" w:hAnsi="Times New Roman"/>
          <w:sz w:val="24"/>
        </w:rPr>
        <w:t>246</w:t>
      </w:r>
      <w:r w:rsidRPr="002F0E54">
        <w:rPr>
          <w:rFonts w:ascii="Times New Roman" w:hAnsi="Times New Roman"/>
          <w:sz w:val="24"/>
        </w:rPr>
        <w:t xml:space="preserve"> above.</w:t>
      </w:r>
    </w:p>
  </w:footnote>
  <w:footnote w:id="325">
    <w:p w14:paraId="51F3D4BD" w14:textId="77777777" w:rsidR="002D2334" w:rsidRPr="002F0E54" w:rsidRDefault="002D2334" w:rsidP="002F0E54">
      <w:pPr>
        <w:pStyle w:val="FootnoteText"/>
        <w:spacing w:line="280" w:lineRule="exact"/>
        <w:ind w:right="0"/>
        <w:jc w:val="both"/>
        <w:rPr>
          <w:rFonts w:ascii="Times New Roman" w:hAnsi="Times New Roman"/>
          <w:sz w:val="24"/>
          <w:highlight w:val="yellow"/>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See [</w:t>
      </w:r>
      <w:r>
        <w:rPr>
          <w:rFonts w:ascii="Times New Roman" w:hAnsi="Times New Roman"/>
          <w:sz w:val="24"/>
        </w:rPr>
        <w:t>174</w:t>
      </w:r>
      <w:r w:rsidRPr="002F0E54">
        <w:rPr>
          <w:rFonts w:ascii="Times New Roman" w:hAnsi="Times New Roman"/>
          <w:sz w:val="24"/>
        </w:rPr>
        <w:t>]</w:t>
      </w:r>
      <w:r w:rsidRPr="002F0E54">
        <w:rPr>
          <w:rFonts w:ascii="Times New Roman" w:hAnsi="Times New Roman"/>
          <w:sz w:val="24"/>
        </w:rPr>
        <w:noBreakHyphen/>
        <w:t>[</w:t>
      </w:r>
      <w:r>
        <w:rPr>
          <w:rFonts w:ascii="Times New Roman" w:hAnsi="Times New Roman"/>
          <w:sz w:val="24"/>
        </w:rPr>
        <w:t>175</w:t>
      </w:r>
      <w:r w:rsidRPr="002F0E54">
        <w:rPr>
          <w:rFonts w:ascii="Times New Roman" w:hAnsi="Times New Roman"/>
          <w:sz w:val="24"/>
        </w:rPr>
        <w:t>] above.</w:t>
      </w:r>
    </w:p>
  </w:footnote>
  <w:footnote w:id="326">
    <w:p w14:paraId="12354987"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See [</w:t>
      </w:r>
      <w:r>
        <w:rPr>
          <w:rFonts w:ascii="Times New Roman" w:hAnsi="Times New Roman"/>
          <w:sz w:val="24"/>
        </w:rPr>
        <w:t>176</w:t>
      </w:r>
      <w:r w:rsidRPr="002F0E54">
        <w:rPr>
          <w:rFonts w:ascii="Times New Roman" w:hAnsi="Times New Roman"/>
          <w:sz w:val="24"/>
        </w:rPr>
        <w:t>] above.</w:t>
      </w:r>
    </w:p>
  </w:footnote>
  <w:footnote w:id="327">
    <w:p w14:paraId="215284FB"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eastAsia="Calibri" w:hAnsi="Times New Roman"/>
          <w:i/>
          <w:sz w:val="24"/>
        </w:rPr>
        <w:t xml:space="preserve">Miller </w:t>
      </w:r>
      <w:r w:rsidRPr="002F0E54">
        <w:rPr>
          <w:rFonts w:ascii="Times New Roman" w:eastAsia="Calibri" w:hAnsi="Times New Roman"/>
          <w:sz w:val="24"/>
        </w:rPr>
        <w:t>(1986) 161 CLR 556 at 614.</w:t>
      </w:r>
    </w:p>
  </w:footnote>
  <w:footnote w:id="328">
    <w:p w14:paraId="75C448DA"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 xml:space="preserve">Miller </w:t>
      </w:r>
      <w:r w:rsidRPr="002F0E54">
        <w:rPr>
          <w:rFonts w:ascii="Times New Roman" w:eastAsia="Calibri" w:hAnsi="Times New Roman"/>
          <w:sz w:val="24"/>
        </w:rPr>
        <w:t xml:space="preserve">(1986) 161 CLR 556 </w:t>
      </w:r>
      <w:r w:rsidRPr="002F0E54">
        <w:rPr>
          <w:rFonts w:ascii="Times New Roman" w:hAnsi="Times New Roman"/>
          <w:sz w:val="24"/>
        </w:rPr>
        <w:t>at 611.</w:t>
      </w:r>
    </w:p>
  </w:footnote>
  <w:footnote w:id="329">
    <w:p w14:paraId="062BD1D4"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Miller</w:t>
      </w:r>
      <w:r w:rsidRPr="002F0E54">
        <w:rPr>
          <w:rFonts w:ascii="Times New Roman" w:hAnsi="Times New Roman"/>
          <w:sz w:val="24"/>
        </w:rPr>
        <w:t xml:space="preserve"> </w:t>
      </w:r>
      <w:r w:rsidRPr="002F0E54">
        <w:rPr>
          <w:rFonts w:ascii="Times New Roman" w:eastAsia="Calibri" w:hAnsi="Times New Roman"/>
          <w:sz w:val="24"/>
        </w:rPr>
        <w:t xml:space="preserve">(1986) 161 CLR 556 </w:t>
      </w:r>
      <w:r w:rsidRPr="002F0E54">
        <w:rPr>
          <w:rFonts w:ascii="Times New Roman" w:hAnsi="Times New Roman"/>
          <w:sz w:val="24"/>
        </w:rPr>
        <w:t>at 607, 611, 612, 614.</w:t>
      </w:r>
    </w:p>
  </w:footnote>
  <w:footnote w:id="330">
    <w:p w14:paraId="5A1D6497"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r>
      <w:r w:rsidRPr="002F0E54">
        <w:rPr>
          <w:rFonts w:ascii="Times New Roman" w:hAnsi="Times New Roman"/>
          <w:i/>
          <w:sz w:val="24"/>
        </w:rPr>
        <w:t xml:space="preserve">Palmer </w:t>
      </w:r>
      <w:r w:rsidRPr="002F0E54">
        <w:rPr>
          <w:rFonts w:ascii="Times New Roman" w:hAnsi="Times New Roman"/>
          <w:sz w:val="24"/>
        </w:rPr>
        <w:t xml:space="preserve">[2020] FCA 1221 at [84], [88]-[89]. cf </w:t>
      </w:r>
      <w:r w:rsidRPr="002F0E54">
        <w:rPr>
          <w:rFonts w:ascii="Times New Roman" w:hAnsi="Times New Roman"/>
          <w:i/>
          <w:sz w:val="24"/>
        </w:rPr>
        <w:t xml:space="preserve">Betfair No 1 </w:t>
      </w:r>
      <w:r w:rsidRPr="002F0E54">
        <w:rPr>
          <w:rFonts w:ascii="Times New Roman" w:hAnsi="Times New Roman"/>
          <w:sz w:val="24"/>
        </w:rPr>
        <w:t>(2008) 234 CLR 418 at 479-480 [110]</w:t>
      </w:r>
      <w:r w:rsidRPr="002F0E54">
        <w:rPr>
          <w:rFonts w:ascii="Times New Roman" w:hAnsi="Times New Roman"/>
          <w:sz w:val="24"/>
        </w:rPr>
        <w:noBreakHyphen/>
        <w:t>[112].</w:t>
      </w:r>
    </w:p>
  </w:footnote>
  <w:footnote w:id="331">
    <w:p w14:paraId="34A8E600" w14:textId="77777777" w:rsidR="002D2334" w:rsidRPr="002F0E54" w:rsidDel="00671A85" w:rsidRDefault="002D2334" w:rsidP="002F0E54">
      <w:pPr>
        <w:pStyle w:val="FootnoteText"/>
        <w:spacing w:line="280" w:lineRule="exact"/>
        <w:ind w:right="0"/>
        <w:jc w:val="both"/>
        <w:rPr>
          <w:rFonts w:ascii="Times New Roman" w:hAnsi="Times New Roman"/>
          <w:sz w:val="24"/>
        </w:rPr>
      </w:pPr>
      <w:r w:rsidRPr="002F0E54" w:rsidDel="00671A85">
        <w:rPr>
          <w:rStyle w:val="FootnoteReference"/>
          <w:rFonts w:ascii="Times New Roman" w:hAnsi="Times New Roman"/>
          <w:sz w:val="22"/>
          <w:vertAlign w:val="baseline"/>
        </w:rPr>
        <w:footnoteRef/>
      </w:r>
      <w:r w:rsidRPr="002F0E54" w:rsidDel="00671A85">
        <w:rPr>
          <w:rFonts w:ascii="Times New Roman" w:hAnsi="Times New Roman"/>
          <w:sz w:val="24"/>
        </w:rPr>
        <w:t xml:space="preserve"> </w:t>
      </w:r>
      <w:r w:rsidRPr="002F0E54" w:rsidDel="00671A85">
        <w:rPr>
          <w:rFonts w:ascii="Times New Roman" w:hAnsi="Times New Roman"/>
          <w:sz w:val="24"/>
        </w:rPr>
        <w:tab/>
      </w:r>
      <w:r w:rsidRPr="002F0E54" w:rsidDel="00671A85">
        <w:rPr>
          <w:rFonts w:ascii="Times New Roman" w:hAnsi="Times New Roman"/>
          <w:i/>
          <w:sz w:val="24"/>
        </w:rPr>
        <w:t>Official Record of the Debates of the Australasian Federal Convention</w:t>
      </w:r>
      <w:r w:rsidRPr="002F0E54" w:rsidDel="00671A85">
        <w:rPr>
          <w:rFonts w:ascii="Times New Roman" w:hAnsi="Times New Roman"/>
          <w:sz w:val="24"/>
        </w:rPr>
        <w:t xml:space="preserve"> (Sydney), 22 September 1897 at 1062.</w:t>
      </w:r>
    </w:p>
  </w:footnote>
  <w:footnote w:id="332">
    <w:p w14:paraId="4E8C4C1D" w14:textId="77777777" w:rsidR="002D2334" w:rsidRPr="002F0E54" w:rsidRDefault="002D2334" w:rsidP="002F0E54">
      <w:pPr>
        <w:pStyle w:val="FootnoteText"/>
        <w:spacing w:line="280" w:lineRule="exact"/>
        <w:ind w:right="0"/>
        <w:jc w:val="both"/>
        <w:rPr>
          <w:rFonts w:ascii="Times New Roman" w:hAnsi="Times New Roman"/>
          <w:sz w:val="24"/>
        </w:rPr>
      </w:pPr>
      <w:r w:rsidRPr="002F0E54">
        <w:rPr>
          <w:rStyle w:val="FootnoteReference"/>
          <w:rFonts w:ascii="Times New Roman" w:hAnsi="Times New Roman"/>
          <w:sz w:val="22"/>
          <w:vertAlign w:val="baseline"/>
        </w:rPr>
        <w:footnoteRef/>
      </w:r>
      <w:r w:rsidRPr="002F0E54">
        <w:rPr>
          <w:rFonts w:ascii="Times New Roman" w:hAnsi="Times New Roman"/>
          <w:sz w:val="24"/>
        </w:rPr>
        <w:t xml:space="preserve"> </w:t>
      </w:r>
      <w:r w:rsidRPr="002F0E54">
        <w:rPr>
          <w:rFonts w:ascii="Times New Roman" w:hAnsi="Times New Roman"/>
          <w:sz w:val="24"/>
        </w:rPr>
        <w:tab/>
        <w:t xml:space="preserve">(1992) 177 CLR 1 at 58, quoting </w:t>
      </w:r>
      <w:r w:rsidRPr="002F0E54">
        <w:rPr>
          <w:rFonts w:ascii="Times New Roman" w:hAnsi="Times New Roman"/>
          <w:i/>
          <w:sz w:val="24"/>
        </w:rPr>
        <w:t>Bank Nationalization Case</w:t>
      </w:r>
      <w:r w:rsidRPr="002F0E54">
        <w:rPr>
          <w:rFonts w:ascii="Times New Roman" w:hAnsi="Times New Roman"/>
          <w:sz w:val="24"/>
        </w:rPr>
        <w:t xml:space="preserve"> (1949) 79 CLR 497 at 641; [1950] AC 235 at 312. See also </w:t>
      </w:r>
      <w:r w:rsidRPr="002F0E54">
        <w:rPr>
          <w:rFonts w:ascii="Times New Roman" w:hAnsi="Times New Roman"/>
          <w:i/>
          <w:sz w:val="24"/>
        </w:rPr>
        <w:t>Ex parte Nelson [No 1]</w:t>
      </w:r>
      <w:r w:rsidRPr="002F0E54">
        <w:rPr>
          <w:rFonts w:ascii="Times New Roman" w:hAnsi="Times New Roman"/>
          <w:sz w:val="24"/>
        </w:rPr>
        <w:t xml:space="preserve"> (1928) 42 CLR 209 at 218-219; </w:t>
      </w:r>
      <w:r w:rsidRPr="002F0E54">
        <w:rPr>
          <w:rFonts w:ascii="Times New Roman" w:hAnsi="Times New Roman"/>
          <w:i/>
          <w:sz w:val="24"/>
        </w:rPr>
        <w:t>James v Cowan</w:t>
      </w:r>
      <w:r w:rsidRPr="002F0E54">
        <w:rPr>
          <w:rFonts w:ascii="Times New Roman" w:hAnsi="Times New Roman"/>
          <w:sz w:val="24"/>
        </w:rPr>
        <w:t xml:space="preserve"> (1932) 47 CLR 386 at 396; [1932] AC 542 at 558; </w:t>
      </w:r>
      <w:r w:rsidRPr="002F0E54">
        <w:rPr>
          <w:rFonts w:ascii="Times New Roman" w:hAnsi="Times New Roman"/>
          <w:i/>
          <w:sz w:val="24"/>
        </w:rPr>
        <w:t>Tasmania v</w:t>
      </w:r>
      <w:r w:rsidRPr="002F0E54" w:rsidDel="002A597A">
        <w:rPr>
          <w:rFonts w:ascii="Times New Roman" w:hAnsi="Times New Roman"/>
          <w:i/>
          <w:sz w:val="24"/>
        </w:rPr>
        <w:t xml:space="preserve"> </w:t>
      </w:r>
      <w:r w:rsidRPr="002F0E54">
        <w:rPr>
          <w:rFonts w:ascii="Times New Roman" w:hAnsi="Times New Roman"/>
          <w:i/>
          <w:sz w:val="24"/>
        </w:rPr>
        <w:t>Victoria</w:t>
      </w:r>
      <w:r w:rsidRPr="002F0E54">
        <w:rPr>
          <w:rFonts w:ascii="Times New Roman" w:hAnsi="Times New Roman"/>
          <w:sz w:val="24"/>
        </w:rPr>
        <w:t xml:space="preserve"> (1935) 52 CLR 157 at 168-169, 175-176; </w:t>
      </w:r>
      <w:r w:rsidRPr="002F0E54">
        <w:rPr>
          <w:rFonts w:ascii="Times New Roman" w:hAnsi="Times New Roman"/>
          <w:i/>
          <w:sz w:val="24"/>
        </w:rPr>
        <w:t>Fergusson v Stevenson</w:t>
      </w:r>
      <w:r w:rsidRPr="002F0E54">
        <w:rPr>
          <w:rFonts w:ascii="Times New Roman" w:hAnsi="Times New Roman"/>
          <w:sz w:val="24"/>
        </w:rPr>
        <w:t xml:space="preserve"> (1951) 84 CLR 421 at 434-435; </w:t>
      </w:r>
      <w:r w:rsidRPr="002F0E54">
        <w:rPr>
          <w:rFonts w:ascii="Times New Roman" w:hAnsi="Times New Roman"/>
          <w:i/>
          <w:sz w:val="24"/>
        </w:rPr>
        <w:t xml:space="preserve">North Eastern Dairy </w:t>
      </w:r>
      <w:r w:rsidRPr="002F0E54">
        <w:rPr>
          <w:rFonts w:ascii="Times New Roman" w:hAnsi="Times New Roman"/>
          <w:sz w:val="24"/>
        </w:rPr>
        <w:t xml:space="preserve">(1975) 134 CLR 559 at 607-608; </w:t>
      </w:r>
      <w:r w:rsidRPr="002F0E54">
        <w:rPr>
          <w:rFonts w:ascii="Times New Roman" w:hAnsi="Times New Roman"/>
          <w:i/>
          <w:sz w:val="24"/>
        </w:rPr>
        <w:t xml:space="preserve">Permewan Wright Consolidated Pty Ltd v Trewhitt </w:t>
      </w:r>
      <w:r w:rsidRPr="002F0E54">
        <w:rPr>
          <w:rFonts w:ascii="Times New Roman" w:hAnsi="Times New Roman"/>
          <w:sz w:val="24"/>
        </w:rPr>
        <w:t xml:space="preserve">(1979) 145 CLR 1 at 25; </w:t>
      </w:r>
      <w:r w:rsidRPr="002F0E54">
        <w:rPr>
          <w:rFonts w:ascii="Times New Roman" w:hAnsi="Times New Roman"/>
          <w:i/>
          <w:sz w:val="24"/>
        </w:rPr>
        <w:t>Castlemaine Tooheys</w:t>
      </w:r>
      <w:r w:rsidRPr="002F0E54">
        <w:rPr>
          <w:rFonts w:ascii="Times New Roman" w:hAnsi="Times New Roman"/>
          <w:sz w:val="24"/>
        </w:rPr>
        <w:t xml:space="preserve"> (1990) 169 CLR 436 at 472. </w:t>
      </w:r>
    </w:p>
  </w:footnote>
  <w:footnote w:id="333">
    <w:p w14:paraId="2F6C8C44"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(1988) 165 CLR 360.</w:t>
      </w:r>
    </w:p>
  </w:footnote>
  <w:footnote w:id="334">
    <w:p w14:paraId="724DCC77"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(2008) 234 CLR 418.</w:t>
      </w:r>
    </w:p>
  </w:footnote>
  <w:footnote w:id="335">
    <w:p w14:paraId="2DA9E12D"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 xml:space="preserve">Interpretation Act 1984 </w:t>
      </w:r>
      <w:r w:rsidRPr="005C3622">
        <w:rPr>
          <w:rFonts w:ascii="Times New Roman" w:hAnsi="Times New Roman"/>
          <w:sz w:val="24"/>
        </w:rPr>
        <w:t xml:space="preserve">(WA), s 7. </w:t>
      </w:r>
    </w:p>
  </w:footnote>
  <w:footnote w:id="336">
    <w:p w14:paraId="69303D35"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See </w:t>
      </w:r>
      <w:r w:rsidRPr="005C3622">
        <w:rPr>
          <w:rFonts w:ascii="Times New Roman" w:hAnsi="Times New Roman"/>
          <w:i/>
          <w:iCs/>
          <w:sz w:val="24"/>
        </w:rPr>
        <w:t>Interpretation Act</w:t>
      </w:r>
      <w:r w:rsidRPr="005C3622">
        <w:rPr>
          <w:rFonts w:ascii="Times New Roman" w:hAnsi="Times New Roman"/>
          <w:sz w:val="24"/>
        </w:rPr>
        <w:t xml:space="preserve">, s 12. </w:t>
      </w:r>
    </w:p>
  </w:footnote>
  <w:footnote w:id="337">
    <w:p w14:paraId="7AA90D7E"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 xml:space="preserve">Emergency Management Act 2005 </w:t>
      </w:r>
      <w:r w:rsidRPr="005C3622">
        <w:rPr>
          <w:rFonts w:ascii="Times New Roman" w:hAnsi="Times New Roman"/>
          <w:sz w:val="24"/>
        </w:rPr>
        <w:t>(WA), s 57.</w:t>
      </w:r>
    </w:p>
  </w:footnote>
  <w:footnote w:id="338">
    <w:p w14:paraId="4277828D"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Emergency Management Act</w:t>
      </w:r>
      <w:r w:rsidRPr="005C3622">
        <w:rPr>
          <w:rFonts w:ascii="Times New Roman" w:hAnsi="Times New Roman"/>
          <w:sz w:val="24"/>
        </w:rPr>
        <w:t>, s 58.</w:t>
      </w:r>
    </w:p>
  </w:footnote>
  <w:footnote w:id="339">
    <w:p w14:paraId="7DD824B9"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sz w:val="24"/>
        </w:rPr>
        <w:t>Emergency Management Act</w:t>
      </w:r>
      <w:r w:rsidRPr="005C3622">
        <w:rPr>
          <w:rFonts w:ascii="Times New Roman" w:hAnsi="Times New Roman"/>
          <w:sz w:val="24"/>
        </w:rPr>
        <w:t>, s 3 (definition of "emergency area").</w:t>
      </w:r>
    </w:p>
  </w:footnote>
  <w:footnote w:id="340">
    <w:p w14:paraId="6805D4AD"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eastAsia="GungsuhChe" w:hAnsi="Times New Roman"/>
          <w:i/>
          <w:iCs/>
          <w:sz w:val="24"/>
        </w:rPr>
        <w:t>Wotton v Queensland</w:t>
      </w:r>
      <w:r w:rsidRPr="005C3622">
        <w:rPr>
          <w:rFonts w:ascii="Times New Roman" w:eastAsia="GungsuhChe" w:hAnsi="Times New Roman"/>
          <w:sz w:val="24"/>
        </w:rPr>
        <w:t xml:space="preserve"> (2012) 246 CLR 1 at 14 [22].</w:t>
      </w:r>
    </w:p>
  </w:footnote>
  <w:footnote w:id="341">
    <w:p w14:paraId="42BCDA46"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sz w:val="24"/>
        </w:rPr>
        <w:t>Interpretation Act</w:t>
      </w:r>
      <w:r w:rsidRPr="005C3622">
        <w:rPr>
          <w:rFonts w:ascii="Times New Roman" w:hAnsi="Times New Roman"/>
          <w:sz w:val="24"/>
        </w:rPr>
        <w:t xml:space="preserve">, s 5 (definition of "subsidiary legislation"). </w:t>
      </w:r>
    </w:p>
  </w:footnote>
  <w:footnote w:id="342">
    <w:p w14:paraId="620E78B5"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See </w:t>
      </w:r>
      <w:r w:rsidRPr="005C3622">
        <w:rPr>
          <w:rFonts w:ascii="Times New Roman" w:hAnsi="Times New Roman"/>
          <w:i/>
          <w:iCs/>
          <w:sz w:val="24"/>
        </w:rPr>
        <w:t xml:space="preserve">Sea Shepherd Australia Ltd v Western Australia </w:t>
      </w:r>
      <w:r w:rsidRPr="005C3622">
        <w:rPr>
          <w:rFonts w:ascii="Times New Roman" w:hAnsi="Times New Roman"/>
          <w:sz w:val="24"/>
        </w:rPr>
        <w:t xml:space="preserve">(2014) 313 ALR 184. </w:t>
      </w:r>
    </w:p>
  </w:footnote>
  <w:footnote w:id="343">
    <w:p w14:paraId="6039AA51"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Hazeldell Ltd v The Commonwealth</w:t>
      </w:r>
      <w:r w:rsidRPr="005C3622">
        <w:rPr>
          <w:rFonts w:ascii="Times New Roman" w:hAnsi="Times New Roman"/>
          <w:sz w:val="24"/>
        </w:rPr>
        <w:t xml:space="preserve"> (1924) 34 CLR 442 at 446. See also </w:t>
      </w:r>
      <w:r w:rsidRPr="005C3622">
        <w:rPr>
          <w:rFonts w:ascii="Times New Roman" w:hAnsi="Times New Roman"/>
          <w:i/>
          <w:iCs/>
          <w:sz w:val="24"/>
        </w:rPr>
        <w:t>Federated Engine-Drivers and Firemen's Association of Australasia v Broken Hill Proprietary Co Ltd</w:t>
      </w:r>
      <w:r w:rsidRPr="005C3622">
        <w:rPr>
          <w:rFonts w:ascii="Times New Roman" w:hAnsi="Times New Roman"/>
          <w:sz w:val="24"/>
        </w:rPr>
        <w:t xml:space="preserve"> (1911) 12 CLR 398 at 415; </w:t>
      </w:r>
      <w:r w:rsidRPr="005C3622">
        <w:rPr>
          <w:rFonts w:ascii="Times New Roman" w:hAnsi="Times New Roman"/>
          <w:i/>
          <w:iCs/>
          <w:sz w:val="24"/>
        </w:rPr>
        <w:t xml:space="preserve">Old UGC Inc v Industrial Relations Commission (NSW) </w:t>
      </w:r>
      <w:r w:rsidRPr="005C3622">
        <w:rPr>
          <w:rFonts w:ascii="Times New Roman" w:hAnsi="Times New Roman"/>
          <w:sz w:val="24"/>
        </w:rPr>
        <w:t xml:space="preserve">(2006) 225 CLR 274 at 290 [51]; </w:t>
      </w:r>
      <w:r w:rsidRPr="005C3622">
        <w:rPr>
          <w:rFonts w:ascii="Times New Roman" w:hAnsi="Times New Roman"/>
          <w:i/>
          <w:iCs/>
          <w:sz w:val="24"/>
        </w:rPr>
        <w:t>Federal Commissioner of Taxation v Tomaras</w:t>
      </w:r>
      <w:r w:rsidRPr="005C3622">
        <w:rPr>
          <w:rFonts w:ascii="Times New Roman" w:hAnsi="Times New Roman"/>
          <w:sz w:val="24"/>
        </w:rPr>
        <w:t xml:space="preserve"> (2018) 265 CLR 434 at 477 [132]; Leeming, </w:t>
      </w:r>
      <w:r w:rsidRPr="005C3622">
        <w:rPr>
          <w:rFonts w:ascii="Times New Roman" w:hAnsi="Times New Roman"/>
          <w:i/>
          <w:iCs/>
          <w:sz w:val="24"/>
        </w:rPr>
        <w:t>Authority to Decide: The Law of Jurisdiction in Australia</w:t>
      </w:r>
      <w:r w:rsidRPr="005C3622">
        <w:rPr>
          <w:rFonts w:ascii="Times New Roman" w:hAnsi="Times New Roman"/>
          <w:sz w:val="24"/>
        </w:rPr>
        <w:t xml:space="preserve">, 2nd ed (2020) at 37-38. cf </w:t>
      </w:r>
      <w:r w:rsidRPr="005C3622">
        <w:rPr>
          <w:rFonts w:ascii="Times New Roman" w:hAnsi="Times New Roman"/>
          <w:i/>
          <w:iCs/>
          <w:sz w:val="24"/>
        </w:rPr>
        <w:t xml:space="preserve">Wilkie v The Commonwealth </w:t>
      </w:r>
      <w:r w:rsidRPr="005C3622">
        <w:rPr>
          <w:rFonts w:ascii="Times New Roman" w:hAnsi="Times New Roman"/>
          <w:sz w:val="24"/>
        </w:rPr>
        <w:t>(2017) 263 CLR 487 at 521-522 [56]-[57].</w:t>
      </w:r>
    </w:p>
  </w:footnote>
  <w:footnote w:id="344">
    <w:p w14:paraId="1F47DB37"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eastAsia="GungsuhChe" w:hAnsi="Times New Roman"/>
          <w:sz w:val="24"/>
        </w:rPr>
        <w:t xml:space="preserve">(2012) 246 CLR 1. See also </w:t>
      </w:r>
      <w:r w:rsidRPr="005C3622">
        <w:rPr>
          <w:rFonts w:ascii="Times New Roman" w:hAnsi="Times New Roman"/>
          <w:i/>
          <w:sz w:val="24"/>
        </w:rPr>
        <w:t>Comcare v Banerji</w:t>
      </w:r>
      <w:r w:rsidRPr="005C3622">
        <w:rPr>
          <w:rFonts w:ascii="Times New Roman" w:hAnsi="Times New Roman"/>
          <w:sz w:val="24"/>
        </w:rPr>
        <w:t xml:space="preserve"> (2019) 93 ALJR 900 at 945-946 [207]-[211]; 372 ALR 42 at 99-101</w:t>
      </w:r>
      <w:r w:rsidRPr="005C3622">
        <w:rPr>
          <w:rFonts w:ascii="Times New Roman" w:eastAsia="GungsuhChe" w:hAnsi="Times New Roman"/>
          <w:sz w:val="24"/>
        </w:rPr>
        <w:t>.</w:t>
      </w:r>
    </w:p>
  </w:footnote>
  <w:footnote w:id="345">
    <w:p w14:paraId="22B19523"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Bank of New South Wales v The Commonwealth</w:t>
      </w:r>
      <w:r w:rsidRPr="005C3622">
        <w:rPr>
          <w:rFonts w:ascii="Times New Roman" w:hAnsi="Times New Roman"/>
          <w:sz w:val="24"/>
        </w:rPr>
        <w:t xml:space="preserve"> (1948) 76 CLR 1 at 369.</w:t>
      </w:r>
    </w:p>
  </w:footnote>
  <w:footnote w:id="346">
    <w:p w14:paraId="11B3367C"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See, eg, </w:t>
      </w:r>
      <w:r w:rsidRPr="005C3622">
        <w:rPr>
          <w:rFonts w:ascii="Times New Roman" w:hAnsi="Times New Roman"/>
          <w:i/>
          <w:iCs/>
          <w:sz w:val="24"/>
        </w:rPr>
        <w:t xml:space="preserve">Miller v TCN Channel Nine Pty Ltd </w:t>
      </w:r>
      <w:r w:rsidRPr="005C3622">
        <w:rPr>
          <w:rFonts w:ascii="Times New Roman" w:hAnsi="Times New Roman"/>
          <w:sz w:val="24"/>
        </w:rPr>
        <w:t xml:space="preserve">(1986) 161 CLR 556 at 613-614, quoting </w:t>
      </w:r>
      <w:r w:rsidRPr="005C3622">
        <w:rPr>
          <w:rFonts w:ascii="Times New Roman" w:hAnsi="Times New Roman"/>
          <w:i/>
          <w:iCs/>
          <w:sz w:val="24"/>
        </w:rPr>
        <w:t xml:space="preserve">Inglis v Moore [No 2] </w:t>
      </w:r>
      <w:r w:rsidRPr="005C3622">
        <w:rPr>
          <w:rFonts w:ascii="Times New Roman" w:hAnsi="Times New Roman"/>
          <w:sz w:val="24"/>
        </w:rPr>
        <w:t xml:space="preserve">(1979) 25 ALR 453 at 459; </w:t>
      </w:r>
      <w:r w:rsidRPr="005C3622">
        <w:rPr>
          <w:rFonts w:ascii="Times New Roman" w:hAnsi="Times New Roman"/>
          <w:i/>
          <w:iCs/>
          <w:sz w:val="24"/>
        </w:rPr>
        <w:t xml:space="preserve">Cunliffe v The Commonwealth </w:t>
      </w:r>
      <w:r w:rsidRPr="005C3622">
        <w:rPr>
          <w:rFonts w:ascii="Times New Roman" w:hAnsi="Times New Roman"/>
          <w:sz w:val="24"/>
        </w:rPr>
        <w:t xml:space="preserve">(1994) 182 CLR 272 at 331; </w:t>
      </w:r>
      <w:r w:rsidRPr="005C3622">
        <w:rPr>
          <w:rFonts w:ascii="Times New Roman" w:hAnsi="Times New Roman"/>
          <w:i/>
          <w:iCs/>
          <w:sz w:val="24"/>
        </w:rPr>
        <w:t xml:space="preserve">Attorney-General (SA) v Adelaide City Corporation </w:t>
      </w:r>
      <w:r w:rsidRPr="005C3622">
        <w:rPr>
          <w:rFonts w:ascii="Times New Roman" w:hAnsi="Times New Roman"/>
          <w:sz w:val="24"/>
        </w:rPr>
        <w:t>(2013) 249 CLR 1 at 88 [216].</w:t>
      </w:r>
    </w:p>
  </w:footnote>
  <w:footnote w:id="347">
    <w:p w14:paraId="233DF390" w14:textId="77777777" w:rsidR="002D2334" w:rsidRPr="005C3622" w:rsidRDefault="002D2334" w:rsidP="005C3622">
      <w:pPr>
        <w:pStyle w:val="FootnoteText"/>
        <w:spacing w:line="280" w:lineRule="exact"/>
        <w:ind w:right="0"/>
        <w:jc w:val="both"/>
        <w:rPr>
          <w:rFonts w:ascii="Times New Roman" w:eastAsia="GungsuhChe"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eastAsia="GungsuhChe" w:hAnsi="Times New Roman"/>
          <w:i/>
          <w:iCs/>
          <w:sz w:val="24"/>
        </w:rPr>
        <w:t xml:space="preserve">Clubb v Edwards </w:t>
      </w:r>
      <w:r w:rsidRPr="005C3622">
        <w:rPr>
          <w:rFonts w:ascii="Times New Roman" w:eastAsia="GungsuhChe" w:hAnsi="Times New Roman"/>
          <w:sz w:val="24"/>
        </w:rPr>
        <w:t xml:space="preserve">(2019) 267 CLR 171 at 316-322 [421]-[433]; </w:t>
      </w:r>
      <w:r w:rsidRPr="005C3622">
        <w:rPr>
          <w:rFonts w:ascii="Times New Roman" w:hAnsi="Times New Roman"/>
          <w:i/>
          <w:sz w:val="24"/>
        </w:rPr>
        <w:t>Comcare v Banerji</w:t>
      </w:r>
      <w:r w:rsidRPr="005C3622">
        <w:rPr>
          <w:rFonts w:ascii="Times New Roman" w:hAnsi="Times New Roman"/>
          <w:sz w:val="24"/>
        </w:rPr>
        <w:t xml:space="preserve"> (2019) 93 ALJR 900 at 945-946 [210]-[211]; 372 ALR 42 at 100-101</w:t>
      </w:r>
      <w:r w:rsidRPr="005C3622">
        <w:rPr>
          <w:rFonts w:ascii="Times New Roman" w:eastAsia="GungsuhChe" w:hAnsi="Times New Roman"/>
          <w:sz w:val="24"/>
        </w:rPr>
        <w:t xml:space="preserve">. See also </w:t>
      </w:r>
      <w:r w:rsidRPr="005C3622">
        <w:rPr>
          <w:rFonts w:ascii="Times New Roman" w:hAnsi="Times New Roman"/>
          <w:i/>
          <w:iCs/>
          <w:sz w:val="24"/>
        </w:rPr>
        <w:t xml:space="preserve">Australian Railways Union v Victorian Railways Commissioners </w:t>
      </w:r>
      <w:r w:rsidRPr="005C3622">
        <w:rPr>
          <w:rFonts w:ascii="Times New Roman" w:hAnsi="Times New Roman"/>
          <w:sz w:val="24"/>
        </w:rPr>
        <w:t>(1930) 44 CLR 319</w:t>
      </w:r>
      <w:r w:rsidRPr="005C3622">
        <w:rPr>
          <w:rFonts w:ascii="Times New Roman" w:hAnsi="Times New Roman"/>
          <w:i/>
          <w:iCs/>
          <w:sz w:val="24"/>
        </w:rPr>
        <w:t xml:space="preserve"> </w:t>
      </w:r>
      <w:r w:rsidRPr="005C3622">
        <w:rPr>
          <w:rFonts w:ascii="Times New Roman" w:hAnsi="Times New Roman"/>
          <w:sz w:val="24"/>
        </w:rPr>
        <w:t xml:space="preserve">at 377, quoting </w:t>
      </w:r>
      <w:r w:rsidRPr="005C3622">
        <w:rPr>
          <w:rFonts w:ascii="Times New Roman" w:hAnsi="Times New Roman"/>
          <w:i/>
          <w:iCs/>
          <w:sz w:val="24"/>
        </w:rPr>
        <w:t>Newcastle and Hunter River Steamship Co Ltd v Attorney</w:t>
      </w:r>
      <w:r w:rsidRPr="005C3622">
        <w:rPr>
          <w:rFonts w:ascii="Times New Roman" w:hAnsi="Times New Roman"/>
          <w:i/>
          <w:iCs/>
          <w:sz w:val="24"/>
        </w:rPr>
        <w:noBreakHyphen/>
        <w:t>General for the Commonwealth</w:t>
      </w:r>
      <w:r w:rsidRPr="005C3622">
        <w:rPr>
          <w:rFonts w:ascii="Times New Roman" w:hAnsi="Times New Roman"/>
          <w:sz w:val="24"/>
        </w:rPr>
        <w:t xml:space="preserve"> (1921) 29 CLR 357 at 369, "operate on so much of its subject matter as Parliament might lawfully have dealt with"; </w:t>
      </w:r>
      <w:r w:rsidRPr="005C3622">
        <w:rPr>
          <w:rFonts w:ascii="Times New Roman" w:hAnsi="Times New Roman"/>
          <w:i/>
          <w:iCs/>
          <w:sz w:val="24"/>
        </w:rPr>
        <w:t>Bank of New South Wales v The Commonwealth</w:t>
      </w:r>
      <w:r w:rsidRPr="005C3622">
        <w:rPr>
          <w:rFonts w:ascii="Times New Roman" w:hAnsi="Times New Roman"/>
          <w:sz w:val="24"/>
        </w:rPr>
        <w:t xml:space="preserve"> (1948) 76 CLR 1 at 369, "confined in its operation"; </w:t>
      </w:r>
      <w:r w:rsidRPr="005C3622">
        <w:rPr>
          <w:rFonts w:ascii="Times New Roman" w:hAnsi="Times New Roman"/>
          <w:i/>
          <w:iCs/>
          <w:sz w:val="24"/>
        </w:rPr>
        <w:t xml:space="preserve">Vella v Commissioner of Police (NSW) </w:t>
      </w:r>
      <w:r w:rsidRPr="005C3622">
        <w:rPr>
          <w:rFonts w:ascii="Times New Roman" w:hAnsi="Times New Roman"/>
          <w:sz w:val="24"/>
        </w:rPr>
        <w:t xml:space="preserve">(2019) 93 ALJR 1236 at 1250 [53]; 374 ALR 1 at 16, "extended only to those orders for which the section might 'lawfully be applied'". </w:t>
      </w:r>
    </w:p>
  </w:footnote>
  <w:footnote w:id="348">
    <w:p w14:paraId="1AB59DDA"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But, in that context, see Hume, "The Rule of Law in Reading Down: Good Law for the 'Bad Man'" (2014) 37 </w:t>
      </w:r>
      <w:r w:rsidRPr="005C3622">
        <w:rPr>
          <w:rFonts w:ascii="Times New Roman" w:hAnsi="Times New Roman"/>
          <w:i/>
          <w:iCs/>
          <w:sz w:val="24"/>
        </w:rPr>
        <w:t>Melbourne University Law Review</w:t>
      </w:r>
      <w:r w:rsidRPr="005C3622">
        <w:rPr>
          <w:rFonts w:ascii="Times New Roman" w:hAnsi="Times New Roman"/>
          <w:sz w:val="24"/>
        </w:rPr>
        <w:t xml:space="preserve"> 620 at 623-624. See also </w:t>
      </w:r>
      <w:r w:rsidRPr="005C3622">
        <w:rPr>
          <w:rFonts w:ascii="Times New Roman" w:hAnsi="Times New Roman"/>
          <w:i/>
          <w:iCs/>
          <w:sz w:val="24"/>
        </w:rPr>
        <w:t xml:space="preserve">Dawson v The Commonwealth </w:t>
      </w:r>
      <w:r w:rsidRPr="005C3622">
        <w:rPr>
          <w:rFonts w:ascii="Times New Roman" w:hAnsi="Times New Roman"/>
          <w:sz w:val="24"/>
        </w:rPr>
        <w:t xml:space="preserve">(1946) 73 CLR 157 at 178. </w:t>
      </w:r>
    </w:p>
  </w:footnote>
  <w:footnote w:id="349">
    <w:p w14:paraId="4475730F"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Interpretation Act</w:t>
      </w:r>
      <w:r w:rsidRPr="005C3622">
        <w:rPr>
          <w:rFonts w:ascii="Times New Roman" w:hAnsi="Times New Roman"/>
          <w:sz w:val="24"/>
        </w:rPr>
        <w:t xml:space="preserve">, s 7. </w:t>
      </w:r>
    </w:p>
  </w:footnote>
  <w:footnote w:id="350">
    <w:p w14:paraId="68CBEF7F"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eastAsia="GungsuhChe" w:hAnsi="Times New Roman"/>
          <w:i/>
          <w:iCs/>
          <w:sz w:val="24"/>
        </w:rPr>
        <w:t xml:space="preserve">Clubb v Edwards </w:t>
      </w:r>
      <w:r w:rsidRPr="005C3622">
        <w:rPr>
          <w:rFonts w:ascii="Times New Roman" w:eastAsia="GungsuhChe" w:hAnsi="Times New Roman"/>
          <w:sz w:val="24"/>
        </w:rPr>
        <w:t>(2019) 267 CLR 171 at 314-316 [418]-[420].</w:t>
      </w:r>
    </w:p>
  </w:footnote>
  <w:footnote w:id="351">
    <w:p w14:paraId="72AFCE4C"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Porta, </w:t>
      </w:r>
      <w:r w:rsidRPr="005C3622">
        <w:rPr>
          <w:rFonts w:ascii="Times New Roman" w:hAnsi="Times New Roman"/>
          <w:i/>
          <w:sz w:val="24"/>
        </w:rPr>
        <w:t>A Dictionary of Epidemiology</w:t>
      </w:r>
      <w:r w:rsidRPr="005C3622">
        <w:rPr>
          <w:rFonts w:ascii="Times New Roman" w:hAnsi="Times New Roman"/>
          <w:sz w:val="24"/>
        </w:rPr>
        <w:t xml:space="preserve">, 6th ed (2016). </w:t>
      </w:r>
    </w:p>
  </w:footnote>
  <w:footnote w:id="352">
    <w:p w14:paraId="5D8A40C7"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eastAsia="GungsuhChe" w:hAnsi="Times New Roman"/>
          <w:sz w:val="24"/>
        </w:rPr>
        <w:t>(2012) 246 CLR 1 at 14 [22].</w:t>
      </w:r>
    </w:p>
  </w:footnote>
  <w:footnote w:id="353">
    <w:p w14:paraId="1BE40636"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(2013) 249 CLR 1 at 88-90 [217]-[222]. </w:t>
      </w:r>
    </w:p>
  </w:footnote>
  <w:footnote w:id="354">
    <w:p w14:paraId="15CEF905"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Stellios, "</w:t>
      </w:r>
      <w:r w:rsidRPr="005C3622">
        <w:rPr>
          <w:rFonts w:ascii="Times New Roman" w:hAnsi="Times New Roman"/>
          <w:i/>
          <w:iCs/>
          <w:sz w:val="24"/>
        </w:rPr>
        <w:t>Marbury v Madison</w:t>
      </w:r>
      <w:r w:rsidRPr="005C3622">
        <w:rPr>
          <w:rFonts w:ascii="Times New Roman" w:hAnsi="Times New Roman"/>
          <w:sz w:val="24"/>
        </w:rPr>
        <w:t xml:space="preserve">: Constitutional limitations and statutory discretions" (2016) 42 </w:t>
      </w:r>
      <w:r w:rsidRPr="005C3622">
        <w:rPr>
          <w:rFonts w:ascii="Times New Roman" w:hAnsi="Times New Roman"/>
          <w:i/>
          <w:sz w:val="24"/>
        </w:rPr>
        <w:t>Australian Bar Review</w:t>
      </w:r>
      <w:r w:rsidRPr="005C3622">
        <w:rPr>
          <w:rFonts w:ascii="Times New Roman" w:hAnsi="Times New Roman"/>
          <w:sz w:val="24"/>
        </w:rPr>
        <w:t xml:space="preserve"> 324 at 341. </w:t>
      </w:r>
    </w:p>
  </w:footnote>
  <w:footnote w:id="355">
    <w:p w14:paraId="4033FF85"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eastAsia="GungsuhChe" w:hAnsi="Times New Roman"/>
          <w:i/>
          <w:iCs/>
          <w:sz w:val="24"/>
          <w:lang w:eastAsia="en-US"/>
        </w:rPr>
        <w:t xml:space="preserve">APLA Ltd v Legal Services Commissioner (NSW) </w:t>
      </w:r>
      <w:r w:rsidRPr="005C3622">
        <w:rPr>
          <w:rFonts w:ascii="Times New Roman" w:hAnsi="Times New Roman"/>
          <w:sz w:val="24"/>
        </w:rPr>
        <w:t xml:space="preserve">(2005) 224 CLR 322 at 373 [104], quoting </w:t>
      </w:r>
      <w:r w:rsidRPr="005C3622">
        <w:rPr>
          <w:rFonts w:ascii="Times New Roman" w:hAnsi="Times New Roman"/>
          <w:i/>
          <w:iCs/>
          <w:sz w:val="24"/>
        </w:rPr>
        <w:t xml:space="preserve">O'Sullivan v Noarlunga Meat Ltd </w:t>
      </w:r>
      <w:r w:rsidRPr="005C3622">
        <w:rPr>
          <w:rFonts w:ascii="Times New Roman" w:hAnsi="Times New Roman"/>
          <w:sz w:val="24"/>
        </w:rPr>
        <w:t>(1954) 92 CLR 565 at 594.</w:t>
      </w:r>
    </w:p>
  </w:footnote>
  <w:footnote w:id="356">
    <w:p w14:paraId="25DE6ED4"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See, and compare, </w:t>
      </w:r>
      <w:r w:rsidRPr="005C3622">
        <w:rPr>
          <w:rFonts w:ascii="Times New Roman" w:hAnsi="Times New Roman"/>
          <w:i/>
          <w:iCs/>
          <w:sz w:val="24"/>
        </w:rPr>
        <w:t xml:space="preserve">Street v Queensland Bar Association </w:t>
      </w:r>
      <w:r w:rsidRPr="005C3622">
        <w:rPr>
          <w:rFonts w:ascii="Times New Roman" w:hAnsi="Times New Roman"/>
          <w:sz w:val="24"/>
        </w:rPr>
        <w:t>(1989) 168 CLR 461 at 511</w:t>
      </w:r>
      <w:r w:rsidRPr="005C3622">
        <w:rPr>
          <w:rFonts w:ascii="Times New Roman" w:hAnsi="Times New Roman"/>
          <w:sz w:val="24"/>
        </w:rPr>
        <w:noBreakHyphen/>
        <w:t xml:space="preserve">512; </w:t>
      </w:r>
      <w:r w:rsidRPr="005C3622">
        <w:rPr>
          <w:rFonts w:ascii="Times New Roman" w:hAnsi="Times New Roman"/>
          <w:i/>
          <w:iCs/>
          <w:sz w:val="24"/>
        </w:rPr>
        <w:t xml:space="preserve">McCloy v New South Wales </w:t>
      </w:r>
      <w:r w:rsidRPr="005C3622">
        <w:rPr>
          <w:rFonts w:ascii="Times New Roman" w:hAnsi="Times New Roman"/>
          <w:sz w:val="24"/>
        </w:rPr>
        <w:t xml:space="preserve">(2015) 257 CLR 178 at 201 [24]; </w:t>
      </w:r>
      <w:r w:rsidRPr="005C3622">
        <w:rPr>
          <w:rFonts w:ascii="Times New Roman" w:hAnsi="Times New Roman"/>
          <w:i/>
          <w:iCs/>
          <w:sz w:val="24"/>
        </w:rPr>
        <w:t xml:space="preserve">Brown v Tasmania </w:t>
      </w:r>
      <w:r w:rsidRPr="005C3622">
        <w:rPr>
          <w:rFonts w:ascii="Times New Roman" w:hAnsi="Times New Roman"/>
          <w:sz w:val="24"/>
        </w:rPr>
        <w:t>(2017) 261 CLR 328 at 370 [131].</w:t>
      </w:r>
    </w:p>
  </w:footnote>
  <w:footnote w:id="357">
    <w:p w14:paraId="614E88DD"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For example, </w:t>
      </w:r>
      <w:r w:rsidRPr="005C3622">
        <w:rPr>
          <w:rFonts w:ascii="Times New Roman" w:hAnsi="Times New Roman"/>
          <w:i/>
          <w:iCs/>
          <w:sz w:val="24"/>
        </w:rPr>
        <w:t xml:space="preserve">Hartley v Walsh </w:t>
      </w:r>
      <w:r w:rsidRPr="005C3622">
        <w:rPr>
          <w:rFonts w:ascii="Times New Roman" w:hAnsi="Times New Roman"/>
          <w:sz w:val="24"/>
        </w:rPr>
        <w:t>(1937) 57 CLR 372 (</w:t>
      </w:r>
      <w:r w:rsidRPr="005C3622">
        <w:rPr>
          <w:rFonts w:ascii="Times New Roman" w:hAnsi="Times New Roman"/>
          <w:i/>
          <w:iCs/>
          <w:sz w:val="24"/>
        </w:rPr>
        <w:t xml:space="preserve">Dried Fruits Regulations </w:t>
      </w:r>
      <w:r w:rsidRPr="005C3622">
        <w:rPr>
          <w:rFonts w:ascii="Times New Roman" w:hAnsi="Times New Roman"/>
          <w:sz w:val="24"/>
        </w:rPr>
        <w:t xml:space="preserve">(Vic), reg 22); </w:t>
      </w:r>
      <w:r w:rsidRPr="005C3622">
        <w:rPr>
          <w:rFonts w:ascii="Times New Roman" w:hAnsi="Times New Roman"/>
          <w:i/>
          <w:iCs/>
          <w:sz w:val="24"/>
        </w:rPr>
        <w:t xml:space="preserve">R v University of Sydney; Ex parte Drummond </w:t>
      </w:r>
      <w:r w:rsidRPr="005C3622">
        <w:rPr>
          <w:rFonts w:ascii="Times New Roman" w:hAnsi="Times New Roman"/>
          <w:sz w:val="24"/>
        </w:rPr>
        <w:t>(1943) 67 CLR 95 (</w:t>
      </w:r>
      <w:r w:rsidRPr="005C3622">
        <w:rPr>
          <w:rFonts w:ascii="Times New Roman" w:hAnsi="Times New Roman"/>
          <w:i/>
          <w:iCs/>
          <w:sz w:val="24"/>
        </w:rPr>
        <w:t xml:space="preserve">National Security (Universities </w:t>
      </w:r>
      <w:r w:rsidRPr="005C3622">
        <w:rPr>
          <w:rFonts w:ascii="Times New Roman" w:hAnsi="Times New Roman"/>
          <w:i/>
          <w:sz w:val="24"/>
        </w:rPr>
        <w:t xml:space="preserve">Commission) Regulations </w:t>
      </w:r>
      <w:r w:rsidRPr="005C3622">
        <w:rPr>
          <w:rFonts w:ascii="Times New Roman" w:hAnsi="Times New Roman"/>
          <w:sz w:val="24"/>
        </w:rPr>
        <w:t xml:space="preserve">(Cth), reg 16); </w:t>
      </w:r>
      <w:r w:rsidRPr="005C3622">
        <w:rPr>
          <w:rFonts w:ascii="Times New Roman" w:hAnsi="Times New Roman"/>
          <w:i/>
          <w:iCs/>
          <w:sz w:val="24"/>
        </w:rPr>
        <w:t xml:space="preserve">Adelaide Company of Jehovah's Witnesses Inc v The Commonwealth </w:t>
      </w:r>
      <w:r w:rsidRPr="005C3622">
        <w:rPr>
          <w:rFonts w:ascii="Times New Roman" w:hAnsi="Times New Roman"/>
          <w:sz w:val="24"/>
        </w:rPr>
        <w:t>(1943) 67 CLR 116 (</w:t>
      </w:r>
      <w:r w:rsidRPr="005C3622">
        <w:rPr>
          <w:rFonts w:ascii="Times New Roman" w:hAnsi="Times New Roman"/>
          <w:i/>
          <w:iCs/>
          <w:sz w:val="24"/>
        </w:rPr>
        <w:t xml:space="preserve">National Security (Subversive Associations) Regulations </w:t>
      </w:r>
      <w:r w:rsidRPr="005C3622">
        <w:rPr>
          <w:rFonts w:ascii="Times New Roman" w:hAnsi="Times New Roman"/>
          <w:sz w:val="24"/>
        </w:rPr>
        <w:t xml:space="preserve">(Cth)); </w:t>
      </w:r>
      <w:r w:rsidRPr="005C3622">
        <w:rPr>
          <w:rFonts w:ascii="Times New Roman" w:hAnsi="Times New Roman"/>
          <w:i/>
          <w:iCs/>
          <w:sz w:val="24"/>
        </w:rPr>
        <w:t>Gratwick v Johnson</w:t>
      </w:r>
      <w:r w:rsidRPr="005C3622">
        <w:rPr>
          <w:rFonts w:ascii="Times New Roman" w:hAnsi="Times New Roman"/>
          <w:sz w:val="24"/>
        </w:rPr>
        <w:t xml:space="preserve"> (1945) 70 CLR 1 (</w:t>
      </w:r>
      <w:r w:rsidRPr="005C3622">
        <w:rPr>
          <w:rFonts w:ascii="Times New Roman" w:hAnsi="Times New Roman"/>
          <w:i/>
          <w:iCs/>
          <w:sz w:val="24"/>
        </w:rPr>
        <w:t xml:space="preserve">Restriction of Interstate Passenger Transport Order </w:t>
      </w:r>
      <w:r w:rsidRPr="005C3622">
        <w:rPr>
          <w:rFonts w:ascii="Times New Roman" w:hAnsi="Times New Roman"/>
          <w:sz w:val="24"/>
        </w:rPr>
        <w:t xml:space="preserve">made under the </w:t>
      </w:r>
      <w:r w:rsidRPr="005C3622">
        <w:rPr>
          <w:rFonts w:ascii="Times New Roman" w:hAnsi="Times New Roman"/>
          <w:i/>
          <w:iCs/>
          <w:sz w:val="24"/>
        </w:rPr>
        <w:t xml:space="preserve">National Security (Land Transport) Regulations </w:t>
      </w:r>
      <w:r w:rsidRPr="005C3622">
        <w:rPr>
          <w:rFonts w:ascii="Times New Roman" w:hAnsi="Times New Roman"/>
          <w:sz w:val="24"/>
        </w:rPr>
        <w:t xml:space="preserve">(Cth)); </w:t>
      </w:r>
      <w:r w:rsidRPr="005C3622">
        <w:rPr>
          <w:rFonts w:ascii="Times New Roman" w:hAnsi="Times New Roman"/>
          <w:i/>
          <w:iCs/>
          <w:sz w:val="24"/>
        </w:rPr>
        <w:t>North Eastern Dairy Co Ltd v Dairy Industry Authority of NSW</w:t>
      </w:r>
      <w:r w:rsidRPr="005C3622">
        <w:rPr>
          <w:rFonts w:ascii="Times New Roman" w:hAnsi="Times New Roman"/>
          <w:sz w:val="24"/>
        </w:rPr>
        <w:t xml:space="preserve"> (1975) 134 CLR 559 (</w:t>
      </w:r>
      <w:r w:rsidRPr="005C3622">
        <w:rPr>
          <w:rFonts w:ascii="Times New Roman" w:hAnsi="Times New Roman"/>
          <w:i/>
          <w:iCs/>
          <w:sz w:val="24"/>
        </w:rPr>
        <w:t xml:space="preserve">Pure Food Regulations </w:t>
      </w:r>
      <w:r w:rsidRPr="005C3622">
        <w:rPr>
          <w:rFonts w:ascii="Times New Roman" w:hAnsi="Times New Roman"/>
          <w:sz w:val="24"/>
        </w:rPr>
        <w:t xml:space="preserve">(NSW), reg 79(10)(c)); </w:t>
      </w:r>
      <w:r w:rsidRPr="005C3622">
        <w:rPr>
          <w:rFonts w:ascii="Times New Roman" w:hAnsi="Times New Roman"/>
          <w:i/>
          <w:iCs/>
          <w:sz w:val="24"/>
        </w:rPr>
        <w:t xml:space="preserve">Cole v Whitfield </w:t>
      </w:r>
      <w:r w:rsidRPr="005C3622">
        <w:rPr>
          <w:rFonts w:ascii="Times New Roman" w:hAnsi="Times New Roman"/>
          <w:sz w:val="24"/>
        </w:rPr>
        <w:t>(1988) 165 CLR 360 (</w:t>
      </w:r>
      <w:r w:rsidRPr="005C3622">
        <w:rPr>
          <w:rFonts w:ascii="Times New Roman" w:hAnsi="Times New Roman"/>
          <w:i/>
          <w:iCs/>
          <w:sz w:val="24"/>
        </w:rPr>
        <w:t xml:space="preserve">Sea Fisheries Regulations 1962 </w:t>
      </w:r>
      <w:r w:rsidRPr="005C3622">
        <w:rPr>
          <w:rFonts w:ascii="Times New Roman" w:hAnsi="Times New Roman"/>
          <w:sz w:val="24"/>
        </w:rPr>
        <w:t xml:space="preserve">(Tas), reg 31(1)(d)); </w:t>
      </w:r>
      <w:r w:rsidRPr="005C3622">
        <w:rPr>
          <w:rFonts w:ascii="Times New Roman" w:hAnsi="Times New Roman"/>
          <w:i/>
          <w:iCs/>
          <w:sz w:val="24"/>
        </w:rPr>
        <w:t xml:space="preserve">Levy v Victoria </w:t>
      </w:r>
      <w:r w:rsidRPr="005C3622">
        <w:rPr>
          <w:rFonts w:ascii="Times New Roman" w:hAnsi="Times New Roman"/>
          <w:sz w:val="24"/>
        </w:rPr>
        <w:t>(1997) 189 CLR 579 (</w:t>
      </w:r>
      <w:r w:rsidRPr="005C3622">
        <w:rPr>
          <w:rFonts w:ascii="Times New Roman" w:hAnsi="Times New Roman"/>
          <w:i/>
          <w:iCs/>
          <w:sz w:val="24"/>
        </w:rPr>
        <w:t xml:space="preserve">Wildlife (Game) (Hunting Season) Regulations 1994 </w:t>
      </w:r>
      <w:r w:rsidRPr="005C3622">
        <w:rPr>
          <w:rFonts w:ascii="Times New Roman" w:hAnsi="Times New Roman"/>
          <w:sz w:val="24"/>
        </w:rPr>
        <w:t xml:space="preserve">(Vic), reg 5); </w:t>
      </w:r>
      <w:r w:rsidRPr="005C3622">
        <w:rPr>
          <w:rFonts w:ascii="Times New Roman" w:hAnsi="Times New Roman"/>
          <w:i/>
          <w:iCs/>
          <w:sz w:val="24"/>
        </w:rPr>
        <w:t xml:space="preserve">APLA Ltd v Legal Services Commissioner (NSW) </w:t>
      </w:r>
      <w:r w:rsidRPr="005C3622">
        <w:rPr>
          <w:rFonts w:ascii="Times New Roman" w:hAnsi="Times New Roman"/>
          <w:sz w:val="24"/>
        </w:rPr>
        <w:t>(2005) 224 CLR 322 (</w:t>
      </w:r>
      <w:r w:rsidRPr="005C3622">
        <w:rPr>
          <w:rFonts w:ascii="Times New Roman" w:hAnsi="Times New Roman"/>
          <w:i/>
          <w:iCs/>
          <w:sz w:val="24"/>
        </w:rPr>
        <w:t>Legal Profession Regulation 2002</w:t>
      </w:r>
      <w:r w:rsidRPr="005C3622">
        <w:rPr>
          <w:rFonts w:ascii="Times New Roman" w:hAnsi="Times New Roman"/>
          <w:sz w:val="24"/>
        </w:rPr>
        <w:t xml:space="preserve"> (NSW), Pt 14); </w:t>
      </w:r>
      <w:r w:rsidRPr="005C3622">
        <w:rPr>
          <w:rFonts w:ascii="Times New Roman" w:hAnsi="Times New Roman"/>
          <w:i/>
          <w:iCs/>
          <w:sz w:val="24"/>
        </w:rPr>
        <w:t>Attorney</w:t>
      </w:r>
      <w:r w:rsidRPr="005C3622">
        <w:rPr>
          <w:rFonts w:ascii="Times New Roman" w:hAnsi="Times New Roman"/>
          <w:i/>
          <w:iCs/>
          <w:sz w:val="24"/>
        </w:rPr>
        <w:noBreakHyphen/>
        <w:t xml:space="preserve">General (SA) v Adelaide City Corporation </w:t>
      </w:r>
      <w:r w:rsidRPr="005C3622">
        <w:rPr>
          <w:rFonts w:ascii="Times New Roman" w:hAnsi="Times New Roman"/>
          <w:sz w:val="24"/>
        </w:rPr>
        <w:t>(2013) 249 CLR 1 (By</w:t>
      </w:r>
      <w:r w:rsidRPr="005C3622">
        <w:rPr>
          <w:rFonts w:ascii="Times New Roman" w:hAnsi="Times New Roman"/>
          <w:sz w:val="24"/>
        </w:rPr>
        <w:noBreakHyphen/>
        <w:t xml:space="preserve">law No 4 entitled "Roads" made by the Corporation of the City of Adelaide); </w:t>
      </w:r>
      <w:r w:rsidRPr="005C3622">
        <w:rPr>
          <w:rFonts w:ascii="Times New Roman" w:hAnsi="Times New Roman"/>
          <w:i/>
          <w:iCs/>
          <w:sz w:val="24"/>
        </w:rPr>
        <w:t xml:space="preserve">Queensland Nickel Pty Ltd v The Commonwealth </w:t>
      </w:r>
      <w:r w:rsidRPr="005C3622">
        <w:rPr>
          <w:rFonts w:ascii="Times New Roman" w:hAnsi="Times New Roman"/>
          <w:sz w:val="24"/>
        </w:rPr>
        <w:t>(2015) 255 CLR 252</w:t>
      </w:r>
      <w:r w:rsidRPr="005C3622">
        <w:rPr>
          <w:rFonts w:ascii="Times New Roman" w:hAnsi="Times New Roman"/>
          <w:color w:val="00B0F0"/>
          <w:sz w:val="24"/>
        </w:rPr>
        <w:t xml:space="preserve"> </w:t>
      </w:r>
      <w:r w:rsidRPr="005C3622">
        <w:rPr>
          <w:rFonts w:ascii="Times New Roman" w:hAnsi="Times New Roman"/>
          <w:sz w:val="24"/>
        </w:rPr>
        <w:t>(</w:t>
      </w:r>
      <w:r w:rsidRPr="005C3622">
        <w:rPr>
          <w:rFonts w:ascii="Times New Roman" w:hAnsi="Times New Roman"/>
          <w:i/>
          <w:iCs/>
          <w:sz w:val="24"/>
        </w:rPr>
        <w:t>Clean Energy Regulations 2011</w:t>
      </w:r>
      <w:r w:rsidRPr="005C3622">
        <w:rPr>
          <w:rFonts w:ascii="Times New Roman" w:hAnsi="Times New Roman"/>
          <w:sz w:val="24"/>
        </w:rPr>
        <w:t xml:space="preserve"> (Cth), Div 48 of Pt 3 of Sch 1).</w:t>
      </w:r>
    </w:p>
  </w:footnote>
  <w:footnote w:id="358">
    <w:p w14:paraId="1CE57BED"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(1988) 165 CLR 360.</w:t>
      </w:r>
    </w:p>
  </w:footnote>
  <w:footnote w:id="359">
    <w:p w14:paraId="2ACFED52"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sz w:val="24"/>
        </w:rPr>
        <w:t xml:space="preserve">Cole v Whitfield </w:t>
      </w:r>
      <w:r w:rsidRPr="005C3622">
        <w:rPr>
          <w:rFonts w:ascii="Times New Roman" w:hAnsi="Times New Roman"/>
          <w:sz w:val="24"/>
        </w:rPr>
        <w:t>(1988) 165 CLR 360 at 395.</w:t>
      </w:r>
    </w:p>
  </w:footnote>
  <w:footnote w:id="360">
    <w:p w14:paraId="05D01B70"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sz w:val="24"/>
        </w:rPr>
        <w:t xml:space="preserve">Cole v Whitfield </w:t>
      </w:r>
      <w:r w:rsidRPr="005C3622">
        <w:rPr>
          <w:rFonts w:ascii="Times New Roman" w:hAnsi="Times New Roman"/>
          <w:sz w:val="24"/>
        </w:rPr>
        <w:t>(1988) 165 CLR 360 at 399.</w:t>
      </w:r>
    </w:p>
  </w:footnote>
  <w:footnote w:id="361">
    <w:p w14:paraId="1BB95774"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sz w:val="24"/>
        </w:rPr>
        <w:t xml:space="preserve">Castlemaine Tooheys Ltd v South Australia </w:t>
      </w:r>
      <w:r w:rsidRPr="005C3622">
        <w:rPr>
          <w:rFonts w:ascii="Times New Roman" w:hAnsi="Times New Roman"/>
          <w:sz w:val="24"/>
        </w:rPr>
        <w:t>(1990) 169 CLR 436 at 480.</w:t>
      </w:r>
    </w:p>
  </w:footnote>
  <w:footnote w:id="362">
    <w:p w14:paraId="305CC6B9"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(1988) 165 CLR 360 at 409.</w:t>
      </w:r>
    </w:p>
  </w:footnote>
  <w:footnote w:id="363">
    <w:p w14:paraId="724068EB"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 xml:space="preserve">Cole v Whitfield </w:t>
      </w:r>
      <w:r w:rsidRPr="005C3622">
        <w:rPr>
          <w:rFonts w:ascii="Times New Roman" w:hAnsi="Times New Roman"/>
          <w:sz w:val="24"/>
        </w:rPr>
        <w:t>(1988) 165 CLR 360 at 407-408.</w:t>
      </w:r>
    </w:p>
  </w:footnote>
  <w:footnote w:id="364">
    <w:p w14:paraId="2C05E4AD"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Staker, "Section 92 of the Constitution and the European Court of Justice" (1990) 19 </w:t>
      </w:r>
      <w:r w:rsidRPr="005C3622">
        <w:rPr>
          <w:rFonts w:ascii="Times New Roman" w:hAnsi="Times New Roman"/>
          <w:i/>
          <w:sz w:val="24"/>
        </w:rPr>
        <w:t>Federal Law Review</w:t>
      </w:r>
      <w:r w:rsidRPr="005C3622">
        <w:rPr>
          <w:rFonts w:ascii="Times New Roman" w:hAnsi="Times New Roman"/>
          <w:sz w:val="24"/>
        </w:rPr>
        <w:t xml:space="preserve"> 322 at 344-345.</w:t>
      </w:r>
    </w:p>
  </w:footnote>
  <w:footnote w:id="365">
    <w:p w14:paraId="79228A80"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 xml:space="preserve">Bath v Alston Holdings Pty Ltd </w:t>
      </w:r>
      <w:r w:rsidRPr="005C3622">
        <w:rPr>
          <w:rFonts w:ascii="Times New Roman" w:hAnsi="Times New Roman"/>
          <w:iCs/>
          <w:sz w:val="24"/>
        </w:rPr>
        <w:t xml:space="preserve">(1988) 165 CLR 411 at 426; </w:t>
      </w:r>
      <w:r w:rsidRPr="005C3622">
        <w:rPr>
          <w:rFonts w:ascii="Times New Roman" w:hAnsi="Times New Roman"/>
          <w:i/>
          <w:iCs/>
          <w:sz w:val="24"/>
        </w:rPr>
        <w:t xml:space="preserve">Castlemaine Tooheys Ltd v South Australia </w:t>
      </w:r>
      <w:r w:rsidRPr="005C3622">
        <w:rPr>
          <w:rFonts w:ascii="Times New Roman" w:hAnsi="Times New Roman"/>
          <w:sz w:val="24"/>
        </w:rPr>
        <w:t xml:space="preserve">(1990) 169 CLR 436 at 476; Staker, "Section 92 of the Constitution and the European Court of Justice" (1990) 19 </w:t>
      </w:r>
      <w:r w:rsidRPr="005C3622">
        <w:rPr>
          <w:rFonts w:ascii="Times New Roman" w:hAnsi="Times New Roman"/>
          <w:i/>
          <w:sz w:val="24"/>
        </w:rPr>
        <w:t>Federal Law Review</w:t>
      </w:r>
      <w:r w:rsidRPr="005C3622">
        <w:rPr>
          <w:rFonts w:ascii="Times New Roman" w:hAnsi="Times New Roman"/>
          <w:sz w:val="24"/>
        </w:rPr>
        <w:t xml:space="preserve"> 322 at 346.</w:t>
      </w:r>
    </w:p>
  </w:footnote>
  <w:footnote w:id="366">
    <w:p w14:paraId="3D283F8B"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Kiefel and Puig, "The Constitutionalisation of Free Trade by the High Court of Australia and the Court of Justice of the European Union" (2014) 3 </w:t>
      </w:r>
      <w:r w:rsidRPr="005C3622">
        <w:rPr>
          <w:rFonts w:ascii="Times New Roman" w:hAnsi="Times New Roman"/>
          <w:i/>
          <w:iCs/>
          <w:sz w:val="24"/>
        </w:rPr>
        <w:t xml:space="preserve">Global Journal of Comparative Law </w:t>
      </w:r>
      <w:r w:rsidRPr="005C3622">
        <w:rPr>
          <w:rFonts w:ascii="Times New Roman" w:hAnsi="Times New Roman"/>
          <w:sz w:val="24"/>
        </w:rPr>
        <w:t>34 at 41.</w:t>
      </w:r>
    </w:p>
  </w:footnote>
  <w:footnote w:id="367">
    <w:p w14:paraId="4C1A98D4" w14:textId="50A5B0E0"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 xml:space="preserve">Gerner v Victoria </w:t>
      </w:r>
      <w:r w:rsidRPr="005C3622">
        <w:rPr>
          <w:rFonts w:ascii="Times New Roman" w:hAnsi="Times New Roman"/>
          <w:sz w:val="24"/>
        </w:rPr>
        <w:t xml:space="preserve">(2020) 95 ALJR 107 at 115 [28], quoting </w:t>
      </w:r>
      <w:r w:rsidRPr="005C3622">
        <w:rPr>
          <w:rFonts w:ascii="Times New Roman" w:hAnsi="Times New Roman"/>
          <w:i/>
          <w:iCs/>
          <w:sz w:val="24"/>
        </w:rPr>
        <w:t>Australian Capital Television Pty Ltd v The Commonwealth</w:t>
      </w:r>
      <w:r w:rsidRPr="005C3622">
        <w:rPr>
          <w:rFonts w:ascii="Times New Roman" w:hAnsi="Times New Roman"/>
          <w:sz w:val="24"/>
        </w:rPr>
        <w:t xml:space="preserve"> (1992) 177 CLR 106 at 192.</w:t>
      </w:r>
    </w:p>
  </w:footnote>
  <w:footnote w:id="368">
    <w:p w14:paraId="3365D4FC"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Macquarie Dictionary</w:t>
      </w:r>
      <w:r w:rsidRPr="005C3622">
        <w:rPr>
          <w:rFonts w:ascii="Times New Roman" w:hAnsi="Times New Roman"/>
          <w:iCs/>
          <w:sz w:val="24"/>
        </w:rPr>
        <w:t>, 7th ed (2017), vol 1 at 789, "intercourse", sense 1</w:t>
      </w:r>
      <w:r w:rsidRPr="005C3622">
        <w:rPr>
          <w:rFonts w:ascii="Times New Roman" w:hAnsi="Times New Roman"/>
          <w:sz w:val="24"/>
        </w:rPr>
        <w:t xml:space="preserve">. </w:t>
      </w:r>
    </w:p>
  </w:footnote>
  <w:footnote w:id="369">
    <w:p w14:paraId="64A88476"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Griffith, </w:t>
      </w:r>
      <w:r w:rsidRPr="005C3622">
        <w:rPr>
          <w:rFonts w:ascii="Times New Roman" w:hAnsi="Times New Roman"/>
          <w:i/>
          <w:sz w:val="24"/>
        </w:rPr>
        <w:t xml:space="preserve">Notes on Australian Federation: Its Nature and Probable Effects </w:t>
      </w:r>
      <w:r w:rsidRPr="005C3622">
        <w:rPr>
          <w:rFonts w:ascii="Times New Roman" w:hAnsi="Times New Roman"/>
          <w:sz w:val="24"/>
        </w:rPr>
        <w:t>(1896)</w:t>
      </w:r>
      <w:r w:rsidRPr="005C3622">
        <w:rPr>
          <w:rFonts w:ascii="Times New Roman" w:hAnsi="Times New Roman"/>
          <w:i/>
          <w:sz w:val="24"/>
        </w:rPr>
        <w:t xml:space="preserve"> </w:t>
      </w:r>
      <w:r w:rsidRPr="005C3622">
        <w:rPr>
          <w:rFonts w:ascii="Times New Roman" w:hAnsi="Times New Roman"/>
          <w:sz w:val="24"/>
        </w:rPr>
        <w:t>at 33.</w:t>
      </w:r>
    </w:p>
  </w:footnote>
  <w:footnote w:id="370">
    <w:p w14:paraId="2FEE968F"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sz w:val="24"/>
        </w:rPr>
        <w:t xml:space="preserve">Cole v Whitfield </w:t>
      </w:r>
      <w:r w:rsidRPr="005C3622">
        <w:rPr>
          <w:rFonts w:ascii="Times New Roman" w:hAnsi="Times New Roman"/>
          <w:sz w:val="24"/>
        </w:rPr>
        <w:t>(1988) 165 CLR 360 at 394.</w:t>
      </w:r>
    </w:p>
  </w:footnote>
  <w:footnote w:id="371">
    <w:p w14:paraId="6F12B0CE"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sz w:val="24"/>
        </w:rPr>
        <w:t xml:space="preserve">Cole v Whitfield </w:t>
      </w:r>
      <w:r w:rsidRPr="005C3622">
        <w:rPr>
          <w:rFonts w:ascii="Times New Roman" w:hAnsi="Times New Roman"/>
          <w:sz w:val="24"/>
        </w:rPr>
        <w:t xml:space="preserve">(1988) 165 CLR 360 at 393, quoting </w:t>
      </w:r>
      <w:r w:rsidRPr="005C3622">
        <w:rPr>
          <w:rFonts w:ascii="Times New Roman" w:hAnsi="Times New Roman"/>
          <w:i/>
          <w:sz w:val="24"/>
        </w:rPr>
        <w:t xml:space="preserve">Gratwick v Johnson </w:t>
      </w:r>
      <w:r w:rsidRPr="005C3622">
        <w:rPr>
          <w:rFonts w:ascii="Times New Roman" w:hAnsi="Times New Roman"/>
          <w:sz w:val="24"/>
        </w:rPr>
        <w:t>(1945) 70 CLR 1 at 17.</w:t>
      </w:r>
    </w:p>
  </w:footnote>
  <w:footnote w:id="372">
    <w:p w14:paraId="3B15CC44"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See, for instance, references to "commercial intercourse" in</w:t>
      </w:r>
      <w:r w:rsidRPr="005C3622">
        <w:rPr>
          <w:rFonts w:ascii="Times New Roman" w:hAnsi="Times New Roman"/>
          <w:i/>
          <w:sz w:val="24"/>
        </w:rPr>
        <w:t xml:space="preserve"> Official Record of the Debates of the Australasian Federal Convention </w:t>
      </w:r>
      <w:r w:rsidRPr="005C3622">
        <w:rPr>
          <w:rFonts w:ascii="Times New Roman" w:hAnsi="Times New Roman"/>
          <w:iCs/>
          <w:sz w:val="24"/>
        </w:rPr>
        <w:t>(</w:t>
      </w:r>
      <w:r w:rsidRPr="005C3622">
        <w:rPr>
          <w:rFonts w:ascii="Times New Roman" w:hAnsi="Times New Roman"/>
          <w:sz w:val="24"/>
        </w:rPr>
        <w:t xml:space="preserve">Melbourne), 18 February 1898 at 1155 (Mr Solomon) and </w:t>
      </w:r>
      <w:r w:rsidRPr="005C3622">
        <w:rPr>
          <w:rFonts w:ascii="Times New Roman" w:hAnsi="Times New Roman"/>
          <w:i/>
          <w:sz w:val="24"/>
        </w:rPr>
        <w:t>Report from the Committee on Provisions Relating to Finance, Taxation, and Trade Regulation, to the Committee on Constitutional Machinery, Functions, and Powers</w:t>
      </w:r>
      <w:r w:rsidRPr="005C3622">
        <w:rPr>
          <w:rFonts w:ascii="Times New Roman" w:hAnsi="Times New Roman"/>
          <w:sz w:val="24"/>
        </w:rPr>
        <w:t xml:space="preserve"> (23 March 1891).</w:t>
      </w:r>
    </w:p>
  </w:footnote>
  <w:footnote w:id="373">
    <w:p w14:paraId="4E4A293D"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sz w:val="24"/>
        </w:rPr>
        <w:t>Draft Commonwealth Bill: Amendments suggested by R R Garran</w:t>
      </w:r>
      <w:r w:rsidRPr="005C3622">
        <w:rPr>
          <w:rFonts w:ascii="Times New Roman" w:hAnsi="Times New Roman"/>
          <w:sz w:val="24"/>
        </w:rPr>
        <w:t>, Garran Papers, MS 2001, Box 10, ANL.</w:t>
      </w:r>
    </w:p>
  </w:footnote>
  <w:footnote w:id="374">
    <w:p w14:paraId="0E1CEF84"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(1992) 177 CLR 1 at 82-83. See also </w:t>
      </w:r>
      <w:r w:rsidRPr="005C3622">
        <w:rPr>
          <w:rFonts w:ascii="Times New Roman" w:hAnsi="Times New Roman"/>
          <w:i/>
          <w:iCs/>
          <w:sz w:val="24"/>
        </w:rPr>
        <w:t xml:space="preserve">Australian Capital Television Pty Ltd v The Commonwealth </w:t>
      </w:r>
      <w:r w:rsidRPr="005C3622">
        <w:rPr>
          <w:rFonts w:ascii="Times New Roman" w:hAnsi="Times New Roman"/>
          <w:sz w:val="24"/>
        </w:rPr>
        <w:t>(1992) 177 CLR 106 at 192.</w:t>
      </w:r>
    </w:p>
  </w:footnote>
  <w:footnote w:id="375">
    <w:p w14:paraId="071D5314"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(1988) 165 CLR 360 at 388.</w:t>
      </w:r>
    </w:p>
  </w:footnote>
  <w:footnote w:id="376">
    <w:p w14:paraId="0B08DB9E"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(1988) 165 CLR 360 at 394.</w:t>
      </w:r>
    </w:p>
  </w:footnote>
  <w:footnote w:id="377">
    <w:p w14:paraId="6DDDFC76"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(1994) 182 CLR 272 at 384. See also at 333, Brennan J reiterating his views from </w:t>
      </w:r>
      <w:r w:rsidRPr="005C3622">
        <w:rPr>
          <w:rFonts w:ascii="Times New Roman" w:hAnsi="Times New Roman"/>
          <w:i/>
          <w:iCs/>
          <w:sz w:val="24"/>
        </w:rPr>
        <w:t xml:space="preserve">Nationwide News Pty Ltd v Wills </w:t>
      </w:r>
      <w:r w:rsidRPr="005C3622">
        <w:rPr>
          <w:rFonts w:ascii="Times New Roman" w:hAnsi="Times New Roman"/>
          <w:sz w:val="24"/>
        </w:rPr>
        <w:t xml:space="preserve">(1992) 177 CLR 1 at 53-61 but cf at 57 "discrimination is not an essential feature of an impermissible burden imposed on interstate intercourse". </w:t>
      </w:r>
    </w:p>
  </w:footnote>
  <w:footnote w:id="378">
    <w:p w14:paraId="782B2051"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sz w:val="24"/>
        </w:rPr>
        <w:t xml:space="preserve">Cunliffe v The Commonwealth </w:t>
      </w:r>
      <w:r w:rsidRPr="005C3622">
        <w:rPr>
          <w:rFonts w:ascii="Times New Roman" w:hAnsi="Times New Roman"/>
          <w:sz w:val="24"/>
        </w:rPr>
        <w:t>(1994) 182 CLR 272 at 384.</w:t>
      </w:r>
    </w:p>
  </w:footnote>
  <w:footnote w:id="379">
    <w:p w14:paraId="2983C188"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 xml:space="preserve">Cole v Whitfield </w:t>
      </w:r>
      <w:r w:rsidRPr="005C3622">
        <w:rPr>
          <w:rFonts w:ascii="Times New Roman" w:hAnsi="Times New Roman"/>
          <w:sz w:val="24"/>
        </w:rPr>
        <w:t xml:space="preserve">(1988) 165 CLR 360 at 387. </w:t>
      </w:r>
    </w:p>
  </w:footnote>
  <w:footnote w:id="380">
    <w:p w14:paraId="3EA44CDB"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Rose, "</w:t>
      </w:r>
      <w:r w:rsidRPr="005C3622">
        <w:rPr>
          <w:rFonts w:ascii="Times New Roman" w:hAnsi="Times New Roman"/>
          <w:i/>
          <w:sz w:val="24"/>
        </w:rPr>
        <w:t>Cole v Whitfield</w:t>
      </w:r>
      <w:r w:rsidRPr="005C3622">
        <w:rPr>
          <w:rFonts w:ascii="Times New Roman" w:hAnsi="Times New Roman"/>
          <w:sz w:val="24"/>
        </w:rPr>
        <w:t>:</w:t>
      </w:r>
      <w:r w:rsidRPr="005C3622">
        <w:rPr>
          <w:rFonts w:ascii="Times New Roman" w:hAnsi="Times New Roman"/>
          <w:i/>
          <w:sz w:val="24"/>
        </w:rPr>
        <w:t xml:space="preserve"> </w:t>
      </w:r>
      <w:r w:rsidRPr="005C3622">
        <w:rPr>
          <w:rFonts w:ascii="Times New Roman" w:hAnsi="Times New Roman"/>
          <w:sz w:val="24"/>
        </w:rPr>
        <w:t xml:space="preserve">'Absolutely Free' Trade?", in Lee and Winterton (eds), </w:t>
      </w:r>
      <w:r w:rsidRPr="005C3622">
        <w:rPr>
          <w:rFonts w:ascii="Times New Roman" w:hAnsi="Times New Roman"/>
          <w:i/>
          <w:iCs/>
          <w:sz w:val="24"/>
        </w:rPr>
        <w:t xml:space="preserve">Australian Constitutional Landmarks </w:t>
      </w:r>
      <w:r w:rsidRPr="005C3622">
        <w:rPr>
          <w:rFonts w:ascii="Times New Roman" w:hAnsi="Times New Roman"/>
          <w:sz w:val="24"/>
        </w:rPr>
        <w:t xml:space="preserve">(2003) 335 at 350. </w:t>
      </w:r>
    </w:p>
  </w:footnote>
  <w:footnote w:id="381">
    <w:p w14:paraId="40254E37"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(2005) 224 CLR 322 at 456-457 [401]-[402].</w:t>
      </w:r>
    </w:p>
  </w:footnote>
  <w:footnote w:id="382">
    <w:p w14:paraId="723679F5"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eastAsia="GungsuhChe" w:hAnsi="Times New Roman"/>
          <w:i/>
          <w:iCs/>
          <w:sz w:val="24"/>
          <w:lang w:eastAsia="en-US"/>
        </w:rPr>
        <w:t xml:space="preserve">APLA Ltd v Legal Services Commissioner (NSW) </w:t>
      </w:r>
      <w:r w:rsidRPr="005C3622">
        <w:rPr>
          <w:rFonts w:ascii="Times New Roman" w:hAnsi="Times New Roman"/>
          <w:sz w:val="24"/>
        </w:rPr>
        <w:t xml:space="preserve">(2005) 224 CLR 322 at 456 [400], quoting </w:t>
      </w:r>
      <w:r w:rsidRPr="005C3622">
        <w:rPr>
          <w:rFonts w:ascii="Times New Roman" w:hAnsi="Times New Roman"/>
          <w:i/>
          <w:iCs/>
          <w:sz w:val="24"/>
        </w:rPr>
        <w:t xml:space="preserve">Nationwide News Pty Ltd v Wills </w:t>
      </w:r>
      <w:r w:rsidRPr="005C3622">
        <w:rPr>
          <w:rFonts w:ascii="Times New Roman" w:hAnsi="Times New Roman"/>
          <w:sz w:val="24"/>
        </w:rPr>
        <w:t>(1992) 177 CLR 1 at 59.</w:t>
      </w:r>
    </w:p>
  </w:footnote>
  <w:footnote w:id="383">
    <w:p w14:paraId="2EF18E03"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 xml:space="preserve">Nationwide News Pty Ltd v Wills </w:t>
      </w:r>
      <w:r w:rsidRPr="005C3622">
        <w:rPr>
          <w:rFonts w:ascii="Times New Roman" w:hAnsi="Times New Roman"/>
          <w:sz w:val="24"/>
        </w:rPr>
        <w:t>(1992) 177 CLR 1 at 83.</w:t>
      </w:r>
    </w:p>
  </w:footnote>
  <w:footnote w:id="384">
    <w:p w14:paraId="03E1D30C"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eastAsia="GungsuhChe" w:hAnsi="Times New Roman"/>
          <w:i/>
          <w:iCs/>
          <w:sz w:val="24"/>
          <w:lang w:eastAsia="en-US"/>
        </w:rPr>
        <w:t xml:space="preserve">APLA Ltd v Legal Services Commissioner (NSW) </w:t>
      </w:r>
      <w:r w:rsidRPr="005C3622">
        <w:rPr>
          <w:rFonts w:ascii="Times New Roman" w:hAnsi="Times New Roman"/>
          <w:sz w:val="24"/>
        </w:rPr>
        <w:t>(2005) 224 CLR 322 at 390-391 [165].</w:t>
      </w:r>
    </w:p>
  </w:footnote>
  <w:footnote w:id="385">
    <w:p w14:paraId="096A318E"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Rose, "</w:t>
      </w:r>
      <w:r w:rsidRPr="005C3622">
        <w:rPr>
          <w:rFonts w:ascii="Times New Roman" w:hAnsi="Times New Roman"/>
          <w:i/>
          <w:sz w:val="24"/>
        </w:rPr>
        <w:t>Cole v Whitfield</w:t>
      </w:r>
      <w:r w:rsidRPr="005C3622">
        <w:rPr>
          <w:rFonts w:ascii="Times New Roman" w:hAnsi="Times New Roman"/>
          <w:sz w:val="24"/>
        </w:rPr>
        <w:t xml:space="preserve">: 'Absolutely Free' Trade?", in Lee and Winterton (eds), </w:t>
      </w:r>
      <w:r w:rsidRPr="005C3622">
        <w:rPr>
          <w:rFonts w:ascii="Times New Roman" w:hAnsi="Times New Roman"/>
          <w:i/>
          <w:iCs/>
          <w:sz w:val="24"/>
        </w:rPr>
        <w:t xml:space="preserve">Australian Constitutional Landmarks </w:t>
      </w:r>
      <w:r w:rsidRPr="005C3622">
        <w:rPr>
          <w:rFonts w:ascii="Times New Roman" w:hAnsi="Times New Roman"/>
          <w:sz w:val="24"/>
        </w:rPr>
        <w:t>(2003) 335 at 351.</w:t>
      </w:r>
    </w:p>
  </w:footnote>
  <w:footnote w:id="386">
    <w:p w14:paraId="49FBBEEC" w14:textId="77777777" w:rsidR="002D2334" w:rsidRPr="005C3622" w:rsidRDefault="002D2334" w:rsidP="005C3622">
      <w:pPr>
        <w:pStyle w:val="FootnoteText"/>
        <w:spacing w:line="280" w:lineRule="exact"/>
        <w:ind w:right="0"/>
        <w:jc w:val="both"/>
        <w:rPr>
          <w:rFonts w:ascii="Times New Roman" w:hAnsi="Times New Roman"/>
          <w:i/>
          <w:iCs/>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Nationwide News Pty Ltd v Wills</w:t>
      </w:r>
      <w:r w:rsidRPr="005C3622">
        <w:rPr>
          <w:rFonts w:ascii="Times New Roman" w:hAnsi="Times New Roman"/>
          <w:sz w:val="24"/>
        </w:rPr>
        <w:t xml:space="preserve"> (1992) 177 CLR 1 at 83-84. </w:t>
      </w:r>
    </w:p>
  </w:footnote>
  <w:footnote w:id="387">
    <w:p w14:paraId="59D82F43"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 xml:space="preserve">Official Report of the </w:t>
      </w:r>
      <w:r w:rsidRPr="005C3622">
        <w:rPr>
          <w:rFonts w:ascii="Times New Roman" w:hAnsi="Times New Roman"/>
          <w:i/>
          <w:sz w:val="24"/>
        </w:rPr>
        <w:t>National Australasian</w:t>
      </w:r>
      <w:r w:rsidRPr="005C3622">
        <w:rPr>
          <w:rFonts w:ascii="Times New Roman" w:hAnsi="Times New Roman"/>
          <w:i/>
          <w:iCs/>
          <w:sz w:val="24"/>
        </w:rPr>
        <w:t xml:space="preserve"> Convention</w:t>
      </w:r>
      <w:r w:rsidRPr="005C3622">
        <w:rPr>
          <w:rFonts w:ascii="Times New Roman" w:hAnsi="Times New Roman"/>
          <w:sz w:val="24"/>
        </w:rPr>
        <w:t xml:space="preserve"> </w:t>
      </w:r>
      <w:r w:rsidRPr="005C3622">
        <w:rPr>
          <w:rFonts w:ascii="Times New Roman" w:hAnsi="Times New Roman"/>
          <w:i/>
          <w:sz w:val="24"/>
        </w:rPr>
        <w:t xml:space="preserve">Debates </w:t>
      </w:r>
      <w:r w:rsidRPr="005C3622">
        <w:rPr>
          <w:rFonts w:ascii="Times New Roman" w:hAnsi="Times New Roman"/>
          <w:sz w:val="24"/>
        </w:rPr>
        <w:t>(Sydney), 4 March 1891 at 23-24.</w:t>
      </w:r>
    </w:p>
  </w:footnote>
  <w:footnote w:id="388">
    <w:p w14:paraId="5599FAC6"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 xml:space="preserve">Cole v Whitfield </w:t>
      </w:r>
      <w:r w:rsidRPr="005C3622">
        <w:rPr>
          <w:rFonts w:ascii="Times New Roman" w:hAnsi="Times New Roman"/>
          <w:sz w:val="24"/>
        </w:rPr>
        <w:t>(1988) 165 CLR 360 at 391.</w:t>
      </w:r>
    </w:p>
  </w:footnote>
  <w:footnote w:id="389">
    <w:p w14:paraId="0F366B2E"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See </w:t>
      </w:r>
      <w:r w:rsidRPr="005C3622">
        <w:rPr>
          <w:rFonts w:ascii="Times New Roman" w:hAnsi="Times New Roman"/>
          <w:i/>
          <w:iCs/>
          <w:sz w:val="24"/>
        </w:rPr>
        <w:t xml:space="preserve">Cole v Whitfield </w:t>
      </w:r>
      <w:r w:rsidRPr="005C3622">
        <w:rPr>
          <w:rFonts w:ascii="Times New Roman" w:hAnsi="Times New Roman"/>
          <w:sz w:val="24"/>
        </w:rPr>
        <w:t xml:space="preserve">(1988) 165 CLR 360 at 402. See also Kirk, "Section 92 in its Second Century", in Griffiths and Stellios (eds), </w:t>
      </w:r>
      <w:r w:rsidRPr="005C3622">
        <w:rPr>
          <w:rFonts w:ascii="Times New Roman" w:hAnsi="Times New Roman"/>
          <w:i/>
          <w:iCs/>
          <w:sz w:val="24"/>
        </w:rPr>
        <w:t xml:space="preserve">Current Issues in Australian Constitutional Law: Tributes to Professor Leslie Zines </w:t>
      </w:r>
      <w:r w:rsidRPr="005C3622">
        <w:rPr>
          <w:rFonts w:ascii="Times New Roman" w:hAnsi="Times New Roman"/>
          <w:sz w:val="24"/>
        </w:rPr>
        <w:t>(2020) 253 at 279.</w:t>
      </w:r>
    </w:p>
  </w:footnote>
  <w:footnote w:id="390">
    <w:p w14:paraId="35BA70BE"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 xml:space="preserve">Cole v Whitfield </w:t>
      </w:r>
      <w:r w:rsidRPr="005C3622">
        <w:rPr>
          <w:rFonts w:ascii="Times New Roman" w:hAnsi="Times New Roman"/>
          <w:sz w:val="24"/>
        </w:rPr>
        <w:t xml:space="preserve">(1988) 165 CLR 360 at 393, quoted in </w:t>
      </w:r>
      <w:r w:rsidRPr="005C3622">
        <w:rPr>
          <w:rFonts w:ascii="Times New Roman" w:hAnsi="Times New Roman"/>
          <w:i/>
          <w:sz w:val="24"/>
        </w:rPr>
        <w:t xml:space="preserve">Betfair Pty Ltd v Western Australia </w:t>
      </w:r>
      <w:r w:rsidRPr="005C3622">
        <w:rPr>
          <w:rFonts w:ascii="Times New Roman" w:hAnsi="Times New Roman"/>
          <w:sz w:val="24"/>
        </w:rPr>
        <w:t>(2008) 234 CLR 418 at 455-456 [24].</w:t>
      </w:r>
    </w:p>
  </w:footnote>
  <w:footnote w:id="391">
    <w:p w14:paraId="4C84093B" w14:textId="77777777" w:rsidR="002D2334" w:rsidRPr="005C3622" w:rsidRDefault="002D2334" w:rsidP="005C3622">
      <w:pPr>
        <w:pStyle w:val="FootnoteText"/>
        <w:spacing w:line="280" w:lineRule="exact"/>
        <w:ind w:right="0"/>
        <w:jc w:val="both"/>
        <w:rPr>
          <w:rFonts w:ascii="Times New Roman" w:hAnsi="Times New Roman"/>
          <w:i/>
          <w:iCs/>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 xml:space="preserve">Castlemaine Tooheys Ltd v South Australia </w:t>
      </w:r>
      <w:r w:rsidRPr="005C3622">
        <w:rPr>
          <w:rFonts w:ascii="Times New Roman" w:hAnsi="Times New Roman"/>
          <w:sz w:val="24"/>
        </w:rPr>
        <w:t xml:space="preserve">(1990) 169 CLR 436 at 467. </w:t>
      </w:r>
      <w:r w:rsidRPr="005C3622">
        <w:rPr>
          <w:rFonts w:ascii="Times New Roman" w:hAnsi="Times New Roman"/>
          <w:i/>
          <w:iCs/>
          <w:sz w:val="24"/>
        </w:rPr>
        <w:t xml:space="preserve"> </w:t>
      </w:r>
    </w:p>
  </w:footnote>
  <w:footnote w:id="392">
    <w:p w14:paraId="0062FEF8"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Carney, "The Re-Interpretation of Section 92: The Decline of Free Enterprise and the Rise of Free Trade" (1991) 3 </w:t>
      </w:r>
      <w:r w:rsidRPr="005C3622">
        <w:rPr>
          <w:rFonts w:ascii="Times New Roman" w:hAnsi="Times New Roman"/>
          <w:i/>
          <w:sz w:val="24"/>
        </w:rPr>
        <w:t>Bond Law Review</w:t>
      </w:r>
      <w:r w:rsidRPr="005C3622">
        <w:rPr>
          <w:rFonts w:ascii="Times New Roman" w:hAnsi="Times New Roman"/>
          <w:sz w:val="24"/>
        </w:rPr>
        <w:t xml:space="preserve"> 149 at 155. </w:t>
      </w:r>
    </w:p>
  </w:footnote>
  <w:footnote w:id="393">
    <w:p w14:paraId="70DC1E19"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G</w:t>
      </w:r>
      <w:r w:rsidRPr="005C3622">
        <w:rPr>
          <w:rFonts w:ascii="Times New Roman" w:hAnsi="Times New Roman"/>
          <w:i/>
          <w:sz w:val="24"/>
        </w:rPr>
        <w:t>ratwick v Johnson</w:t>
      </w:r>
      <w:r w:rsidRPr="005C3622">
        <w:rPr>
          <w:rFonts w:ascii="Times New Roman" w:hAnsi="Times New Roman"/>
          <w:sz w:val="24"/>
        </w:rPr>
        <w:t xml:space="preserve"> (1945) 70 CLR 1.</w:t>
      </w:r>
    </w:p>
  </w:footnote>
  <w:footnote w:id="394">
    <w:p w14:paraId="477B9327" w14:textId="77777777" w:rsidR="002D2334" w:rsidRPr="005C3622" w:rsidRDefault="002D2334" w:rsidP="005C3622">
      <w:pPr>
        <w:pStyle w:val="FootnoteText"/>
        <w:spacing w:line="280" w:lineRule="exact"/>
        <w:ind w:right="0"/>
        <w:jc w:val="both"/>
        <w:rPr>
          <w:rFonts w:ascii="Times New Roman" w:hAnsi="Times New Roman"/>
          <w:i/>
          <w:iCs/>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 xml:space="preserve">Cole v Whitfield </w:t>
      </w:r>
      <w:r w:rsidRPr="005C3622">
        <w:rPr>
          <w:rFonts w:ascii="Times New Roman" w:hAnsi="Times New Roman"/>
          <w:sz w:val="24"/>
        </w:rPr>
        <w:t>(1988) 165 CLR 360 at 393, 406.</w:t>
      </w:r>
    </w:p>
  </w:footnote>
  <w:footnote w:id="395">
    <w:p w14:paraId="6AC920F2"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sz w:val="24"/>
        </w:rPr>
        <w:t>Gratwick v Johnson</w:t>
      </w:r>
      <w:r w:rsidRPr="005C3622">
        <w:rPr>
          <w:rFonts w:ascii="Times New Roman" w:hAnsi="Times New Roman"/>
          <w:sz w:val="24"/>
        </w:rPr>
        <w:t xml:space="preserve"> (1945) 70 CLR 1.</w:t>
      </w:r>
    </w:p>
  </w:footnote>
  <w:footnote w:id="396">
    <w:p w14:paraId="4101E5B1"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(1988) 165 CLR 360 at 406.</w:t>
      </w:r>
    </w:p>
  </w:footnote>
  <w:footnote w:id="397">
    <w:p w14:paraId="00D581DC"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(1909) 8 CLR 115. </w:t>
      </w:r>
    </w:p>
  </w:footnote>
  <w:footnote w:id="398">
    <w:p w14:paraId="19E37E23"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sz w:val="24"/>
        </w:rPr>
        <w:t xml:space="preserve">Fox v Robbins </w:t>
      </w:r>
      <w:r w:rsidRPr="005C3622">
        <w:rPr>
          <w:rFonts w:ascii="Times New Roman" w:hAnsi="Times New Roman"/>
          <w:sz w:val="24"/>
        </w:rPr>
        <w:t>(1909) 8 CLR 115 at 123.</w:t>
      </w:r>
    </w:p>
  </w:footnote>
  <w:footnote w:id="399">
    <w:p w14:paraId="476AB472"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See </w:t>
      </w:r>
      <w:r w:rsidRPr="005C3622">
        <w:rPr>
          <w:rFonts w:ascii="Times New Roman" w:hAnsi="Times New Roman"/>
          <w:i/>
          <w:iCs/>
          <w:sz w:val="24"/>
        </w:rPr>
        <w:t xml:space="preserve">New South Wales v The Commonwealth </w:t>
      </w:r>
      <w:r w:rsidRPr="005C3622">
        <w:rPr>
          <w:rFonts w:ascii="Times New Roman" w:hAnsi="Times New Roman"/>
          <w:sz w:val="24"/>
        </w:rPr>
        <w:t xml:space="preserve">(1915) 20 CLR 54 at 79; </w:t>
      </w:r>
      <w:r w:rsidRPr="005C3622">
        <w:rPr>
          <w:rFonts w:ascii="Times New Roman" w:hAnsi="Times New Roman"/>
          <w:i/>
          <w:iCs/>
          <w:sz w:val="24"/>
        </w:rPr>
        <w:t xml:space="preserve">Duncan v Queensland </w:t>
      </w:r>
      <w:r w:rsidRPr="005C3622">
        <w:rPr>
          <w:rFonts w:ascii="Times New Roman" w:hAnsi="Times New Roman"/>
          <w:sz w:val="24"/>
        </w:rPr>
        <w:t xml:space="preserve">(1916) 22 CLR 556 at 574; </w:t>
      </w:r>
      <w:r w:rsidRPr="005C3622">
        <w:rPr>
          <w:rFonts w:ascii="Times New Roman" w:hAnsi="Times New Roman"/>
          <w:i/>
          <w:sz w:val="24"/>
        </w:rPr>
        <w:t xml:space="preserve">The Commonwealth and </w:t>
      </w:r>
      <w:r w:rsidRPr="005C3622">
        <w:rPr>
          <w:rFonts w:ascii="Times New Roman" w:hAnsi="Times New Roman"/>
          <w:i/>
          <w:iCs/>
          <w:sz w:val="24"/>
        </w:rPr>
        <w:t xml:space="preserve">Commonwealth Oil Refineries Ltd v South Australia </w:t>
      </w:r>
      <w:r w:rsidRPr="005C3622">
        <w:rPr>
          <w:rFonts w:ascii="Times New Roman" w:hAnsi="Times New Roman"/>
          <w:sz w:val="24"/>
        </w:rPr>
        <w:t>(1926) 38 CLR 408 at 439-440.</w:t>
      </w:r>
    </w:p>
  </w:footnote>
  <w:footnote w:id="400">
    <w:p w14:paraId="63995370" w14:textId="30E530FA"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sz w:val="24"/>
        </w:rPr>
        <w:t xml:space="preserve">Fox v Robbins </w:t>
      </w:r>
      <w:r w:rsidRPr="005C3622">
        <w:rPr>
          <w:rFonts w:ascii="Times New Roman" w:hAnsi="Times New Roman"/>
          <w:sz w:val="24"/>
        </w:rPr>
        <w:t xml:space="preserve">(1909) 8 CLR 115 at 120, quoting </w:t>
      </w:r>
      <w:r w:rsidRPr="005C3622">
        <w:rPr>
          <w:rFonts w:ascii="Times New Roman" w:hAnsi="Times New Roman"/>
          <w:i/>
          <w:iCs/>
          <w:sz w:val="24"/>
        </w:rPr>
        <w:t xml:space="preserve">Welton v State of Missouri </w:t>
      </w:r>
      <w:r w:rsidRPr="005C3622">
        <w:rPr>
          <w:rFonts w:ascii="Times New Roman" w:hAnsi="Times New Roman"/>
          <w:sz w:val="24"/>
        </w:rPr>
        <w:t>(1875) 91 US 275 at 281. See also at 124 ("whether their State of origin be the taxing State or another"), 127 ("the discriminating charge").</w:t>
      </w:r>
    </w:p>
  </w:footnote>
  <w:footnote w:id="401">
    <w:p w14:paraId="0C22E5EE"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 xml:space="preserve">Official Record </w:t>
      </w:r>
      <w:r w:rsidRPr="005C3622">
        <w:rPr>
          <w:rFonts w:ascii="Times New Roman" w:hAnsi="Times New Roman"/>
          <w:i/>
          <w:sz w:val="24"/>
        </w:rPr>
        <w:t>of the Debates of the Australasian Federal Convention</w:t>
      </w:r>
      <w:r w:rsidRPr="005C3622">
        <w:rPr>
          <w:rFonts w:ascii="Times New Roman" w:hAnsi="Times New Roman"/>
          <w:sz w:val="24"/>
        </w:rPr>
        <w:t xml:space="preserve"> (Melbourne), 11 March 1898 at 2373 (Mr Deakin). See also Quick and Garran, </w:t>
      </w:r>
      <w:r w:rsidRPr="005C3622">
        <w:rPr>
          <w:rFonts w:ascii="Times New Roman" w:hAnsi="Times New Roman"/>
          <w:i/>
          <w:iCs/>
          <w:sz w:val="24"/>
        </w:rPr>
        <w:t>The Annotated Constitution</w:t>
      </w:r>
      <w:r w:rsidRPr="005C3622">
        <w:rPr>
          <w:rFonts w:ascii="Times New Roman" w:hAnsi="Times New Roman"/>
          <w:i/>
          <w:sz w:val="24"/>
        </w:rPr>
        <w:t xml:space="preserve"> of the Australian Commonwealth </w:t>
      </w:r>
      <w:r w:rsidRPr="005C3622">
        <w:rPr>
          <w:rFonts w:ascii="Times New Roman" w:hAnsi="Times New Roman"/>
          <w:sz w:val="24"/>
        </w:rPr>
        <w:t xml:space="preserve">(1901) at 845 "unburdened by State restrictions, regulations, or obstructions". </w:t>
      </w:r>
    </w:p>
  </w:footnote>
  <w:footnote w:id="402">
    <w:p w14:paraId="31DB80B4"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Staker, "Section 92 of the Constitution and the European Court of Justice" (1990) 19 </w:t>
      </w:r>
      <w:r w:rsidRPr="005C3622">
        <w:rPr>
          <w:rFonts w:ascii="Times New Roman" w:hAnsi="Times New Roman"/>
          <w:i/>
          <w:sz w:val="24"/>
        </w:rPr>
        <w:t>Federal Law Review</w:t>
      </w:r>
      <w:r w:rsidRPr="005C3622">
        <w:rPr>
          <w:rFonts w:ascii="Times New Roman" w:hAnsi="Times New Roman"/>
          <w:sz w:val="24"/>
        </w:rPr>
        <w:t xml:space="preserve"> 322; Puig, </w:t>
      </w:r>
      <w:r w:rsidRPr="005C3622">
        <w:rPr>
          <w:rFonts w:ascii="Times New Roman" w:hAnsi="Times New Roman"/>
          <w:i/>
          <w:iCs/>
          <w:sz w:val="24"/>
        </w:rPr>
        <w:t xml:space="preserve">The High Court of Australia and Section 92 of the Australian Constitution </w:t>
      </w:r>
      <w:r w:rsidRPr="005C3622">
        <w:rPr>
          <w:rFonts w:ascii="Times New Roman" w:hAnsi="Times New Roman"/>
          <w:sz w:val="24"/>
        </w:rPr>
        <w:t xml:space="preserve">(2008). </w:t>
      </w:r>
    </w:p>
  </w:footnote>
  <w:footnote w:id="403">
    <w:p w14:paraId="4CE5376E"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 xml:space="preserve">Cole v Whitfield </w:t>
      </w:r>
      <w:r w:rsidRPr="005C3622">
        <w:rPr>
          <w:rFonts w:ascii="Times New Roman" w:hAnsi="Times New Roman"/>
          <w:sz w:val="24"/>
        </w:rPr>
        <w:t>(1988) 165 CLR 360 at 394.</w:t>
      </w:r>
    </w:p>
  </w:footnote>
  <w:footnote w:id="404">
    <w:p w14:paraId="108C6017"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 xml:space="preserve">Cole v Whitfield </w:t>
      </w:r>
      <w:r w:rsidRPr="005C3622">
        <w:rPr>
          <w:rFonts w:ascii="Times New Roman" w:hAnsi="Times New Roman"/>
          <w:sz w:val="24"/>
        </w:rPr>
        <w:t>(1988) 165 CLR 360 at 392-393.</w:t>
      </w:r>
    </w:p>
  </w:footnote>
  <w:footnote w:id="405">
    <w:p w14:paraId="744EFFC2"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 xml:space="preserve">Cole v Whitfield </w:t>
      </w:r>
      <w:r w:rsidRPr="005C3622">
        <w:rPr>
          <w:rFonts w:ascii="Times New Roman" w:hAnsi="Times New Roman"/>
          <w:sz w:val="24"/>
        </w:rPr>
        <w:t>(1988) 165 CLR 360 at 392.</w:t>
      </w:r>
    </w:p>
  </w:footnote>
  <w:footnote w:id="406">
    <w:p w14:paraId="15B6B887"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 xml:space="preserve">Betfair Pty Ltd v Western Australia </w:t>
      </w:r>
      <w:r w:rsidRPr="005C3622">
        <w:rPr>
          <w:rFonts w:ascii="Times New Roman" w:hAnsi="Times New Roman"/>
          <w:sz w:val="24"/>
        </w:rPr>
        <w:t xml:space="preserve">(2008) 234 CLR 418 at 461 [39], quoting </w:t>
      </w:r>
      <w:r w:rsidRPr="005C3622">
        <w:rPr>
          <w:rFonts w:ascii="Times New Roman" w:hAnsi="Times New Roman"/>
          <w:i/>
          <w:sz w:val="24"/>
        </w:rPr>
        <w:t xml:space="preserve">Castlemaine Tooheys Ltd v South Australia </w:t>
      </w:r>
      <w:r w:rsidRPr="005C3622">
        <w:rPr>
          <w:rFonts w:ascii="Times New Roman" w:hAnsi="Times New Roman"/>
          <w:sz w:val="24"/>
        </w:rPr>
        <w:t>(1990) 169 CLR 436 at 470.</w:t>
      </w:r>
    </w:p>
  </w:footnote>
  <w:footnote w:id="407">
    <w:p w14:paraId="1DD1E10C"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Zines, </w:t>
      </w:r>
      <w:r w:rsidRPr="005C3622">
        <w:rPr>
          <w:rFonts w:ascii="Times New Roman" w:hAnsi="Times New Roman"/>
          <w:i/>
          <w:iCs/>
          <w:sz w:val="24"/>
        </w:rPr>
        <w:t>The High Court and the Constitution</w:t>
      </w:r>
      <w:r w:rsidRPr="005C3622">
        <w:rPr>
          <w:rFonts w:ascii="Times New Roman" w:hAnsi="Times New Roman"/>
          <w:sz w:val="24"/>
        </w:rPr>
        <w:t xml:space="preserve">, 5th ed (2008) at 195.  </w:t>
      </w:r>
    </w:p>
  </w:footnote>
  <w:footnote w:id="408">
    <w:p w14:paraId="17B34036"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Stellios, </w:t>
      </w:r>
      <w:r w:rsidRPr="005C3622">
        <w:rPr>
          <w:rFonts w:ascii="Times New Roman" w:hAnsi="Times New Roman"/>
          <w:i/>
          <w:sz w:val="24"/>
        </w:rPr>
        <w:t>Zines's The High Court and the Constitution</w:t>
      </w:r>
      <w:r w:rsidRPr="005C3622">
        <w:rPr>
          <w:rFonts w:ascii="Times New Roman" w:hAnsi="Times New Roman"/>
          <w:sz w:val="24"/>
        </w:rPr>
        <w:t>, 6th ed (2015) at 195.</w:t>
      </w:r>
    </w:p>
  </w:footnote>
  <w:footnote w:id="409">
    <w:p w14:paraId="52B30998"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Bailey, "Interstate Free Trade: The Meaning of 'Absolutely Free'" (1933) 7 </w:t>
      </w:r>
      <w:r w:rsidRPr="005C3622">
        <w:rPr>
          <w:rFonts w:ascii="Times New Roman" w:hAnsi="Times New Roman"/>
          <w:i/>
          <w:sz w:val="24"/>
        </w:rPr>
        <w:t>Australian Law Journal</w:t>
      </w:r>
      <w:r w:rsidRPr="005C3622">
        <w:rPr>
          <w:rFonts w:ascii="Times New Roman" w:hAnsi="Times New Roman"/>
          <w:sz w:val="24"/>
        </w:rPr>
        <w:t xml:space="preserve"> 103 at 104. </w:t>
      </w:r>
    </w:p>
  </w:footnote>
  <w:footnote w:id="410">
    <w:p w14:paraId="3983EBFA"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(1988) 165 CLR 360 at 405.</w:t>
      </w:r>
    </w:p>
  </w:footnote>
  <w:footnote w:id="411">
    <w:p w14:paraId="1500B4E8"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sz w:val="24"/>
        </w:rPr>
        <w:t>Betfair Pty Ltd v Western Australia</w:t>
      </w:r>
      <w:r w:rsidRPr="005C3622">
        <w:rPr>
          <w:rFonts w:ascii="Times New Roman" w:hAnsi="Times New Roman"/>
          <w:sz w:val="24"/>
        </w:rPr>
        <w:t xml:space="preserve"> (2008) 234 CLR 418 at 459</w:t>
      </w:r>
      <w:r w:rsidRPr="005C3622">
        <w:rPr>
          <w:rFonts w:ascii="Times New Roman" w:hAnsi="Times New Roman"/>
          <w:sz w:val="24"/>
        </w:rPr>
        <w:noBreakHyphen/>
        <w:t xml:space="preserve">464 [33]-[48]. See Gleeson, "What's left of Cole v Whitfield?" (2013) 24 </w:t>
      </w:r>
      <w:r w:rsidRPr="005C3622">
        <w:rPr>
          <w:rFonts w:ascii="Times New Roman" w:hAnsi="Times New Roman"/>
          <w:i/>
          <w:iCs/>
          <w:sz w:val="24"/>
        </w:rPr>
        <w:t xml:space="preserve">Public Law Review </w:t>
      </w:r>
      <w:r w:rsidRPr="005C3622">
        <w:rPr>
          <w:rFonts w:ascii="Times New Roman" w:hAnsi="Times New Roman"/>
          <w:sz w:val="24"/>
        </w:rPr>
        <w:t>97 at 101.</w:t>
      </w:r>
    </w:p>
  </w:footnote>
  <w:footnote w:id="412">
    <w:p w14:paraId="5728EF03"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(1988) 165 CLR 360 at 393.</w:t>
      </w:r>
    </w:p>
  </w:footnote>
  <w:footnote w:id="413">
    <w:p w14:paraId="586631E9"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 xml:space="preserve">Cole v Whitfield </w:t>
      </w:r>
      <w:r w:rsidRPr="005C3622">
        <w:rPr>
          <w:rFonts w:ascii="Times New Roman" w:hAnsi="Times New Roman"/>
          <w:sz w:val="24"/>
        </w:rPr>
        <w:t>(1988) 165 CLR 360 at 393.</w:t>
      </w:r>
    </w:p>
  </w:footnote>
  <w:footnote w:id="414">
    <w:p w14:paraId="6395A018"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(1990) 171 CLR 182. </w:t>
      </w:r>
    </w:p>
  </w:footnote>
  <w:footnote w:id="415">
    <w:p w14:paraId="7E2B9A7F"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sz w:val="24"/>
        </w:rPr>
        <w:t xml:space="preserve">Barley Marketing Board (NSW) v Norman </w:t>
      </w:r>
      <w:r w:rsidRPr="005C3622">
        <w:rPr>
          <w:rFonts w:ascii="Times New Roman" w:hAnsi="Times New Roman"/>
          <w:sz w:val="24"/>
        </w:rPr>
        <w:t>(1990) 171 CLR 182 at 204.</w:t>
      </w:r>
    </w:p>
  </w:footnote>
  <w:footnote w:id="416">
    <w:p w14:paraId="69D2FBE9"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sz w:val="24"/>
        </w:rPr>
        <w:t xml:space="preserve">Barley Marketing Board (NSW) v Norman </w:t>
      </w:r>
      <w:r w:rsidRPr="005C3622">
        <w:rPr>
          <w:rFonts w:ascii="Times New Roman" w:hAnsi="Times New Roman"/>
          <w:sz w:val="24"/>
        </w:rPr>
        <w:t xml:space="preserve">(1990) 171 CLR 182 at 201-202, referring to </w:t>
      </w:r>
      <w:r w:rsidRPr="005C3622">
        <w:rPr>
          <w:rFonts w:ascii="Times New Roman" w:hAnsi="Times New Roman"/>
          <w:i/>
          <w:iCs/>
          <w:sz w:val="24"/>
        </w:rPr>
        <w:t xml:space="preserve">North Eastern Dairy Co Ltd v Dairy Industry Authority of NSW </w:t>
      </w:r>
      <w:r w:rsidRPr="005C3622">
        <w:rPr>
          <w:rFonts w:ascii="Times New Roman" w:hAnsi="Times New Roman"/>
          <w:sz w:val="24"/>
        </w:rPr>
        <w:t>(1975) 134 CLR 559.</w:t>
      </w:r>
    </w:p>
  </w:footnote>
  <w:footnote w:id="417">
    <w:p w14:paraId="5E170A8F"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Compare Gray, "Compulsory Marketing Schemes and Section 92 of the Australian Constitution" (2014) 33 </w:t>
      </w:r>
      <w:r w:rsidRPr="005C3622">
        <w:rPr>
          <w:rFonts w:ascii="Times New Roman" w:hAnsi="Times New Roman"/>
          <w:i/>
          <w:iCs/>
          <w:sz w:val="24"/>
        </w:rPr>
        <w:t xml:space="preserve">University of Tasmania Law Review </w:t>
      </w:r>
      <w:r w:rsidRPr="005C3622">
        <w:rPr>
          <w:rFonts w:ascii="Times New Roman" w:hAnsi="Times New Roman"/>
          <w:sz w:val="24"/>
        </w:rPr>
        <w:t>317 at 331.</w:t>
      </w:r>
    </w:p>
  </w:footnote>
  <w:footnote w:id="418">
    <w:p w14:paraId="34FD05E3"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sz w:val="24"/>
        </w:rPr>
        <w:t xml:space="preserve">Barley Marketing Board (NSW) v Norman </w:t>
      </w:r>
      <w:r w:rsidRPr="005C3622">
        <w:rPr>
          <w:rFonts w:ascii="Times New Roman" w:hAnsi="Times New Roman"/>
          <w:sz w:val="24"/>
        </w:rPr>
        <w:t>(1990) 171 CLR 182 at 204.</w:t>
      </w:r>
    </w:p>
  </w:footnote>
  <w:footnote w:id="419">
    <w:p w14:paraId="69D7AB8E"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(1990) 169 CLR 436 at 473. </w:t>
      </w:r>
    </w:p>
  </w:footnote>
  <w:footnote w:id="420">
    <w:p w14:paraId="11DD5B7A"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Birks, "Three Kinds of Objection to Discretionary Remedialism" (2000) 29 </w:t>
      </w:r>
      <w:r w:rsidRPr="005C3622">
        <w:rPr>
          <w:rFonts w:ascii="Times New Roman" w:hAnsi="Times New Roman"/>
          <w:i/>
          <w:iCs/>
          <w:sz w:val="24"/>
        </w:rPr>
        <w:t>University of Western Australia Law Review</w:t>
      </w:r>
      <w:r w:rsidRPr="005C3622">
        <w:rPr>
          <w:rFonts w:ascii="Times New Roman" w:hAnsi="Times New Roman"/>
          <w:sz w:val="24"/>
        </w:rPr>
        <w:t xml:space="preserve"> 1 at 15.</w:t>
      </w:r>
    </w:p>
  </w:footnote>
  <w:footnote w:id="421">
    <w:p w14:paraId="740B1894"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See </w:t>
      </w:r>
      <w:r w:rsidRPr="005C3622">
        <w:rPr>
          <w:rFonts w:ascii="Times New Roman" w:hAnsi="Times New Roman"/>
          <w:i/>
          <w:sz w:val="24"/>
        </w:rPr>
        <w:t xml:space="preserve">Clubb v Edwards </w:t>
      </w:r>
      <w:r w:rsidRPr="005C3622">
        <w:rPr>
          <w:rFonts w:ascii="Times New Roman" w:hAnsi="Times New Roman"/>
          <w:sz w:val="24"/>
        </w:rPr>
        <w:t xml:space="preserve">(2019) </w:t>
      </w:r>
      <w:r w:rsidRPr="005C3622">
        <w:rPr>
          <w:rFonts w:ascii="Times New Roman" w:eastAsia="GungsuhChe" w:hAnsi="Times New Roman"/>
          <w:sz w:val="24"/>
        </w:rPr>
        <w:t xml:space="preserve">267 CLR 171 </w:t>
      </w:r>
      <w:r w:rsidRPr="005C3622">
        <w:rPr>
          <w:rFonts w:ascii="Times New Roman" w:hAnsi="Times New Roman"/>
          <w:sz w:val="24"/>
        </w:rPr>
        <w:t xml:space="preserve">at 332 [466], quoting Stone Sweet and Mathews, "Proportionality Balancing and Global Constitutionalism" (2008) 47 </w:t>
      </w:r>
      <w:r w:rsidRPr="005C3622">
        <w:rPr>
          <w:rFonts w:ascii="Times New Roman" w:hAnsi="Times New Roman"/>
          <w:i/>
          <w:iCs/>
          <w:sz w:val="24"/>
        </w:rPr>
        <w:t>Columbia Journal of Transnational Law</w:t>
      </w:r>
      <w:r w:rsidRPr="005C3622">
        <w:rPr>
          <w:rFonts w:ascii="Times New Roman" w:hAnsi="Times New Roman"/>
          <w:sz w:val="24"/>
        </w:rPr>
        <w:t xml:space="preserve"> 72 at 74 and referring to Barak, </w:t>
      </w:r>
      <w:r w:rsidRPr="005C3622">
        <w:rPr>
          <w:rFonts w:ascii="Times New Roman" w:hAnsi="Times New Roman"/>
          <w:i/>
          <w:iCs/>
          <w:sz w:val="24"/>
        </w:rPr>
        <w:t xml:space="preserve">Proportionality: Constitutional Rights and their Limitations </w:t>
      </w:r>
      <w:r w:rsidRPr="005C3622">
        <w:rPr>
          <w:rFonts w:ascii="Times New Roman" w:hAnsi="Times New Roman"/>
          <w:sz w:val="24"/>
        </w:rPr>
        <w:t xml:space="preserve">(2012) at 181-210. </w:t>
      </w:r>
    </w:p>
  </w:footnote>
  <w:footnote w:id="422">
    <w:p w14:paraId="68BAEDFC"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sz w:val="24"/>
        </w:rPr>
        <w:t xml:space="preserve">Clubb v Edwards </w:t>
      </w:r>
      <w:r w:rsidRPr="005C3622">
        <w:rPr>
          <w:rFonts w:ascii="Times New Roman" w:hAnsi="Times New Roman"/>
          <w:sz w:val="24"/>
        </w:rPr>
        <w:t xml:space="preserve">(2019) </w:t>
      </w:r>
      <w:r w:rsidRPr="005C3622">
        <w:rPr>
          <w:rFonts w:ascii="Times New Roman" w:eastAsia="GungsuhChe" w:hAnsi="Times New Roman"/>
          <w:sz w:val="24"/>
        </w:rPr>
        <w:t xml:space="preserve">267 CLR 171 </w:t>
      </w:r>
      <w:r w:rsidRPr="005C3622">
        <w:rPr>
          <w:rFonts w:ascii="Times New Roman" w:hAnsi="Times New Roman"/>
          <w:sz w:val="24"/>
        </w:rPr>
        <w:t>at 331 [465].</w:t>
      </w:r>
    </w:p>
  </w:footnote>
  <w:footnote w:id="423">
    <w:p w14:paraId="6648BF13"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(2015) 257 CLR 178 at 193-195 [2]-[3].</w:t>
      </w:r>
    </w:p>
  </w:footnote>
  <w:footnote w:id="424">
    <w:p w14:paraId="0FD736A3"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(2017) 261 CLR 328 at 368-369 [123]-[127], 416-417 [278].</w:t>
      </w:r>
    </w:p>
  </w:footnote>
  <w:footnote w:id="425">
    <w:p w14:paraId="4E57D2EC"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(2019) 264 CLR 595 at 615 [42], 638 [110]. </w:t>
      </w:r>
    </w:p>
  </w:footnote>
  <w:footnote w:id="426">
    <w:p w14:paraId="1A437B0F"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(2019) </w:t>
      </w:r>
      <w:r w:rsidRPr="005C3622">
        <w:rPr>
          <w:rFonts w:ascii="Times New Roman" w:eastAsia="GungsuhChe" w:hAnsi="Times New Roman"/>
          <w:sz w:val="24"/>
        </w:rPr>
        <w:t>267 CLR 171</w:t>
      </w:r>
      <w:r w:rsidRPr="005C3622">
        <w:rPr>
          <w:rFonts w:ascii="Times New Roman" w:hAnsi="Times New Roman"/>
          <w:sz w:val="24"/>
        </w:rPr>
        <w:t xml:space="preserve"> at 186 [5]-[6], 264-265 [266], 330-331 [462]-[463].</w:t>
      </w:r>
    </w:p>
  </w:footnote>
  <w:footnote w:id="427">
    <w:p w14:paraId="29D4A154"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See Kirk, "Constitutional Guarantees, Characterisation and the Concept of Proportionality" (1997) 21 </w:t>
      </w:r>
      <w:r w:rsidRPr="005C3622">
        <w:rPr>
          <w:rFonts w:ascii="Times New Roman" w:hAnsi="Times New Roman"/>
          <w:i/>
          <w:sz w:val="24"/>
        </w:rPr>
        <w:t>Melbourne University Law Review</w:t>
      </w:r>
      <w:r w:rsidRPr="005C3622">
        <w:rPr>
          <w:rFonts w:ascii="Times New Roman" w:hAnsi="Times New Roman"/>
          <w:sz w:val="24"/>
        </w:rPr>
        <w:t xml:space="preserve"> 1 at 12-15; Kiefel, "Section 92: Markets, Protectionism and Proportionality – Australian and European Perspectives" (2010) 36(2) </w:t>
      </w:r>
      <w:r w:rsidRPr="005C3622">
        <w:rPr>
          <w:rFonts w:ascii="Times New Roman" w:hAnsi="Times New Roman"/>
          <w:i/>
          <w:sz w:val="24"/>
        </w:rPr>
        <w:t xml:space="preserve">Monash University Law Review </w:t>
      </w:r>
      <w:r w:rsidRPr="005C3622">
        <w:rPr>
          <w:rFonts w:ascii="Times New Roman" w:hAnsi="Times New Roman"/>
          <w:sz w:val="24"/>
        </w:rPr>
        <w:t>1</w:t>
      </w:r>
      <w:r w:rsidRPr="005C3622">
        <w:rPr>
          <w:rFonts w:ascii="Times New Roman" w:hAnsi="Times New Roman"/>
          <w:i/>
          <w:sz w:val="24"/>
        </w:rPr>
        <w:t xml:space="preserve"> </w:t>
      </w:r>
      <w:r w:rsidRPr="005C3622">
        <w:rPr>
          <w:rFonts w:ascii="Times New Roman" w:hAnsi="Times New Roman"/>
          <w:sz w:val="24"/>
        </w:rPr>
        <w:t xml:space="preserve">at 10, 13-15; Stellios, </w:t>
      </w:r>
      <w:r w:rsidRPr="005C3622">
        <w:rPr>
          <w:rFonts w:ascii="Times New Roman" w:hAnsi="Times New Roman"/>
          <w:i/>
          <w:sz w:val="24"/>
        </w:rPr>
        <w:t>Zines's The High Court and the Constitution</w:t>
      </w:r>
      <w:r w:rsidRPr="005C3622">
        <w:rPr>
          <w:rFonts w:ascii="Times New Roman" w:hAnsi="Times New Roman"/>
          <w:sz w:val="24"/>
        </w:rPr>
        <w:t xml:space="preserve">, 6th ed (2015) at 57; Kirk, "Section 92 in its Second Century", in Griffiths and Stellios (eds), </w:t>
      </w:r>
      <w:r w:rsidRPr="005C3622">
        <w:rPr>
          <w:rFonts w:ascii="Times New Roman" w:hAnsi="Times New Roman"/>
          <w:i/>
          <w:sz w:val="24"/>
        </w:rPr>
        <w:t>Current Issues in Australian Constitutional Law: Tributes to Professor Leslie Zines</w:t>
      </w:r>
      <w:r w:rsidRPr="005C3622">
        <w:rPr>
          <w:rFonts w:ascii="Times New Roman" w:hAnsi="Times New Roman"/>
          <w:sz w:val="24"/>
        </w:rPr>
        <w:t xml:space="preserve"> (2020) 253 at 259; cf Puig, </w:t>
      </w:r>
      <w:r w:rsidRPr="005C3622">
        <w:rPr>
          <w:rFonts w:ascii="Times New Roman" w:hAnsi="Times New Roman"/>
          <w:i/>
          <w:sz w:val="24"/>
        </w:rPr>
        <w:t>The High Court of Australia and Section 92 of the Australian Constitution</w:t>
      </w:r>
      <w:r w:rsidRPr="005C3622">
        <w:rPr>
          <w:rFonts w:ascii="Times New Roman" w:hAnsi="Times New Roman"/>
          <w:sz w:val="24"/>
        </w:rPr>
        <w:t xml:space="preserve"> (2008) at 143-150; Chordia, </w:t>
      </w:r>
      <w:r w:rsidRPr="005C3622">
        <w:rPr>
          <w:rFonts w:ascii="Times New Roman" w:hAnsi="Times New Roman"/>
          <w:i/>
          <w:sz w:val="24"/>
        </w:rPr>
        <w:t xml:space="preserve">Proportionality in Australian Constitutional Law </w:t>
      </w:r>
      <w:r w:rsidRPr="005C3622">
        <w:rPr>
          <w:rFonts w:ascii="Times New Roman" w:hAnsi="Times New Roman"/>
          <w:sz w:val="24"/>
        </w:rPr>
        <w:t>(2020) at 147</w:t>
      </w:r>
      <w:r w:rsidRPr="005C3622">
        <w:rPr>
          <w:rFonts w:ascii="Times New Roman" w:hAnsi="Times New Roman"/>
          <w:sz w:val="24"/>
        </w:rPr>
        <w:noBreakHyphen/>
        <w:t>149.</w:t>
      </w:r>
    </w:p>
  </w:footnote>
  <w:footnote w:id="428">
    <w:p w14:paraId="5D3DD3CD"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(2008) 234 CLR 418 at 464 [48], 477 [102].</w:t>
      </w:r>
    </w:p>
  </w:footnote>
  <w:footnote w:id="429">
    <w:p w14:paraId="27F359D5"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(2019) 267 CLR 171 at 341-344 [491]-[498].</w:t>
      </w:r>
    </w:p>
  </w:footnote>
  <w:footnote w:id="430">
    <w:p w14:paraId="3DCA0B9B"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See, generally, </w:t>
      </w:r>
      <w:r w:rsidRPr="005C3622">
        <w:rPr>
          <w:rFonts w:ascii="Times New Roman" w:hAnsi="Times New Roman"/>
          <w:i/>
          <w:iCs/>
          <w:sz w:val="24"/>
        </w:rPr>
        <w:t xml:space="preserve">Unions NSW v New South Wales </w:t>
      </w:r>
      <w:r w:rsidRPr="005C3622">
        <w:rPr>
          <w:rFonts w:ascii="Times New Roman" w:hAnsi="Times New Roman"/>
          <w:sz w:val="24"/>
        </w:rPr>
        <w:t xml:space="preserve">(2019) 264 CLR 595 at 656-657 [168]-[172]. See also </w:t>
      </w:r>
      <w:r w:rsidRPr="005C3622">
        <w:rPr>
          <w:rFonts w:ascii="Times New Roman" w:hAnsi="Times New Roman"/>
          <w:i/>
          <w:iCs/>
          <w:sz w:val="24"/>
        </w:rPr>
        <w:t>McCloy v New South Wales</w:t>
      </w:r>
      <w:r w:rsidRPr="005C3622">
        <w:rPr>
          <w:rFonts w:ascii="Times New Roman" w:hAnsi="Times New Roman"/>
          <w:sz w:val="24"/>
        </w:rPr>
        <w:t xml:space="preserve"> (2015) 257 CLR 178 at 205 [40]; </w:t>
      </w:r>
      <w:r w:rsidRPr="005C3622">
        <w:rPr>
          <w:rFonts w:ascii="Times New Roman" w:hAnsi="Times New Roman"/>
          <w:i/>
          <w:iCs/>
          <w:sz w:val="24"/>
        </w:rPr>
        <w:t>Brown v Tasmania</w:t>
      </w:r>
      <w:r w:rsidRPr="005C3622">
        <w:rPr>
          <w:rFonts w:ascii="Times New Roman" w:hAnsi="Times New Roman"/>
          <w:sz w:val="24"/>
        </w:rPr>
        <w:t xml:space="preserve"> (2017) 261 CLR 328 at 362 [99], 392 [209], 432</w:t>
      </w:r>
      <w:r w:rsidRPr="005C3622">
        <w:rPr>
          <w:rFonts w:ascii="Times New Roman" w:hAnsi="Times New Roman"/>
          <w:sz w:val="24"/>
        </w:rPr>
        <w:noBreakHyphen/>
        <w:t>433 [322].</w:t>
      </w:r>
    </w:p>
  </w:footnote>
  <w:footnote w:id="431">
    <w:p w14:paraId="0B2C213D"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Zaburoni v The Queen</w:t>
      </w:r>
      <w:r w:rsidRPr="005C3622">
        <w:rPr>
          <w:rFonts w:ascii="Times New Roman" w:hAnsi="Times New Roman"/>
          <w:sz w:val="24"/>
        </w:rPr>
        <w:t xml:space="preserve"> (2016) 256 CLR 482 at 488 [8]; </w:t>
      </w:r>
      <w:r w:rsidRPr="005C3622">
        <w:rPr>
          <w:rFonts w:ascii="Times New Roman" w:hAnsi="Times New Roman"/>
          <w:i/>
          <w:iCs/>
          <w:sz w:val="24"/>
        </w:rPr>
        <w:t xml:space="preserve">SZTAL v Minister for Immigration and Border Protection </w:t>
      </w:r>
      <w:r w:rsidRPr="005C3622">
        <w:rPr>
          <w:rFonts w:ascii="Times New Roman" w:hAnsi="Times New Roman"/>
          <w:sz w:val="24"/>
        </w:rPr>
        <w:t xml:space="preserve">(2017) 262 CLR 362 at 394-397 [96]-[101]. </w:t>
      </w:r>
    </w:p>
  </w:footnote>
  <w:footnote w:id="432">
    <w:p w14:paraId="3703D22A"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eastAsia="GungsuhChe" w:hAnsi="Times New Roman"/>
          <w:i/>
          <w:iCs/>
          <w:sz w:val="24"/>
          <w:lang w:eastAsia="en-US"/>
        </w:rPr>
        <w:t>R v Smithers; Ex parte Benson</w:t>
      </w:r>
      <w:r w:rsidRPr="005C3622">
        <w:rPr>
          <w:rFonts w:ascii="Times New Roman" w:hAnsi="Times New Roman"/>
          <w:sz w:val="24"/>
        </w:rPr>
        <w:t xml:space="preserve"> (1912) 16 CLR 99 at 118.</w:t>
      </w:r>
    </w:p>
  </w:footnote>
  <w:footnote w:id="433">
    <w:p w14:paraId="28A26728"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sz w:val="24"/>
        </w:rPr>
        <w:t xml:space="preserve">Nationwide News Pty Ltd v Wills </w:t>
      </w:r>
      <w:r w:rsidRPr="005C3622">
        <w:rPr>
          <w:rFonts w:ascii="Times New Roman" w:hAnsi="Times New Roman"/>
          <w:sz w:val="24"/>
        </w:rPr>
        <w:t xml:space="preserve">(1992) 177 CLR 1 at 58. </w:t>
      </w:r>
    </w:p>
  </w:footnote>
  <w:footnote w:id="434">
    <w:p w14:paraId="795C3176"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sz w:val="24"/>
        </w:rPr>
        <w:t xml:space="preserve">Milk Board (NSW) v Metropolitan Cream Pty Ltd </w:t>
      </w:r>
      <w:r w:rsidRPr="005C3622">
        <w:rPr>
          <w:rFonts w:ascii="Times New Roman" w:hAnsi="Times New Roman"/>
          <w:sz w:val="24"/>
        </w:rPr>
        <w:t xml:space="preserve">(1939) 62 CLR 116 at 127. </w:t>
      </w:r>
    </w:p>
  </w:footnote>
  <w:footnote w:id="435">
    <w:p w14:paraId="60E26417"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Compare </w:t>
      </w:r>
      <w:r w:rsidRPr="005C3622">
        <w:rPr>
          <w:rFonts w:ascii="Times New Roman" w:hAnsi="Times New Roman"/>
          <w:i/>
          <w:iCs/>
          <w:sz w:val="24"/>
        </w:rPr>
        <w:t xml:space="preserve">Cole v Whitfield </w:t>
      </w:r>
      <w:r w:rsidRPr="005C3622">
        <w:rPr>
          <w:rFonts w:ascii="Times New Roman" w:hAnsi="Times New Roman"/>
          <w:sz w:val="24"/>
        </w:rPr>
        <w:t>(1988) 165 CLR 360 at 401.</w:t>
      </w:r>
    </w:p>
  </w:footnote>
  <w:footnote w:id="436">
    <w:p w14:paraId="6826B9AB"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See </w:t>
      </w:r>
      <w:r w:rsidRPr="005C3622">
        <w:rPr>
          <w:rFonts w:ascii="Times New Roman" w:hAnsi="Times New Roman"/>
          <w:i/>
          <w:sz w:val="24"/>
        </w:rPr>
        <w:t xml:space="preserve">McCloy v New South Wales </w:t>
      </w:r>
      <w:r w:rsidRPr="005C3622">
        <w:rPr>
          <w:rFonts w:ascii="Times New Roman" w:hAnsi="Times New Roman"/>
          <w:sz w:val="24"/>
        </w:rPr>
        <w:t xml:space="preserve">(2015) 257 CLR 178 at 210 [57]; </w:t>
      </w:r>
      <w:r w:rsidRPr="005C3622">
        <w:rPr>
          <w:rFonts w:ascii="Times New Roman" w:hAnsi="Times New Roman"/>
          <w:i/>
          <w:sz w:val="24"/>
        </w:rPr>
        <w:t xml:space="preserve">Clubb v Edwards </w:t>
      </w:r>
      <w:r w:rsidRPr="005C3622">
        <w:rPr>
          <w:rFonts w:ascii="Times New Roman" w:hAnsi="Times New Roman"/>
          <w:sz w:val="24"/>
        </w:rPr>
        <w:t xml:space="preserve">(2019) </w:t>
      </w:r>
      <w:r w:rsidRPr="005C3622">
        <w:rPr>
          <w:rFonts w:ascii="Times New Roman" w:eastAsia="GungsuhChe" w:hAnsi="Times New Roman"/>
          <w:sz w:val="24"/>
        </w:rPr>
        <w:t>267 CLR 171</w:t>
      </w:r>
      <w:r w:rsidRPr="005C3622">
        <w:rPr>
          <w:rFonts w:ascii="Times New Roman" w:hAnsi="Times New Roman"/>
          <w:sz w:val="24"/>
        </w:rPr>
        <w:t xml:space="preserve"> at 336-338 [476]</w:t>
      </w:r>
      <w:r w:rsidRPr="005C3622">
        <w:rPr>
          <w:rFonts w:ascii="Times New Roman" w:hAnsi="Times New Roman"/>
          <w:sz w:val="24"/>
        </w:rPr>
        <w:noBreakHyphen/>
        <w:t>[480].</w:t>
      </w:r>
    </w:p>
  </w:footnote>
  <w:footnote w:id="437">
    <w:p w14:paraId="30ADC3DE"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(1988) 165 CLR 360 at 409.</w:t>
      </w:r>
    </w:p>
  </w:footnote>
  <w:footnote w:id="438">
    <w:p w14:paraId="153FE0F6"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 xml:space="preserve">Uebergang </w:t>
      </w:r>
      <w:r w:rsidRPr="005C3622">
        <w:rPr>
          <w:rFonts w:ascii="Times New Roman" w:hAnsi="Times New Roman"/>
          <w:i/>
          <w:sz w:val="24"/>
        </w:rPr>
        <w:t>v Australian Wheat Board</w:t>
      </w:r>
      <w:r w:rsidRPr="005C3622">
        <w:rPr>
          <w:rFonts w:ascii="Times New Roman" w:hAnsi="Times New Roman"/>
          <w:sz w:val="24"/>
        </w:rPr>
        <w:t xml:space="preserve"> (1980) 145 CLR 266 at 306; </w:t>
      </w:r>
      <w:r w:rsidRPr="005C3622">
        <w:rPr>
          <w:rFonts w:ascii="Times New Roman" w:hAnsi="Times New Roman"/>
          <w:i/>
          <w:sz w:val="24"/>
        </w:rPr>
        <w:t>Castlemaine Tooheys Ltd v South Australia</w:t>
      </w:r>
      <w:r w:rsidRPr="005C3622">
        <w:rPr>
          <w:rFonts w:ascii="Times New Roman" w:hAnsi="Times New Roman"/>
          <w:sz w:val="24"/>
        </w:rPr>
        <w:t xml:space="preserve"> (1990) 169 CLR 436 at 469, cf at 480 ("alternative means involving no or a lesser burden"). See also </w:t>
      </w:r>
      <w:r w:rsidRPr="005C3622">
        <w:rPr>
          <w:rFonts w:ascii="Times New Roman" w:hAnsi="Times New Roman"/>
          <w:i/>
          <w:sz w:val="24"/>
        </w:rPr>
        <w:t xml:space="preserve">AMS v AIF </w:t>
      </w:r>
      <w:r w:rsidRPr="005C3622">
        <w:rPr>
          <w:rFonts w:ascii="Times New Roman" w:hAnsi="Times New Roman"/>
          <w:sz w:val="24"/>
        </w:rPr>
        <w:t xml:space="preserve">(1999) 199 CLR 160 at 179 [45], 233 [221]; </w:t>
      </w:r>
      <w:r w:rsidRPr="005C3622">
        <w:rPr>
          <w:rFonts w:ascii="Times New Roman" w:hAnsi="Times New Roman"/>
          <w:i/>
          <w:sz w:val="24"/>
        </w:rPr>
        <w:t xml:space="preserve">APLA Ltd v Legal Services Commissioner (NSW) </w:t>
      </w:r>
      <w:r w:rsidRPr="005C3622">
        <w:rPr>
          <w:rFonts w:ascii="Times New Roman" w:hAnsi="Times New Roman"/>
          <w:sz w:val="24"/>
        </w:rPr>
        <w:t>(2005) 224 CLR 322 at 353 [38], 393-394 [177], 461 [420].</w:t>
      </w:r>
    </w:p>
  </w:footnote>
  <w:footnote w:id="439">
    <w:p w14:paraId="4EA5F184"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(2008) 234 CLR 418 at 477 [102]-[103].</w:t>
      </w:r>
    </w:p>
  </w:footnote>
  <w:footnote w:id="440">
    <w:p w14:paraId="4F2F3EFA"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See </w:t>
      </w:r>
      <w:r w:rsidRPr="005C3622">
        <w:rPr>
          <w:rFonts w:ascii="Times New Roman" w:hAnsi="Times New Roman"/>
          <w:i/>
          <w:iCs/>
          <w:sz w:val="24"/>
        </w:rPr>
        <w:t xml:space="preserve">North Eastern Dairy Co Ltd v Dairy Industry Authority of NSW </w:t>
      </w:r>
      <w:r w:rsidRPr="005C3622">
        <w:rPr>
          <w:rFonts w:ascii="Times New Roman" w:hAnsi="Times New Roman"/>
          <w:sz w:val="24"/>
        </w:rPr>
        <w:t xml:space="preserve">(1975) 134 CLR 559 at 584; </w:t>
      </w:r>
      <w:r w:rsidRPr="005C3622">
        <w:rPr>
          <w:rFonts w:ascii="Times New Roman" w:hAnsi="Times New Roman"/>
          <w:i/>
          <w:sz w:val="24"/>
        </w:rPr>
        <w:t xml:space="preserve">Cunliffe v The Commonwealth </w:t>
      </w:r>
      <w:r w:rsidRPr="005C3622">
        <w:rPr>
          <w:rFonts w:ascii="Times New Roman" w:hAnsi="Times New Roman"/>
          <w:sz w:val="24"/>
        </w:rPr>
        <w:t>(1994) 182 CLR 272 at 308.</w:t>
      </w:r>
    </w:p>
  </w:footnote>
  <w:footnote w:id="441">
    <w:p w14:paraId="628FD77B"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sz w:val="24"/>
        </w:rPr>
        <w:t xml:space="preserve">Betfair Pty Ltd v Western Australia </w:t>
      </w:r>
      <w:r w:rsidRPr="005C3622">
        <w:rPr>
          <w:rFonts w:ascii="Times New Roman" w:hAnsi="Times New Roman"/>
          <w:sz w:val="24"/>
        </w:rPr>
        <w:t>(2008) 234 CLR 418 at 479 [110].</w:t>
      </w:r>
    </w:p>
  </w:footnote>
  <w:footnote w:id="442">
    <w:p w14:paraId="434A81A5"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sz w:val="24"/>
        </w:rPr>
        <w:t>McCloy v New South Wales</w:t>
      </w:r>
      <w:r w:rsidRPr="005C3622">
        <w:rPr>
          <w:rFonts w:ascii="Times New Roman" w:hAnsi="Times New Roman"/>
          <w:sz w:val="24"/>
        </w:rPr>
        <w:t xml:space="preserve"> (2015) 257 CLR 178 at 210 [57]. See also </w:t>
      </w:r>
      <w:r w:rsidRPr="005C3622">
        <w:rPr>
          <w:rFonts w:ascii="Times New Roman" w:hAnsi="Times New Roman"/>
          <w:i/>
          <w:sz w:val="24"/>
        </w:rPr>
        <w:t xml:space="preserve">Unions NSW v New South Wales </w:t>
      </w:r>
      <w:r w:rsidRPr="005C3622">
        <w:rPr>
          <w:rFonts w:ascii="Times New Roman" w:hAnsi="Times New Roman"/>
          <w:sz w:val="24"/>
        </w:rPr>
        <w:t>(2019) 264 CLR 595 at 615 [42].</w:t>
      </w:r>
    </w:p>
  </w:footnote>
  <w:footnote w:id="443">
    <w:p w14:paraId="1C5C695D" w14:textId="77777777" w:rsidR="002D2334" w:rsidRPr="005C3622" w:rsidRDefault="002D2334" w:rsidP="005C3622">
      <w:pPr>
        <w:pStyle w:val="FootnoteText"/>
        <w:spacing w:line="280" w:lineRule="exact"/>
        <w:ind w:right="0"/>
        <w:jc w:val="both"/>
        <w:rPr>
          <w:rFonts w:ascii="Times New Roman" w:hAnsi="Times New Roman"/>
          <w:i/>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See </w:t>
      </w:r>
      <w:r w:rsidRPr="005C3622">
        <w:rPr>
          <w:rFonts w:ascii="Times New Roman" w:hAnsi="Times New Roman"/>
          <w:i/>
          <w:sz w:val="24"/>
        </w:rPr>
        <w:t xml:space="preserve">Minister for Immigration and Border Protection v SZVFW </w:t>
      </w:r>
      <w:r w:rsidRPr="005C3622">
        <w:rPr>
          <w:rFonts w:ascii="Times New Roman" w:hAnsi="Times New Roman"/>
          <w:sz w:val="24"/>
        </w:rPr>
        <w:t>(2018) 264 CLR 541 at 567 [59], 574 [84], 584-586 [133]</w:t>
      </w:r>
      <w:r w:rsidRPr="005C3622">
        <w:rPr>
          <w:rFonts w:ascii="Times New Roman" w:hAnsi="Times New Roman"/>
          <w:sz w:val="24"/>
        </w:rPr>
        <w:noBreakHyphen/>
        <w:t xml:space="preserve">[135]; </w:t>
      </w:r>
      <w:r w:rsidRPr="005C3622">
        <w:rPr>
          <w:rFonts w:ascii="Times New Roman" w:hAnsi="Times New Roman"/>
          <w:i/>
          <w:sz w:val="24"/>
        </w:rPr>
        <w:t xml:space="preserve">Clubb v Edwards </w:t>
      </w:r>
      <w:r w:rsidRPr="005C3622">
        <w:rPr>
          <w:rFonts w:ascii="Times New Roman" w:hAnsi="Times New Roman"/>
          <w:sz w:val="24"/>
        </w:rPr>
        <w:t xml:space="preserve">(2019) </w:t>
      </w:r>
      <w:r w:rsidRPr="005C3622">
        <w:rPr>
          <w:rFonts w:ascii="Times New Roman" w:eastAsia="GungsuhChe" w:hAnsi="Times New Roman"/>
          <w:sz w:val="24"/>
        </w:rPr>
        <w:t xml:space="preserve">267 CLR 171 </w:t>
      </w:r>
      <w:r w:rsidRPr="005C3622">
        <w:rPr>
          <w:rFonts w:ascii="Times New Roman" w:hAnsi="Times New Roman"/>
          <w:sz w:val="24"/>
        </w:rPr>
        <w:t>at 336-337 [477].</w:t>
      </w:r>
    </w:p>
  </w:footnote>
  <w:footnote w:id="444">
    <w:p w14:paraId="2042E722"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 xml:space="preserve">Minister for Home Affairs v DUA16 </w:t>
      </w:r>
      <w:r w:rsidRPr="005C3622">
        <w:rPr>
          <w:rFonts w:ascii="Times New Roman" w:hAnsi="Times New Roman"/>
          <w:sz w:val="24"/>
        </w:rPr>
        <w:t xml:space="preserve">(2020) 95 ALJR 54 at 61 [26]. </w:t>
      </w:r>
    </w:p>
  </w:footnote>
  <w:footnote w:id="445">
    <w:p w14:paraId="41A9CEBB"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See </w:t>
      </w:r>
      <w:r w:rsidRPr="005C3622">
        <w:rPr>
          <w:rFonts w:ascii="Times New Roman" w:hAnsi="Times New Roman"/>
          <w:i/>
          <w:sz w:val="24"/>
        </w:rPr>
        <w:t xml:space="preserve">Clubb v Edwards </w:t>
      </w:r>
      <w:r w:rsidRPr="005C3622">
        <w:rPr>
          <w:rFonts w:ascii="Times New Roman" w:hAnsi="Times New Roman"/>
          <w:sz w:val="24"/>
        </w:rPr>
        <w:t xml:space="preserve">(2019) 267 CLR 171 at 208 [96], 209 [102], 266-267 [270], 341-344 [491]-[498]; </w:t>
      </w:r>
      <w:r w:rsidRPr="005C3622">
        <w:rPr>
          <w:rFonts w:ascii="Times New Roman" w:hAnsi="Times New Roman"/>
          <w:i/>
          <w:sz w:val="24"/>
        </w:rPr>
        <w:t>Comcare v Banerji</w:t>
      </w:r>
      <w:r w:rsidRPr="005C3622">
        <w:rPr>
          <w:rFonts w:ascii="Times New Roman" w:hAnsi="Times New Roman"/>
          <w:sz w:val="24"/>
        </w:rPr>
        <w:t xml:space="preserve"> (2019) 93 ALJR 900 at 914 [38], 936 [165]; 372 ALR 42 at 57, 88.</w:t>
      </w:r>
    </w:p>
  </w:footnote>
  <w:footnote w:id="446">
    <w:p w14:paraId="2A6CAB6F"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cf </w:t>
      </w:r>
      <w:r w:rsidRPr="005C3622">
        <w:rPr>
          <w:rFonts w:ascii="Times New Roman" w:hAnsi="Times New Roman"/>
          <w:i/>
          <w:sz w:val="24"/>
        </w:rPr>
        <w:t xml:space="preserve">Clark King &amp; Co Pty Ltd v Australian Wheat Board </w:t>
      </w:r>
      <w:r w:rsidRPr="005C3622">
        <w:rPr>
          <w:rFonts w:ascii="Times New Roman" w:hAnsi="Times New Roman"/>
          <w:sz w:val="24"/>
        </w:rPr>
        <w:t>(1978) 140 CLR 120 at 191</w:t>
      </w:r>
      <w:r w:rsidRPr="005C3622">
        <w:rPr>
          <w:rFonts w:ascii="Times New Roman" w:hAnsi="Times New Roman"/>
          <w:sz w:val="24"/>
        </w:rPr>
        <w:noBreakHyphen/>
        <w:t>193.</w:t>
      </w:r>
    </w:p>
  </w:footnote>
  <w:footnote w:id="447">
    <w:p w14:paraId="25F99073"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(1945) 70 CLR 1. </w:t>
      </w:r>
    </w:p>
  </w:footnote>
  <w:footnote w:id="448">
    <w:p w14:paraId="72275E6C"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sz w:val="24"/>
        </w:rPr>
        <w:t xml:space="preserve">Gratwick v Johnson </w:t>
      </w:r>
      <w:r w:rsidRPr="005C3622">
        <w:rPr>
          <w:rFonts w:ascii="Times New Roman" w:hAnsi="Times New Roman"/>
          <w:sz w:val="24"/>
        </w:rPr>
        <w:t>(1945) 70 CLR 1 at 19.</w:t>
      </w:r>
    </w:p>
  </w:footnote>
  <w:footnote w:id="449">
    <w:p w14:paraId="6B5E3C7C"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(1912) 16 CLR 99.</w:t>
      </w:r>
    </w:p>
  </w:footnote>
  <w:footnote w:id="450">
    <w:p w14:paraId="19434694"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sz w:val="24"/>
        </w:rPr>
        <w:t xml:space="preserve">R v Smithers; Ex parte Benson </w:t>
      </w:r>
      <w:r w:rsidRPr="005C3622">
        <w:rPr>
          <w:rFonts w:ascii="Times New Roman" w:hAnsi="Times New Roman"/>
          <w:sz w:val="24"/>
        </w:rPr>
        <w:t>(1912) 16 CLR 99 at 117.</w:t>
      </w:r>
    </w:p>
  </w:footnote>
  <w:footnote w:id="451">
    <w:p w14:paraId="44F75409"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sz w:val="24"/>
        </w:rPr>
        <w:t xml:space="preserve">R v Smithers; Ex parte Benson </w:t>
      </w:r>
      <w:r w:rsidRPr="005C3622">
        <w:rPr>
          <w:rFonts w:ascii="Times New Roman" w:hAnsi="Times New Roman"/>
          <w:sz w:val="24"/>
        </w:rPr>
        <w:t>(1912) 16 CLR 99 at 118 (emphasis in original).</w:t>
      </w:r>
    </w:p>
  </w:footnote>
  <w:footnote w:id="452">
    <w:p w14:paraId="5F5FC6EB"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Western Australia, Legislative Assembly, </w:t>
      </w:r>
      <w:r w:rsidRPr="005C3622">
        <w:rPr>
          <w:rFonts w:ascii="Times New Roman" w:hAnsi="Times New Roman"/>
          <w:i/>
          <w:iCs/>
          <w:sz w:val="24"/>
        </w:rPr>
        <w:t xml:space="preserve">Parliamentary Debates </w:t>
      </w:r>
      <w:r w:rsidRPr="005C3622">
        <w:rPr>
          <w:rFonts w:ascii="Times New Roman" w:hAnsi="Times New Roman"/>
          <w:sz w:val="24"/>
        </w:rPr>
        <w:t>(Hansard), 17 August 2005 at 4120.</w:t>
      </w:r>
    </w:p>
  </w:footnote>
  <w:footnote w:id="453">
    <w:p w14:paraId="785F038E"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Western Australia, Legislative Assembly, </w:t>
      </w:r>
      <w:r w:rsidRPr="005C3622">
        <w:rPr>
          <w:rFonts w:ascii="Times New Roman" w:hAnsi="Times New Roman"/>
          <w:i/>
          <w:iCs/>
          <w:sz w:val="24"/>
        </w:rPr>
        <w:t xml:space="preserve">Parliamentary Debates </w:t>
      </w:r>
      <w:r w:rsidRPr="005C3622">
        <w:rPr>
          <w:rFonts w:ascii="Times New Roman" w:hAnsi="Times New Roman"/>
          <w:sz w:val="24"/>
        </w:rPr>
        <w:t>(Hansard), 31 March 2020 at 1824.</w:t>
      </w:r>
    </w:p>
  </w:footnote>
  <w:footnote w:id="454">
    <w:p w14:paraId="701844C9"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(1935) 52 CLR 157.</w:t>
      </w:r>
    </w:p>
  </w:footnote>
  <w:footnote w:id="455">
    <w:p w14:paraId="6E13C9EE"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sz w:val="24"/>
        </w:rPr>
        <w:t xml:space="preserve">Tasmania v Victoria </w:t>
      </w:r>
      <w:r w:rsidRPr="005C3622">
        <w:rPr>
          <w:rFonts w:ascii="Times New Roman" w:hAnsi="Times New Roman"/>
          <w:sz w:val="24"/>
        </w:rPr>
        <w:t>(1935) 52 CLR 157 at 186.</w:t>
      </w:r>
    </w:p>
  </w:footnote>
  <w:footnote w:id="456">
    <w:p w14:paraId="0836937E"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Emergency Management Act</w:t>
      </w:r>
      <w:r w:rsidRPr="005C3622">
        <w:rPr>
          <w:rFonts w:ascii="Times New Roman" w:hAnsi="Times New Roman"/>
          <w:sz w:val="24"/>
        </w:rPr>
        <w:t>, s 56(1).</w:t>
      </w:r>
    </w:p>
  </w:footnote>
  <w:footnote w:id="457">
    <w:p w14:paraId="30C50F22"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Emergency Management Act</w:t>
      </w:r>
      <w:r w:rsidRPr="005C3622">
        <w:rPr>
          <w:rFonts w:ascii="Times New Roman" w:hAnsi="Times New Roman"/>
          <w:sz w:val="24"/>
        </w:rPr>
        <w:t>, s 56(2)(a).</w:t>
      </w:r>
    </w:p>
  </w:footnote>
  <w:footnote w:id="458">
    <w:p w14:paraId="12E25456"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Emergency Management Act</w:t>
      </w:r>
      <w:r w:rsidRPr="005C3622">
        <w:rPr>
          <w:rFonts w:ascii="Times New Roman" w:hAnsi="Times New Roman"/>
          <w:sz w:val="24"/>
        </w:rPr>
        <w:t>, s 56(2)(b).</w:t>
      </w:r>
    </w:p>
  </w:footnote>
  <w:footnote w:id="459">
    <w:p w14:paraId="0FCA1793"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Emergency Management Act</w:t>
      </w:r>
      <w:r w:rsidRPr="005C3622">
        <w:rPr>
          <w:rFonts w:ascii="Times New Roman" w:hAnsi="Times New Roman"/>
          <w:sz w:val="24"/>
        </w:rPr>
        <w:t>, s 56(2)(c).</w:t>
      </w:r>
    </w:p>
  </w:footnote>
  <w:footnote w:id="460">
    <w:p w14:paraId="56F71BF2"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Emergency Management Act</w:t>
      </w:r>
      <w:r w:rsidRPr="005C3622">
        <w:rPr>
          <w:rFonts w:ascii="Times New Roman" w:hAnsi="Times New Roman"/>
          <w:sz w:val="24"/>
        </w:rPr>
        <w:t>, s 58(4).</w:t>
      </w:r>
    </w:p>
  </w:footnote>
  <w:footnote w:id="461">
    <w:p w14:paraId="60F7FFEF"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Emergency Management Act</w:t>
      </w:r>
      <w:r w:rsidRPr="005C3622">
        <w:rPr>
          <w:rFonts w:ascii="Times New Roman" w:hAnsi="Times New Roman"/>
          <w:sz w:val="24"/>
        </w:rPr>
        <w:t>, s 57.</w:t>
      </w:r>
    </w:p>
  </w:footnote>
  <w:footnote w:id="462">
    <w:p w14:paraId="252258AE"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 xml:space="preserve">Minister for Home Affairs v DUA16 </w:t>
      </w:r>
      <w:r w:rsidRPr="005C3622">
        <w:rPr>
          <w:rFonts w:ascii="Times New Roman" w:hAnsi="Times New Roman"/>
          <w:iCs/>
          <w:sz w:val="24"/>
        </w:rPr>
        <w:t xml:space="preserve">(2020) </w:t>
      </w:r>
      <w:r w:rsidRPr="005C3622">
        <w:rPr>
          <w:rFonts w:ascii="Times New Roman" w:hAnsi="Times New Roman"/>
          <w:sz w:val="24"/>
        </w:rPr>
        <w:t>95 ALJR 54</w:t>
      </w:r>
      <w:r w:rsidRPr="005C3622">
        <w:rPr>
          <w:rFonts w:ascii="Times New Roman" w:hAnsi="Times New Roman"/>
          <w:i/>
          <w:iCs/>
          <w:sz w:val="24"/>
        </w:rPr>
        <w:t xml:space="preserve"> </w:t>
      </w:r>
      <w:r w:rsidRPr="005C3622">
        <w:rPr>
          <w:rFonts w:ascii="Times New Roman" w:hAnsi="Times New Roman"/>
          <w:sz w:val="24"/>
        </w:rPr>
        <w:t xml:space="preserve">at 61 [26]. </w:t>
      </w:r>
    </w:p>
  </w:footnote>
  <w:footnote w:id="463">
    <w:p w14:paraId="31B0D16C"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Griffith, </w:t>
      </w:r>
      <w:r w:rsidRPr="005C3622">
        <w:rPr>
          <w:rFonts w:ascii="Times New Roman" w:hAnsi="Times New Roman"/>
          <w:i/>
          <w:sz w:val="24"/>
        </w:rPr>
        <w:t xml:space="preserve">Notes on Australian Federation: Its Nature and Probable Effects </w:t>
      </w:r>
      <w:r w:rsidRPr="005C3622">
        <w:rPr>
          <w:rFonts w:ascii="Times New Roman" w:hAnsi="Times New Roman"/>
          <w:sz w:val="24"/>
        </w:rPr>
        <w:t>(1896)</w:t>
      </w:r>
      <w:r w:rsidRPr="005C3622">
        <w:rPr>
          <w:rFonts w:ascii="Times New Roman" w:hAnsi="Times New Roman"/>
          <w:i/>
          <w:sz w:val="24"/>
        </w:rPr>
        <w:t xml:space="preserve"> </w:t>
      </w:r>
      <w:r w:rsidRPr="005C3622">
        <w:rPr>
          <w:rFonts w:ascii="Times New Roman" w:hAnsi="Times New Roman"/>
          <w:sz w:val="24"/>
        </w:rPr>
        <w:t>at 33.</w:t>
      </w:r>
    </w:p>
  </w:footnote>
  <w:footnote w:id="464">
    <w:p w14:paraId="675ED747"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See Brazil and Mitchell (eds), </w:t>
      </w:r>
      <w:r w:rsidRPr="005C3622">
        <w:rPr>
          <w:rFonts w:ascii="Times New Roman" w:hAnsi="Times New Roman"/>
          <w:i/>
          <w:iCs/>
          <w:sz w:val="24"/>
        </w:rPr>
        <w:t>Opinions of Attorneys-General of the Commonwealth of Australia</w:t>
      </w:r>
      <w:r w:rsidRPr="005C3622">
        <w:rPr>
          <w:rFonts w:ascii="Times New Roman" w:hAnsi="Times New Roman"/>
          <w:sz w:val="24"/>
        </w:rPr>
        <w:t xml:space="preserve"> (1981),</w:t>
      </w:r>
      <w:r w:rsidRPr="005C3622">
        <w:rPr>
          <w:rFonts w:ascii="Times New Roman" w:hAnsi="Times New Roman"/>
          <w:i/>
          <w:iCs/>
          <w:sz w:val="24"/>
        </w:rPr>
        <w:t xml:space="preserve"> </w:t>
      </w:r>
      <w:r w:rsidRPr="005C3622">
        <w:rPr>
          <w:rFonts w:ascii="Times New Roman" w:hAnsi="Times New Roman"/>
          <w:sz w:val="24"/>
        </w:rPr>
        <w:t xml:space="preserve">vol 1 at 172-173. </w:t>
      </w:r>
    </w:p>
  </w:footnote>
  <w:footnote w:id="465">
    <w:p w14:paraId="3C759DBA"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iCs/>
          <w:sz w:val="24"/>
        </w:rPr>
        <w:t xml:space="preserve">Passengers Act 1885 </w:t>
      </w:r>
      <w:r w:rsidRPr="005C3622">
        <w:rPr>
          <w:rFonts w:ascii="Times New Roman" w:hAnsi="Times New Roman"/>
          <w:sz w:val="24"/>
        </w:rPr>
        <w:t xml:space="preserve">(Tas), s 3. </w:t>
      </w:r>
    </w:p>
  </w:footnote>
  <w:footnote w:id="466">
    <w:p w14:paraId="0730C7BC"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t xml:space="preserve">Ordronaux, </w:t>
      </w:r>
      <w:r w:rsidRPr="005C3622">
        <w:rPr>
          <w:rFonts w:ascii="Times New Roman" w:hAnsi="Times New Roman"/>
          <w:i/>
          <w:iCs/>
          <w:sz w:val="24"/>
        </w:rPr>
        <w:t>Constitutional Legislation</w:t>
      </w:r>
      <w:r w:rsidRPr="005C3622">
        <w:rPr>
          <w:rFonts w:ascii="Times New Roman" w:hAnsi="Times New Roman"/>
          <w:i/>
          <w:sz w:val="24"/>
        </w:rPr>
        <w:t xml:space="preserve"> in the United States: Its Origin</w:t>
      </w:r>
      <w:r w:rsidRPr="005C3622">
        <w:rPr>
          <w:rFonts w:ascii="Times New Roman" w:hAnsi="Times New Roman"/>
          <w:i/>
          <w:iCs/>
          <w:sz w:val="24"/>
        </w:rPr>
        <w:t>, and Application to the Relative Powers of Congress, and of State Legislatures</w:t>
      </w:r>
      <w:r w:rsidRPr="005C3622">
        <w:rPr>
          <w:rFonts w:ascii="Times New Roman" w:hAnsi="Times New Roman"/>
          <w:sz w:val="24"/>
        </w:rPr>
        <w:t xml:space="preserve"> (1891)</w:t>
      </w:r>
      <w:r w:rsidRPr="005C3622">
        <w:rPr>
          <w:rFonts w:ascii="Times New Roman" w:hAnsi="Times New Roman"/>
          <w:i/>
          <w:sz w:val="24"/>
        </w:rPr>
        <w:t xml:space="preserve"> </w:t>
      </w:r>
      <w:r w:rsidRPr="005C3622">
        <w:rPr>
          <w:rFonts w:ascii="Times New Roman" w:hAnsi="Times New Roman"/>
          <w:sz w:val="24"/>
        </w:rPr>
        <w:t>at 296-297.</w:t>
      </w:r>
    </w:p>
  </w:footnote>
  <w:footnote w:id="467">
    <w:p w14:paraId="756B1EA2"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sz w:val="24"/>
        </w:rPr>
        <w:t xml:space="preserve">Official Record of the Debates of the Australasian Federal Convention </w:t>
      </w:r>
      <w:r w:rsidRPr="005C3622">
        <w:rPr>
          <w:rFonts w:ascii="Times New Roman" w:hAnsi="Times New Roman"/>
          <w:sz w:val="24"/>
        </w:rPr>
        <w:t>(Sydney), 22 September 1897 at 1062.</w:t>
      </w:r>
    </w:p>
  </w:footnote>
  <w:footnote w:id="468">
    <w:p w14:paraId="2983148E" w14:textId="77777777" w:rsidR="002D2334" w:rsidRPr="005C3622" w:rsidRDefault="002D2334" w:rsidP="005C3622">
      <w:pPr>
        <w:pStyle w:val="FootnoteText"/>
        <w:spacing w:line="280" w:lineRule="exact"/>
        <w:ind w:right="0"/>
        <w:jc w:val="both"/>
        <w:rPr>
          <w:rFonts w:ascii="Times New Roman" w:hAnsi="Times New Roman"/>
          <w:sz w:val="24"/>
        </w:rPr>
      </w:pPr>
      <w:r w:rsidRPr="005C3622">
        <w:rPr>
          <w:rStyle w:val="FootnoteReference"/>
          <w:rFonts w:ascii="Times New Roman" w:hAnsi="Times New Roman"/>
          <w:sz w:val="22"/>
          <w:vertAlign w:val="baseline"/>
        </w:rPr>
        <w:footnoteRef/>
      </w:r>
      <w:r w:rsidRPr="005C3622">
        <w:rPr>
          <w:rFonts w:ascii="Times New Roman" w:hAnsi="Times New Roman"/>
          <w:sz w:val="24"/>
        </w:rPr>
        <w:t xml:space="preserve"> </w:t>
      </w:r>
      <w:r w:rsidRPr="005C3622">
        <w:rPr>
          <w:rFonts w:ascii="Times New Roman" w:hAnsi="Times New Roman"/>
          <w:sz w:val="24"/>
        </w:rPr>
        <w:tab/>
      </w:r>
      <w:r w:rsidRPr="005C3622">
        <w:rPr>
          <w:rFonts w:ascii="Times New Roman" w:hAnsi="Times New Roman"/>
          <w:i/>
          <w:sz w:val="24"/>
        </w:rPr>
        <w:t xml:space="preserve">Official Record of the Debates of the Australasian Federal Convention </w:t>
      </w:r>
      <w:r w:rsidRPr="005C3622">
        <w:rPr>
          <w:rFonts w:ascii="Times New Roman" w:hAnsi="Times New Roman"/>
          <w:sz w:val="24"/>
        </w:rPr>
        <w:t>(Sydney), 22 September 1897 at 1064.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1D7F" w14:textId="0378177A" w:rsidR="00A04489" w:rsidRPr="00CA61AF" w:rsidRDefault="00CA61AF" w:rsidP="00CA61AF">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D27B55">
      <w:rPr>
        <w:rFonts w:ascii="Times New Roman" w:hAnsi="Times New Roman"/>
        <w:noProof/>
        <w:sz w:val="22"/>
      </w:rPr>
      <w:instrText>5</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D27B55">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0A5EA" w14:textId="77777777" w:rsidR="002F0E54" w:rsidRDefault="00D27B55" w:rsidP="002F0E54">
    <w:pPr>
      <w:pStyle w:val="Header"/>
      <w:tabs>
        <w:tab w:val="clear" w:pos="4153"/>
        <w:tab w:val="clear" w:pos="8306"/>
        <w:tab w:val="center" w:pos="1134"/>
      </w:tabs>
      <w:spacing w:line="280" w:lineRule="exact"/>
      <w:ind w:firstLine="0"/>
      <w:rPr>
        <w:rFonts w:ascii="Times New Roman" w:hAnsi="Times New Roman"/>
        <w:i/>
        <w:sz w:val="22"/>
      </w:rPr>
    </w:pPr>
  </w:p>
  <w:p w14:paraId="33A9BDA7" w14:textId="77777777" w:rsidR="002F0E54" w:rsidRDefault="00D27B55" w:rsidP="002F0E54">
    <w:pPr>
      <w:pStyle w:val="Header"/>
      <w:tabs>
        <w:tab w:val="clear" w:pos="4153"/>
        <w:tab w:val="clear" w:pos="8306"/>
        <w:tab w:val="center" w:pos="1134"/>
      </w:tabs>
      <w:spacing w:line="280" w:lineRule="exact"/>
      <w:ind w:firstLine="0"/>
      <w:rPr>
        <w:rFonts w:ascii="Times New Roman" w:hAnsi="Times New Roman"/>
        <w:i/>
        <w:sz w:val="22"/>
      </w:rPr>
    </w:pPr>
  </w:p>
  <w:p w14:paraId="11DD79A1" w14:textId="77777777" w:rsidR="002F0E54" w:rsidRDefault="00D27B55" w:rsidP="002F0E54">
    <w:pPr>
      <w:pStyle w:val="Header"/>
      <w:tabs>
        <w:tab w:val="clear" w:pos="4153"/>
        <w:tab w:val="clear" w:pos="8306"/>
        <w:tab w:val="center" w:pos="1134"/>
      </w:tabs>
      <w:spacing w:line="280" w:lineRule="exact"/>
      <w:ind w:firstLine="0"/>
      <w:rPr>
        <w:rFonts w:ascii="Times New Roman" w:hAnsi="Times New Roman"/>
        <w:i/>
        <w:sz w:val="22"/>
      </w:rPr>
    </w:pPr>
  </w:p>
  <w:p w14:paraId="788FC451" w14:textId="77777777" w:rsidR="000303F2" w:rsidRPr="002F0E54" w:rsidRDefault="00D27B55" w:rsidP="002F0E54">
    <w:pPr>
      <w:pStyle w:val="Header"/>
      <w:tabs>
        <w:tab w:val="clear" w:pos="4153"/>
        <w:tab w:val="clear" w:pos="8306"/>
        <w:tab w:val="center" w:pos="1134"/>
      </w:tabs>
      <w:spacing w:line="280" w:lineRule="exact"/>
      <w:ind w:firstLine="0"/>
      <w:rPr>
        <w:rFonts w:ascii="Times New Roman" w:hAnsi="Times New Roman"/>
        <w:i/>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4E0D" w14:textId="77777777" w:rsidR="005C3622" w:rsidRDefault="002D2334" w:rsidP="005C3622">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4D97009E" w14:textId="77777777" w:rsidR="005C3622" w:rsidRDefault="00D27B55" w:rsidP="005C3622">
    <w:pPr>
      <w:pStyle w:val="Header"/>
      <w:tabs>
        <w:tab w:val="clear" w:pos="4153"/>
        <w:tab w:val="clear" w:pos="8306"/>
        <w:tab w:val="right" w:pos="1304"/>
      </w:tabs>
      <w:spacing w:line="280" w:lineRule="exact"/>
      <w:ind w:firstLine="0"/>
      <w:rPr>
        <w:rFonts w:ascii="Times New Roman" w:hAnsi="Times New Roman"/>
        <w:i/>
        <w:sz w:val="22"/>
      </w:rPr>
    </w:pPr>
  </w:p>
  <w:p w14:paraId="34FF9A92" w14:textId="77777777" w:rsidR="005C3622" w:rsidRDefault="002D2334" w:rsidP="005C3622">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CD99F77" w14:textId="77777777" w:rsidR="005C3622" w:rsidRPr="005C3622" w:rsidRDefault="00D27B55" w:rsidP="005C3622">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25C1B" w14:textId="77777777" w:rsidR="005C3622" w:rsidRDefault="002D2334" w:rsidP="005C3622">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20944FB4" w14:textId="77777777" w:rsidR="005C3622" w:rsidRDefault="00D27B55" w:rsidP="005C3622">
    <w:pPr>
      <w:pStyle w:val="Header"/>
      <w:tabs>
        <w:tab w:val="clear" w:pos="4153"/>
        <w:tab w:val="clear" w:pos="8306"/>
        <w:tab w:val="left" w:pos="7200"/>
        <w:tab w:val="right" w:pos="8504"/>
      </w:tabs>
      <w:spacing w:line="280" w:lineRule="exact"/>
      <w:jc w:val="right"/>
      <w:rPr>
        <w:rFonts w:ascii="Times New Roman" w:hAnsi="Times New Roman"/>
        <w:i/>
        <w:sz w:val="22"/>
      </w:rPr>
    </w:pPr>
  </w:p>
  <w:p w14:paraId="74C26256" w14:textId="77777777" w:rsidR="005C3622" w:rsidRDefault="002D2334" w:rsidP="005C3622">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043750D" w14:textId="77777777" w:rsidR="005C3622" w:rsidRPr="005C3622" w:rsidRDefault="00D27B55" w:rsidP="005C362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319FC" w14:textId="77777777" w:rsidR="005C3622" w:rsidRDefault="00D27B55" w:rsidP="005C3622">
    <w:pPr>
      <w:pStyle w:val="Header"/>
      <w:tabs>
        <w:tab w:val="clear" w:pos="4153"/>
        <w:tab w:val="clear" w:pos="8306"/>
        <w:tab w:val="center" w:pos="1134"/>
      </w:tabs>
      <w:spacing w:line="280" w:lineRule="exact"/>
      <w:ind w:firstLine="0"/>
      <w:rPr>
        <w:rFonts w:ascii="Times New Roman" w:hAnsi="Times New Roman"/>
        <w:i/>
        <w:sz w:val="22"/>
      </w:rPr>
    </w:pPr>
  </w:p>
  <w:p w14:paraId="3268BE87" w14:textId="77777777" w:rsidR="005C3622" w:rsidRDefault="00D27B55" w:rsidP="005C3622">
    <w:pPr>
      <w:pStyle w:val="Header"/>
      <w:tabs>
        <w:tab w:val="clear" w:pos="4153"/>
        <w:tab w:val="clear" w:pos="8306"/>
        <w:tab w:val="center" w:pos="1134"/>
      </w:tabs>
      <w:spacing w:line="280" w:lineRule="exact"/>
      <w:ind w:firstLine="0"/>
      <w:rPr>
        <w:rFonts w:ascii="Times New Roman" w:hAnsi="Times New Roman"/>
        <w:i/>
        <w:sz w:val="22"/>
      </w:rPr>
    </w:pPr>
  </w:p>
  <w:p w14:paraId="7761FCAF" w14:textId="77777777" w:rsidR="005C3622" w:rsidRDefault="00D27B55" w:rsidP="005C3622">
    <w:pPr>
      <w:pStyle w:val="Header"/>
      <w:tabs>
        <w:tab w:val="clear" w:pos="4153"/>
        <w:tab w:val="clear" w:pos="8306"/>
        <w:tab w:val="center" w:pos="1134"/>
      </w:tabs>
      <w:spacing w:line="280" w:lineRule="exact"/>
      <w:ind w:firstLine="0"/>
      <w:rPr>
        <w:rFonts w:ascii="Times New Roman" w:hAnsi="Times New Roman"/>
        <w:i/>
        <w:sz w:val="22"/>
      </w:rPr>
    </w:pPr>
  </w:p>
  <w:p w14:paraId="0527B5E5" w14:textId="77777777" w:rsidR="005A2FEA" w:rsidRPr="005C3622" w:rsidRDefault="00D27B55" w:rsidP="005C3622">
    <w:pPr>
      <w:pStyle w:val="Header"/>
      <w:tabs>
        <w:tab w:val="clear" w:pos="4153"/>
        <w:tab w:val="clear" w:pos="8306"/>
        <w:tab w:val="center" w:pos="1134"/>
      </w:tabs>
      <w:spacing w:line="280" w:lineRule="exact"/>
      <w:ind w:firstLine="0"/>
      <w:rPr>
        <w:rFonts w:ascii="Times New Roman" w:hAnsi="Times New Roman"/>
        <w:i/>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922C4" w14:textId="77777777" w:rsidR="002D2334" w:rsidRPr="005C3622" w:rsidRDefault="002D2334" w:rsidP="005C3622">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CFF80" w14:textId="77777777" w:rsidR="00CA61AF" w:rsidRPr="00A04489" w:rsidRDefault="00CA61AF" w:rsidP="00A04489">
    <w:pPr>
      <w:pStyle w:val="Header"/>
      <w:tabs>
        <w:tab w:val="clear" w:pos="4153"/>
        <w:tab w:val="clear" w:pos="8306"/>
        <w:tab w:val="right" w:pos="1304"/>
      </w:tabs>
      <w:spacing w:line="280" w:lineRule="exact"/>
      <w:ind w:firstLine="0"/>
      <w:rPr>
        <w:rFonts w:ascii="Times New Roman" w:hAnsi="Times New Roman"/>
        <w:i/>
        <w:sz w:val="22"/>
      </w:rPr>
    </w:pPr>
    <w:r w:rsidRPr="00A04489">
      <w:rPr>
        <w:rFonts w:ascii="Times New Roman" w:hAnsi="Times New Roman"/>
        <w:i/>
        <w:sz w:val="22"/>
      </w:rPr>
      <w:t>Kiefel</w:t>
    </w:r>
    <w:r w:rsidRPr="00A04489">
      <w:rPr>
        <w:rFonts w:ascii="Times New Roman" w:hAnsi="Times New Roman"/>
        <w:i/>
        <w:sz w:val="22"/>
      </w:rPr>
      <w:tab/>
      <w:t>CJ</w:t>
    </w:r>
  </w:p>
  <w:p w14:paraId="4D42887F" w14:textId="77777777" w:rsidR="00CA61AF" w:rsidRDefault="00CA61AF" w:rsidP="00A0448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Keane</w:t>
    </w:r>
    <w:r>
      <w:rPr>
        <w:rFonts w:ascii="Times New Roman" w:hAnsi="Times New Roman"/>
        <w:i/>
        <w:sz w:val="22"/>
      </w:rPr>
      <w:tab/>
      <w:t>J</w:t>
    </w:r>
  </w:p>
  <w:p w14:paraId="0C7B566B" w14:textId="77777777" w:rsidR="00CA61AF" w:rsidRDefault="00CA61AF" w:rsidP="00A04489">
    <w:pPr>
      <w:pStyle w:val="Header"/>
      <w:tabs>
        <w:tab w:val="clear" w:pos="4153"/>
        <w:tab w:val="clear" w:pos="8306"/>
        <w:tab w:val="right" w:pos="1304"/>
      </w:tabs>
      <w:spacing w:line="280" w:lineRule="exact"/>
      <w:ind w:firstLine="0"/>
      <w:rPr>
        <w:rFonts w:ascii="Times New Roman" w:hAnsi="Times New Roman"/>
        <w:i/>
        <w:sz w:val="22"/>
      </w:rPr>
    </w:pPr>
  </w:p>
  <w:p w14:paraId="72AEF805" w14:textId="77777777" w:rsidR="00CA61AF" w:rsidRDefault="00CA61AF" w:rsidP="00A0448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D6DDE03" w14:textId="77777777" w:rsidR="00CA61AF" w:rsidRPr="00A04489" w:rsidRDefault="00CA61AF" w:rsidP="00A0448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3AD3" w14:textId="77777777" w:rsidR="00CA61AF" w:rsidRPr="00A04489" w:rsidRDefault="00CA61AF" w:rsidP="00A04489">
    <w:pPr>
      <w:pStyle w:val="Header"/>
      <w:tabs>
        <w:tab w:val="clear" w:pos="4153"/>
        <w:tab w:val="clear" w:pos="8306"/>
        <w:tab w:val="left" w:pos="7200"/>
        <w:tab w:val="right" w:pos="8504"/>
      </w:tabs>
      <w:spacing w:line="280" w:lineRule="exact"/>
      <w:jc w:val="right"/>
      <w:rPr>
        <w:rFonts w:ascii="Times New Roman" w:hAnsi="Times New Roman"/>
        <w:i/>
        <w:sz w:val="22"/>
      </w:rPr>
    </w:pPr>
    <w:r w:rsidRPr="00A04489">
      <w:rPr>
        <w:rFonts w:ascii="Times New Roman" w:hAnsi="Times New Roman"/>
        <w:i/>
        <w:sz w:val="22"/>
      </w:rPr>
      <w:tab/>
      <w:t>Kiefel</w:t>
    </w:r>
    <w:r w:rsidRPr="00A04489">
      <w:rPr>
        <w:rFonts w:ascii="Times New Roman" w:hAnsi="Times New Roman"/>
        <w:i/>
        <w:sz w:val="22"/>
      </w:rPr>
      <w:tab/>
      <w:t>CJ</w:t>
    </w:r>
  </w:p>
  <w:p w14:paraId="5B385451" w14:textId="77777777" w:rsidR="00CA61AF" w:rsidRDefault="00CA61AF" w:rsidP="00A0448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Keane</w:t>
    </w:r>
    <w:r>
      <w:rPr>
        <w:rFonts w:ascii="Times New Roman" w:hAnsi="Times New Roman"/>
        <w:i/>
        <w:sz w:val="22"/>
      </w:rPr>
      <w:tab/>
      <w:t>J</w:t>
    </w:r>
  </w:p>
  <w:p w14:paraId="1B0792F3" w14:textId="77777777" w:rsidR="00CA61AF" w:rsidRDefault="00CA61AF" w:rsidP="00A04489">
    <w:pPr>
      <w:pStyle w:val="Header"/>
      <w:tabs>
        <w:tab w:val="clear" w:pos="4153"/>
        <w:tab w:val="clear" w:pos="8306"/>
        <w:tab w:val="left" w:pos="7200"/>
        <w:tab w:val="right" w:pos="8504"/>
      </w:tabs>
      <w:spacing w:line="280" w:lineRule="exact"/>
      <w:jc w:val="right"/>
      <w:rPr>
        <w:rFonts w:ascii="Times New Roman" w:hAnsi="Times New Roman"/>
        <w:i/>
        <w:sz w:val="22"/>
      </w:rPr>
    </w:pPr>
  </w:p>
  <w:p w14:paraId="0C9D40DC" w14:textId="77777777" w:rsidR="00CA61AF" w:rsidRDefault="00CA61AF" w:rsidP="00A0448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7CDDD77" w14:textId="77777777" w:rsidR="00CA61AF" w:rsidRPr="00A04489" w:rsidRDefault="00CA61AF" w:rsidP="00A0448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27AA7" w14:textId="77777777" w:rsidR="00CA61AF" w:rsidRDefault="00CA61AF" w:rsidP="00A04489">
    <w:pPr>
      <w:pStyle w:val="Header"/>
      <w:tabs>
        <w:tab w:val="clear" w:pos="4153"/>
        <w:tab w:val="clear" w:pos="8306"/>
        <w:tab w:val="center" w:pos="1134"/>
      </w:tabs>
      <w:spacing w:line="280" w:lineRule="exact"/>
      <w:ind w:firstLine="0"/>
      <w:rPr>
        <w:rFonts w:ascii="Times New Roman" w:hAnsi="Times New Roman"/>
        <w:i/>
        <w:sz w:val="22"/>
      </w:rPr>
    </w:pPr>
  </w:p>
  <w:p w14:paraId="61280373" w14:textId="77777777" w:rsidR="00CA61AF" w:rsidRDefault="00CA61AF" w:rsidP="00A04489">
    <w:pPr>
      <w:pStyle w:val="Header"/>
      <w:tabs>
        <w:tab w:val="clear" w:pos="4153"/>
        <w:tab w:val="clear" w:pos="8306"/>
        <w:tab w:val="center" w:pos="1134"/>
      </w:tabs>
      <w:spacing w:line="280" w:lineRule="exact"/>
      <w:ind w:firstLine="0"/>
      <w:rPr>
        <w:rFonts w:ascii="Times New Roman" w:hAnsi="Times New Roman"/>
        <w:i/>
        <w:sz w:val="22"/>
      </w:rPr>
    </w:pPr>
  </w:p>
  <w:p w14:paraId="5719481D" w14:textId="77777777" w:rsidR="00CA61AF" w:rsidRDefault="00CA61AF" w:rsidP="00A04489">
    <w:pPr>
      <w:pStyle w:val="Header"/>
      <w:tabs>
        <w:tab w:val="clear" w:pos="4153"/>
        <w:tab w:val="clear" w:pos="8306"/>
        <w:tab w:val="center" w:pos="1134"/>
      </w:tabs>
      <w:spacing w:line="280" w:lineRule="exact"/>
      <w:ind w:firstLine="0"/>
      <w:rPr>
        <w:rFonts w:ascii="Times New Roman" w:hAnsi="Times New Roman"/>
        <w:i/>
        <w:sz w:val="22"/>
      </w:rPr>
    </w:pPr>
  </w:p>
  <w:p w14:paraId="7FF06B9B" w14:textId="77777777" w:rsidR="00CA61AF" w:rsidRDefault="00CA61AF" w:rsidP="00A04489">
    <w:pPr>
      <w:pStyle w:val="Header"/>
      <w:tabs>
        <w:tab w:val="clear" w:pos="4153"/>
        <w:tab w:val="clear" w:pos="8306"/>
        <w:tab w:val="center" w:pos="1134"/>
      </w:tabs>
      <w:spacing w:line="280" w:lineRule="exact"/>
      <w:ind w:firstLine="0"/>
      <w:rPr>
        <w:rFonts w:ascii="Times New Roman" w:hAnsi="Times New Roman"/>
        <w:i/>
        <w:sz w:val="22"/>
      </w:rPr>
    </w:pPr>
  </w:p>
  <w:p w14:paraId="455D08CD" w14:textId="77777777" w:rsidR="00CA61AF" w:rsidRPr="00A04489" w:rsidRDefault="00CA61AF" w:rsidP="00A04489">
    <w:pPr>
      <w:pStyle w:val="Header"/>
      <w:tabs>
        <w:tab w:val="clear" w:pos="4153"/>
        <w:tab w:val="clear" w:pos="8306"/>
        <w:tab w:val="center" w:pos="1134"/>
      </w:tabs>
      <w:spacing w:line="280" w:lineRule="exact"/>
      <w:ind w:firstLine="0"/>
      <w:rPr>
        <w:rFonts w:ascii="Times New Roman" w:hAnsi="Times New Roman"/>
        <w:i/>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EF272" w14:textId="77777777" w:rsidR="00225BAD" w:rsidRDefault="002D2334" w:rsidP="00225BA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Gageler</w:t>
    </w:r>
    <w:r>
      <w:rPr>
        <w:rFonts w:ascii="Times New Roman" w:hAnsi="Times New Roman"/>
        <w:i/>
        <w:sz w:val="22"/>
      </w:rPr>
      <w:tab/>
      <w:t>J</w:t>
    </w:r>
  </w:p>
  <w:p w14:paraId="1E37B823" w14:textId="77777777" w:rsidR="00225BAD" w:rsidRDefault="00D27B55" w:rsidP="00225BAD">
    <w:pPr>
      <w:pStyle w:val="Header"/>
      <w:tabs>
        <w:tab w:val="clear" w:pos="4153"/>
        <w:tab w:val="clear" w:pos="8306"/>
        <w:tab w:val="right" w:pos="1304"/>
      </w:tabs>
      <w:spacing w:line="280" w:lineRule="exact"/>
      <w:ind w:firstLine="0"/>
      <w:rPr>
        <w:rFonts w:ascii="Times New Roman" w:hAnsi="Times New Roman"/>
        <w:i/>
        <w:sz w:val="22"/>
      </w:rPr>
    </w:pPr>
  </w:p>
  <w:p w14:paraId="5A9FDD72" w14:textId="77777777" w:rsidR="00225BAD" w:rsidRDefault="002D2334" w:rsidP="00225BA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41FF55BD" w14:textId="77777777" w:rsidR="00225BAD" w:rsidRPr="00225BAD" w:rsidRDefault="00D27B55" w:rsidP="00225BA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BE8D2" w14:textId="77777777" w:rsidR="00225BAD" w:rsidRDefault="002D2334" w:rsidP="00225BA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Gageler</w:t>
    </w:r>
    <w:r>
      <w:rPr>
        <w:rFonts w:ascii="Times New Roman" w:hAnsi="Times New Roman"/>
        <w:i/>
        <w:sz w:val="22"/>
      </w:rPr>
      <w:tab/>
      <w:t>J</w:t>
    </w:r>
  </w:p>
  <w:p w14:paraId="769F99AD" w14:textId="77777777" w:rsidR="00225BAD" w:rsidRDefault="00D27B55" w:rsidP="00225BAD">
    <w:pPr>
      <w:pStyle w:val="Header"/>
      <w:tabs>
        <w:tab w:val="clear" w:pos="4153"/>
        <w:tab w:val="clear" w:pos="8306"/>
        <w:tab w:val="left" w:pos="7200"/>
        <w:tab w:val="right" w:pos="8504"/>
      </w:tabs>
      <w:spacing w:line="280" w:lineRule="exact"/>
      <w:jc w:val="right"/>
      <w:rPr>
        <w:rFonts w:ascii="Times New Roman" w:hAnsi="Times New Roman"/>
        <w:i/>
        <w:sz w:val="22"/>
      </w:rPr>
    </w:pPr>
  </w:p>
  <w:p w14:paraId="63D7766F" w14:textId="77777777" w:rsidR="00225BAD" w:rsidRDefault="002D2334" w:rsidP="00225BA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BE77270" w14:textId="77777777" w:rsidR="00225BAD" w:rsidRPr="00225BAD" w:rsidRDefault="00D27B55" w:rsidP="00225BA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F5E6C" w14:textId="77777777" w:rsidR="00225BAD" w:rsidRDefault="00D27B55" w:rsidP="00225BAD">
    <w:pPr>
      <w:pStyle w:val="Header"/>
      <w:tabs>
        <w:tab w:val="clear" w:pos="4153"/>
        <w:tab w:val="clear" w:pos="8306"/>
        <w:tab w:val="center" w:pos="1134"/>
      </w:tabs>
      <w:spacing w:line="280" w:lineRule="exact"/>
      <w:ind w:firstLine="0"/>
      <w:rPr>
        <w:rFonts w:ascii="Times New Roman" w:hAnsi="Times New Roman"/>
        <w:i/>
        <w:sz w:val="22"/>
      </w:rPr>
    </w:pPr>
  </w:p>
  <w:p w14:paraId="5556501E" w14:textId="77777777" w:rsidR="00225BAD" w:rsidRDefault="00D27B55" w:rsidP="00225BAD">
    <w:pPr>
      <w:pStyle w:val="Header"/>
      <w:tabs>
        <w:tab w:val="clear" w:pos="4153"/>
        <w:tab w:val="clear" w:pos="8306"/>
        <w:tab w:val="center" w:pos="1134"/>
      </w:tabs>
      <w:spacing w:line="280" w:lineRule="exact"/>
      <w:ind w:firstLine="0"/>
      <w:rPr>
        <w:rFonts w:ascii="Times New Roman" w:hAnsi="Times New Roman"/>
        <w:i/>
        <w:sz w:val="22"/>
      </w:rPr>
    </w:pPr>
  </w:p>
  <w:p w14:paraId="6B4C648A" w14:textId="77777777" w:rsidR="00225BAD" w:rsidRDefault="00D27B55" w:rsidP="00225BAD">
    <w:pPr>
      <w:pStyle w:val="Header"/>
      <w:tabs>
        <w:tab w:val="clear" w:pos="4153"/>
        <w:tab w:val="clear" w:pos="8306"/>
        <w:tab w:val="center" w:pos="1134"/>
      </w:tabs>
      <w:spacing w:line="280" w:lineRule="exact"/>
      <w:ind w:firstLine="0"/>
      <w:rPr>
        <w:rFonts w:ascii="Times New Roman" w:hAnsi="Times New Roman"/>
        <w:i/>
        <w:sz w:val="22"/>
      </w:rPr>
    </w:pPr>
  </w:p>
  <w:p w14:paraId="6CB9F392" w14:textId="77777777" w:rsidR="0044367E" w:rsidRPr="00225BAD" w:rsidRDefault="00D27B55" w:rsidP="00225BAD">
    <w:pPr>
      <w:pStyle w:val="Header"/>
      <w:tabs>
        <w:tab w:val="clear" w:pos="4153"/>
        <w:tab w:val="clear" w:pos="8306"/>
        <w:tab w:val="center" w:pos="1134"/>
      </w:tabs>
      <w:spacing w:line="280" w:lineRule="exact"/>
      <w:ind w:firstLine="0"/>
      <w:rPr>
        <w:rFonts w:ascii="Times New Roman" w:hAnsi="Times New Roman"/>
        <w:i/>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0E4A0" w14:textId="77777777" w:rsidR="002F0E54" w:rsidRDefault="002D2334" w:rsidP="002F0E5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Gordon</w:t>
    </w:r>
    <w:r>
      <w:rPr>
        <w:rFonts w:ascii="Times New Roman" w:hAnsi="Times New Roman"/>
        <w:i/>
        <w:sz w:val="22"/>
      </w:rPr>
      <w:tab/>
      <w:t>J</w:t>
    </w:r>
  </w:p>
  <w:p w14:paraId="755FC422" w14:textId="77777777" w:rsidR="002F0E54" w:rsidRDefault="00D27B55" w:rsidP="002F0E54">
    <w:pPr>
      <w:pStyle w:val="Header"/>
      <w:tabs>
        <w:tab w:val="clear" w:pos="4153"/>
        <w:tab w:val="clear" w:pos="8306"/>
        <w:tab w:val="right" w:pos="1304"/>
      </w:tabs>
      <w:spacing w:line="280" w:lineRule="exact"/>
      <w:ind w:firstLine="0"/>
      <w:rPr>
        <w:rFonts w:ascii="Times New Roman" w:hAnsi="Times New Roman"/>
        <w:i/>
        <w:sz w:val="22"/>
      </w:rPr>
    </w:pPr>
  </w:p>
  <w:p w14:paraId="75F44FD9" w14:textId="77777777" w:rsidR="002F0E54" w:rsidRDefault="002D2334" w:rsidP="002F0E5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8A82FA5" w14:textId="77777777" w:rsidR="002F0E54" w:rsidRPr="002F0E54" w:rsidRDefault="00D27B55" w:rsidP="002F0E5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2BD0F" w14:textId="77777777" w:rsidR="002F0E54" w:rsidRDefault="002D2334" w:rsidP="002F0E5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Gordon</w:t>
    </w:r>
    <w:r>
      <w:rPr>
        <w:rFonts w:ascii="Times New Roman" w:hAnsi="Times New Roman"/>
        <w:i/>
        <w:sz w:val="22"/>
      </w:rPr>
      <w:tab/>
      <w:t>J</w:t>
    </w:r>
  </w:p>
  <w:p w14:paraId="758BAEF4" w14:textId="77777777" w:rsidR="002F0E54" w:rsidRDefault="00D27B55" w:rsidP="002F0E54">
    <w:pPr>
      <w:pStyle w:val="Header"/>
      <w:tabs>
        <w:tab w:val="clear" w:pos="4153"/>
        <w:tab w:val="clear" w:pos="8306"/>
        <w:tab w:val="left" w:pos="7200"/>
        <w:tab w:val="right" w:pos="8504"/>
      </w:tabs>
      <w:spacing w:line="280" w:lineRule="exact"/>
      <w:jc w:val="right"/>
      <w:rPr>
        <w:rFonts w:ascii="Times New Roman" w:hAnsi="Times New Roman"/>
        <w:i/>
        <w:sz w:val="22"/>
      </w:rPr>
    </w:pPr>
  </w:p>
  <w:p w14:paraId="0AC3C3ED" w14:textId="77777777" w:rsidR="002F0E54" w:rsidRDefault="002D2334" w:rsidP="002F0E5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3400330" w14:textId="77777777" w:rsidR="002F0E54" w:rsidRPr="002F0E54" w:rsidRDefault="00D27B55" w:rsidP="002F0E5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511C"/>
    <w:multiLevelType w:val="hybridMultilevel"/>
    <w:tmpl w:val="CD549C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53F54B5"/>
    <w:multiLevelType w:val="hybridMultilevel"/>
    <w:tmpl w:val="F9BE9B70"/>
    <w:lvl w:ilvl="0" w:tplc="683AD7C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5E69A5"/>
    <w:multiLevelType w:val="hybridMultilevel"/>
    <w:tmpl w:val="4226F60A"/>
    <w:lvl w:ilvl="0" w:tplc="53240D0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98B56FB"/>
    <w:multiLevelType w:val="hybridMultilevel"/>
    <w:tmpl w:val="487C170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1637"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9"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8"/>
  </w:num>
  <w:num w:numId="3">
    <w:abstractNumId w:val="21"/>
  </w:num>
  <w:num w:numId="4">
    <w:abstractNumId w:val="15"/>
  </w:num>
  <w:num w:numId="5">
    <w:abstractNumId w:val="20"/>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9"/>
  </w:num>
  <w:num w:numId="18">
    <w:abstractNumId w:val="12"/>
  </w:num>
  <w:num w:numId="19">
    <w:abstractNumId w:val="12"/>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7"/>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70"/>
    <w:rsid w:val="0000048F"/>
    <w:rsid w:val="000005AF"/>
    <w:rsid w:val="000006DA"/>
    <w:rsid w:val="0000081A"/>
    <w:rsid w:val="00000847"/>
    <w:rsid w:val="00000A12"/>
    <w:rsid w:val="00000B4C"/>
    <w:rsid w:val="00000D64"/>
    <w:rsid w:val="00001114"/>
    <w:rsid w:val="00001551"/>
    <w:rsid w:val="000017A6"/>
    <w:rsid w:val="00001CF9"/>
    <w:rsid w:val="00002069"/>
    <w:rsid w:val="00002120"/>
    <w:rsid w:val="00002C8F"/>
    <w:rsid w:val="00002CE6"/>
    <w:rsid w:val="0000316A"/>
    <w:rsid w:val="0000360B"/>
    <w:rsid w:val="0000387B"/>
    <w:rsid w:val="00003F20"/>
    <w:rsid w:val="000041F1"/>
    <w:rsid w:val="0000480B"/>
    <w:rsid w:val="000049B7"/>
    <w:rsid w:val="000053D9"/>
    <w:rsid w:val="00005587"/>
    <w:rsid w:val="00005ACF"/>
    <w:rsid w:val="00005BE1"/>
    <w:rsid w:val="00006121"/>
    <w:rsid w:val="00011474"/>
    <w:rsid w:val="00011860"/>
    <w:rsid w:val="000122AC"/>
    <w:rsid w:val="0001261E"/>
    <w:rsid w:val="00012CAB"/>
    <w:rsid w:val="000130DA"/>
    <w:rsid w:val="00013827"/>
    <w:rsid w:val="0001404E"/>
    <w:rsid w:val="00014B34"/>
    <w:rsid w:val="0001576F"/>
    <w:rsid w:val="0001577A"/>
    <w:rsid w:val="000168C9"/>
    <w:rsid w:val="00016C20"/>
    <w:rsid w:val="00016DBB"/>
    <w:rsid w:val="00017023"/>
    <w:rsid w:val="00017144"/>
    <w:rsid w:val="0001735C"/>
    <w:rsid w:val="0001755A"/>
    <w:rsid w:val="00017F99"/>
    <w:rsid w:val="0002070C"/>
    <w:rsid w:val="00021C5B"/>
    <w:rsid w:val="00021E26"/>
    <w:rsid w:val="00022351"/>
    <w:rsid w:val="000227B1"/>
    <w:rsid w:val="000227D6"/>
    <w:rsid w:val="000228CC"/>
    <w:rsid w:val="00022A3B"/>
    <w:rsid w:val="00022E87"/>
    <w:rsid w:val="00022FF7"/>
    <w:rsid w:val="00023A3D"/>
    <w:rsid w:val="00023E89"/>
    <w:rsid w:val="00023EA7"/>
    <w:rsid w:val="000245E7"/>
    <w:rsid w:val="000250AF"/>
    <w:rsid w:val="00025487"/>
    <w:rsid w:val="00025490"/>
    <w:rsid w:val="000255C0"/>
    <w:rsid w:val="0002561E"/>
    <w:rsid w:val="00025BD6"/>
    <w:rsid w:val="000268E1"/>
    <w:rsid w:val="00026D41"/>
    <w:rsid w:val="00027717"/>
    <w:rsid w:val="00027855"/>
    <w:rsid w:val="00027BCB"/>
    <w:rsid w:val="00030913"/>
    <w:rsid w:val="00030C87"/>
    <w:rsid w:val="00031C2F"/>
    <w:rsid w:val="00031D65"/>
    <w:rsid w:val="00032362"/>
    <w:rsid w:val="0003252F"/>
    <w:rsid w:val="000327C7"/>
    <w:rsid w:val="00032ACB"/>
    <w:rsid w:val="00032E07"/>
    <w:rsid w:val="00033236"/>
    <w:rsid w:val="00033CCE"/>
    <w:rsid w:val="00033EA6"/>
    <w:rsid w:val="00033FD9"/>
    <w:rsid w:val="00034339"/>
    <w:rsid w:val="0003442A"/>
    <w:rsid w:val="00034BCF"/>
    <w:rsid w:val="000354A4"/>
    <w:rsid w:val="0003575A"/>
    <w:rsid w:val="000360EB"/>
    <w:rsid w:val="0003631C"/>
    <w:rsid w:val="00036CC5"/>
    <w:rsid w:val="00037372"/>
    <w:rsid w:val="0003780E"/>
    <w:rsid w:val="00037A5F"/>
    <w:rsid w:val="00037D87"/>
    <w:rsid w:val="00040607"/>
    <w:rsid w:val="00040ABF"/>
    <w:rsid w:val="00040D6F"/>
    <w:rsid w:val="000413EA"/>
    <w:rsid w:val="00042065"/>
    <w:rsid w:val="0004254A"/>
    <w:rsid w:val="00042A7C"/>
    <w:rsid w:val="00042E21"/>
    <w:rsid w:val="0004355A"/>
    <w:rsid w:val="000435D1"/>
    <w:rsid w:val="000435D9"/>
    <w:rsid w:val="00043D2C"/>
    <w:rsid w:val="00043DE5"/>
    <w:rsid w:val="0004409B"/>
    <w:rsid w:val="00044892"/>
    <w:rsid w:val="0004489D"/>
    <w:rsid w:val="000456D2"/>
    <w:rsid w:val="00046812"/>
    <w:rsid w:val="000470F9"/>
    <w:rsid w:val="000503CC"/>
    <w:rsid w:val="000525F4"/>
    <w:rsid w:val="000527D8"/>
    <w:rsid w:val="00052BCF"/>
    <w:rsid w:val="00052CE1"/>
    <w:rsid w:val="000532A9"/>
    <w:rsid w:val="00053E0B"/>
    <w:rsid w:val="0005440B"/>
    <w:rsid w:val="00054507"/>
    <w:rsid w:val="00054A58"/>
    <w:rsid w:val="00054F94"/>
    <w:rsid w:val="00055099"/>
    <w:rsid w:val="000551BC"/>
    <w:rsid w:val="000557CA"/>
    <w:rsid w:val="00055ACD"/>
    <w:rsid w:val="00055D12"/>
    <w:rsid w:val="00056355"/>
    <w:rsid w:val="000568F3"/>
    <w:rsid w:val="00056F27"/>
    <w:rsid w:val="0005709D"/>
    <w:rsid w:val="000573AF"/>
    <w:rsid w:val="000574A0"/>
    <w:rsid w:val="00057796"/>
    <w:rsid w:val="00057AD5"/>
    <w:rsid w:val="000603DE"/>
    <w:rsid w:val="0006169E"/>
    <w:rsid w:val="00061D02"/>
    <w:rsid w:val="000626FD"/>
    <w:rsid w:val="00063A91"/>
    <w:rsid w:val="0006432B"/>
    <w:rsid w:val="00064366"/>
    <w:rsid w:val="000653D4"/>
    <w:rsid w:val="00065E19"/>
    <w:rsid w:val="00066C17"/>
    <w:rsid w:val="00066ECF"/>
    <w:rsid w:val="00066F55"/>
    <w:rsid w:val="00067278"/>
    <w:rsid w:val="000672F6"/>
    <w:rsid w:val="00067547"/>
    <w:rsid w:val="000675C6"/>
    <w:rsid w:val="00070E9F"/>
    <w:rsid w:val="00071B7A"/>
    <w:rsid w:val="00071C35"/>
    <w:rsid w:val="0007293D"/>
    <w:rsid w:val="00072E89"/>
    <w:rsid w:val="000735A8"/>
    <w:rsid w:val="00074934"/>
    <w:rsid w:val="00074EEC"/>
    <w:rsid w:val="0007530E"/>
    <w:rsid w:val="000755C4"/>
    <w:rsid w:val="000758F1"/>
    <w:rsid w:val="00075F50"/>
    <w:rsid w:val="000760BD"/>
    <w:rsid w:val="0007634A"/>
    <w:rsid w:val="000763BF"/>
    <w:rsid w:val="00076D2A"/>
    <w:rsid w:val="00076F98"/>
    <w:rsid w:val="00077553"/>
    <w:rsid w:val="0007791F"/>
    <w:rsid w:val="00077C7A"/>
    <w:rsid w:val="00077D15"/>
    <w:rsid w:val="00077F77"/>
    <w:rsid w:val="00077FC7"/>
    <w:rsid w:val="000806D9"/>
    <w:rsid w:val="00080CE5"/>
    <w:rsid w:val="00080D77"/>
    <w:rsid w:val="00080DA5"/>
    <w:rsid w:val="00081436"/>
    <w:rsid w:val="0008243B"/>
    <w:rsid w:val="000824CF"/>
    <w:rsid w:val="00083328"/>
    <w:rsid w:val="00083745"/>
    <w:rsid w:val="0008435D"/>
    <w:rsid w:val="00084B5A"/>
    <w:rsid w:val="0008544E"/>
    <w:rsid w:val="0008558C"/>
    <w:rsid w:val="00085D21"/>
    <w:rsid w:val="00085F13"/>
    <w:rsid w:val="00086060"/>
    <w:rsid w:val="0008757F"/>
    <w:rsid w:val="000909C5"/>
    <w:rsid w:val="00091165"/>
    <w:rsid w:val="000918C1"/>
    <w:rsid w:val="00092533"/>
    <w:rsid w:val="0009297A"/>
    <w:rsid w:val="000929A2"/>
    <w:rsid w:val="0009306D"/>
    <w:rsid w:val="0009311F"/>
    <w:rsid w:val="0009349E"/>
    <w:rsid w:val="00093AE1"/>
    <w:rsid w:val="0009514A"/>
    <w:rsid w:val="00095509"/>
    <w:rsid w:val="00095988"/>
    <w:rsid w:val="00096075"/>
    <w:rsid w:val="000962AE"/>
    <w:rsid w:val="0009769F"/>
    <w:rsid w:val="00097C12"/>
    <w:rsid w:val="00097FD8"/>
    <w:rsid w:val="000A0678"/>
    <w:rsid w:val="000A0CEE"/>
    <w:rsid w:val="000A0D1D"/>
    <w:rsid w:val="000A14A9"/>
    <w:rsid w:val="000A1B0D"/>
    <w:rsid w:val="000A2555"/>
    <w:rsid w:val="000A27FE"/>
    <w:rsid w:val="000A28D4"/>
    <w:rsid w:val="000A2EB4"/>
    <w:rsid w:val="000A30C6"/>
    <w:rsid w:val="000A31EE"/>
    <w:rsid w:val="000A3582"/>
    <w:rsid w:val="000A3868"/>
    <w:rsid w:val="000A3D6D"/>
    <w:rsid w:val="000A4EE4"/>
    <w:rsid w:val="000A5008"/>
    <w:rsid w:val="000A519C"/>
    <w:rsid w:val="000A6239"/>
    <w:rsid w:val="000A63C6"/>
    <w:rsid w:val="000A6B3D"/>
    <w:rsid w:val="000A74C1"/>
    <w:rsid w:val="000A7B2A"/>
    <w:rsid w:val="000A7CA4"/>
    <w:rsid w:val="000A7E89"/>
    <w:rsid w:val="000B067F"/>
    <w:rsid w:val="000B0F8E"/>
    <w:rsid w:val="000B124C"/>
    <w:rsid w:val="000B13AF"/>
    <w:rsid w:val="000B1753"/>
    <w:rsid w:val="000B1E67"/>
    <w:rsid w:val="000B1F2A"/>
    <w:rsid w:val="000B20D8"/>
    <w:rsid w:val="000B36CC"/>
    <w:rsid w:val="000B39FA"/>
    <w:rsid w:val="000B3D51"/>
    <w:rsid w:val="000B43E4"/>
    <w:rsid w:val="000B4629"/>
    <w:rsid w:val="000B4630"/>
    <w:rsid w:val="000B497F"/>
    <w:rsid w:val="000B4BC1"/>
    <w:rsid w:val="000B544E"/>
    <w:rsid w:val="000B57A9"/>
    <w:rsid w:val="000B6D59"/>
    <w:rsid w:val="000B710D"/>
    <w:rsid w:val="000B72D3"/>
    <w:rsid w:val="000B7558"/>
    <w:rsid w:val="000B76B0"/>
    <w:rsid w:val="000B7772"/>
    <w:rsid w:val="000B798D"/>
    <w:rsid w:val="000B7A47"/>
    <w:rsid w:val="000B7F69"/>
    <w:rsid w:val="000C01FB"/>
    <w:rsid w:val="000C04DC"/>
    <w:rsid w:val="000C09A7"/>
    <w:rsid w:val="000C0D98"/>
    <w:rsid w:val="000C13F8"/>
    <w:rsid w:val="000C1739"/>
    <w:rsid w:val="000C2B1C"/>
    <w:rsid w:val="000C3129"/>
    <w:rsid w:val="000C3451"/>
    <w:rsid w:val="000C35CF"/>
    <w:rsid w:val="000C3DDB"/>
    <w:rsid w:val="000C4352"/>
    <w:rsid w:val="000C5143"/>
    <w:rsid w:val="000C5376"/>
    <w:rsid w:val="000C54F2"/>
    <w:rsid w:val="000C553E"/>
    <w:rsid w:val="000C5720"/>
    <w:rsid w:val="000C5809"/>
    <w:rsid w:val="000C5836"/>
    <w:rsid w:val="000C6255"/>
    <w:rsid w:val="000C62BB"/>
    <w:rsid w:val="000C70F4"/>
    <w:rsid w:val="000C71B9"/>
    <w:rsid w:val="000C73B2"/>
    <w:rsid w:val="000C7618"/>
    <w:rsid w:val="000C7B27"/>
    <w:rsid w:val="000D0467"/>
    <w:rsid w:val="000D0A6D"/>
    <w:rsid w:val="000D10FD"/>
    <w:rsid w:val="000D1880"/>
    <w:rsid w:val="000D1904"/>
    <w:rsid w:val="000D1B1C"/>
    <w:rsid w:val="000D21ED"/>
    <w:rsid w:val="000D25E6"/>
    <w:rsid w:val="000D2A5C"/>
    <w:rsid w:val="000D3468"/>
    <w:rsid w:val="000D350B"/>
    <w:rsid w:val="000D35C1"/>
    <w:rsid w:val="000D3B8A"/>
    <w:rsid w:val="000D3FBF"/>
    <w:rsid w:val="000D44C3"/>
    <w:rsid w:val="000D499A"/>
    <w:rsid w:val="000D51C1"/>
    <w:rsid w:val="000D5E3A"/>
    <w:rsid w:val="000D61DC"/>
    <w:rsid w:val="000D6B51"/>
    <w:rsid w:val="000D7123"/>
    <w:rsid w:val="000D794A"/>
    <w:rsid w:val="000D7BA1"/>
    <w:rsid w:val="000E05A8"/>
    <w:rsid w:val="000E0DC7"/>
    <w:rsid w:val="000E1ECC"/>
    <w:rsid w:val="000E1EEF"/>
    <w:rsid w:val="000E2210"/>
    <w:rsid w:val="000E2796"/>
    <w:rsid w:val="000E29A5"/>
    <w:rsid w:val="000E30B0"/>
    <w:rsid w:val="000E31B2"/>
    <w:rsid w:val="000E3CB4"/>
    <w:rsid w:val="000E41E8"/>
    <w:rsid w:val="000E47B4"/>
    <w:rsid w:val="000E4B9A"/>
    <w:rsid w:val="000E4F12"/>
    <w:rsid w:val="000E5B7E"/>
    <w:rsid w:val="000E62B9"/>
    <w:rsid w:val="000E65F7"/>
    <w:rsid w:val="000E6E64"/>
    <w:rsid w:val="000E6FCF"/>
    <w:rsid w:val="000E7189"/>
    <w:rsid w:val="000E728C"/>
    <w:rsid w:val="000E740C"/>
    <w:rsid w:val="000E74E1"/>
    <w:rsid w:val="000F02EB"/>
    <w:rsid w:val="000F0C5E"/>
    <w:rsid w:val="000F0C6D"/>
    <w:rsid w:val="000F11AF"/>
    <w:rsid w:val="000F1345"/>
    <w:rsid w:val="000F15EA"/>
    <w:rsid w:val="000F1A20"/>
    <w:rsid w:val="000F1B14"/>
    <w:rsid w:val="000F1C1C"/>
    <w:rsid w:val="000F2461"/>
    <w:rsid w:val="000F258E"/>
    <w:rsid w:val="000F26C7"/>
    <w:rsid w:val="000F2A65"/>
    <w:rsid w:val="000F38B6"/>
    <w:rsid w:val="000F3A9E"/>
    <w:rsid w:val="000F3BB2"/>
    <w:rsid w:val="000F45CC"/>
    <w:rsid w:val="000F4BF5"/>
    <w:rsid w:val="000F4C77"/>
    <w:rsid w:val="000F504A"/>
    <w:rsid w:val="000F6124"/>
    <w:rsid w:val="000F62BC"/>
    <w:rsid w:val="000F6545"/>
    <w:rsid w:val="000F66B0"/>
    <w:rsid w:val="000F6B8F"/>
    <w:rsid w:val="000F6C28"/>
    <w:rsid w:val="000F6F11"/>
    <w:rsid w:val="00100070"/>
    <w:rsid w:val="001001B9"/>
    <w:rsid w:val="0010020D"/>
    <w:rsid w:val="001009AC"/>
    <w:rsid w:val="00100CEE"/>
    <w:rsid w:val="00100E58"/>
    <w:rsid w:val="00100E9A"/>
    <w:rsid w:val="0010167D"/>
    <w:rsid w:val="001019A7"/>
    <w:rsid w:val="00101DD0"/>
    <w:rsid w:val="00102254"/>
    <w:rsid w:val="00102AFE"/>
    <w:rsid w:val="00103AAF"/>
    <w:rsid w:val="00103BBC"/>
    <w:rsid w:val="00103C00"/>
    <w:rsid w:val="00103D97"/>
    <w:rsid w:val="001045BF"/>
    <w:rsid w:val="001054F7"/>
    <w:rsid w:val="00105AB1"/>
    <w:rsid w:val="00106272"/>
    <w:rsid w:val="0010652D"/>
    <w:rsid w:val="0010692A"/>
    <w:rsid w:val="00106A64"/>
    <w:rsid w:val="00106CBF"/>
    <w:rsid w:val="0010702C"/>
    <w:rsid w:val="00107374"/>
    <w:rsid w:val="001077CE"/>
    <w:rsid w:val="001077EC"/>
    <w:rsid w:val="0011048B"/>
    <w:rsid w:val="0011081A"/>
    <w:rsid w:val="00110970"/>
    <w:rsid w:val="00110A07"/>
    <w:rsid w:val="00110A0F"/>
    <w:rsid w:val="00110D6C"/>
    <w:rsid w:val="00110E75"/>
    <w:rsid w:val="00111568"/>
    <w:rsid w:val="001117A6"/>
    <w:rsid w:val="001120C0"/>
    <w:rsid w:val="001128DF"/>
    <w:rsid w:val="0011335B"/>
    <w:rsid w:val="00113EB7"/>
    <w:rsid w:val="00114313"/>
    <w:rsid w:val="001148CB"/>
    <w:rsid w:val="00114BD7"/>
    <w:rsid w:val="00114F6C"/>
    <w:rsid w:val="001150BF"/>
    <w:rsid w:val="00115AF4"/>
    <w:rsid w:val="00115EB0"/>
    <w:rsid w:val="001168B7"/>
    <w:rsid w:val="001168F2"/>
    <w:rsid w:val="00120207"/>
    <w:rsid w:val="00120940"/>
    <w:rsid w:val="00120955"/>
    <w:rsid w:val="001209AB"/>
    <w:rsid w:val="00120C07"/>
    <w:rsid w:val="0012127B"/>
    <w:rsid w:val="001216B9"/>
    <w:rsid w:val="00121B0F"/>
    <w:rsid w:val="00121FF4"/>
    <w:rsid w:val="00122438"/>
    <w:rsid w:val="001229BE"/>
    <w:rsid w:val="00122B4F"/>
    <w:rsid w:val="00123468"/>
    <w:rsid w:val="00123A17"/>
    <w:rsid w:val="00123C1B"/>
    <w:rsid w:val="00124505"/>
    <w:rsid w:val="001250D1"/>
    <w:rsid w:val="001259AF"/>
    <w:rsid w:val="00125E3C"/>
    <w:rsid w:val="0012651B"/>
    <w:rsid w:val="00127426"/>
    <w:rsid w:val="001278ED"/>
    <w:rsid w:val="00130EB7"/>
    <w:rsid w:val="00131D7B"/>
    <w:rsid w:val="00132E8F"/>
    <w:rsid w:val="001332F8"/>
    <w:rsid w:val="00133501"/>
    <w:rsid w:val="0013356C"/>
    <w:rsid w:val="00133A6B"/>
    <w:rsid w:val="00133A8A"/>
    <w:rsid w:val="00133E7E"/>
    <w:rsid w:val="0013456F"/>
    <w:rsid w:val="001346B9"/>
    <w:rsid w:val="001352C6"/>
    <w:rsid w:val="001353DA"/>
    <w:rsid w:val="00135818"/>
    <w:rsid w:val="001358FD"/>
    <w:rsid w:val="00135B2D"/>
    <w:rsid w:val="00135BE3"/>
    <w:rsid w:val="00135FD5"/>
    <w:rsid w:val="001371A5"/>
    <w:rsid w:val="00140296"/>
    <w:rsid w:val="00140651"/>
    <w:rsid w:val="00141012"/>
    <w:rsid w:val="00141E7F"/>
    <w:rsid w:val="00142072"/>
    <w:rsid w:val="00142196"/>
    <w:rsid w:val="00142D51"/>
    <w:rsid w:val="0014336E"/>
    <w:rsid w:val="00143481"/>
    <w:rsid w:val="00143490"/>
    <w:rsid w:val="00143571"/>
    <w:rsid w:val="001438AF"/>
    <w:rsid w:val="00143C59"/>
    <w:rsid w:val="00143FCB"/>
    <w:rsid w:val="0014453E"/>
    <w:rsid w:val="00144F66"/>
    <w:rsid w:val="001452DB"/>
    <w:rsid w:val="00145314"/>
    <w:rsid w:val="00145627"/>
    <w:rsid w:val="00145A9F"/>
    <w:rsid w:val="001465C6"/>
    <w:rsid w:val="00146901"/>
    <w:rsid w:val="00146A41"/>
    <w:rsid w:val="00146CB1"/>
    <w:rsid w:val="00146CB3"/>
    <w:rsid w:val="0014708D"/>
    <w:rsid w:val="001471DF"/>
    <w:rsid w:val="00147D5B"/>
    <w:rsid w:val="00147EFC"/>
    <w:rsid w:val="00150081"/>
    <w:rsid w:val="0015043A"/>
    <w:rsid w:val="001508C1"/>
    <w:rsid w:val="00150F6F"/>
    <w:rsid w:val="00151105"/>
    <w:rsid w:val="00151679"/>
    <w:rsid w:val="001520AC"/>
    <w:rsid w:val="0015318E"/>
    <w:rsid w:val="00154AC4"/>
    <w:rsid w:val="0015542E"/>
    <w:rsid w:val="001579A5"/>
    <w:rsid w:val="0016160C"/>
    <w:rsid w:val="001625CC"/>
    <w:rsid w:val="00162C25"/>
    <w:rsid w:val="00162E95"/>
    <w:rsid w:val="0016356F"/>
    <w:rsid w:val="00163D92"/>
    <w:rsid w:val="00163F41"/>
    <w:rsid w:val="00164144"/>
    <w:rsid w:val="00164BC2"/>
    <w:rsid w:val="00164F6D"/>
    <w:rsid w:val="00164FC8"/>
    <w:rsid w:val="001651BA"/>
    <w:rsid w:val="001662FA"/>
    <w:rsid w:val="00166BE8"/>
    <w:rsid w:val="00166CE1"/>
    <w:rsid w:val="001671D1"/>
    <w:rsid w:val="001677A5"/>
    <w:rsid w:val="001677DF"/>
    <w:rsid w:val="001706F7"/>
    <w:rsid w:val="001714A8"/>
    <w:rsid w:val="00172ADE"/>
    <w:rsid w:val="00172D5F"/>
    <w:rsid w:val="00172F94"/>
    <w:rsid w:val="00173191"/>
    <w:rsid w:val="00173A81"/>
    <w:rsid w:val="00173FC5"/>
    <w:rsid w:val="0017426F"/>
    <w:rsid w:val="00174835"/>
    <w:rsid w:val="001749BC"/>
    <w:rsid w:val="00174AE8"/>
    <w:rsid w:val="00174CC4"/>
    <w:rsid w:val="00174E06"/>
    <w:rsid w:val="00175703"/>
    <w:rsid w:val="001758DE"/>
    <w:rsid w:val="00175CF9"/>
    <w:rsid w:val="00176D25"/>
    <w:rsid w:val="0017755C"/>
    <w:rsid w:val="0017766C"/>
    <w:rsid w:val="00177FAE"/>
    <w:rsid w:val="00180254"/>
    <w:rsid w:val="00180B86"/>
    <w:rsid w:val="0018102D"/>
    <w:rsid w:val="00181CBC"/>
    <w:rsid w:val="001822B4"/>
    <w:rsid w:val="0018342E"/>
    <w:rsid w:val="00183AFC"/>
    <w:rsid w:val="00183D41"/>
    <w:rsid w:val="001840C2"/>
    <w:rsid w:val="00184341"/>
    <w:rsid w:val="00184B46"/>
    <w:rsid w:val="00184CEF"/>
    <w:rsid w:val="00184D5F"/>
    <w:rsid w:val="00184D82"/>
    <w:rsid w:val="00184F3E"/>
    <w:rsid w:val="00185939"/>
    <w:rsid w:val="00186014"/>
    <w:rsid w:val="00186BFC"/>
    <w:rsid w:val="00186E0C"/>
    <w:rsid w:val="001875DB"/>
    <w:rsid w:val="001876F6"/>
    <w:rsid w:val="001901C5"/>
    <w:rsid w:val="00190B11"/>
    <w:rsid w:val="00190E5A"/>
    <w:rsid w:val="001918CF"/>
    <w:rsid w:val="00191B3E"/>
    <w:rsid w:val="00192065"/>
    <w:rsid w:val="00192986"/>
    <w:rsid w:val="001933A6"/>
    <w:rsid w:val="001934B6"/>
    <w:rsid w:val="001939FC"/>
    <w:rsid w:val="0019419C"/>
    <w:rsid w:val="001942A9"/>
    <w:rsid w:val="001953B1"/>
    <w:rsid w:val="00195457"/>
    <w:rsid w:val="0019566F"/>
    <w:rsid w:val="001956E8"/>
    <w:rsid w:val="001963C0"/>
    <w:rsid w:val="00197608"/>
    <w:rsid w:val="00197956"/>
    <w:rsid w:val="001A022B"/>
    <w:rsid w:val="001A0440"/>
    <w:rsid w:val="001A0724"/>
    <w:rsid w:val="001A0E67"/>
    <w:rsid w:val="001A1685"/>
    <w:rsid w:val="001A2174"/>
    <w:rsid w:val="001A2628"/>
    <w:rsid w:val="001A29A8"/>
    <w:rsid w:val="001A2E08"/>
    <w:rsid w:val="001A2FB3"/>
    <w:rsid w:val="001A3A7A"/>
    <w:rsid w:val="001A422C"/>
    <w:rsid w:val="001A446E"/>
    <w:rsid w:val="001A58CA"/>
    <w:rsid w:val="001A6505"/>
    <w:rsid w:val="001A6D37"/>
    <w:rsid w:val="001A6DD3"/>
    <w:rsid w:val="001A6FD9"/>
    <w:rsid w:val="001A7376"/>
    <w:rsid w:val="001A7E74"/>
    <w:rsid w:val="001B0269"/>
    <w:rsid w:val="001B0EF6"/>
    <w:rsid w:val="001B17A8"/>
    <w:rsid w:val="001B20DA"/>
    <w:rsid w:val="001B2211"/>
    <w:rsid w:val="001B2849"/>
    <w:rsid w:val="001B31CB"/>
    <w:rsid w:val="001B41AE"/>
    <w:rsid w:val="001B4202"/>
    <w:rsid w:val="001B5111"/>
    <w:rsid w:val="001B55E8"/>
    <w:rsid w:val="001B63C6"/>
    <w:rsid w:val="001B6E27"/>
    <w:rsid w:val="001B7693"/>
    <w:rsid w:val="001C08BA"/>
    <w:rsid w:val="001C0FC9"/>
    <w:rsid w:val="001C1825"/>
    <w:rsid w:val="001C203D"/>
    <w:rsid w:val="001C2FFF"/>
    <w:rsid w:val="001C3A05"/>
    <w:rsid w:val="001C3FBD"/>
    <w:rsid w:val="001C4256"/>
    <w:rsid w:val="001C460B"/>
    <w:rsid w:val="001C489F"/>
    <w:rsid w:val="001C48D4"/>
    <w:rsid w:val="001C4955"/>
    <w:rsid w:val="001C543E"/>
    <w:rsid w:val="001C568E"/>
    <w:rsid w:val="001C5A18"/>
    <w:rsid w:val="001C5D91"/>
    <w:rsid w:val="001C669D"/>
    <w:rsid w:val="001C690B"/>
    <w:rsid w:val="001C6FF1"/>
    <w:rsid w:val="001C7908"/>
    <w:rsid w:val="001C7966"/>
    <w:rsid w:val="001C7C93"/>
    <w:rsid w:val="001D008F"/>
    <w:rsid w:val="001D09E0"/>
    <w:rsid w:val="001D32DE"/>
    <w:rsid w:val="001D35A4"/>
    <w:rsid w:val="001D36CD"/>
    <w:rsid w:val="001D39FD"/>
    <w:rsid w:val="001D3FC8"/>
    <w:rsid w:val="001D46F4"/>
    <w:rsid w:val="001D4E3D"/>
    <w:rsid w:val="001D4F49"/>
    <w:rsid w:val="001D5908"/>
    <w:rsid w:val="001D59D8"/>
    <w:rsid w:val="001D5CD4"/>
    <w:rsid w:val="001D6113"/>
    <w:rsid w:val="001D6996"/>
    <w:rsid w:val="001D7982"/>
    <w:rsid w:val="001E1534"/>
    <w:rsid w:val="001E1675"/>
    <w:rsid w:val="001E181A"/>
    <w:rsid w:val="001E1957"/>
    <w:rsid w:val="001E1D3D"/>
    <w:rsid w:val="001E265C"/>
    <w:rsid w:val="001E29A2"/>
    <w:rsid w:val="001E33E3"/>
    <w:rsid w:val="001E47D1"/>
    <w:rsid w:val="001E62EF"/>
    <w:rsid w:val="001E6A64"/>
    <w:rsid w:val="001E75C5"/>
    <w:rsid w:val="001F00C4"/>
    <w:rsid w:val="001F0211"/>
    <w:rsid w:val="001F0671"/>
    <w:rsid w:val="001F12E6"/>
    <w:rsid w:val="001F1F55"/>
    <w:rsid w:val="001F2588"/>
    <w:rsid w:val="001F259E"/>
    <w:rsid w:val="001F2ACC"/>
    <w:rsid w:val="001F36EF"/>
    <w:rsid w:val="001F3F2A"/>
    <w:rsid w:val="001F4453"/>
    <w:rsid w:val="001F4512"/>
    <w:rsid w:val="001F4752"/>
    <w:rsid w:val="001F47F1"/>
    <w:rsid w:val="001F4DCE"/>
    <w:rsid w:val="001F5618"/>
    <w:rsid w:val="001F5751"/>
    <w:rsid w:val="001F66A3"/>
    <w:rsid w:val="001F69C2"/>
    <w:rsid w:val="001F72C2"/>
    <w:rsid w:val="0020038B"/>
    <w:rsid w:val="0020045F"/>
    <w:rsid w:val="00200538"/>
    <w:rsid w:val="00200EF7"/>
    <w:rsid w:val="00200F81"/>
    <w:rsid w:val="002010D3"/>
    <w:rsid w:val="00201146"/>
    <w:rsid w:val="0020280F"/>
    <w:rsid w:val="00203195"/>
    <w:rsid w:val="00203A7D"/>
    <w:rsid w:val="00203B4D"/>
    <w:rsid w:val="00204143"/>
    <w:rsid w:val="002045CE"/>
    <w:rsid w:val="002048D1"/>
    <w:rsid w:val="0020491E"/>
    <w:rsid w:val="002050D7"/>
    <w:rsid w:val="00205933"/>
    <w:rsid w:val="00205C9D"/>
    <w:rsid w:val="00205F38"/>
    <w:rsid w:val="002063C7"/>
    <w:rsid w:val="00206B44"/>
    <w:rsid w:val="00206CDC"/>
    <w:rsid w:val="002079CB"/>
    <w:rsid w:val="002079D6"/>
    <w:rsid w:val="00207E74"/>
    <w:rsid w:val="00207F47"/>
    <w:rsid w:val="002108C2"/>
    <w:rsid w:val="0021096E"/>
    <w:rsid w:val="00210DE8"/>
    <w:rsid w:val="002113FE"/>
    <w:rsid w:val="0021178D"/>
    <w:rsid w:val="00211ABC"/>
    <w:rsid w:val="00211D73"/>
    <w:rsid w:val="002122E9"/>
    <w:rsid w:val="002122F0"/>
    <w:rsid w:val="00212990"/>
    <w:rsid w:val="00212A3E"/>
    <w:rsid w:val="0021353C"/>
    <w:rsid w:val="00213A05"/>
    <w:rsid w:val="0021465E"/>
    <w:rsid w:val="00214BF2"/>
    <w:rsid w:val="00214EF7"/>
    <w:rsid w:val="002153DB"/>
    <w:rsid w:val="00215992"/>
    <w:rsid w:val="00215A56"/>
    <w:rsid w:val="00215A7F"/>
    <w:rsid w:val="00215E35"/>
    <w:rsid w:val="00216522"/>
    <w:rsid w:val="00217563"/>
    <w:rsid w:val="00217A45"/>
    <w:rsid w:val="00217D35"/>
    <w:rsid w:val="00220501"/>
    <w:rsid w:val="00221050"/>
    <w:rsid w:val="00221BB9"/>
    <w:rsid w:val="00221D19"/>
    <w:rsid w:val="00222237"/>
    <w:rsid w:val="002229B3"/>
    <w:rsid w:val="002231C7"/>
    <w:rsid w:val="002236BE"/>
    <w:rsid w:val="00223A36"/>
    <w:rsid w:val="002245A8"/>
    <w:rsid w:val="00225634"/>
    <w:rsid w:val="00225A33"/>
    <w:rsid w:val="00225BA4"/>
    <w:rsid w:val="0022608A"/>
    <w:rsid w:val="0022666B"/>
    <w:rsid w:val="0022696C"/>
    <w:rsid w:val="00226E97"/>
    <w:rsid w:val="00227239"/>
    <w:rsid w:val="0022734D"/>
    <w:rsid w:val="002307F9"/>
    <w:rsid w:val="00230B5F"/>
    <w:rsid w:val="00230D2E"/>
    <w:rsid w:val="00231411"/>
    <w:rsid w:val="00232F82"/>
    <w:rsid w:val="00233086"/>
    <w:rsid w:val="00233AF5"/>
    <w:rsid w:val="0023447F"/>
    <w:rsid w:val="00234545"/>
    <w:rsid w:val="002350B3"/>
    <w:rsid w:val="002356AC"/>
    <w:rsid w:val="00235F48"/>
    <w:rsid w:val="00235F79"/>
    <w:rsid w:val="00236B21"/>
    <w:rsid w:val="002370E5"/>
    <w:rsid w:val="00237418"/>
    <w:rsid w:val="00237691"/>
    <w:rsid w:val="0023798E"/>
    <w:rsid w:val="00237D18"/>
    <w:rsid w:val="0024097D"/>
    <w:rsid w:val="00240CB0"/>
    <w:rsid w:val="002411FB"/>
    <w:rsid w:val="00241565"/>
    <w:rsid w:val="002415CC"/>
    <w:rsid w:val="00241B73"/>
    <w:rsid w:val="00241CC8"/>
    <w:rsid w:val="00241FD2"/>
    <w:rsid w:val="002424A5"/>
    <w:rsid w:val="00242DDB"/>
    <w:rsid w:val="00242EE4"/>
    <w:rsid w:val="002432B4"/>
    <w:rsid w:val="002437A1"/>
    <w:rsid w:val="002443DD"/>
    <w:rsid w:val="002444A8"/>
    <w:rsid w:val="00244552"/>
    <w:rsid w:val="002445A0"/>
    <w:rsid w:val="0024462E"/>
    <w:rsid w:val="0024468A"/>
    <w:rsid w:val="00245EF8"/>
    <w:rsid w:val="002465B0"/>
    <w:rsid w:val="002471B2"/>
    <w:rsid w:val="00247426"/>
    <w:rsid w:val="002474FA"/>
    <w:rsid w:val="00247DF2"/>
    <w:rsid w:val="002500D3"/>
    <w:rsid w:val="00250660"/>
    <w:rsid w:val="0025100C"/>
    <w:rsid w:val="00251193"/>
    <w:rsid w:val="00251554"/>
    <w:rsid w:val="002520EC"/>
    <w:rsid w:val="0025231B"/>
    <w:rsid w:val="002526C5"/>
    <w:rsid w:val="00252A33"/>
    <w:rsid w:val="00253024"/>
    <w:rsid w:val="0025314C"/>
    <w:rsid w:val="00253493"/>
    <w:rsid w:val="00253F3B"/>
    <w:rsid w:val="00254688"/>
    <w:rsid w:val="00254A06"/>
    <w:rsid w:val="00255534"/>
    <w:rsid w:val="0025599B"/>
    <w:rsid w:val="0025619B"/>
    <w:rsid w:val="002561F9"/>
    <w:rsid w:val="0025621E"/>
    <w:rsid w:val="0025674E"/>
    <w:rsid w:val="00256ADF"/>
    <w:rsid w:val="00256C84"/>
    <w:rsid w:val="00256F03"/>
    <w:rsid w:val="002570DE"/>
    <w:rsid w:val="0025795A"/>
    <w:rsid w:val="00257AFB"/>
    <w:rsid w:val="00257BC3"/>
    <w:rsid w:val="00257EF0"/>
    <w:rsid w:val="00260903"/>
    <w:rsid w:val="00260C94"/>
    <w:rsid w:val="00260F32"/>
    <w:rsid w:val="00261038"/>
    <w:rsid w:val="00261046"/>
    <w:rsid w:val="002613D1"/>
    <w:rsid w:val="00261439"/>
    <w:rsid w:val="0026161C"/>
    <w:rsid w:val="00261A53"/>
    <w:rsid w:val="0026271F"/>
    <w:rsid w:val="0026293D"/>
    <w:rsid w:val="00262979"/>
    <w:rsid w:val="00262A96"/>
    <w:rsid w:val="00262BFF"/>
    <w:rsid w:val="002630AA"/>
    <w:rsid w:val="00264541"/>
    <w:rsid w:val="00265982"/>
    <w:rsid w:val="00266CDA"/>
    <w:rsid w:val="00266EF1"/>
    <w:rsid w:val="00266F6F"/>
    <w:rsid w:val="00267343"/>
    <w:rsid w:val="0026779F"/>
    <w:rsid w:val="00270154"/>
    <w:rsid w:val="002701A1"/>
    <w:rsid w:val="00270334"/>
    <w:rsid w:val="0027086B"/>
    <w:rsid w:val="00271F70"/>
    <w:rsid w:val="00271F85"/>
    <w:rsid w:val="0027399F"/>
    <w:rsid w:val="00273CC3"/>
    <w:rsid w:val="0027408B"/>
    <w:rsid w:val="002742E0"/>
    <w:rsid w:val="0027433A"/>
    <w:rsid w:val="002749B4"/>
    <w:rsid w:val="00275A76"/>
    <w:rsid w:val="00275C3A"/>
    <w:rsid w:val="00276B56"/>
    <w:rsid w:val="00276D26"/>
    <w:rsid w:val="00277176"/>
    <w:rsid w:val="00277835"/>
    <w:rsid w:val="00277C02"/>
    <w:rsid w:val="00277D02"/>
    <w:rsid w:val="00277EDC"/>
    <w:rsid w:val="0028007D"/>
    <w:rsid w:val="002806F4"/>
    <w:rsid w:val="00280E70"/>
    <w:rsid w:val="00280EC5"/>
    <w:rsid w:val="00280F46"/>
    <w:rsid w:val="002811AC"/>
    <w:rsid w:val="002813AA"/>
    <w:rsid w:val="0028147C"/>
    <w:rsid w:val="002816CF"/>
    <w:rsid w:val="00281826"/>
    <w:rsid w:val="002819FD"/>
    <w:rsid w:val="0028365D"/>
    <w:rsid w:val="00283789"/>
    <w:rsid w:val="002837CC"/>
    <w:rsid w:val="0028380F"/>
    <w:rsid w:val="00284496"/>
    <w:rsid w:val="00284C6F"/>
    <w:rsid w:val="0028583A"/>
    <w:rsid w:val="00285B73"/>
    <w:rsid w:val="002860D6"/>
    <w:rsid w:val="00286203"/>
    <w:rsid w:val="002866A2"/>
    <w:rsid w:val="00286F06"/>
    <w:rsid w:val="00287368"/>
    <w:rsid w:val="00287873"/>
    <w:rsid w:val="00287CC8"/>
    <w:rsid w:val="0029021B"/>
    <w:rsid w:val="0029097D"/>
    <w:rsid w:val="00290F6C"/>
    <w:rsid w:val="00290FD1"/>
    <w:rsid w:val="002912AD"/>
    <w:rsid w:val="002916CC"/>
    <w:rsid w:val="0029278C"/>
    <w:rsid w:val="00292E65"/>
    <w:rsid w:val="002937C5"/>
    <w:rsid w:val="00293CF8"/>
    <w:rsid w:val="00294224"/>
    <w:rsid w:val="00294849"/>
    <w:rsid w:val="00295467"/>
    <w:rsid w:val="00296861"/>
    <w:rsid w:val="0029697C"/>
    <w:rsid w:val="00296A82"/>
    <w:rsid w:val="002972A5"/>
    <w:rsid w:val="002979F1"/>
    <w:rsid w:val="002A0113"/>
    <w:rsid w:val="002A0185"/>
    <w:rsid w:val="002A0451"/>
    <w:rsid w:val="002A06E2"/>
    <w:rsid w:val="002A13E1"/>
    <w:rsid w:val="002A17D1"/>
    <w:rsid w:val="002A27D8"/>
    <w:rsid w:val="002A2B76"/>
    <w:rsid w:val="002A2BB8"/>
    <w:rsid w:val="002A2C1F"/>
    <w:rsid w:val="002A31FD"/>
    <w:rsid w:val="002A3248"/>
    <w:rsid w:val="002A3ED4"/>
    <w:rsid w:val="002A5A6A"/>
    <w:rsid w:val="002A5BDE"/>
    <w:rsid w:val="002A67E4"/>
    <w:rsid w:val="002A6FD7"/>
    <w:rsid w:val="002A74F9"/>
    <w:rsid w:val="002B0191"/>
    <w:rsid w:val="002B01D4"/>
    <w:rsid w:val="002B0846"/>
    <w:rsid w:val="002B0EEA"/>
    <w:rsid w:val="002B1304"/>
    <w:rsid w:val="002B22C4"/>
    <w:rsid w:val="002B2725"/>
    <w:rsid w:val="002B2D04"/>
    <w:rsid w:val="002B3EE1"/>
    <w:rsid w:val="002B499B"/>
    <w:rsid w:val="002B49A1"/>
    <w:rsid w:val="002B4BE4"/>
    <w:rsid w:val="002B4DA2"/>
    <w:rsid w:val="002B4EAC"/>
    <w:rsid w:val="002B5238"/>
    <w:rsid w:val="002B59EE"/>
    <w:rsid w:val="002B637B"/>
    <w:rsid w:val="002B7ABB"/>
    <w:rsid w:val="002B7DA7"/>
    <w:rsid w:val="002C02B0"/>
    <w:rsid w:val="002C13C3"/>
    <w:rsid w:val="002C1DBA"/>
    <w:rsid w:val="002C37F5"/>
    <w:rsid w:val="002C3801"/>
    <w:rsid w:val="002C3F35"/>
    <w:rsid w:val="002C4439"/>
    <w:rsid w:val="002C5981"/>
    <w:rsid w:val="002C6219"/>
    <w:rsid w:val="002C6727"/>
    <w:rsid w:val="002C7142"/>
    <w:rsid w:val="002C75BC"/>
    <w:rsid w:val="002C7716"/>
    <w:rsid w:val="002C7C1A"/>
    <w:rsid w:val="002C7F45"/>
    <w:rsid w:val="002D0410"/>
    <w:rsid w:val="002D0736"/>
    <w:rsid w:val="002D0899"/>
    <w:rsid w:val="002D10D0"/>
    <w:rsid w:val="002D169F"/>
    <w:rsid w:val="002D1707"/>
    <w:rsid w:val="002D17E2"/>
    <w:rsid w:val="002D1FB3"/>
    <w:rsid w:val="002D2334"/>
    <w:rsid w:val="002D2597"/>
    <w:rsid w:val="002D2B60"/>
    <w:rsid w:val="002D3559"/>
    <w:rsid w:val="002D3BE9"/>
    <w:rsid w:val="002D3F5B"/>
    <w:rsid w:val="002D534E"/>
    <w:rsid w:val="002D59D5"/>
    <w:rsid w:val="002D5A83"/>
    <w:rsid w:val="002D5BEB"/>
    <w:rsid w:val="002D615C"/>
    <w:rsid w:val="002D6608"/>
    <w:rsid w:val="002D66DF"/>
    <w:rsid w:val="002D6B7A"/>
    <w:rsid w:val="002D7898"/>
    <w:rsid w:val="002D79F9"/>
    <w:rsid w:val="002E024E"/>
    <w:rsid w:val="002E03D4"/>
    <w:rsid w:val="002E0EC8"/>
    <w:rsid w:val="002E1AC2"/>
    <w:rsid w:val="002E278F"/>
    <w:rsid w:val="002E2BD8"/>
    <w:rsid w:val="002E2CC1"/>
    <w:rsid w:val="002E3B4D"/>
    <w:rsid w:val="002E3CCB"/>
    <w:rsid w:val="002E3D61"/>
    <w:rsid w:val="002E3DA1"/>
    <w:rsid w:val="002E4BA6"/>
    <w:rsid w:val="002E4FF6"/>
    <w:rsid w:val="002E5BF9"/>
    <w:rsid w:val="002E5FAC"/>
    <w:rsid w:val="002E6047"/>
    <w:rsid w:val="002E71A2"/>
    <w:rsid w:val="002F0296"/>
    <w:rsid w:val="002F0522"/>
    <w:rsid w:val="002F0734"/>
    <w:rsid w:val="002F0AB5"/>
    <w:rsid w:val="002F0AC2"/>
    <w:rsid w:val="002F0E52"/>
    <w:rsid w:val="002F0ED5"/>
    <w:rsid w:val="002F12AE"/>
    <w:rsid w:val="002F1CBD"/>
    <w:rsid w:val="002F22F9"/>
    <w:rsid w:val="002F26A7"/>
    <w:rsid w:val="002F2DB9"/>
    <w:rsid w:val="002F3074"/>
    <w:rsid w:val="002F39E4"/>
    <w:rsid w:val="002F3B3E"/>
    <w:rsid w:val="002F48D3"/>
    <w:rsid w:val="002F4DE7"/>
    <w:rsid w:val="002F4E36"/>
    <w:rsid w:val="002F52B3"/>
    <w:rsid w:val="002F56A4"/>
    <w:rsid w:val="002F587B"/>
    <w:rsid w:val="002F795B"/>
    <w:rsid w:val="002F79BB"/>
    <w:rsid w:val="002F7DA6"/>
    <w:rsid w:val="002F7DE2"/>
    <w:rsid w:val="00300029"/>
    <w:rsid w:val="0030022E"/>
    <w:rsid w:val="003006F7"/>
    <w:rsid w:val="00300A3D"/>
    <w:rsid w:val="00300B76"/>
    <w:rsid w:val="003012F5"/>
    <w:rsid w:val="0030158B"/>
    <w:rsid w:val="00301975"/>
    <w:rsid w:val="00302605"/>
    <w:rsid w:val="003026C7"/>
    <w:rsid w:val="00302CAB"/>
    <w:rsid w:val="00302CBA"/>
    <w:rsid w:val="00303928"/>
    <w:rsid w:val="0030542C"/>
    <w:rsid w:val="00305667"/>
    <w:rsid w:val="00305B00"/>
    <w:rsid w:val="00305C2F"/>
    <w:rsid w:val="00306320"/>
    <w:rsid w:val="00306F84"/>
    <w:rsid w:val="003071C5"/>
    <w:rsid w:val="003072A8"/>
    <w:rsid w:val="003076E5"/>
    <w:rsid w:val="00307EAF"/>
    <w:rsid w:val="00310053"/>
    <w:rsid w:val="00310418"/>
    <w:rsid w:val="00310536"/>
    <w:rsid w:val="0031096F"/>
    <w:rsid w:val="00310E29"/>
    <w:rsid w:val="00312AC8"/>
    <w:rsid w:val="00312C86"/>
    <w:rsid w:val="00312D03"/>
    <w:rsid w:val="00312F68"/>
    <w:rsid w:val="00312FFC"/>
    <w:rsid w:val="003136EE"/>
    <w:rsid w:val="00313959"/>
    <w:rsid w:val="00313D0C"/>
    <w:rsid w:val="00314072"/>
    <w:rsid w:val="00314892"/>
    <w:rsid w:val="00314E82"/>
    <w:rsid w:val="00314FC5"/>
    <w:rsid w:val="003150BF"/>
    <w:rsid w:val="003150CE"/>
    <w:rsid w:val="00315E92"/>
    <w:rsid w:val="003162D8"/>
    <w:rsid w:val="003167D2"/>
    <w:rsid w:val="0031708C"/>
    <w:rsid w:val="00317467"/>
    <w:rsid w:val="0032028C"/>
    <w:rsid w:val="003203E7"/>
    <w:rsid w:val="0032066E"/>
    <w:rsid w:val="00320CEA"/>
    <w:rsid w:val="00320F1E"/>
    <w:rsid w:val="00320F8B"/>
    <w:rsid w:val="00321187"/>
    <w:rsid w:val="003212A6"/>
    <w:rsid w:val="00322839"/>
    <w:rsid w:val="00322B73"/>
    <w:rsid w:val="003235A2"/>
    <w:rsid w:val="003236F5"/>
    <w:rsid w:val="00323B9E"/>
    <w:rsid w:val="00324BCE"/>
    <w:rsid w:val="0032529F"/>
    <w:rsid w:val="00325754"/>
    <w:rsid w:val="003258B5"/>
    <w:rsid w:val="00325E79"/>
    <w:rsid w:val="003266D6"/>
    <w:rsid w:val="00326DB0"/>
    <w:rsid w:val="00326EC5"/>
    <w:rsid w:val="00327C4F"/>
    <w:rsid w:val="003301B2"/>
    <w:rsid w:val="00330652"/>
    <w:rsid w:val="00330804"/>
    <w:rsid w:val="00330B15"/>
    <w:rsid w:val="00330FCD"/>
    <w:rsid w:val="0033110A"/>
    <w:rsid w:val="00331883"/>
    <w:rsid w:val="00331A93"/>
    <w:rsid w:val="0033265B"/>
    <w:rsid w:val="00332BF8"/>
    <w:rsid w:val="0033409D"/>
    <w:rsid w:val="0033438E"/>
    <w:rsid w:val="0033462E"/>
    <w:rsid w:val="00334A6B"/>
    <w:rsid w:val="00335B0F"/>
    <w:rsid w:val="00336662"/>
    <w:rsid w:val="003366B2"/>
    <w:rsid w:val="00336B22"/>
    <w:rsid w:val="00336BA8"/>
    <w:rsid w:val="00337926"/>
    <w:rsid w:val="00340066"/>
    <w:rsid w:val="0034023B"/>
    <w:rsid w:val="0034288B"/>
    <w:rsid w:val="003429B2"/>
    <w:rsid w:val="0034332B"/>
    <w:rsid w:val="003433FD"/>
    <w:rsid w:val="00343F8F"/>
    <w:rsid w:val="0034432F"/>
    <w:rsid w:val="003447DD"/>
    <w:rsid w:val="00344CCB"/>
    <w:rsid w:val="00345A31"/>
    <w:rsid w:val="0034681C"/>
    <w:rsid w:val="00346C6A"/>
    <w:rsid w:val="0034733C"/>
    <w:rsid w:val="00347DC0"/>
    <w:rsid w:val="00347F03"/>
    <w:rsid w:val="0035057D"/>
    <w:rsid w:val="00350581"/>
    <w:rsid w:val="0035197B"/>
    <w:rsid w:val="003532E7"/>
    <w:rsid w:val="00354A0A"/>
    <w:rsid w:val="00354D64"/>
    <w:rsid w:val="003550C4"/>
    <w:rsid w:val="00355E33"/>
    <w:rsid w:val="0035614E"/>
    <w:rsid w:val="00356485"/>
    <w:rsid w:val="00357113"/>
    <w:rsid w:val="0035773A"/>
    <w:rsid w:val="00357A17"/>
    <w:rsid w:val="003600A8"/>
    <w:rsid w:val="003605FE"/>
    <w:rsid w:val="003614DD"/>
    <w:rsid w:val="00361967"/>
    <w:rsid w:val="00361A3C"/>
    <w:rsid w:val="00361F37"/>
    <w:rsid w:val="0036210A"/>
    <w:rsid w:val="00364A64"/>
    <w:rsid w:val="00364FA3"/>
    <w:rsid w:val="00365659"/>
    <w:rsid w:val="00365A83"/>
    <w:rsid w:val="00365AA6"/>
    <w:rsid w:val="00365B72"/>
    <w:rsid w:val="00366524"/>
    <w:rsid w:val="00366570"/>
    <w:rsid w:val="00367337"/>
    <w:rsid w:val="0036738A"/>
    <w:rsid w:val="003701BA"/>
    <w:rsid w:val="00370417"/>
    <w:rsid w:val="003704ED"/>
    <w:rsid w:val="00370A4C"/>
    <w:rsid w:val="00370D54"/>
    <w:rsid w:val="003715AC"/>
    <w:rsid w:val="00371657"/>
    <w:rsid w:val="003724FB"/>
    <w:rsid w:val="0037276A"/>
    <w:rsid w:val="0037336A"/>
    <w:rsid w:val="00373E58"/>
    <w:rsid w:val="003745CA"/>
    <w:rsid w:val="00375DB2"/>
    <w:rsid w:val="00375F9E"/>
    <w:rsid w:val="00376073"/>
    <w:rsid w:val="00376143"/>
    <w:rsid w:val="003765DD"/>
    <w:rsid w:val="003766EA"/>
    <w:rsid w:val="00376C60"/>
    <w:rsid w:val="00376EA2"/>
    <w:rsid w:val="00377452"/>
    <w:rsid w:val="003777BA"/>
    <w:rsid w:val="00377C20"/>
    <w:rsid w:val="00377CD2"/>
    <w:rsid w:val="00377E71"/>
    <w:rsid w:val="003803ED"/>
    <w:rsid w:val="00380747"/>
    <w:rsid w:val="00381223"/>
    <w:rsid w:val="00381373"/>
    <w:rsid w:val="0038155C"/>
    <w:rsid w:val="00381849"/>
    <w:rsid w:val="003821B6"/>
    <w:rsid w:val="0038265E"/>
    <w:rsid w:val="0038296A"/>
    <w:rsid w:val="00382CD4"/>
    <w:rsid w:val="00383C33"/>
    <w:rsid w:val="0038435C"/>
    <w:rsid w:val="003847E4"/>
    <w:rsid w:val="00384F36"/>
    <w:rsid w:val="00385271"/>
    <w:rsid w:val="003853B8"/>
    <w:rsid w:val="00385C8E"/>
    <w:rsid w:val="0038643C"/>
    <w:rsid w:val="0038680A"/>
    <w:rsid w:val="003868D7"/>
    <w:rsid w:val="00387849"/>
    <w:rsid w:val="00387DBB"/>
    <w:rsid w:val="0039068C"/>
    <w:rsid w:val="00390E44"/>
    <w:rsid w:val="003912FD"/>
    <w:rsid w:val="0039156C"/>
    <w:rsid w:val="00391ED4"/>
    <w:rsid w:val="0039226E"/>
    <w:rsid w:val="003927EB"/>
    <w:rsid w:val="00392CC8"/>
    <w:rsid w:val="00392CF8"/>
    <w:rsid w:val="00392EAD"/>
    <w:rsid w:val="00392F7E"/>
    <w:rsid w:val="00392F9C"/>
    <w:rsid w:val="00393912"/>
    <w:rsid w:val="00393D0D"/>
    <w:rsid w:val="00394444"/>
    <w:rsid w:val="00394512"/>
    <w:rsid w:val="00395902"/>
    <w:rsid w:val="00395CB7"/>
    <w:rsid w:val="003961A4"/>
    <w:rsid w:val="0039625F"/>
    <w:rsid w:val="003964EE"/>
    <w:rsid w:val="003975DF"/>
    <w:rsid w:val="00397D80"/>
    <w:rsid w:val="003A03FC"/>
    <w:rsid w:val="003A09D3"/>
    <w:rsid w:val="003A09FA"/>
    <w:rsid w:val="003A0E9F"/>
    <w:rsid w:val="003A119B"/>
    <w:rsid w:val="003A2017"/>
    <w:rsid w:val="003A2289"/>
    <w:rsid w:val="003A2FA0"/>
    <w:rsid w:val="003A2FFD"/>
    <w:rsid w:val="003A30A4"/>
    <w:rsid w:val="003A30DD"/>
    <w:rsid w:val="003A33B2"/>
    <w:rsid w:val="003A35B2"/>
    <w:rsid w:val="003A392E"/>
    <w:rsid w:val="003A48CC"/>
    <w:rsid w:val="003A5075"/>
    <w:rsid w:val="003A5A9E"/>
    <w:rsid w:val="003A69F2"/>
    <w:rsid w:val="003A6A07"/>
    <w:rsid w:val="003A6D2F"/>
    <w:rsid w:val="003A6E0F"/>
    <w:rsid w:val="003A70C8"/>
    <w:rsid w:val="003A72EF"/>
    <w:rsid w:val="003A767E"/>
    <w:rsid w:val="003A785F"/>
    <w:rsid w:val="003B02BD"/>
    <w:rsid w:val="003B0C24"/>
    <w:rsid w:val="003B0E8E"/>
    <w:rsid w:val="003B1890"/>
    <w:rsid w:val="003B29CE"/>
    <w:rsid w:val="003B2B31"/>
    <w:rsid w:val="003B2F40"/>
    <w:rsid w:val="003B35CA"/>
    <w:rsid w:val="003B3839"/>
    <w:rsid w:val="003B4128"/>
    <w:rsid w:val="003B41B1"/>
    <w:rsid w:val="003B445A"/>
    <w:rsid w:val="003B46B8"/>
    <w:rsid w:val="003B476F"/>
    <w:rsid w:val="003B47E2"/>
    <w:rsid w:val="003B4A34"/>
    <w:rsid w:val="003B4A69"/>
    <w:rsid w:val="003B4EED"/>
    <w:rsid w:val="003B536F"/>
    <w:rsid w:val="003B5689"/>
    <w:rsid w:val="003B5CAD"/>
    <w:rsid w:val="003B5ECA"/>
    <w:rsid w:val="003B65A2"/>
    <w:rsid w:val="003B6688"/>
    <w:rsid w:val="003B6B2C"/>
    <w:rsid w:val="003B6D0E"/>
    <w:rsid w:val="003B700B"/>
    <w:rsid w:val="003B76F3"/>
    <w:rsid w:val="003B7B8E"/>
    <w:rsid w:val="003B7BEF"/>
    <w:rsid w:val="003C028C"/>
    <w:rsid w:val="003C029C"/>
    <w:rsid w:val="003C04B6"/>
    <w:rsid w:val="003C0B8F"/>
    <w:rsid w:val="003C12A9"/>
    <w:rsid w:val="003C1698"/>
    <w:rsid w:val="003C1936"/>
    <w:rsid w:val="003C1DEC"/>
    <w:rsid w:val="003C1EE7"/>
    <w:rsid w:val="003C266A"/>
    <w:rsid w:val="003C288A"/>
    <w:rsid w:val="003C2ED7"/>
    <w:rsid w:val="003C35ED"/>
    <w:rsid w:val="003C44BC"/>
    <w:rsid w:val="003C46DD"/>
    <w:rsid w:val="003C4982"/>
    <w:rsid w:val="003C4A0F"/>
    <w:rsid w:val="003C599B"/>
    <w:rsid w:val="003C5F39"/>
    <w:rsid w:val="003C602A"/>
    <w:rsid w:val="003C659F"/>
    <w:rsid w:val="003C6688"/>
    <w:rsid w:val="003C668E"/>
    <w:rsid w:val="003C66FE"/>
    <w:rsid w:val="003C674B"/>
    <w:rsid w:val="003C75E2"/>
    <w:rsid w:val="003C77DB"/>
    <w:rsid w:val="003C79D0"/>
    <w:rsid w:val="003D0B68"/>
    <w:rsid w:val="003D149E"/>
    <w:rsid w:val="003D1759"/>
    <w:rsid w:val="003D1896"/>
    <w:rsid w:val="003D1B65"/>
    <w:rsid w:val="003D23BA"/>
    <w:rsid w:val="003D25C5"/>
    <w:rsid w:val="003D270A"/>
    <w:rsid w:val="003D31F6"/>
    <w:rsid w:val="003D37AE"/>
    <w:rsid w:val="003D3A3A"/>
    <w:rsid w:val="003D3B14"/>
    <w:rsid w:val="003D40D2"/>
    <w:rsid w:val="003D41B4"/>
    <w:rsid w:val="003D43A1"/>
    <w:rsid w:val="003D49A6"/>
    <w:rsid w:val="003D62BE"/>
    <w:rsid w:val="003D62F7"/>
    <w:rsid w:val="003D653A"/>
    <w:rsid w:val="003D675A"/>
    <w:rsid w:val="003D68B5"/>
    <w:rsid w:val="003D6BEF"/>
    <w:rsid w:val="003D6E1E"/>
    <w:rsid w:val="003D7BCD"/>
    <w:rsid w:val="003E0CFC"/>
    <w:rsid w:val="003E1035"/>
    <w:rsid w:val="003E1364"/>
    <w:rsid w:val="003E17F2"/>
    <w:rsid w:val="003E19F7"/>
    <w:rsid w:val="003E1EB2"/>
    <w:rsid w:val="003E209E"/>
    <w:rsid w:val="003E2200"/>
    <w:rsid w:val="003E249D"/>
    <w:rsid w:val="003E2650"/>
    <w:rsid w:val="003E265D"/>
    <w:rsid w:val="003E3744"/>
    <w:rsid w:val="003E37E1"/>
    <w:rsid w:val="003E3F3C"/>
    <w:rsid w:val="003E40E1"/>
    <w:rsid w:val="003E4742"/>
    <w:rsid w:val="003E492C"/>
    <w:rsid w:val="003E4B94"/>
    <w:rsid w:val="003E4B9A"/>
    <w:rsid w:val="003E4D19"/>
    <w:rsid w:val="003E50E8"/>
    <w:rsid w:val="003E5A52"/>
    <w:rsid w:val="003E710D"/>
    <w:rsid w:val="003E73D4"/>
    <w:rsid w:val="003E7A07"/>
    <w:rsid w:val="003E7A9C"/>
    <w:rsid w:val="003E7CB1"/>
    <w:rsid w:val="003F1263"/>
    <w:rsid w:val="003F2E23"/>
    <w:rsid w:val="003F2E30"/>
    <w:rsid w:val="003F328F"/>
    <w:rsid w:val="003F3A92"/>
    <w:rsid w:val="003F3DF3"/>
    <w:rsid w:val="003F4DB5"/>
    <w:rsid w:val="003F531A"/>
    <w:rsid w:val="003F5564"/>
    <w:rsid w:val="003F55F7"/>
    <w:rsid w:val="003F590E"/>
    <w:rsid w:val="003F5AAE"/>
    <w:rsid w:val="003F6227"/>
    <w:rsid w:val="003F687F"/>
    <w:rsid w:val="003F6C4C"/>
    <w:rsid w:val="003F7192"/>
    <w:rsid w:val="003F720A"/>
    <w:rsid w:val="003F7A0B"/>
    <w:rsid w:val="003F7B5E"/>
    <w:rsid w:val="003F7C9E"/>
    <w:rsid w:val="00400050"/>
    <w:rsid w:val="00400BD7"/>
    <w:rsid w:val="00400C98"/>
    <w:rsid w:val="00401811"/>
    <w:rsid w:val="00401D50"/>
    <w:rsid w:val="004025E8"/>
    <w:rsid w:val="00402768"/>
    <w:rsid w:val="0040278E"/>
    <w:rsid w:val="00402D9C"/>
    <w:rsid w:val="004034E8"/>
    <w:rsid w:val="004041F8"/>
    <w:rsid w:val="004049A8"/>
    <w:rsid w:val="00404C36"/>
    <w:rsid w:val="00404F3F"/>
    <w:rsid w:val="0040552B"/>
    <w:rsid w:val="0040574E"/>
    <w:rsid w:val="00406553"/>
    <w:rsid w:val="00406F38"/>
    <w:rsid w:val="00407025"/>
    <w:rsid w:val="0040709D"/>
    <w:rsid w:val="004073B5"/>
    <w:rsid w:val="00407486"/>
    <w:rsid w:val="004074DC"/>
    <w:rsid w:val="00410714"/>
    <w:rsid w:val="004107CA"/>
    <w:rsid w:val="00410BED"/>
    <w:rsid w:val="00410DB4"/>
    <w:rsid w:val="004111BC"/>
    <w:rsid w:val="004114CB"/>
    <w:rsid w:val="004125F4"/>
    <w:rsid w:val="004126D4"/>
    <w:rsid w:val="00412AD9"/>
    <w:rsid w:val="00412C0B"/>
    <w:rsid w:val="00413670"/>
    <w:rsid w:val="00414703"/>
    <w:rsid w:val="00415D2B"/>
    <w:rsid w:val="00415EA3"/>
    <w:rsid w:val="00415F03"/>
    <w:rsid w:val="00416C0A"/>
    <w:rsid w:val="00416CEC"/>
    <w:rsid w:val="00417210"/>
    <w:rsid w:val="0041765E"/>
    <w:rsid w:val="0042013C"/>
    <w:rsid w:val="00420908"/>
    <w:rsid w:val="00421130"/>
    <w:rsid w:val="00421187"/>
    <w:rsid w:val="00421711"/>
    <w:rsid w:val="00421941"/>
    <w:rsid w:val="0042243F"/>
    <w:rsid w:val="00422780"/>
    <w:rsid w:val="00422CD4"/>
    <w:rsid w:val="0042387E"/>
    <w:rsid w:val="00423DA8"/>
    <w:rsid w:val="00424314"/>
    <w:rsid w:val="00424328"/>
    <w:rsid w:val="00424DE2"/>
    <w:rsid w:val="0042526B"/>
    <w:rsid w:val="00425B97"/>
    <w:rsid w:val="00427B9A"/>
    <w:rsid w:val="0043071B"/>
    <w:rsid w:val="00430D3F"/>
    <w:rsid w:val="00431506"/>
    <w:rsid w:val="00431E6A"/>
    <w:rsid w:val="00432528"/>
    <w:rsid w:val="00432836"/>
    <w:rsid w:val="00432D6F"/>
    <w:rsid w:val="004332AE"/>
    <w:rsid w:val="00433842"/>
    <w:rsid w:val="00433DAF"/>
    <w:rsid w:val="00433F89"/>
    <w:rsid w:val="00434151"/>
    <w:rsid w:val="00434B64"/>
    <w:rsid w:val="00434C20"/>
    <w:rsid w:val="00434D14"/>
    <w:rsid w:val="00435740"/>
    <w:rsid w:val="00435D4C"/>
    <w:rsid w:val="00435DFE"/>
    <w:rsid w:val="004373D1"/>
    <w:rsid w:val="00437633"/>
    <w:rsid w:val="00437784"/>
    <w:rsid w:val="0043778D"/>
    <w:rsid w:val="004404F2"/>
    <w:rsid w:val="00440599"/>
    <w:rsid w:val="004413A8"/>
    <w:rsid w:val="00441568"/>
    <w:rsid w:val="00441F0D"/>
    <w:rsid w:val="004423F6"/>
    <w:rsid w:val="00442731"/>
    <w:rsid w:val="00442CBD"/>
    <w:rsid w:val="004430C0"/>
    <w:rsid w:val="0044356D"/>
    <w:rsid w:val="00443B4C"/>
    <w:rsid w:val="00443C63"/>
    <w:rsid w:val="0044463E"/>
    <w:rsid w:val="00444D93"/>
    <w:rsid w:val="00445274"/>
    <w:rsid w:val="004454C2"/>
    <w:rsid w:val="00445F59"/>
    <w:rsid w:val="00446074"/>
    <w:rsid w:val="00446657"/>
    <w:rsid w:val="00446E88"/>
    <w:rsid w:val="00447347"/>
    <w:rsid w:val="004475CA"/>
    <w:rsid w:val="00447F33"/>
    <w:rsid w:val="00450896"/>
    <w:rsid w:val="00450A27"/>
    <w:rsid w:val="0045133F"/>
    <w:rsid w:val="0045198A"/>
    <w:rsid w:val="00451EC2"/>
    <w:rsid w:val="00452054"/>
    <w:rsid w:val="00452672"/>
    <w:rsid w:val="0045270B"/>
    <w:rsid w:val="00452FAE"/>
    <w:rsid w:val="00453258"/>
    <w:rsid w:val="00453393"/>
    <w:rsid w:val="0045376A"/>
    <w:rsid w:val="00453B50"/>
    <w:rsid w:val="0045460D"/>
    <w:rsid w:val="00454917"/>
    <w:rsid w:val="00455AEA"/>
    <w:rsid w:val="00455E86"/>
    <w:rsid w:val="0045637E"/>
    <w:rsid w:val="00456A8C"/>
    <w:rsid w:val="00457582"/>
    <w:rsid w:val="00457AF7"/>
    <w:rsid w:val="00457DDE"/>
    <w:rsid w:val="00461AB8"/>
    <w:rsid w:val="00461B89"/>
    <w:rsid w:val="00461CBB"/>
    <w:rsid w:val="0046253F"/>
    <w:rsid w:val="00463357"/>
    <w:rsid w:val="004637BE"/>
    <w:rsid w:val="00463A04"/>
    <w:rsid w:val="00463A17"/>
    <w:rsid w:val="004641E5"/>
    <w:rsid w:val="0046449D"/>
    <w:rsid w:val="004648D6"/>
    <w:rsid w:val="00465255"/>
    <w:rsid w:val="0046530D"/>
    <w:rsid w:val="004654FD"/>
    <w:rsid w:val="004654FF"/>
    <w:rsid w:val="00465B79"/>
    <w:rsid w:val="004660F6"/>
    <w:rsid w:val="0046618C"/>
    <w:rsid w:val="004662FF"/>
    <w:rsid w:val="004663A7"/>
    <w:rsid w:val="00467538"/>
    <w:rsid w:val="00467962"/>
    <w:rsid w:val="00470CA5"/>
    <w:rsid w:val="00470CDB"/>
    <w:rsid w:val="00470EA3"/>
    <w:rsid w:val="00471D0C"/>
    <w:rsid w:val="004729E3"/>
    <w:rsid w:val="00472AB6"/>
    <w:rsid w:val="00472BEA"/>
    <w:rsid w:val="00473709"/>
    <w:rsid w:val="00473718"/>
    <w:rsid w:val="00473869"/>
    <w:rsid w:val="00473F3B"/>
    <w:rsid w:val="00473F75"/>
    <w:rsid w:val="0047410E"/>
    <w:rsid w:val="004746D8"/>
    <w:rsid w:val="00474CD3"/>
    <w:rsid w:val="0047545B"/>
    <w:rsid w:val="0047567C"/>
    <w:rsid w:val="0047589A"/>
    <w:rsid w:val="004762CA"/>
    <w:rsid w:val="00476570"/>
    <w:rsid w:val="0047661B"/>
    <w:rsid w:val="0047700E"/>
    <w:rsid w:val="00477762"/>
    <w:rsid w:val="00477B19"/>
    <w:rsid w:val="00477F54"/>
    <w:rsid w:val="00477F7F"/>
    <w:rsid w:val="004804B0"/>
    <w:rsid w:val="0048054A"/>
    <w:rsid w:val="004805D9"/>
    <w:rsid w:val="00480974"/>
    <w:rsid w:val="00480C6E"/>
    <w:rsid w:val="004818E8"/>
    <w:rsid w:val="00481A17"/>
    <w:rsid w:val="00481BEC"/>
    <w:rsid w:val="00481CE5"/>
    <w:rsid w:val="004822E7"/>
    <w:rsid w:val="00482F67"/>
    <w:rsid w:val="00483006"/>
    <w:rsid w:val="00483CEB"/>
    <w:rsid w:val="00484915"/>
    <w:rsid w:val="004854B4"/>
    <w:rsid w:val="00485834"/>
    <w:rsid w:val="00485961"/>
    <w:rsid w:val="00485ABC"/>
    <w:rsid w:val="0048627A"/>
    <w:rsid w:val="00486E3F"/>
    <w:rsid w:val="00487387"/>
    <w:rsid w:val="0048784A"/>
    <w:rsid w:val="00490098"/>
    <w:rsid w:val="0049010A"/>
    <w:rsid w:val="00490B67"/>
    <w:rsid w:val="00490C73"/>
    <w:rsid w:val="0049105A"/>
    <w:rsid w:val="00491882"/>
    <w:rsid w:val="004919FD"/>
    <w:rsid w:val="00492417"/>
    <w:rsid w:val="004924D3"/>
    <w:rsid w:val="00492E02"/>
    <w:rsid w:val="00493383"/>
    <w:rsid w:val="00493756"/>
    <w:rsid w:val="004937C7"/>
    <w:rsid w:val="00493AAE"/>
    <w:rsid w:val="00493C73"/>
    <w:rsid w:val="00493DB6"/>
    <w:rsid w:val="00493DE9"/>
    <w:rsid w:val="0049447D"/>
    <w:rsid w:val="00494E02"/>
    <w:rsid w:val="00494F2C"/>
    <w:rsid w:val="00495187"/>
    <w:rsid w:val="00496207"/>
    <w:rsid w:val="0049727B"/>
    <w:rsid w:val="00497DF8"/>
    <w:rsid w:val="004A013D"/>
    <w:rsid w:val="004A02F9"/>
    <w:rsid w:val="004A073D"/>
    <w:rsid w:val="004A132C"/>
    <w:rsid w:val="004A1C3E"/>
    <w:rsid w:val="004A1D24"/>
    <w:rsid w:val="004A1F46"/>
    <w:rsid w:val="004A262D"/>
    <w:rsid w:val="004A2705"/>
    <w:rsid w:val="004A3445"/>
    <w:rsid w:val="004A3C26"/>
    <w:rsid w:val="004A4AC6"/>
    <w:rsid w:val="004A4CE0"/>
    <w:rsid w:val="004A4F2F"/>
    <w:rsid w:val="004A53A6"/>
    <w:rsid w:val="004A54C2"/>
    <w:rsid w:val="004A5510"/>
    <w:rsid w:val="004A5538"/>
    <w:rsid w:val="004A59BA"/>
    <w:rsid w:val="004A5DC0"/>
    <w:rsid w:val="004A6239"/>
    <w:rsid w:val="004A69FB"/>
    <w:rsid w:val="004A7E13"/>
    <w:rsid w:val="004B010A"/>
    <w:rsid w:val="004B15D5"/>
    <w:rsid w:val="004B1E98"/>
    <w:rsid w:val="004B2423"/>
    <w:rsid w:val="004B26D9"/>
    <w:rsid w:val="004B2C5E"/>
    <w:rsid w:val="004B2DDA"/>
    <w:rsid w:val="004B332F"/>
    <w:rsid w:val="004B3381"/>
    <w:rsid w:val="004B3EAA"/>
    <w:rsid w:val="004B4D4C"/>
    <w:rsid w:val="004B4E4D"/>
    <w:rsid w:val="004B576B"/>
    <w:rsid w:val="004B622D"/>
    <w:rsid w:val="004B73E8"/>
    <w:rsid w:val="004B774B"/>
    <w:rsid w:val="004B7D0B"/>
    <w:rsid w:val="004B7DB0"/>
    <w:rsid w:val="004C0D7A"/>
    <w:rsid w:val="004C10DB"/>
    <w:rsid w:val="004C3137"/>
    <w:rsid w:val="004C3B14"/>
    <w:rsid w:val="004C3CDC"/>
    <w:rsid w:val="004C4629"/>
    <w:rsid w:val="004C4B71"/>
    <w:rsid w:val="004C6407"/>
    <w:rsid w:val="004C64C3"/>
    <w:rsid w:val="004C689B"/>
    <w:rsid w:val="004D0121"/>
    <w:rsid w:val="004D039A"/>
    <w:rsid w:val="004D087E"/>
    <w:rsid w:val="004D09A2"/>
    <w:rsid w:val="004D0F5E"/>
    <w:rsid w:val="004D10B9"/>
    <w:rsid w:val="004D19DB"/>
    <w:rsid w:val="004D1AD7"/>
    <w:rsid w:val="004D1B1C"/>
    <w:rsid w:val="004D1DC2"/>
    <w:rsid w:val="004D1E88"/>
    <w:rsid w:val="004D2233"/>
    <w:rsid w:val="004D2853"/>
    <w:rsid w:val="004D2D02"/>
    <w:rsid w:val="004D2F39"/>
    <w:rsid w:val="004D34F9"/>
    <w:rsid w:val="004D371A"/>
    <w:rsid w:val="004D3CD7"/>
    <w:rsid w:val="004D41EA"/>
    <w:rsid w:val="004D4697"/>
    <w:rsid w:val="004D4F73"/>
    <w:rsid w:val="004D58DE"/>
    <w:rsid w:val="004D5DAF"/>
    <w:rsid w:val="004D63E2"/>
    <w:rsid w:val="004D6AD2"/>
    <w:rsid w:val="004D6E7D"/>
    <w:rsid w:val="004D7D67"/>
    <w:rsid w:val="004E0DD3"/>
    <w:rsid w:val="004E1435"/>
    <w:rsid w:val="004E183D"/>
    <w:rsid w:val="004E3175"/>
    <w:rsid w:val="004E32E7"/>
    <w:rsid w:val="004E3F30"/>
    <w:rsid w:val="004E40A5"/>
    <w:rsid w:val="004E46F8"/>
    <w:rsid w:val="004E4EA7"/>
    <w:rsid w:val="004E50C8"/>
    <w:rsid w:val="004E5596"/>
    <w:rsid w:val="004E653E"/>
    <w:rsid w:val="004E65F5"/>
    <w:rsid w:val="004F0A92"/>
    <w:rsid w:val="004F11F9"/>
    <w:rsid w:val="004F1573"/>
    <w:rsid w:val="004F1D55"/>
    <w:rsid w:val="004F2199"/>
    <w:rsid w:val="004F2560"/>
    <w:rsid w:val="004F2C56"/>
    <w:rsid w:val="004F2D77"/>
    <w:rsid w:val="004F2F8F"/>
    <w:rsid w:val="004F3109"/>
    <w:rsid w:val="004F3E28"/>
    <w:rsid w:val="004F402F"/>
    <w:rsid w:val="004F436E"/>
    <w:rsid w:val="004F4D77"/>
    <w:rsid w:val="004F4E9D"/>
    <w:rsid w:val="004F53DB"/>
    <w:rsid w:val="004F5BC0"/>
    <w:rsid w:val="004F621F"/>
    <w:rsid w:val="004F696F"/>
    <w:rsid w:val="004F6F9F"/>
    <w:rsid w:val="004F7A91"/>
    <w:rsid w:val="004F7C29"/>
    <w:rsid w:val="00500123"/>
    <w:rsid w:val="00501359"/>
    <w:rsid w:val="00502197"/>
    <w:rsid w:val="005024F8"/>
    <w:rsid w:val="0050277A"/>
    <w:rsid w:val="00502EAE"/>
    <w:rsid w:val="00503789"/>
    <w:rsid w:val="00503A1B"/>
    <w:rsid w:val="00503C9A"/>
    <w:rsid w:val="005049B0"/>
    <w:rsid w:val="00504D3B"/>
    <w:rsid w:val="0050500F"/>
    <w:rsid w:val="00505279"/>
    <w:rsid w:val="005052A3"/>
    <w:rsid w:val="00505707"/>
    <w:rsid w:val="00505884"/>
    <w:rsid w:val="00505D6D"/>
    <w:rsid w:val="00505E30"/>
    <w:rsid w:val="00506376"/>
    <w:rsid w:val="005063E1"/>
    <w:rsid w:val="00506861"/>
    <w:rsid w:val="005068AA"/>
    <w:rsid w:val="00506B7A"/>
    <w:rsid w:val="00506F54"/>
    <w:rsid w:val="00506FF4"/>
    <w:rsid w:val="0050701F"/>
    <w:rsid w:val="00507834"/>
    <w:rsid w:val="00507989"/>
    <w:rsid w:val="005079F4"/>
    <w:rsid w:val="00507CC5"/>
    <w:rsid w:val="00507DDF"/>
    <w:rsid w:val="00510209"/>
    <w:rsid w:val="005103F2"/>
    <w:rsid w:val="00511028"/>
    <w:rsid w:val="005119AE"/>
    <w:rsid w:val="00511F10"/>
    <w:rsid w:val="00512B80"/>
    <w:rsid w:val="0051351E"/>
    <w:rsid w:val="005135C7"/>
    <w:rsid w:val="00513F62"/>
    <w:rsid w:val="00513FA8"/>
    <w:rsid w:val="00514699"/>
    <w:rsid w:val="00514965"/>
    <w:rsid w:val="00514F17"/>
    <w:rsid w:val="00515199"/>
    <w:rsid w:val="00515806"/>
    <w:rsid w:val="00516947"/>
    <w:rsid w:val="00516BBB"/>
    <w:rsid w:val="00517CAF"/>
    <w:rsid w:val="00520619"/>
    <w:rsid w:val="005209B9"/>
    <w:rsid w:val="00520BA0"/>
    <w:rsid w:val="00523331"/>
    <w:rsid w:val="00523E83"/>
    <w:rsid w:val="005248BB"/>
    <w:rsid w:val="00524DFA"/>
    <w:rsid w:val="005253A9"/>
    <w:rsid w:val="005254A8"/>
    <w:rsid w:val="00525A82"/>
    <w:rsid w:val="00525C83"/>
    <w:rsid w:val="00525D78"/>
    <w:rsid w:val="00526B56"/>
    <w:rsid w:val="00527929"/>
    <w:rsid w:val="005306CD"/>
    <w:rsid w:val="005308A5"/>
    <w:rsid w:val="00530F4F"/>
    <w:rsid w:val="0053111A"/>
    <w:rsid w:val="005314E9"/>
    <w:rsid w:val="00531723"/>
    <w:rsid w:val="005322E2"/>
    <w:rsid w:val="005325B9"/>
    <w:rsid w:val="0053275E"/>
    <w:rsid w:val="00533288"/>
    <w:rsid w:val="00533CF8"/>
    <w:rsid w:val="00533DF1"/>
    <w:rsid w:val="005342AD"/>
    <w:rsid w:val="005343E1"/>
    <w:rsid w:val="005345B8"/>
    <w:rsid w:val="00534C73"/>
    <w:rsid w:val="0053516D"/>
    <w:rsid w:val="00535BAA"/>
    <w:rsid w:val="00535C0D"/>
    <w:rsid w:val="00535E93"/>
    <w:rsid w:val="00535F5E"/>
    <w:rsid w:val="0053665B"/>
    <w:rsid w:val="00536C2F"/>
    <w:rsid w:val="0053702C"/>
    <w:rsid w:val="0053725F"/>
    <w:rsid w:val="00537DC4"/>
    <w:rsid w:val="00541552"/>
    <w:rsid w:val="00541EF9"/>
    <w:rsid w:val="00542E47"/>
    <w:rsid w:val="005431CF"/>
    <w:rsid w:val="0054341E"/>
    <w:rsid w:val="005435F8"/>
    <w:rsid w:val="005437E2"/>
    <w:rsid w:val="00543B91"/>
    <w:rsid w:val="00543D0A"/>
    <w:rsid w:val="00543EF2"/>
    <w:rsid w:val="005454F3"/>
    <w:rsid w:val="005455E5"/>
    <w:rsid w:val="00545C08"/>
    <w:rsid w:val="00545C7E"/>
    <w:rsid w:val="00545DBD"/>
    <w:rsid w:val="0054681B"/>
    <w:rsid w:val="005476B9"/>
    <w:rsid w:val="0054779A"/>
    <w:rsid w:val="005477D8"/>
    <w:rsid w:val="005479D2"/>
    <w:rsid w:val="00547BA1"/>
    <w:rsid w:val="00547E6C"/>
    <w:rsid w:val="00550B90"/>
    <w:rsid w:val="0055176D"/>
    <w:rsid w:val="00551816"/>
    <w:rsid w:val="00551A05"/>
    <w:rsid w:val="00551D77"/>
    <w:rsid w:val="00552240"/>
    <w:rsid w:val="00553A83"/>
    <w:rsid w:val="00553C9C"/>
    <w:rsid w:val="00555309"/>
    <w:rsid w:val="00555A64"/>
    <w:rsid w:val="00555B70"/>
    <w:rsid w:val="00556FC5"/>
    <w:rsid w:val="00557297"/>
    <w:rsid w:val="00557CB1"/>
    <w:rsid w:val="00557F06"/>
    <w:rsid w:val="005606E0"/>
    <w:rsid w:val="0056091E"/>
    <w:rsid w:val="00560FDD"/>
    <w:rsid w:val="00561371"/>
    <w:rsid w:val="0056172D"/>
    <w:rsid w:val="00562AF1"/>
    <w:rsid w:val="0056317F"/>
    <w:rsid w:val="005635F3"/>
    <w:rsid w:val="00563AC9"/>
    <w:rsid w:val="0056411C"/>
    <w:rsid w:val="00564A29"/>
    <w:rsid w:val="00564E05"/>
    <w:rsid w:val="00565455"/>
    <w:rsid w:val="00565B4C"/>
    <w:rsid w:val="005661D5"/>
    <w:rsid w:val="005663FF"/>
    <w:rsid w:val="005671E9"/>
    <w:rsid w:val="00567781"/>
    <w:rsid w:val="005677E5"/>
    <w:rsid w:val="00570D24"/>
    <w:rsid w:val="0057115A"/>
    <w:rsid w:val="00572043"/>
    <w:rsid w:val="005720D1"/>
    <w:rsid w:val="00572853"/>
    <w:rsid w:val="00572BBF"/>
    <w:rsid w:val="00572BE1"/>
    <w:rsid w:val="005738B1"/>
    <w:rsid w:val="005738FD"/>
    <w:rsid w:val="005749BA"/>
    <w:rsid w:val="005749D7"/>
    <w:rsid w:val="00574C1A"/>
    <w:rsid w:val="00575001"/>
    <w:rsid w:val="005750C6"/>
    <w:rsid w:val="0057526F"/>
    <w:rsid w:val="00576439"/>
    <w:rsid w:val="00576C63"/>
    <w:rsid w:val="00577A80"/>
    <w:rsid w:val="00577C73"/>
    <w:rsid w:val="0058008B"/>
    <w:rsid w:val="00580AC7"/>
    <w:rsid w:val="00580EEB"/>
    <w:rsid w:val="00580FCF"/>
    <w:rsid w:val="00581378"/>
    <w:rsid w:val="0058147A"/>
    <w:rsid w:val="00581C31"/>
    <w:rsid w:val="00582476"/>
    <w:rsid w:val="005825FD"/>
    <w:rsid w:val="00583673"/>
    <w:rsid w:val="00583D08"/>
    <w:rsid w:val="005841E0"/>
    <w:rsid w:val="00584A52"/>
    <w:rsid w:val="00584CD8"/>
    <w:rsid w:val="005853AF"/>
    <w:rsid w:val="0058547A"/>
    <w:rsid w:val="00586014"/>
    <w:rsid w:val="005871AE"/>
    <w:rsid w:val="00587BE7"/>
    <w:rsid w:val="00587CBC"/>
    <w:rsid w:val="00587CCC"/>
    <w:rsid w:val="00590892"/>
    <w:rsid w:val="00590CD7"/>
    <w:rsid w:val="00592169"/>
    <w:rsid w:val="005922C2"/>
    <w:rsid w:val="00592EA9"/>
    <w:rsid w:val="005931EB"/>
    <w:rsid w:val="0059340B"/>
    <w:rsid w:val="00593A8E"/>
    <w:rsid w:val="005940CC"/>
    <w:rsid w:val="0059428D"/>
    <w:rsid w:val="005942B7"/>
    <w:rsid w:val="0059439B"/>
    <w:rsid w:val="00594881"/>
    <w:rsid w:val="00594B25"/>
    <w:rsid w:val="00594EB1"/>
    <w:rsid w:val="00594F5F"/>
    <w:rsid w:val="00594FFA"/>
    <w:rsid w:val="005954A6"/>
    <w:rsid w:val="00595DF1"/>
    <w:rsid w:val="00596084"/>
    <w:rsid w:val="00596524"/>
    <w:rsid w:val="00596782"/>
    <w:rsid w:val="005978EC"/>
    <w:rsid w:val="005979CF"/>
    <w:rsid w:val="00597C28"/>
    <w:rsid w:val="00597D35"/>
    <w:rsid w:val="00597E25"/>
    <w:rsid w:val="005A09EA"/>
    <w:rsid w:val="005A0D93"/>
    <w:rsid w:val="005A443E"/>
    <w:rsid w:val="005A4529"/>
    <w:rsid w:val="005A4822"/>
    <w:rsid w:val="005A4A36"/>
    <w:rsid w:val="005A4CCF"/>
    <w:rsid w:val="005A5E3A"/>
    <w:rsid w:val="005A6204"/>
    <w:rsid w:val="005A63E6"/>
    <w:rsid w:val="005A6D6D"/>
    <w:rsid w:val="005A7264"/>
    <w:rsid w:val="005A7991"/>
    <w:rsid w:val="005A7A96"/>
    <w:rsid w:val="005A7C16"/>
    <w:rsid w:val="005B0528"/>
    <w:rsid w:val="005B0A98"/>
    <w:rsid w:val="005B0C95"/>
    <w:rsid w:val="005B0DC1"/>
    <w:rsid w:val="005B0F9B"/>
    <w:rsid w:val="005B1601"/>
    <w:rsid w:val="005B1988"/>
    <w:rsid w:val="005B24B0"/>
    <w:rsid w:val="005B280A"/>
    <w:rsid w:val="005B330E"/>
    <w:rsid w:val="005B3551"/>
    <w:rsid w:val="005B41C5"/>
    <w:rsid w:val="005B4CFC"/>
    <w:rsid w:val="005B5129"/>
    <w:rsid w:val="005B58B0"/>
    <w:rsid w:val="005B5A53"/>
    <w:rsid w:val="005B6611"/>
    <w:rsid w:val="005B6754"/>
    <w:rsid w:val="005B6F63"/>
    <w:rsid w:val="005B6F87"/>
    <w:rsid w:val="005B7219"/>
    <w:rsid w:val="005B7C6A"/>
    <w:rsid w:val="005B7FBB"/>
    <w:rsid w:val="005C0298"/>
    <w:rsid w:val="005C0413"/>
    <w:rsid w:val="005C0423"/>
    <w:rsid w:val="005C0769"/>
    <w:rsid w:val="005C0F84"/>
    <w:rsid w:val="005C17DE"/>
    <w:rsid w:val="005C22F2"/>
    <w:rsid w:val="005C2996"/>
    <w:rsid w:val="005C33A7"/>
    <w:rsid w:val="005C360A"/>
    <w:rsid w:val="005C37D5"/>
    <w:rsid w:val="005C3A09"/>
    <w:rsid w:val="005C3A10"/>
    <w:rsid w:val="005C40DF"/>
    <w:rsid w:val="005C4193"/>
    <w:rsid w:val="005C4447"/>
    <w:rsid w:val="005C457E"/>
    <w:rsid w:val="005C5722"/>
    <w:rsid w:val="005C57B5"/>
    <w:rsid w:val="005C6AC5"/>
    <w:rsid w:val="005C6C52"/>
    <w:rsid w:val="005C7499"/>
    <w:rsid w:val="005C7559"/>
    <w:rsid w:val="005D0702"/>
    <w:rsid w:val="005D1DFB"/>
    <w:rsid w:val="005D2008"/>
    <w:rsid w:val="005D221C"/>
    <w:rsid w:val="005D2760"/>
    <w:rsid w:val="005D281F"/>
    <w:rsid w:val="005D2A43"/>
    <w:rsid w:val="005D3B80"/>
    <w:rsid w:val="005D3BD9"/>
    <w:rsid w:val="005D4796"/>
    <w:rsid w:val="005D4B40"/>
    <w:rsid w:val="005D5005"/>
    <w:rsid w:val="005D51F2"/>
    <w:rsid w:val="005D59B1"/>
    <w:rsid w:val="005D5F28"/>
    <w:rsid w:val="005D6D6A"/>
    <w:rsid w:val="005D6EA0"/>
    <w:rsid w:val="005D6F3B"/>
    <w:rsid w:val="005D77AE"/>
    <w:rsid w:val="005D7B27"/>
    <w:rsid w:val="005D7EDE"/>
    <w:rsid w:val="005D7F79"/>
    <w:rsid w:val="005E03B3"/>
    <w:rsid w:val="005E0C09"/>
    <w:rsid w:val="005E1180"/>
    <w:rsid w:val="005E1413"/>
    <w:rsid w:val="005E16CC"/>
    <w:rsid w:val="005E2B31"/>
    <w:rsid w:val="005E2EFF"/>
    <w:rsid w:val="005E3055"/>
    <w:rsid w:val="005E3634"/>
    <w:rsid w:val="005E3775"/>
    <w:rsid w:val="005E3A08"/>
    <w:rsid w:val="005E4029"/>
    <w:rsid w:val="005E4381"/>
    <w:rsid w:val="005E498E"/>
    <w:rsid w:val="005E57AC"/>
    <w:rsid w:val="005E6954"/>
    <w:rsid w:val="005E6B3B"/>
    <w:rsid w:val="005E742E"/>
    <w:rsid w:val="005E76B4"/>
    <w:rsid w:val="005E7B36"/>
    <w:rsid w:val="005F02E6"/>
    <w:rsid w:val="005F0351"/>
    <w:rsid w:val="005F10F1"/>
    <w:rsid w:val="005F1911"/>
    <w:rsid w:val="005F19DD"/>
    <w:rsid w:val="005F1FF4"/>
    <w:rsid w:val="005F23F3"/>
    <w:rsid w:val="005F262D"/>
    <w:rsid w:val="005F2CBA"/>
    <w:rsid w:val="005F2F18"/>
    <w:rsid w:val="005F3013"/>
    <w:rsid w:val="005F3216"/>
    <w:rsid w:val="005F3658"/>
    <w:rsid w:val="005F434D"/>
    <w:rsid w:val="005F43F5"/>
    <w:rsid w:val="005F4AB8"/>
    <w:rsid w:val="005F4DFE"/>
    <w:rsid w:val="005F4EF9"/>
    <w:rsid w:val="005F4F89"/>
    <w:rsid w:val="005F59CA"/>
    <w:rsid w:val="005F641B"/>
    <w:rsid w:val="005F7449"/>
    <w:rsid w:val="005F762E"/>
    <w:rsid w:val="00601403"/>
    <w:rsid w:val="006015AE"/>
    <w:rsid w:val="00601787"/>
    <w:rsid w:val="006017B1"/>
    <w:rsid w:val="00601FB8"/>
    <w:rsid w:val="00602274"/>
    <w:rsid w:val="006022E5"/>
    <w:rsid w:val="006024A7"/>
    <w:rsid w:val="00603BA4"/>
    <w:rsid w:val="00604314"/>
    <w:rsid w:val="0060460D"/>
    <w:rsid w:val="00604CA3"/>
    <w:rsid w:val="00605F99"/>
    <w:rsid w:val="0060685F"/>
    <w:rsid w:val="00607066"/>
    <w:rsid w:val="00607197"/>
    <w:rsid w:val="00607A16"/>
    <w:rsid w:val="006109F8"/>
    <w:rsid w:val="00610E37"/>
    <w:rsid w:val="006113C0"/>
    <w:rsid w:val="00611556"/>
    <w:rsid w:val="00611744"/>
    <w:rsid w:val="00612AFF"/>
    <w:rsid w:val="00612E25"/>
    <w:rsid w:val="00612EDA"/>
    <w:rsid w:val="006131CB"/>
    <w:rsid w:val="00613FC1"/>
    <w:rsid w:val="006147EA"/>
    <w:rsid w:val="00616984"/>
    <w:rsid w:val="006175D1"/>
    <w:rsid w:val="006175E7"/>
    <w:rsid w:val="006176CD"/>
    <w:rsid w:val="00617C66"/>
    <w:rsid w:val="00620031"/>
    <w:rsid w:val="00620E5D"/>
    <w:rsid w:val="00620F7D"/>
    <w:rsid w:val="006214D1"/>
    <w:rsid w:val="00621C6F"/>
    <w:rsid w:val="00621D0E"/>
    <w:rsid w:val="006220BE"/>
    <w:rsid w:val="00622A60"/>
    <w:rsid w:val="00622C5B"/>
    <w:rsid w:val="00622F5A"/>
    <w:rsid w:val="00623075"/>
    <w:rsid w:val="006232E4"/>
    <w:rsid w:val="00623910"/>
    <w:rsid w:val="0062453F"/>
    <w:rsid w:val="00624A27"/>
    <w:rsid w:val="00624B91"/>
    <w:rsid w:val="00624D74"/>
    <w:rsid w:val="00625508"/>
    <w:rsid w:val="00625ED9"/>
    <w:rsid w:val="00626F08"/>
    <w:rsid w:val="00626FCE"/>
    <w:rsid w:val="006270D7"/>
    <w:rsid w:val="0062716D"/>
    <w:rsid w:val="006271F7"/>
    <w:rsid w:val="006272AC"/>
    <w:rsid w:val="0062762D"/>
    <w:rsid w:val="00627AF2"/>
    <w:rsid w:val="00627CF7"/>
    <w:rsid w:val="006314A5"/>
    <w:rsid w:val="00631757"/>
    <w:rsid w:val="00631A96"/>
    <w:rsid w:val="00631E10"/>
    <w:rsid w:val="00631F48"/>
    <w:rsid w:val="006323AE"/>
    <w:rsid w:val="00632A94"/>
    <w:rsid w:val="00632F94"/>
    <w:rsid w:val="00632FA2"/>
    <w:rsid w:val="006330E9"/>
    <w:rsid w:val="00634A60"/>
    <w:rsid w:val="00635006"/>
    <w:rsid w:val="00635038"/>
    <w:rsid w:val="00635441"/>
    <w:rsid w:val="0063632F"/>
    <w:rsid w:val="00636A58"/>
    <w:rsid w:val="00636B7C"/>
    <w:rsid w:val="00637458"/>
    <w:rsid w:val="00637B09"/>
    <w:rsid w:val="00637E5A"/>
    <w:rsid w:val="006406A8"/>
    <w:rsid w:val="006407E0"/>
    <w:rsid w:val="0064081D"/>
    <w:rsid w:val="00640EAC"/>
    <w:rsid w:val="00641FF3"/>
    <w:rsid w:val="006422DD"/>
    <w:rsid w:val="0064251B"/>
    <w:rsid w:val="006426A0"/>
    <w:rsid w:val="00642885"/>
    <w:rsid w:val="0064454B"/>
    <w:rsid w:val="006453D1"/>
    <w:rsid w:val="006458C4"/>
    <w:rsid w:val="00645BB2"/>
    <w:rsid w:val="006466D0"/>
    <w:rsid w:val="00646E69"/>
    <w:rsid w:val="00646EDA"/>
    <w:rsid w:val="0064703B"/>
    <w:rsid w:val="00650903"/>
    <w:rsid w:val="00650C56"/>
    <w:rsid w:val="006516B9"/>
    <w:rsid w:val="00651999"/>
    <w:rsid w:val="00651DF7"/>
    <w:rsid w:val="00652207"/>
    <w:rsid w:val="00652858"/>
    <w:rsid w:val="00652C8D"/>
    <w:rsid w:val="00653958"/>
    <w:rsid w:val="00654227"/>
    <w:rsid w:val="00654A03"/>
    <w:rsid w:val="0065543E"/>
    <w:rsid w:val="006558DC"/>
    <w:rsid w:val="006559FE"/>
    <w:rsid w:val="00655A0F"/>
    <w:rsid w:val="00655CBE"/>
    <w:rsid w:val="00656216"/>
    <w:rsid w:val="006567C1"/>
    <w:rsid w:val="00656B27"/>
    <w:rsid w:val="00656D79"/>
    <w:rsid w:val="0065710E"/>
    <w:rsid w:val="00657679"/>
    <w:rsid w:val="00657F8B"/>
    <w:rsid w:val="00660012"/>
    <w:rsid w:val="00660184"/>
    <w:rsid w:val="00660401"/>
    <w:rsid w:val="00660599"/>
    <w:rsid w:val="006608F1"/>
    <w:rsid w:val="00660D6B"/>
    <w:rsid w:val="006614B5"/>
    <w:rsid w:val="006615AE"/>
    <w:rsid w:val="006618FC"/>
    <w:rsid w:val="006624A1"/>
    <w:rsid w:val="0066308C"/>
    <w:rsid w:val="00663A58"/>
    <w:rsid w:val="00663D00"/>
    <w:rsid w:val="00663E86"/>
    <w:rsid w:val="00663FC8"/>
    <w:rsid w:val="0066428B"/>
    <w:rsid w:val="0066435C"/>
    <w:rsid w:val="006643AF"/>
    <w:rsid w:val="00664738"/>
    <w:rsid w:val="00664857"/>
    <w:rsid w:val="006657F6"/>
    <w:rsid w:val="006658C7"/>
    <w:rsid w:val="00666304"/>
    <w:rsid w:val="006667B3"/>
    <w:rsid w:val="006667BE"/>
    <w:rsid w:val="00666E44"/>
    <w:rsid w:val="006671CD"/>
    <w:rsid w:val="006678F3"/>
    <w:rsid w:val="00667CFA"/>
    <w:rsid w:val="00667FB2"/>
    <w:rsid w:val="006703EC"/>
    <w:rsid w:val="006706EC"/>
    <w:rsid w:val="00670C7F"/>
    <w:rsid w:val="006717C5"/>
    <w:rsid w:val="0067194F"/>
    <w:rsid w:val="00671B7E"/>
    <w:rsid w:val="006724C1"/>
    <w:rsid w:val="006728FE"/>
    <w:rsid w:val="00673907"/>
    <w:rsid w:val="0067391B"/>
    <w:rsid w:val="00674F6A"/>
    <w:rsid w:val="00675195"/>
    <w:rsid w:val="0067544E"/>
    <w:rsid w:val="00675A05"/>
    <w:rsid w:val="00675C68"/>
    <w:rsid w:val="006763EE"/>
    <w:rsid w:val="006767BC"/>
    <w:rsid w:val="006804A2"/>
    <w:rsid w:val="00681D75"/>
    <w:rsid w:val="006823C5"/>
    <w:rsid w:val="0068242E"/>
    <w:rsid w:val="00682878"/>
    <w:rsid w:val="00682B5C"/>
    <w:rsid w:val="00682F8C"/>
    <w:rsid w:val="0068385B"/>
    <w:rsid w:val="00683E3C"/>
    <w:rsid w:val="00684BAF"/>
    <w:rsid w:val="00685384"/>
    <w:rsid w:val="006860CB"/>
    <w:rsid w:val="00686359"/>
    <w:rsid w:val="00686803"/>
    <w:rsid w:val="006869C9"/>
    <w:rsid w:val="00686E60"/>
    <w:rsid w:val="00687E5A"/>
    <w:rsid w:val="006900B7"/>
    <w:rsid w:val="006903F0"/>
    <w:rsid w:val="00690B7A"/>
    <w:rsid w:val="00690C1C"/>
    <w:rsid w:val="00690C56"/>
    <w:rsid w:val="00690D3D"/>
    <w:rsid w:val="00691395"/>
    <w:rsid w:val="00692103"/>
    <w:rsid w:val="006924AC"/>
    <w:rsid w:val="00692FC1"/>
    <w:rsid w:val="006944A2"/>
    <w:rsid w:val="00694ABE"/>
    <w:rsid w:val="00694CE1"/>
    <w:rsid w:val="00695966"/>
    <w:rsid w:val="006962D9"/>
    <w:rsid w:val="006969FA"/>
    <w:rsid w:val="00696B33"/>
    <w:rsid w:val="00696BDB"/>
    <w:rsid w:val="00696CB9"/>
    <w:rsid w:val="00696EBB"/>
    <w:rsid w:val="00697C52"/>
    <w:rsid w:val="006A0102"/>
    <w:rsid w:val="006A0528"/>
    <w:rsid w:val="006A0A52"/>
    <w:rsid w:val="006A10EE"/>
    <w:rsid w:val="006A1C55"/>
    <w:rsid w:val="006A1C60"/>
    <w:rsid w:val="006A1C8D"/>
    <w:rsid w:val="006A1F10"/>
    <w:rsid w:val="006A220F"/>
    <w:rsid w:val="006A4D4E"/>
    <w:rsid w:val="006A516E"/>
    <w:rsid w:val="006A5930"/>
    <w:rsid w:val="006A5978"/>
    <w:rsid w:val="006A5C6E"/>
    <w:rsid w:val="006A5EF0"/>
    <w:rsid w:val="006A63F3"/>
    <w:rsid w:val="006B0004"/>
    <w:rsid w:val="006B1B79"/>
    <w:rsid w:val="006B376E"/>
    <w:rsid w:val="006B3C42"/>
    <w:rsid w:val="006B492F"/>
    <w:rsid w:val="006B4C8D"/>
    <w:rsid w:val="006B4ED8"/>
    <w:rsid w:val="006B630A"/>
    <w:rsid w:val="006B642A"/>
    <w:rsid w:val="006B6A2B"/>
    <w:rsid w:val="006B6B40"/>
    <w:rsid w:val="006B7DA8"/>
    <w:rsid w:val="006B7EF9"/>
    <w:rsid w:val="006C133E"/>
    <w:rsid w:val="006C14CC"/>
    <w:rsid w:val="006C1577"/>
    <w:rsid w:val="006C1B18"/>
    <w:rsid w:val="006C2D20"/>
    <w:rsid w:val="006C3199"/>
    <w:rsid w:val="006C3AC8"/>
    <w:rsid w:val="006C3ED5"/>
    <w:rsid w:val="006C4A66"/>
    <w:rsid w:val="006C509D"/>
    <w:rsid w:val="006C5ACD"/>
    <w:rsid w:val="006C5CD3"/>
    <w:rsid w:val="006C6108"/>
    <w:rsid w:val="006C611F"/>
    <w:rsid w:val="006C6300"/>
    <w:rsid w:val="006C6376"/>
    <w:rsid w:val="006D0DA4"/>
    <w:rsid w:val="006D115B"/>
    <w:rsid w:val="006D14FF"/>
    <w:rsid w:val="006D1544"/>
    <w:rsid w:val="006D246B"/>
    <w:rsid w:val="006D36B7"/>
    <w:rsid w:val="006D3A49"/>
    <w:rsid w:val="006D3BA4"/>
    <w:rsid w:val="006D3EEF"/>
    <w:rsid w:val="006D467E"/>
    <w:rsid w:val="006D49A8"/>
    <w:rsid w:val="006D4B00"/>
    <w:rsid w:val="006D640F"/>
    <w:rsid w:val="006D6B57"/>
    <w:rsid w:val="006D6D02"/>
    <w:rsid w:val="006E0104"/>
    <w:rsid w:val="006E0134"/>
    <w:rsid w:val="006E0138"/>
    <w:rsid w:val="006E0596"/>
    <w:rsid w:val="006E05BC"/>
    <w:rsid w:val="006E0646"/>
    <w:rsid w:val="006E1672"/>
    <w:rsid w:val="006E16F1"/>
    <w:rsid w:val="006E2170"/>
    <w:rsid w:val="006E2B01"/>
    <w:rsid w:val="006E3086"/>
    <w:rsid w:val="006E30F8"/>
    <w:rsid w:val="006E359B"/>
    <w:rsid w:val="006E4BF5"/>
    <w:rsid w:val="006E52D8"/>
    <w:rsid w:val="006E5306"/>
    <w:rsid w:val="006E610C"/>
    <w:rsid w:val="006E6903"/>
    <w:rsid w:val="006E75BF"/>
    <w:rsid w:val="006E77AC"/>
    <w:rsid w:val="006E7AA6"/>
    <w:rsid w:val="006F01F0"/>
    <w:rsid w:val="006F04D6"/>
    <w:rsid w:val="006F09B5"/>
    <w:rsid w:val="006F1042"/>
    <w:rsid w:val="006F1349"/>
    <w:rsid w:val="006F14C0"/>
    <w:rsid w:val="006F18C7"/>
    <w:rsid w:val="006F19AE"/>
    <w:rsid w:val="006F201F"/>
    <w:rsid w:val="006F2223"/>
    <w:rsid w:val="006F2C03"/>
    <w:rsid w:val="006F2DEC"/>
    <w:rsid w:val="006F3069"/>
    <w:rsid w:val="006F32A8"/>
    <w:rsid w:val="006F380D"/>
    <w:rsid w:val="006F3B01"/>
    <w:rsid w:val="006F3C4A"/>
    <w:rsid w:val="006F48B3"/>
    <w:rsid w:val="006F48B8"/>
    <w:rsid w:val="006F4A15"/>
    <w:rsid w:val="006F4B05"/>
    <w:rsid w:val="006F4DA9"/>
    <w:rsid w:val="006F5347"/>
    <w:rsid w:val="006F553C"/>
    <w:rsid w:val="006F55C4"/>
    <w:rsid w:val="006F5F9C"/>
    <w:rsid w:val="006F602D"/>
    <w:rsid w:val="006F61FE"/>
    <w:rsid w:val="006F6258"/>
    <w:rsid w:val="006F629E"/>
    <w:rsid w:val="006F640B"/>
    <w:rsid w:val="006F65E1"/>
    <w:rsid w:val="006F684E"/>
    <w:rsid w:val="006F7C02"/>
    <w:rsid w:val="006F7F8E"/>
    <w:rsid w:val="00700028"/>
    <w:rsid w:val="0070061F"/>
    <w:rsid w:val="00701552"/>
    <w:rsid w:val="00701AD1"/>
    <w:rsid w:val="00702CA5"/>
    <w:rsid w:val="007034D2"/>
    <w:rsid w:val="00703942"/>
    <w:rsid w:val="00703B7B"/>
    <w:rsid w:val="00704010"/>
    <w:rsid w:val="00704642"/>
    <w:rsid w:val="00704E54"/>
    <w:rsid w:val="00704FDE"/>
    <w:rsid w:val="0070511D"/>
    <w:rsid w:val="00705448"/>
    <w:rsid w:val="00707064"/>
    <w:rsid w:val="00707BFB"/>
    <w:rsid w:val="00710A74"/>
    <w:rsid w:val="00710D10"/>
    <w:rsid w:val="00710FB3"/>
    <w:rsid w:val="0071225D"/>
    <w:rsid w:val="007122EC"/>
    <w:rsid w:val="00712D07"/>
    <w:rsid w:val="00712DD7"/>
    <w:rsid w:val="0071300E"/>
    <w:rsid w:val="00713348"/>
    <w:rsid w:val="00713927"/>
    <w:rsid w:val="00713B7F"/>
    <w:rsid w:val="00713FF8"/>
    <w:rsid w:val="00714504"/>
    <w:rsid w:val="0071462C"/>
    <w:rsid w:val="00714B31"/>
    <w:rsid w:val="00714BE7"/>
    <w:rsid w:val="007150E5"/>
    <w:rsid w:val="007151B2"/>
    <w:rsid w:val="0071571F"/>
    <w:rsid w:val="00715A09"/>
    <w:rsid w:val="00715A7E"/>
    <w:rsid w:val="00716109"/>
    <w:rsid w:val="007162BE"/>
    <w:rsid w:val="00716C29"/>
    <w:rsid w:val="0071742A"/>
    <w:rsid w:val="00717E1E"/>
    <w:rsid w:val="00720CC7"/>
    <w:rsid w:val="007211FA"/>
    <w:rsid w:val="00721479"/>
    <w:rsid w:val="007215CA"/>
    <w:rsid w:val="007231DB"/>
    <w:rsid w:val="0072374B"/>
    <w:rsid w:val="00724827"/>
    <w:rsid w:val="007248E7"/>
    <w:rsid w:val="0072504F"/>
    <w:rsid w:val="0072519C"/>
    <w:rsid w:val="00725469"/>
    <w:rsid w:val="007259AF"/>
    <w:rsid w:val="0072614F"/>
    <w:rsid w:val="007268D1"/>
    <w:rsid w:val="00726CBB"/>
    <w:rsid w:val="00726F44"/>
    <w:rsid w:val="00726FD6"/>
    <w:rsid w:val="00730029"/>
    <w:rsid w:val="00730A1A"/>
    <w:rsid w:val="00730B0C"/>
    <w:rsid w:val="00730D6E"/>
    <w:rsid w:val="00730E8F"/>
    <w:rsid w:val="00730F2B"/>
    <w:rsid w:val="007310CE"/>
    <w:rsid w:val="0073176A"/>
    <w:rsid w:val="00731B9B"/>
    <w:rsid w:val="00731D48"/>
    <w:rsid w:val="00731EDC"/>
    <w:rsid w:val="00731F5A"/>
    <w:rsid w:val="007323DF"/>
    <w:rsid w:val="0073362C"/>
    <w:rsid w:val="00734091"/>
    <w:rsid w:val="00734218"/>
    <w:rsid w:val="00734290"/>
    <w:rsid w:val="00734447"/>
    <w:rsid w:val="00734484"/>
    <w:rsid w:val="0073460F"/>
    <w:rsid w:val="00734911"/>
    <w:rsid w:val="00737EC1"/>
    <w:rsid w:val="00740437"/>
    <w:rsid w:val="00740F92"/>
    <w:rsid w:val="00741DEB"/>
    <w:rsid w:val="00742076"/>
    <w:rsid w:val="00743075"/>
    <w:rsid w:val="00743FBB"/>
    <w:rsid w:val="007446C9"/>
    <w:rsid w:val="00745136"/>
    <w:rsid w:val="00745A15"/>
    <w:rsid w:val="00745A6D"/>
    <w:rsid w:val="00745DD2"/>
    <w:rsid w:val="00745EF2"/>
    <w:rsid w:val="007475FE"/>
    <w:rsid w:val="00747B0A"/>
    <w:rsid w:val="00747B75"/>
    <w:rsid w:val="00747D37"/>
    <w:rsid w:val="007505C7"/>
    <w:rsid w:val="0075099D"/>
    <w:rsid w:val="0075134A"/>
    <w:rsid w:val="00751354"/>
    <w:rsid w:val="00751963"/>
    <w:rsid w:val="007528B9"/>
    <w:rsid w:val="0075311D"/>
    <w:rsid w:val="00753AB2"/>
    <w:rsid w:val="00753BEC"/>
    <w:rsid w:val="00753C2F"/>
    <w:rsid w:val="00753FC0"/>
    <w:rsid w:val="00756232"/>
    <w:rsid w:val="00756909"/>
    <w:rsid w:val="007570F3"/>
    <w:rsid w:val="007574FB"/>
    <w:rsid w:val="007575EB"/>
    <w:rsid w:val="007607C7"/>
    <w:rsid w:val="007608AF"/>
    <w:rsid w:val="00760D10"/>
    <w:rsid w:val="007611E4"/>
    <w:rsid w:val="00762108"/>
    <w:rsid w:val="00762759"/>
    <w:rsid w:val="007627CA"/>
    <w:rsid w:val="00763142"/>
    <w:rsid w:val="00763D6E"/>
    <w:rsid w:val="00764957"/>
    <w:rsid w:val="00764A25"/>
    <w:rsid w:val="00765410"/>
    <w:rsid w:val="00767306"/>
    <w:rsid w:val="00767563"/>
    <w:rsid w:val="00767786"/>
    <w:rsid w:val="007709C0"/>
    <w:rsid w:val="00770E38"/>
    <w:rsid w:val="00771BEE"/>
    <w:rsid w:val="0077305D"/>
    <w:rsid w:val="00773E38"/>
    <w:rsid w:val="007751DE"/>
    <w:rsid w:val="0077527A"/>
    <w:rsid w:val="00775523"/>
    <w:rsid w:val="00775A85"/>
    <w:rsid w:val="007768A6"/>
    <w:rsid w:val="00776D2D"/>
    <w:rsid w:val="00776E31"/>
    <w:rsid w:val="00777490"/>
    <w:rsid w:val="00777CFB"/>
    <w:rsid w:val="00777F2B"/>
    <w:rsid w:val="007803E3"/>
    <w:rsid w:val="00780481"/>
    <w:rsid w:val="0078107C"/>
    <w:rsid w:val="0078133D"/>
    <w:rsid w:val="007819B7"/>
    <w:rsid w:val="007819F4"/>
    <w:rsid w:val="00781E34"/>
    <w:rsid w:val="00782942"/>
    <w:rsid w:val="00783F7A"/>
    <w:rsid w:val="0078418A"/>
    <w:rsid w:val="00784D5D"/>
    <w:rsid w:val="00785785"/>
    <w:rsid w:val="0078578F"/>
    <w:rsid w:val="00785AD8"/>
    <w:rsid w:val="007867EF"/>
    <w:rsid w:val="00786AB8"/>
    <w:rsid w:val="007877CF"/>
    <w:rsid w:val="007877E8"/>
    <w:rsid w:val="00787BF1"/>
    <w:rsid w:val="00787F8A"/>
    <w:rsid w:val="00790AC6"/>
    <w:rsid w:val="007910A8"/>
    <w:rsid w:val="00791486"/>
    <w:rsid w:val="00791AEC"/>
    <w:rsid w:val="00791DED"/>
    <w:rsid w:val="00792AA8"/>
    <w:rsid w:val="00793AAE"/>
    <w:rsid w:val="00793D58"/>
    <w:rsid w:val="00793FE7"/>
    <w:rsid w:val="00794079"/>
    <w:rsid w:val="00794596"/>
    <w:rsid w:val="00794972"/>
    <w:rsid w:val="00794995"/>
    <w:rsid w:val="007950F4"/>
    <w:rsid w:val="00796554"/>
    <w:rsid w:val="00796EE7"/>
    <w:rsid w:val="00797022"/>
    <w:rsid w:val="007978A7"/>
    <w:rsid w:val="00797F4B"/>
    <w:rsid w:val="007A0123"/>
    <w:rsid w:val="007A023A"/>
    <w:rsid w:val="007A025D"/>
    <w:rsid w:val="007A0639"/>
    <w:rsid w:val="007A07B4"/>
    <w:rsid w:val="007A0D93"/>
    <w:rsid w:val="007A114F"/>
    <w:rsid w:val="007A18E7"/>
    <w:rsid w:val="007A22CB"/>
    <w:rsid w:val="007A274B"/>
    <w:rsid w:val="007A2934"/>
    <w:rsid w:val="007A3ABE"/>
    <w:rsid w:val="007A42AF"/>
    <w:rsid w:val="007A4CB0"/>
    <w:rsid w:val="007A5B52"/>
    <w:rsid w:val="007A62C3"/>
    <w:rsid w:val="007A64B4"/>
    <w:rsid w:val="007A64CA"/>
    <w:rsid w:val="007A6F8A"/>
    <w:rsid w:val="007A735F"/>
    <w:rsid w:val="007A7D22"/>
    <w:rsid w:val="007B01DB"/>
    <w:rsid w:val="007B07F3"/>
    <w:rsid w:val="007B132E"/>
    <w:rsid w:val="007B1620"/>
    <w:rsid w:val="007B1A68"/>
    <w:rsid w:val="007B21A2"/>
    <w:rsid w:val="007B250E"/>
    <w:rsid w:val="007B2DA9"/>
    <w:rsid w:val="007B2F76"/>
    <w:rsid w:val="007B33AD"/>
    <w:rsid w:val="007B3912"/>
    <w:rsid w:val="007B3D31"/>
    <w:rsid w:val="007B4102"/>
    <w:rsid w:val="007B4891"/>
    <w:rsid w:val="007B5622"/>
    <w:rsid w:val="007B645B"/>
    <w:rsid w:val="007B651A"/>
    <w:rsid w:val="007B6648"/>
    <w:rsid w:val="007B6669"/>
    <w:rsid w:val="007B6B59"/>
    <w:rsid w:val="007B76C1"/>
    <w:rsid w:val="007C037C"/>
    <w:rsid w:val="007C05FE"/>
    <w:rsid w:val="007C070A"/>
    <w:rsid w:val="007C17EC"/>
    <w:rsid w:val="007C19D7"/>
    <w:rsid w:val="007C2104"/>
    <w:rsid w:val="007C2142"/>
    <w:rsid w:val="007C2430"/>
    <w:rsid w:val="007C2A63"/>
    <w:rsid w:val="007C2A6D"/>
    <w:rsid w:val="007C2BE2"/>
    <w:rsid w:val="007C311B"/>
    <w:rsid w:val="007C3390"/>
    <w:rsid w:val="007C38B3"/>
    <w:rsid w:val="007C39F1"/>
    <w:rsid w:val="007C4ABC"/>
    <w:rsid w:val="007C4ECF"/>
    <w:rsid w:val="007C506B"/>
    <w:rsid w:val="007C528F"/>
    <w:rsid w:val="007C5301"/>
    <w:rsid w:val="007C575E"/>
    <w:rsid w:val="007C5FBA"/>
    <w:rsid w:val="007C7C29"/>
    <w:rsid w:val="007D07F4"/>
    <w:rsid w:val="007D0986"/>
    <w:rsid w:val="007D15B8"/>
    <w:rsid w:val="007D173F"/>
    <w:rsid w:val="007D1955"/>
    <w:rsid w:val="007D255E"/>
    <w:rsid w:val="007D2C3A"/>
    <w:rsid w:val="007D2D1A"/>
    <w:rsid w:val="007D33A8"/>
    <w:rsid w:val="007D342F"/>
    <w:rsid w:val="007D34C7"/>
    <w:rsid w:val="007D38F2"/>
    <w:rsid w:val="007D4002"/>
    <w:rsid w:val="007D533E"/>
    <w:rsid w:val="007D5520"/>
    <w:rsid w:val="007D56DB"/>
    <w:rsid w:val="007D59A7"/>
    <w:rsid w:val="007D68D0"/>
    <w:rsid w:val="007D698B"/>
    <w:rsid w:val="007D731F"/>
    <w:rsid w:val="007D74EA"/>
    <w:rsid w:val="007D7706"/>
    <w:rsid w:val="007D7BB6"/>
    <w:rsid w:val="007E0571"/>
    <w:rsid w:val="007E136B"/>
    <w:rsid w:val="007E2322"/>
    <w:rsid w:val="007E27B8"/>
    <w:rsid w:val="007E2843"/>
    <w:rsid w:val="007E2ADE"/>
    <w:rsid w:val="007E2B42"/>
    <w:rsid w:val="007E302A"/>
    <w:rsid w:val="007E332A"/>
    <w:rsid w:val="007E3440"/>
    <w:rsid w:val="007E3662"/>
    <w:rsid w:val="007E3B18"/>
    <w:rsid w:val="007E4D6E"/>
    <w:rsid w:val="007E5227"/>
    <w:rsid w:val="007E5294"/>
    <w:rsid w:val="007E5297"/>
    <w:rsid w:val="007E5CD0"/>
    <w:rsid w:val="007E5D35"/>
    <w:rsid w:val="007E6106"/>
    <w:rsid w:val="007E6544"/>
    <w:rsid w:val="007E7986"/>
    <w:rsid w:val="007E7F06"/>
    <w:rsid w:val="007F0191"/>
    <w:rsid w:val="007F0A25"/>
    <w:rsid w:val="007F0C5B"/>
    <w:rsid w:val="007F1704"/>
    <w:rsid w:val="007F22CB"/>
    <w:rsid w:val="007F2305"/>
    <w:rsid w:val="007F24BF"/>
    <w:rsid w:val="007F26C3"/>
    <w:rsid w:val="007F27A6"/>
    <w:rsid w:val="007F27E5"/>
    <w:rsid w:val="007F2B04"/>
    <w:rsid w:val="007F2EEE"/>
    <w:rsid w:val="007F3E08"/>
    <w:rsid w:val="007F4283"/>
    <w:rsid w:val="007F477B"/>
    <w:rsid w:val="007F52A6"/>
    <w:rsid w:val="007F5789"/>
    <w:rsid w:val="007F68DA"/>
    <w:rsid w:val="007F6922"/>
    <w:rsid w:val="007F69DA"/>
    <w:rsid w:val="007F6CA4"/>
    <w:rsid w:val="007F767F"/>
    <w:rsid w:val="008004E7"/>
    <w:rsid w:val="0080276C"/>
    <w:rsid w:val="008034CE"/>
    <w:rsid w:val="0080363A"/>
    <w:rsid w:val="008039C2"/>
    <w:rsid w:val="00803A34"/>
    <w:rsid w:val="0080426F"/>
    <w:rsid w:val="00805112"/>
    <w:rsid w:val="008056C1"/>
    <w:rsid w:val="00805AF4"/>
    <w:rsid w:val="008060C8"/>
    <w:rsid w:val="008062D9"/>
    <w:rsid w:val="00806D2C"/>
    <w:rsid w:val="00807045"/>
    <w:rsid w:val="00807119"/>
    <w:rsid w:val="00807232"/>
    <w:rsid w:val="008100B6"/>
    <w:rsid w:val="008100F9"/>
    <w:rsid w:val="00810266"/>
    <w:rsid w:val="00810297"/>
    <w:rsid w:val="008106D4"/>
    <w:rsid w:val="00810F5C"/>
    <w:rsid w:val="00811B35"/>
    <w:rsid w:val="00811CA9"/>
    <w:rsid w:val="0081234D"/>
    <w:rsid w:val="00812723"/>
    <w:rsid w:val="00812935"/>
    <w:rsid w:val="00813FAA"/>
    <w:rsid w:val="008143A6"/>
    <w:rsid w:val="00814A6A"/>
    <w:rsid w:val="00814C50"/>
    <w:rsid w:val="00814CBF"/>
    <w:rsid w:val="00814ED4"/>
    <w:rsid w:val="00814FE4"/>
    <w:rsid w:val="008150C6"/>
    <w:rsid w:val="008152E3"/>
    <w:rsid w:val="0081557C"/>
    <w:rsid w:val="00815616"/>
    <w:rsid w:val="008156C8"/>
    <w:rsid w:val="008159B1"/>
    <w:rsid w:val="00815F6D"/>
    <w:rsid w:val="008164CE"/>
    <w:rsid w:val="00816563"/>
    <w:rsid w:val="0081670C"/>
    <w:rsid w:val="008168EF"/>
    <w:rsid w:val="00816D09"/>
    <w:rsid w:val="008174EF"/>
    <w:rsid w:val="00817F7D"/>
    <w:rsid w:val="0082024D"/>
    <w:rsid w:val="00820282"/>
    <w:rsid w:val="00820ED7"/>
    <w:rsid w:val="0082117F"/>
    <w:rsid w:val="008211A1"/>
    <w:rsid w:val="00821436"/>
    <w:rsid w:val="008219DF"/>
    <w:rsid w:val="00823CBA"/>
    <w:rsid w:val="00824908"/>
    <w:rsid w:val="00825A8E"/>
    <w:rsid w:val="0082603C"/>
    <w:rsid w:val="0082619C"/>
    <w:rsid w:val="008265E1"/>
    <w:rsid w:val="00826F85"/>
    <w:rsid w:val="00830499"/>
    <w:rsid w:val="008305B4"/>
    <w:rsid w:val="008309AD"/>
    <w:rsid w:val="00831235"/>
    <w:rsid w:val="008314F8"/>
    <w:rsid w:val="008317E7"/>
    <w:rsid w:val="008318AB"/>
    <w:rsid w:val="00831A0D"/>
    <w:rsid w:val="00831A1D"/>
    <w:rsid w:val="00832590"/>
    <w:rsid w:val="00832BA3"/>
    <w:rsid w:val="00832DFD"/>
    <w:rsid w:val="00832EC1"/>
    <w:rsid w:val="00833474"/>
    <w:rsid w:val="008334DA"/>
    <w:rsid w:val="0083361C"/>
    <w:rsid w:val="00833824"/>
    <w:rsid w:val="008338E9"/>
    <w:rsid w:val="008347DC"/>
    <w:rsid w:val="0083494C"/>
    <w:rsid w:val="0083617F"/>
    <w:rsid w:val="00836AD2"/>
    <w:rsid w:val="008372A7"/>
    <w:rsid w:val="008375CC"/>
    <w:rsid w:val="00837910"/>
    <w:rsid w:val="00837B96"/>
    <w:rsid w:val="008410C0"/>
    <w:rsid w:val="008415CC"/>
    <w:rsid w:val="00841E9B"/>
    <w:rsid w:val="008421DE"/>
    <w:rsid w:val="00842862"/>
    <w:rsid w:val="00842CC8"/>
    <w:rsid w:val="00842FEC"/>
    <w:rsid w:val="0084490A"/>
    <w:rsid w:val="00845199"/>
    <w:rsid w:val="0084569B"/>
    <w:rsid w:val="00845C1D"/>
    <w:rsid w:val="0084626C"/>
    <w:rsid w:val="008464D7"/>
    <w:rsid w:val="00846A53"/>
    <w:rsid w:val="00846E01"/>
    <w:rsid w:val="0084716C"/>
    <w:rsid w:val="008473E2"/>
    <w:rsid w:val="00847587"/>
    <w:rsid w:val="008475EE"/>
    <w:rsid w:val="00847A8B"/>
    <w:rsid w:val="00847ABE"/>
    <w:rsid w:val="00847C42"/>
    <w:rsid w:val="00847DFE"/>
    <w:rsid w:val="00847E1E"/>
    <w:rsid w:val="008507F2"/>
    <w:rsid w:val="00851111"/>
    <w:rsid w:val="008518CC"/>
    <w:rsid w:val="008525CF"/>
    <w:rsid w:val="00852794"/>
    <w:rsid w:val="00853837"/>
    <w:rsid w:val="0085393C"/>
    <w:rsid w:val="008542CC"/>
    <w:rsid w:val="00854E0A"/>
    <w:rsid w:val="00855030"/>
    <w:rsid w:val="0085511A"/>
    <w:rsid w:val="00855846"/>
    <w:rsid w:val="008564C0"/>
    <w:rsid w:val="00856D6B"/>
    <w:rsid w:val="00856FFD"/>
    <w:rsid w:val="00857051"/>
    <w:rsid w:val="008572F0"/>
    <w:rsid w:val="00857C8A"/>
    <w:rsid w:val="00860003"/>
    <w:rsid w:val="00860327"/>
    <w:rsid w:val="008605D3"/>
    <w:rsid w:val="00860973"/>
    <w:rsid w:val="00860B77"/>
    <w:rsid w:val="00860DAE"/>
    <w:rsid w:val="008610C9"/>
    <w:rsid w:val="0086183E"/>
    <w:rsid w:val="008619A2"/>
    <w:rsid w:val="00861ACD"/>
    <w:rsid w:val="008626A4"/>
    <w:rsid w:val="0086362E"/>
    <w:rsid w:val="00863CCB"/>
    <w:rsid w:val="008648B5"/>
    <w:rsid w:val="00864C31"/>
    <w:rsid w:val="008652DE"/>
    <w:rsid w:val="008659B0"/>
    <w:rsid w:val="0086641A"/>
    <w:rsid w:val="0086681C"/>
    <w:rsid w:val="0086693E"/>
    <w:rsid w:val="00867274"/>
    <w:rsid w:val="008676D7"/>
    <w:rsid w:val="00867F68"/>
    <w:rsid w:val="00870AA6"/>
    <w:rsid w:val="00871C2C"/>
    <w:rsid w:val="00872CE2"/>
    <w:rsid w:val="00872F4B"/>
    <w:rsid w:val="008737D3"/>
    <w:rsid w:val="008737E7"/>
    <w:rsid w:val="00873E55"/>
    <w:rsid w:val="00874152"/>
    <w:rsid w:val="00874265"/>
    <w:rsid w:val="0087471A"/>
    <w:rsid w:val="008751A4"/>
    <w:rsid w:val="00876B8C"/>
    <w:rsid w:val="00876C70"/>
    <w:rsid w:val="00877136"/>
    <w:rsid w:val="008771DB"/>
    <w:rsid w:val="0087773C"/>
    <w:rsid w:val="00877CBF"/>
    <w:rsid w:val="00877E9B"/>
    <w:rsid w:val="008801DA"/>
    <w:rsid w:val="008802D8"/>
    <w:rsid w:val="008824EA"/>
    <w:rsid w:val="008825B9"/>
    <w:rsid w:val="00882A38"/>
    <w:rsid w:val="00882D53"/>
    <w:rsid w:val="00883437"/>
    <w:rsid w:val="008834C5"/>
    <w:rsid w:val="00883C24"/>
    <w:rsid w:val="0088403A"/>
    <w:rsid w:val="008840E9"/>
    <w:rsid w:val="0088437C"/>
    <w:rsid w:val="0088439C"/>
    <w:rsid w:val="00884BA3"/>
    <w:rsid w:val="00884D3D"/>
    <w:rsid w:val="008853F8"/>
    <w:rsid w:val="00885935"/>
    <w:rsid w:val="00885D5D"/>
    <w:rsid w:val="00886786"/>
    <w:rsid w:val="00886B87"/>
    <w:rsid w:val="008871F6"/>
    <w:rsid w:val="00887692"/>
    <w:rsid w:val="00887895"/>
    <w:rsid w:val="00887E2F"/>
    <w:rsid w:val="008901BF"/>
    <w:rsid w:val="0089191E"/>
    <w:rsid w:val="00892070"/>
    <w:rsid w:val="008935F4"/>
    <w:rsid w:val="008937F7"/>
    <w:rsid w:val="00893BA1"/>
    <w:rsid w:val="00893C3A"/>
    <w:rsid w:val="00893C5D"/>
    <w:rsid w:val="00893D0D"/>
    <w:rsid w:val="00893E02"/>
    <w:rsid w:val="008941D2"/>
    <w:rsid w:val="00894269"/>
    <w:rsid w:val="00894593"/>
    <w:rsid w:val="00894623"/>
    <w:rsid w:val="008949AF"/>
    <w:rsid w:val="00894AD7"/>
    <w:rsid w:val="00894D44"/>
    <w:rsid w:val="00895006"/>
    <w:rsid w:val="008953BD"/>
    <w:rsid w:val="00895AEC"/>
    <w:rsid w:val="00895D0E"/>
    <w:rsid w:val="00896007"/>
    <w:rsid w:val="008964EB"/>
    <w:rsid w:val="008976E0"/>
    <w:rsid w:val="00897780"/>
    <w:rsid w:val="008A0068"/>
    <w:rsid w:val="008A0306"/>
    <w:rsid w:val="008A0593"/>
    <w:rsid w:val="008A12C0"/>
    <w:rsid w:val="008A1CE8"/>
    <w:rsid w:val="008A322A"/>
    <w:rsid w:val="008A32D9"/>
    <w:rsid w:val="008A3F46"/>
    <w:rsid w:val="008A4628"/>
    <w:rsid w:val="008A473B"/>
    <w:rsid w:val="008A4EC2"/>
    <w:rsid w:val="008A5620"/>
    <w:rsid w:val="008A5D07"/>
    <w:rsid w:val="008A5E69"/>
    <w:rsid w:val="008A673E"/>
    <w:rsid w:val="008A7687"/>
    <w:rsid w:val="008A7CBE"/>
    <w:rsid w:val="008B042C"/>
    <w:rsid w:val="008B07C5"/>
    <w:rsid w:val="008B1017"/>
    <w:rsid w:val="008B18B1"/>
    <w:rsid w:val="008B1B4A"/>
    <w:rsid w:val="008B1D6B"/>
    <w:rsid w:val="008B2DD3"/>
    <w:rsid w:val="008B3366"/>
    <w:rsid w:val="008B3A65"/>
    <w:rsid w:val="008B47CB"/>
    <w:rsid w:val="008B4A97"/>
    <w:rsid w:val="008B509B"/>
    <w:rsid w:val="008B534C"/>
    <w:rsid w:val="008B58ED"/>
    <w:rsid w:val="008B5974"/>
    <w:rsid w:val="008B59AB"/>
    <w:rsid w:val="008B5B6B"/>
    <w:rsid w:val="008B6059"/>
    <w:rsid w:val="008B6A6C"/>
    <w:rsid w:val="008B6F86"/>
    <w:rsid w:val="008B7820"/>
    <w:rsid w:val="008B799C"/>
    <w:rsid w:val="008C00FE"/>
    <w:rsid w:val="008C0873"/>
    <w:rsid w:val="008C15BB"/>
    <w:rsid w:val="008C1C64"/>
    <w:rsid w:val="008C24B8"/>
    <w:rsid w:val="008C28E5"/>
    <w:rsid w:val="008C3050"/>
    <w:rsid w:val="008C33A6"/>
    <w:rsid w:val="008C37B6"/>
    <w:rsid w:val="008C380F"/>
    <w:rsid w:val="008C3CA8"/>
    <w:rsid w:val="008C4506"/>
    <w:rsid w:val="008C4603"/>
    <w:rsid w:val="008C4C0A"/>
    <w:rsid w:val="008C4E5F"/>
    <w:rsid w:val="008C5DB5"/>
    <w:rsid w:val="008C5EB7"/>
    <w:rsid w:val="008C68FC"/>
    <w:rsid w:val="008C6C82"/>
    <w:rsid w:val="008C6F51"/>
    <w:rsid w:val="008D067F"/>
    <w:rsid w:val="008D0751"/>
    <w:rsid w:val="008D133F"/>
    <w:rsid w:val="008D15F7"/>
    <w:rsid w:val="008D172E"/>
    <w:rsid w:val="008D1D6E"/>
    <w:rsid w:val="008D1F56"/>
    <w:rsid w:val="008D1FDE"/>
    <w:rsid w:val="008D23C3"/>
    <w:rsid w:val="008D2D1B"/>
    <w:rsid w:val="008D351D"/>
    <w:rsid w:val="008D3593"/>
    <w:rsid w:val="008D371B"/>
    <w:rsid w:val="008D378F"/>
    <w:rsid w:val="008D38D9"/>
    <w:rsid w:val="008D4133"/>
    <w:rsid w:val="008D48FC"/>
    <w:rsid w:val="008D4BCD"/>
    <w:rsid w:val="008D4F65"/>
    <w:rsid w:val="008D607E"/>
    <w:rsid w:val="008D666E"/>
    <w:rsid w:val="008D6D3F"/>
    <w:rsid w:val="008D7405"/>
    <w:rsid w:val="008D791A"/>
    <w:rsid w:val="008E01EA"/>
    <w:rsid w:val="008E0236"/>
    <w:rsid w:val="008E04EF"/>
    <w:rsid w:val="008E0646"/>
    <w:rsid w:val="008E06B7"/>
    <w:rsid w:val="008E07CB"/>
    <w:rsid w:val="008E0B3A"/>
    <w:rsid w:val="008E0E0E"/>
    <w:rsid w:val="008E1476"/>
    <w:rsid w:val="008E1C45"/>
    <w:rsid w:val="008E1F21"/>
    <w:rsid w:val="008E203D"/>
    <w:rsid w:val="008E242E"/>
    <w:rsid w:val="008E2917"/>
    <w:rsid w:val="008E2A08"/>
    <w:rsid w:val="008E2F4F"/>
    <w:rsid w:val="008E3A6E"/>
    <w:rsid w:val="008E3D93"/>
    <w:rsid w:val="008E4228"/>
    <w:rsid w:val="008E42D9"/>
    <w:rsid w:val="008E4FFC"/>
    <w:rsid w:val="008E5DBD"/>
    <w:rsid w:val="008E5ED2"/>
    <w:rsid w:val="008E647B"/>
    <w:rsid w:val="008E6CE6"/>
    <w:rsid w:val="008E6D21"/>
    <w:rsid w:val="008E7022"/>
    <w:rsid w:val="008E7428"/>
    <w:rsid w:val="008E77B7"/>
    <w:rsid w:val="008E7862"/>
    <w:rsid w:val="008E7B61"/>
    <w:rsid w:val="008E7F13"/>
    <w:rsid w:val="008F0087"/>
    <w:rsid w:val="008F00D4"/>
    <w:rsid w:val="008F08C2"/>
    <w:rsid w:val="008F0AEF"/>
    <w:rsid w:val="008F14BB"/>
    <w:rsid w:val="008F16A3"/>
    <w:rsid w:val="008F1A1C"/>
    <w:rsid w:val="008F20EF"/>
    <w:rsid w:val="008F2B32"/>
    <w:rsid w:val="008F2CF0"/>
    <w:rsid w:val="008F2F24"/>
    <w:rsid w:val="008F352F"/>
    <w:rsid w:val="008F3637"/>
    <w:rsid w:val="008F389B"/>
    <w:rsid w:val="008F3941"/>
    <w:rsid w:val="008F3AE2"/>
    <w:rsid w:val="008F3D13"/>
    <w:rsid w:val="008F4230"/>
    <w:rsid w:val="008F4E92"/>
    <w:rsid w:val="008F5E9F"/>
    <w:rsid w:val="008F6221"/>
    <w:rsid w:val="008F68CA"/>
    <w:rsid w:val="008F6FCE"/>
    <w:rsid w:val="008F722B"/>
    <w:rsid w:val="008F777B"/>
    <w:rsid w:val="008F7786"/>
    <w:rsid w:val="008F7C14"/>
    <w:rsid w:val="008F7CCE"/>
    <w:rsid w:val="008F7F4C"/>
    <w:rsid w:val="008F7F93"/>
    <w:rsid w:val="009006D8"/>
    <w:rsid w:val="00900724"/>
    <w:rsid w:val="00902015"/>
    <w:rsid w:val="00902E56"/>
    <w:rsid w:val="00902FC2"/>
    <w:rsid w:val="00902FC6"/>
    <w:rsid w:val="0090343A"/>
    <w:rsid w:val="00903522"/>
    <w:rsid w:val="00903547"/>
    <w:rsid w:val="00903768"/>
    <w:rsid w:val="00903834"/>
    <w:rsid w:val="009038A1"/>
    <w:rsid w:val="00903924"/>
    <w:rsid w:val="00903D99"/>
    <w:rsid w:val="00904141"/>
    <w:rsid w:val="00904446"/>
    <w:rsid w:val="0090445B"/>
    <w:rsid w:val="009045E5"/>
    <w:rsid w:val="00904B5E"/>
    <w:rsid w:val="009050A2"/>
    <w:rsid w:val="0090511C"/>
    <w:rsid w:val="00905226"/>
    <w:rsid w:val="00905484"/>
    <w:rsid w:val="009056F6"/>
    <w:rsid w:val="00905A73"/>
    <w:rsid w:val="00905DB3"/>
    <w:rsid w:val="009064E2"/>
    <w:rsid w:val="009069A6"/>
    <w:rsid w:val="00906B7F"/>
    <w:rsid w:val="00906CC1"/>
    <w:rsid w:val="00907359"/>
    <w:rsid w:val="009077C7"/>
    <w:rsid w:val="00907837"/>
    <w:rsid w:val="0091195D"/>
    <w:rsid w:val="00911C5A"/>
    <w:rsid w:val="00911F67"/>
    <w:rsid w:val="00912097"/>
    <w:rsid w:val="0091220E"/>
    <w:rsid w:val="00912547"/>
    <w:rsid w:val="009126B4"/>
    <w:rsid w:val="009126CC"/>
    <w:rsid w:val="0091300E"/>
    <w:rsid w:val="009142E2"/>
    <w:rsid w:val="0091454E"/>
    <w:rsid w:val="0091465A"/>
    <w:rsid w:val="00915049"/>
    <w:rsid w:val="0091516E"/>
    <w:rsid w:val="0091527F"/>
    <w:rsid w:val="00915EFE"/>
    <w:rsid w:val="00916366"/>
    <w:rsid w:val="009166AD"/>
    <w:rsid w:val="009169F0"/>
    <w:rsid w:val="00917105"/>
    <w:rsid w:val="0091754E"/>
    <w:rsid w:val="00917A70"/>
    <w:rsid w:val="00917AB9"/>
    <w:rsid w:val="00917E4B"/>
    <w:rsid w:val="00920216"/>
    <w:rsid w:val="00920463"/>
    <w:rsid w:val="009208FA"/>
    <w:rsid w:val="009231E5"/>
    <w:rsid w:val="00923252"/>
    <w:rsid w:val="00923541"/>
    <w:rsid w:val="009238C7"/>
    <w:rsid w:val="00923D68"/>
    <w:rsid w:val="00923FE5"/>
    <w:rsid w:val="009244CE"/>
    <w:rsid w:val="009245CA"/>
    <w:rsid w:val="00924C03"/>
    <w:rsid w:val="00924CE8"/>
    <w:rsid w:val="00925227"/>
    <w:rsid w:val="00925FE9"/>
    <w:rsid w:val="00926109"/>
    <w:rsid w:val="00926343"/>
    <w:rsid w:val="0092643E"/>
    <w:rsid w:val="009264E3"/>
    <w:rsid w:val="009268E2"/>
    <w:rsid w:val="00926929"/>
    <w:rsid w:val="00926E4D"/>
    <w:rsid w:val="009272DF"/>
    <w:rsid w:val="00927E72"/>
    <w:rsid w:val="00930514"/>
    <w:rsid w:val="00930973"/>
    <w:rsid w:val="009313E5"/>
    <w:rsid w:val="00931AEC"/>
    <w:rsid w:val="0093256E"/>
    <w:rsid w:val="0093352D"/>
    <w:rsid w:val="0093392F"/>
    <w:rsid w:val="00934131"/>
    <w:rsid w:val="00934AF6"/>
    <w:rsid w:val="0093508D"/>
    <w:rsid w:val="00935A86"/>
    <w:rsid w:val="009362EF"/>
    <w:rsid w:val="00936E44"/>
    <w:rsid w:val="0093707E"/>
    <w:rsid w:val="00937145"/>
    <w:rsid w:val="009400C5"/>
    <w:rsid w:val="00940185"/>
    <w:rsid w:val="0094082E"/>
    <w:rsid w:val="00940969"/>
    <w:rsid w:val="00940B59"/>
    <w:rsid w:val="00940BCD"/>
    <w:rsid w:val="00940C1C"/>
    <w:rsid w:val="00941279"/>
    <w:rsid w:val="00941835"/>
    <w:rsid w:val="00941DB5"/>
    <w:rsid w:val="00941F2B"/>
    <w:rsid w:val="009422FD"/>
    <w:rsid w:val="00942471"/>
    <w:rsid w:val="009424B8"/>
    <w:rsid w:val="00942728"/>
    <w:rsid w:val="00942BDF"/>
    <w:rsid w:val="00942D8A"/>
    <w:rsid w:val="009430E0"/>
    <w:rsid w:val="0094321F"/>
    <w:rsid w:val="009434A8"/>
    <w:rsid w:val="00943622"/>
    <w:rsid w:val="00943BEB"/>
    <w:rsid w:val="00945093"/>
    <w:rsid w:val="00945562"/>
    <w:rsid w:val="00946188"/>
    <w:rsid w:val="009462D5"/>
    <w:rsid w:val="0094639A"/>
    <w:rsid w:val="00950ECE"/>
    <w:rsid w:val="00950FA7"/>
    <w:rsid w:val="00951741"/>
    <w:rsid w:val="00951936"/>
    <w:rsid w:val="00951BCE"/>
    <w:rsid w:val="00952025"/>
    <w:rsid w:val="0095210D"/>
    <w:rsid w:val="009523B9"/>
    <w:rsid w:val="009524CF"/>
    <w:rsid w:val="00952530"/>
    <w:rsid w:val="009531F6"/>
    <w:rsid w:val="009537F8"/>
    <w:rsid w:val="00953C53"/>
    <w:rsid w:val="0095443D"/>
    <w:rsid w:val="0095456C"/>
    <w:rsid w:val="009547B3"/>
    <w:rsid w:val="00954FC2"/>
    <w:rsid w:val="00955714"/>
    <w:rsid w:val="00956291"/>
    <w:rsid w:val="00956905"/>
    <w:rsid w:val="00957983"/>
    <w:rsid w:val="00957BC0"/>
    <w:rsid w:val="0096039F"/>
    <w:rsid w:val="00960D78"/>
    <w:rsid w:val="00960F95"/>
    <w:rsid w:val="009610E7"/>
    <w:rsid w:val="00961290"/>
    <w:rsid w:val="009614C6"/>
    <w:rsid w:val="0096167A"/>
    <w:rsid w:val="00962BFB"/>
    <w:rsid w:val="00962E1C"/>
    <w:rsid w:val="0096349D"/>
    <w:rsid w:val="009635CF"/>
    <w:rsid w:val="00963D64"/>
    <w:rsid w:val="00964195"/>
    <w:rsid w:val="009644AB"/>
    <w:rsid w:val="00964954"/>
    <w:rsid w:val="009649F7"/>
    <w:rsid w:val="00964DB1"/>
    <w:rsid w:val="009654A1"/>
    <w:rsid w:val="009659EB"/>
    <w:rsid w:val="0096613F"/>
    <w:rsid w:val="009666AC"/>
    <w:rsid w:val="00966DEC"/>
    <w:rsid w:val="009670F8"/>
    <w:rsid w:val="0096714C"/>
    <w:rsid w:val="00967C9D"/>
    <w:rsid w:val="00970D4A"/>
    <w:rsid w:val="009714B1"/>
    <w:rsid w:val="00971A5C"/>
    <w:rsid w:val="0097264C"/>
    <w:rsid w:val="00973223"/>
    <w:rsid w:val="0097322D"/>
    <w:rsid w:val="00973EEE"/>
    <w:rsid w:val="009742DB"/>
    <w:rsid w:val="00974308"/>
    <w:rsid w:val="009745A1"/>
    <w:rsid w:val="009755B3"/>
    <w:rsid w:val="00975EC3"/>
    <w:rsid w:val="00976433"/>
    <w:rsid w:val="009764A1"/>
    <w:rsid w:val="0097673B"/>
    <w:rsid w:val="00976905"/>
    <w:rsid w:val="00976BE3"/>
    <w:rsid w:val="00976DD1"/>
    <w:rsid w:val="00977A24"/>
    <w:rsid w:val="00977B0B"/>
    <w:rsid w:val="00977F5A"/>
    <w:rsid w:val="009800C6"/>
    <w:rsid w:val="0098129F"/>
    <w:rsid w:val="00981966"/>
    <w:rsid w:val="00981F0D"/>
    <w:rsid w:val="009820BA"/>
    <w:rsid w:val="00982AF2"/>
    <w:rsid w:val="00982D39"/>
    <w:rsid w:val="0098305F"/>
    <w:rsid w:val="00983CA5"/>
    <w:rsid w:val="00984013"/>
    <w:rsid w:val="009840C6"/>
    <w:rsid w:val="00984DE3"/>
    <w:rsid w:val="0098513F"/>
    <w:rsid w:val="0098575B"/>
    <w:rsid w:val="0098680B"/>
    <w:rsid w:val="009869D2"/>
    <w:rsid w:val="00987164"/>
    <w:rsid w:val="00990294"/>
    <w:rsid w:val="00990380"/>
    <w:rsid w:val="00990911"/>
    <w:rsid w:val="00990D3A"/>
    <w:rsid w:val="00990DC2"/>
    <w:rsid w:val="009917D9"/>
    <w:rsid w:val="00992166"/>
    <w:rsid w:val="009921DB"/>
    <w:rsid w:val="009927DA"/>
    <w:rsid w:val="00992CBA"/>
    <w:rsid w:val="00993734"/>
    <w:rsid w:val="009940EF"/>
    <w:rsid w:val="009941AC"/>
    <w:rsid w:val="00994A8D"/>
    <w:rsid w:val="00994D06"/>
    <w:rsid w:val="00994FD3"/>
    <w:rsid w:val="00995D6D"/>
    <w:rsid w:val="00995F2E"/>
    <w:rsid w:val="0099633E"/>
    <w:rsid w:val="009967A6"/>
    <w:rsid w:val="009970B1"/>
    <w:rsid w:val="009973B2"/>
    <w:rsid w:val="00997B80"/>
    <w:rsid w:val="00997CF0"/>
    <w:rsid w:val="009A04A7"/>
    <w:rsid w:val="009A06D3"/>
    <w:rsid w:val="009A0BBC"/>
    <w:rsid w:val="009A1651"/>
    <w:rsid w:val="009A1956"/>
    <w:rsid w:val="009A22E4"/>
    <w:rsid w:val="009A2FDC"/>
    <w:rsid w:val="009A3A9B"/>
    <w:rsid w:val="009A4BA9"/>
    <w:rsid w:val="009A5197"/>
    <w:rsid w:val="009A5240"/>
    <w:rsid w:val="009A5AFD"/>
    <w:rsid w:val="009A5BED"/>
    <w:rsid w:val="009A68DC"/>
    <w:rsid w:val="009A6D5F"/>
    <w:rsid w:val="009A6EFD"/>
    <w:rsid w:val="009A7147"/>
    <w:rsid w:val="009A72D9"/>
    <w:rsid w:val="009A74DC"/>
    <w:rsid w:val="009A7AD6"/>
    <w:rsid w:val="009B0E5C"/>
    <w:rsid w:val="009B1594"/>
    <w:rsid w:val="009B2525"/>
    <w:rsid w:val="009B2CB9"/>
    <w:rsid w:val="009B2D9C"/>
    <w:rsid w:val="009B2E95"/>
    <w:rsid w:val="009B2F2B"/>
    <w:rsid w:val="009B39DC"/>
    <w:rsid w:val="009B3B67"/>
    <w:rsid w:val="009B3F4B"/>
    <w:rsid w:val="009B4787"/>
    <w:rsid w:val="009B4B85"/>
    <w:rsid w:val="009B4FE0"/>
    <w:rsid w:val="009B594F"/>
    <w:rsid w:val="009B5FF8"/>
    <w:rsid w:val="009B61E7"/>
    <w:rsid w:val="009B64FE"/>
    <w:rsid w:val="009B6C2D"/>
    <w:rsid w:val="009C02E4"/>
    <w:rsid w:val="009C0959"/>
    <w:rsid w:val="009C0AF0"/>
    <w:rsid w:val="009C158E"/>
    <w:rsid w:val="009C1FC4"/>
    <w:rsid w:val="009C27EB"/>
    <w:rsid w:val="009C2B28"/>
    <w:rsid w:val="009C30CA"/>
    <w:rsid w:val="009C3CA0"/>
    <w:rsid w:val="009C45A3"/>
    <w:rsid w:val="009C52EF"/>
    <w:rsid w:val="009C5F53"/>
    <w:rsid w:val="009C64DD"/>
    <w:rsid w:val="009C6A4E"/>
    <w:rsid w:val="009C6E72"/>
    <w:rsid w:val="009C6EFD"/>
    <w:rsid w:val="009C70F3"/>
    <w:rsid w:val="009C72EE"/>
    <w:rsid w:val="009C7556"/>
    <w:rsid w:val="009C7B93"/>
    <w:rsid w:val="009D002E"/>
    <w:rsid w:val="009D0931"/>
    <w:rsid w:val="009D1510"/>
    <w:rsid w:val="009D17E0"/>
    <w:rsid w:val="009D1E55"/>
    <w:rsid w:val="009D379E"/>
    <w:rsid w:val="009D3C3F"/>
    <w:rsid w:val="009D40A3"/>
    <w:rsid w:val="009D4415"/>
    <w:rsid w:val="009D48FD"/>
    <w:rsid w:val="009D4D67"/>
    <w:rsid w:val="009D553F"/>
    <w:rsid w:val="009D5EDF"/>
    <w:rsid w:val="009D635B"/>
    <w:rsid w:val="009D6430"/>
    <w:rsid w:val="009D65B7"/>
    <w:rsid w:val="009D66DC"/>
    <w:rsid w:val="009D6C34"/>
    <w:rsid w:val="009D7DCA"/>
    <w:rsid w:val="009D7F6F"/>
    <w:rsid w:val="009E0393"/>
    <w:rsid w:val="009E07D3"/>
    <w:rsid w:val="009E0966"/>
    <w:rsid w:val="009E0A37"/>
    <w:rsid w:val="009E233D"/>
    <w:rsid w:val="009E2A10"/>
    <w:rsid w:val="009E2B24"/>
    <w:rsid w:val="009E2E57"/>
    <w:rsid w:val="009E2F12"/>
    <w:rsid w:val="009E371D"/>
    <w:rsid w:val="009E4401"/>
    <w:rsid w:val="009E46E6"/>
    <w:rsid w:val="009E4F52"/>
    <w:rsid w:val="009E52D1"/>
    <w:rsid w:val="009E557B"/>
    <w:rsid w:val="009E6050"/>
    <w:rsid w:val="009E74D4"/>
    <w:rsid w:val="009E7770"/>
    <w:rsid w:val="009F06F2"/>
    <w:rsid w:val="009F155C"/>
    <w:rsid w:val="009F19F4"/>
    <w:rsid w:val="009F1CDC"/>
    <w:rsid w:val="009F2017"/>
    <w:rsid w:val="009F223F"/>
    <w:rsid w:val="009F2DFF"/>
    <w:rsid w:val="009F2E64"/>
    <w:rsid w:val="009F2F4A"/>
    <w:rsid w:val="009F36B2"/>
    <w:rsid w:val="009F381D"/>
    <w:rsid w:val="009F444B"/>
    <w:rsid w:val="009F49A4"/>
    <w:rsid w:val="009F4D40"/>
    <w:rsid w:val="009F501D"/>
    <w:rsid w:val="009F562C"/>
    <w:rsid w:val="009F5DF8"/>
    <w:rsid w:val="009F601F"/>
    <w:rsid w:val="009F635E"/>
    <w:rsid w:val="009F663C"/>
    <w:rsid w:val="009F69F0"/>
    <w:rsid w:val="009F7DA3"/>
    <w:rsid w:val="00A00062"/>
    <w:rsid w:val="00A00DEC"/>
    <w:rsid w:val="00A0238F"/>
    <w:rsid w:val="00A023B2"/>
    <w:rsid w:val="00A02BD5"/>
    <w:rsid w:val="00A02C5D"/>
    <w:rsid w:val="00A03DF9"/>
    <w:rsid w:val="00A04489"/>
    <w:rsid w:val="00A044AC"/>
    <w:rsid w:val="00A04C44"/>
    <w:rsid w:val="00A04F37"/>
    <w:rsid w:val="00A05927"/>
    <w:rsid w:val="00A06603"/>
    <w:rsid w:val="00A066C2"/>
    <w:rsid w:val="00A06FC0"/>
    <w:rsid w:val="00A0733B"/>
    <w:rsid w:val="00A105A9"/>
    <w:rsid w:val="00A1068D"/>
    <w:rsid w:val="00A10F0F"/>
    <w:rsid w:val="00A1184C"/>
    <w:rsid w:val="00A128B4"/>
    <w:rsid w:val="00A12F57"/>
    <w:rsid w:val="00A13423"/>
    <w:rsid w:val="00A13EB0"/>
    <w:rsid w:val="00A14039"/>
    <w:rsid w:val="00A1446B"/>
    <w:rsid w:val="00A14611"/>
    <w:rsid w:val="00A146FA"/>
    <w:rsid w:val="00A148F4"/>
    <w:rsid w:val="00A14BCB"/>
    <w:rsid w:val="00A14DBC"/>
    <w:rsid w:val="00A153E8"/>
    <w:rsid w:val="00A159E5"/>
    <w:rsid w:val="00A15D7D"/>
    <w:rsid w:val="00A167F2"/>
    <w:rsid w:val="00A16E7C"/>
    <w:rsid w:val="00A16F6D"/>
    <w:rsid w:val="00A17176"/>
    <w:rsid w:val="00A17918"/>
    <w:rsid w:val="00A17B55"/>
    <w:rsid w:val="00A17EFE"/>
    <w:rsid w:val="00A17FC9"/>
    <w:rsid w:val="00A20686"/>
    <w:rsid w:val="00A206B3"/>
    <w:rsid w:val="00A20B6F"/>
    <w:rsid w:val="00A20C78"/>
    <w:rsid w:val="00A211C5"/>
    <w:rsid w:val="00A21C10"/>
    <w:rsid w:val="00A22324"/>
    <w:rsid w:val="00A22444"/>
    <w:rsid w:val="00A224E2"/>
    <w:rsid w:val="00A22820"/>
    <w:rsid w:val="00A22DB5"/>
    <w:rsid w:val="00A2312E"/>
    <w:rsid w:val="00A236B0"/>
    <w:rsid w:val="00A23D69"/>
    <w:rsid w:val="00A23D70"/>
    <w:rsid w:val="00A24323"/>
    <w:rsid w:val="00A2484F"/>
    <w:rsid w:val="00A2512C"/>
    <w:rsid w:val="00A2515B"/>
    <w:rsid w:val="00A257FE"/>
    <w:rsid w:val="00A2588E"/>
    <w:rsid w:val="00A25DBF"/>
    <w:rsid w:val="00A26357"/>
    <w:rsid w:val="00A26EDF"/>
    <w:rsid w:val="00A26FC7"/>
    <w:rsid w:val="00A27350"/>
    <w:rsid w:val="00A273BD"/>
    <w:rsid w:val="00A27985"/>
    <w:rsid w:val="00A27F6C"/>
    <w:rsid w:val="00A30099"/>
    <w:rsid w:val="00A3088A"/>
    <w:rsid w:val="00A310D7"/>
    <w:rsid w:val="00A31904"/>
    <w:rsid w:val="00A31C60"/>
    <w:rsid w:val="00A32619"/>
    <w:rsid w:val="00A32BD7"/>
    <w:rsid w:val="00A32E9E"/>
    <w:rsid w:val="00A33334"/>
    <w:rsid w:val="00A334BD"/>
    <w:rsid w:val="00A341C0"/>
    <w:rsid w:val="00A34789"/>
    <w:rsid w:val="00A3488D"/>
    <w:rsid w:val="00A351DE"/>
    <w:rsid w:val="00A353F8"/>
    <w:rsid w:val="00A354B7"/>
    <w:rsid w:val="00A35AEA"/>
    <w:rsid w:val="00A35E9D"/>
    <w:rsid w:val="00A360E9"/>
    <w:rsid w:val="00A3622B"/>
    <w:rsid w:val="00A3630E"/>
    <w:rsid w:val="00A36438"/>
    <w:rsid w:val="00A36626"/>
    <w:rsid w:val="00A36890"/>
    <w:rsid w:val="00A36E20"/>
    <w:rsid w:val="00A36EE1"/>
    <w:rsid w:val="00A37A11"/>
    <w:rsid w:val="00A37BB8"/>
    <w:rsid w:val="00A37C27"/>
    <w:rsid w:val="00A40761"/>
    <w:rsid w:val="00A40786"/>
    <w:rsid w:val="00A40BA1"/>
    <w:rsid w:val="00A412D4"/>
    <w:rsid w:val="00A41310"/>
    <w:rsid w:val="00A41FF8"/>
    <w:rsid w:val="00A42015"/>
    <w:rsid w:val="00A42D3F"/>
    <w:rsid w:val="00A42D87"/>
    <w:rsid w:val="00A42E54"/>
    <w:rsid w:val="00A4314F"/>
    <w:rsid w:val="00A43761"/>
    <w:rsid w:val="00A44B3A"/>
    <w:rsid w:val="00A44BD3"/>
    <w:rsid w:val="00A44FD2"/>
    <w:rsid w:val="00A4521D"/>
    <w:rsid w:val="00A45AE5"/>
    <w:rsid w:val="00A462C4"/>
    <w:rsid w:val="00A46D6F"/>
    <w:rsid w:val="00A472DE"/>
    <w:rsid w:val="00A4783C"/>
    <w:rsid w:val="00A50CD0"/>
    <w:rsid w:val="00A51F0A"/>
    <w:rsid w:val="00A53029"/>
    <w:rsid w:val="00A53322"/>
    <w:rsid w:val="00A53AFA"/>
    <w:rsid w:val="00A5455D"/>
    <w:rsid w:val="00A549D9"/>
    <w:rsid w:val="00A54A47"/>
    <w:rsid w:val="00A54C64"/>
    <w:rsid w:val="00A54EF2"/>
    <w:rsid w:val="00A54F73"/>
    <w:rsid w:val="00A5573C"/>
    <w:rsid w:val="00A55D48"/>
    <w:rsid w:val="00A563EC"/>
    <w:rsid w:val="00A56706"/>
    <w:rsid w:val="00A56E37"/>
    <w:rsid w:val="00A570C9"/>
    <w:rsid w:val="00A573EE"/>
    <w:rsid w:val="00A57BEB"/>
    <w:rsid w:val="00A57E4B"/>
    <w:rsid w:val="00A600E3"/>
    <w:rsid w:val="00A60DCD"/>
    <w:rsid w:val="00A61376"/>
    <w:rsid w:val="00A61673"/>
    <w:rsid w:val="00A61B05"/>
    <w:rsid w:val="00A61F15"/>
    <w:rsid w:val="00A627EC"/>
    <w:rsid w:val="00A632EF"/>
    <w:rsid w:val="00A647B7"/>
    <w:rsid w:val="00A64926"/>
    <w:rsid w:val="00A65BBB"/>
    <w:rsid w:val="00A665CF"/>
    <w:rsid w:val="00A66772"/>
    <w:rsid w:val="00A66910"/>
    <w:rsid w:val="00A6723A"/>
    <w:rsid w:val="00A67CA7"/>
    <w:rsid w:val="00A70155"/>
    <w:rsid w:val="00A7019D"/>
    <w:rsid w:val="00A7041E"/>
    <w:rsid w:val="00A70972"/>
    <w:rsid w:val="00A70A69"/>
    <w:rsid w:val="00A713AB"/>
    <w:rsid w:val="00A7191A"/>
    <w:rsid w:val="00A71C84"/>
    <w:rsid w:val="00A721C8"/>
    <w:rsid w:val="00A72871"/>
    <w:rsid w:val="00A73951"/>
    <w:rsid w:val="00A73A24"/>
    <w:rsid w:val="00A7400B"/>
    <w:rsid w:val="00A74897"/>
    <w:rsid w:val="00A74C6A"/>
    <w:rsid w:val="00A7510D"/>
    <w:rsid w:val="00A7547B"/>
    <w:rsid w:val="00A757F0"/>
    <w:rsid w:val="00A75851"/>
    <w:rsid w:val="00A75FFF"/>
    <w:rsid w:val="00A762EA"/>
    <w:rsid w:val="00A763D7"/>
    <w:rsid w:val="00A76524"/>
    <w:rsid w:val="00A76FE3"/>
    <w:rsid w:val="00A7752F"/>
    <w:rsid w:val="00A80F37"/>
    <w:rsid w:val="00A810CF"/>
    <w:rsid w:val="00A8270B"/>
    <w:rsid w:val="00A83FAF"/>
    <w:rsid w:val="00A84BA4"/>
    <w:rsid w:val="00A8556B"/>
    <w:rsid w:val="00A85BF9"/>
    <w:rsid w:val="00A85C35"/>
    <w:rsid w:val="00A862AA"/>
    <w:rsid w:val="00A862BF"/>
    <w:rsid w:val="00A8726F"/>
    <w:rsid w:val="00A876B7"/>
    <w:rsid w:val="00A901B8"/>
    <w:rsid w:val="00A909CD"/>
    <w:rsid w:val="00A90E61"/>
    <w:rsid w:val="00A91188"/>
    <w:rsid w:val="00A911D4"/>
    <w:rsid w:val="00A917C2"/>
    <w:rsid w:val="00A919E4"/>
    <w:rsid w:val="00A92061"/>
    <w:rsid w:val="00A92484"/>
    <w:rsid w:val="00A9255F"/>
    <w:rsid w:val="00A92989"/>
    <w:rsid w:val="00A92D12"/>
    <w:rsid w:val="00A92F69"/>
    <w:rsid w:val="00A93424"/>
    <w:rsid w:val="00A9392E"/>
    <w:rsid w:val="00A93AE9"/>
    <w:rsid w:val="00A9410B"/>
    <w:rsid w:val="00A94249"/>
    <w:rsid w:val="00A944D9"/>
    <w:rsid w:val="00A94BC9"/>
    <w:rsid w:val="00A9513F"/>
    <w:rsid w:val="00A959BC"/>
    <w:rsid w:val="00A95AF1"/>
    <w:rsid w:val="00A95C1B"/>
    <w:rsid w:val="00A9626E"/>
    <w:rsid w:val="00A96A7D"/>
    <w:rsid w:val="00A971B9"/>
    <w:rsid w:val="00A97731"/>
    <w:rsid w:val="00A97832"/>
    <w:rsid w:val="00AA004A"/>
    <w:rsid w:val="00AA0112"/>
    <w:rsid w:val="00AA05DB"/>
    <w:rsid w:val="00AA08FF"/>
    <w:rsid w:val="00AA1FF1"/>
    <w:rsid w:val="00AA29CF"/>
    <w:rsid w:val="00AA2E3F"/>
    <w:rsid w:val="00AA2EEB"/>
    <w:rsid w:val="00AA3C60"/>
    <w:rsid w:val="00AA3F37"/>
    <w:rsid w:val="00AA3FB8"/>
    <w:rsid w:val="00AA51E3"/>
    <w:rsid w:val="00AA5203"/>
    <w:rsid w:val="00AA6729"/>
    <w:rsid w:val="00AA684D"/>
    <w:rsid w:val="00AA6892"/>
    <w:rsid w:val="00AA6980"/>
    <w:rsid w:val="00AA6B52"/>
    <w:rsid w:val="00AA6E70"/>
    <w:rsid w:val="00AA75CE"/>
    <w:rsid w:val="00AA7823"/>
    <w:rsid w:val="00AB00A8"/>
    <w:rsid w:val="00AB0107"/>
    <w:rsid w:val="00AB1CC3"/>
    <w:rsid w:val="00AB1DEC"/>
    <w:rsid w:val="00AB2594"/>
    <w:rsid w:val="00AB298C"/>
    <w:rsid w:val="00AB2FF4"/>
    <w:rsid w:val="00AB3123"/>
    <w:rsid w:val="00AB3BCE"/>
    <w:rsid w:val="00AB49EE"/>
    <w:rsid w:val="00AB4AD7"/>
    <w:rsid w:val="00AB5048"/>
    <w:rsid w:val="00AB5500"/>
    <w:rsid w:val="00AB5A76"/>
    <w:rsid w:val="00AB5F9C"/>
    <w:rsid w:val="00AB703D"/>
    <w:rsid w:val="00AC0025"/>
    <w:rsid w:val="00AC056C"/>
    <w:rsid w:val="00AC0DC6"/>
    <w:rsid w:val="00AC107E"/>
    <w:rsid w:val="00AC10AF"/>
    <w:rsid w:val="00AC1AD6"/>
    <w:rsid w:val="00AC1B71"/>
    <w:rsid w:val="00AC2665"/>
    <w:rsid w:val="00AC2A7D"/>
    <w:rsid w:val="00AC2AE9"/>
    <w:rsid w:val="00AC3110"/>
    <w:rsid w:val="00AC31D3"/>
    <w:rsid w:val="00AC3607"/>
    <w:rsid w:val="00AC37B8"/>
    <w:rsid w:val="00AC39C1"/>
    <w:rsid w:val="00AC3A1E"/>
    <w:rsid w:val="00AC3DCF"/>
    <w:rsid w:val="00AC4242"/>
    <w:rsid w:val="00AC4D62"/>
    <w:rsid w:val="00AC4E71"/>
    <w:rsid w:val="00AC57DE"/>
    <w:rsid w:val="00AC6A13"/>
    <w:rsid w:val="00AC6C1E"/>
    <w:rsid w:val="00AC703B"/>
    <w:rsid w:val="00AC7482"/>
    <w:rsid w:val="00AC7564"/>
    <w:rsid w:val="00AC7A6F"/>
    <w:rsid w:val="00AC7EED"/>
    <w:rsid w:val="00AD03EC"/>
    <w:rsid w:val="00AD06B7"/>
    <w:rsid w:val="00AD140C"/>
    <w:rsid w:val="00AD1467"/>
    <w:rsid w:val="00AD176B"/>
    <w:rsid w:val="00AD180E"/>
    <w:rsid w:val="00AD2B33"/>
    <w:rsid w:val="00AD30C4"/>
    <w:rsid w:val="00AD31F6"/>
    <w:rsid w:val="00AD35AC"/>
    <w:rsid w:val="00AD375D"/>
    <w:rsid w:val="00AD3F55"/>
    <w:rsid w:val="00AD4023"/>
    <w:rsid w:val="00AD4225"/>
    <w:rsid w:val="00AD4FDE"/>
    <w:rsid w:val="00AD5EC4"/>
    <w:rsid w:val="00AD5F53"/>
    <w:rsid w:val="00AD6012"/>
    <w:rsid w:val="00AD6377"/>
    <w:rsid w:val="00AD64DF"/>
    <w:rsid w:val="00AD6B7D"/>
    <w:rsid w:val="00AD7301"/>
    <w:rsid w:val="00AE0ABB"/>
    <w:rsid w:val="00AE1025"/>
    <w:rsid w:val="00AE1B32"/>
    <w:rsid w:val="00AE211F"/>
    <w:rsid w:val="00AE28AA"/>
    <w:rsid w:val="00AE2A62"/>
    <w:rsid w:val="00AE3067"/>
    <w:rsid w:val="00AE35AA"/>
    <w:rsid w:val="00AE3F03"/>
    <w:rsid w:val="00AE426C"/>
    <w:rsid w:val="00AE44E6"/>
    <w:rsid w:val="00AE4512"/>
    <w:rsid w:val="00AE45C6"/>
    <w:rsid w:val="00AE4790"/>
    <w:rsid w:val="00AE4E3D"/>
    <w:rsid w:val="00AE56F3"/>
    <w:rsid w:val="00AE5A47"/>
    <w:rsid w:val="00AE64F0"/>
    <w:rsid w:val="00AE6902"/>
    <w:rsid w:val="00AE6C19"/>
    <w:rsid w:val="00AE726B"/>
    <w:rsid w:val="00AE74F9"/>
    <w:rsid w:val="00AE7930"/>
    <w:rsid w:val="00AF0E6C"/>
    <w:rsid w:val="00AF1A23"/>
    <w:rsid w:val="00AF1F17"/>
    <w:rsid w:val="00AF23C8"/>
    <w:rsid w:val="00AF2849"/>
    <w:rsid w:val="00AF2AE2"/>
    <w:rsid w:val="00AF2FE5"/>
    <w:rsid w:val="00AF3591"/>
    <w:rsid w:val="00AF36C4"/>
    <w:rsid w:val="00AF37AA"/>
    <w:rsid w:val="00AF3F5B"/>
    <w:rsid w:val="00AF4164"/>
    <w:rsid w:val="00AF4697"/>
    <w:rsid w:val="00AF4B4E"/>
    <w:rsid w:val="00AF5A46"/>
    <w:rsid w:val="00AF6DBD"/>
    <w:rsid w:val="00AF7106"/>
    <w:rsid w:val="00AF741C"/>
    <w:rsid w:val="00AF7AC6"/>
    <w:rsid w:val="00AF7FE4"/>
    <w:rsid w:val="00B0022E"/>
    <w:rsid w:val="00B00845"/>
    <w:rsid w:val="00B01231"/>
    <w:rsid w:val="00B01442"/>
    <w:rsid w:val="00B01591"/>
    <w:rsid w:val="00B022A0"/>
    <w:rsid w:val="00B0377E"/>
    <w:rsid w:val="00B03C87"/>
    <w:rsid w:val="00B03DDA"/>
    <w:rsid w:val="00B03EE0"/>
    <w:rsid w:val="00B03F2B"/>
    <w:rsid w:val="00B04A6B"/>
    <w:rsid w:val="00B051F0"/>
    <w:rsid w:val="00B0524A"/>
    <w:rsid w:val="00B05C9D"/>
    <w:rsid w:val="00B068F1"/>
    <w:rsid w:val="00B07A0C"/>
    <w:rsid w:val="00B07A46"/>
    <w:rsid w:val="00B07BA9"/>
    <w:rsid w:val="00B10055"/>
    <w:rsid w:val="00B102B9"/>
    <w:rsid w:val="00B10FA4"/>
    <w:rsid w:val="00B1141E"/>
    <w:rsid w:val="00B1278B"/>
    <w:rsid w:val="00B12E6E"/>
    <w:rsid w:val="00B142A5"/>
    <w:rsid w:val="00B14D37"/>
    <w:rsid w:val="00B15E69"/>
    <w:rsid w:val="00B16203"/>
    <w:rsid w:val="00B17295"/>
    <w:rsid w:val="00B174B3"/>
    <w:rsid w:val="00B1753D"/>
    <w:rsid w:val="00B20F24"/>
    <w:rsid w:val="00B215F5"/>
    <w:rsid w:val="00B22119"/>
    <w:rsid w:val="00B23336"/>
    <w:rsid w:val="00B243B5"/>
    <w:rsid w:val="00B244F2"/>
    <w:rsid w:val="00B253F4"/>
    <w:rsid w:val="00B25621"/>
    <w:rsid w:val="00B25C73"/>
    <w:rsid w:val="00B26775"/>
    <w:rsid w:val="00B26BB6"/>
    <w:rsid w:val="00B26F03"/>
    <w:rsid w:val="00B270B2"/>
    <w:rsid w:val="00B27A54"/>
    <w:rsid w:val="00B27B40"/>
    <w:rsid w:val="00B30783"/>
    <w:rsid w:val="00B30D2C"/>
    <w:rsid w:val="00B30E76"/>
    <w:rsid w:val="00B30ECD"/>
    <w:rsid w:val="00B30FBF"/>
    <w:rsid w:val="00B3104A"/>
    <w:rsid w:val="00B3133E"/>
    <w:rsid w:val="00B31374"/>
    <w:rsid w:val="00B3142E"/>
    <w:rsid w:val="00B31845"/>
    <w:rsid w:val="00B3270D"/>
    <w:rsid w:val="00B32D97"/>
    <w:rsid w:val="00B32EC6"/>
    <w:rsid w:val="00B33212"/>
    <w:rsid w:val="00B33CE4"/>
    <w:rsid w:val="00B34AF5"/>
    <w:rsid w:val="00B35F63"/>
    <w:rsid w:val="00B36BB7"/>
    <w:rsid w:val="00B375C2"/>
    <w:rsid w:val="00B37EF8"/>
    <w:rsid w:val="00B4008A"/>
    <w:rsid w:val="00B40791"/>
    <w:rsid w:val="00B41F0F"/>
    <w:rsid w:val="00B42560"/>
    <w:rsid w:val="00B42AB0"/>
    <w:rsid w:val="00B43746"/>
    <w:rsid w:val="00B43ADB"/>
    <w:rsid w:val="00B44D66"/>
    <w:rsid w:val="00B455AA"/>
    <w:rsid w:val="00B45778"/>
    <w:rsid w:val="00B457A1"/>
    <w:rsid w:val="00B45E0F"/>
    <w:rsid w:val="00B4630F"/>
    <w:rsid w:val="00B463EC"/>
    <w:rsid w:val="00B464B1"/>
    <w:rsid w:val="00B46F50"/>
    <w:rsid w:val="00B47408"/>
    <w:rsid w:val="00B47798"/>
    <w:rsid w:val="00B47A4A"/>
    <w:rsid w:val="00B47B99"/>
    <w:rsid w:val="00B47C78"/>
    <w:rsid w:val="00B506F2"/>
    <w:rsid w:val="00B510E3"/>
    <w:rsid w:val="00B521AC"/>
    <w:rsid w:val="00B521C0"/>
    <w:rsid w:val="00B525B3"/>
    <w:rsid w:val="00B52702"/>
    <w:rsid w:val="00B52972"/>
    <w:rsid w:val="00B53246"/>
    <w:rsid w:val="00B545D6"/>
    <w:rsid w:val="00B546FF"/>
    <w:rsid w:val="00B5498D"/>
    <w:rsid w:val="00B54FDC"/>
    <w:rsid w:val="00B5501D"/>
    <w:rsid w:val="00B558E0"/>
    <w:rsid w:val="00B55AB3"/>
    <w:rsid w:val="00B55D7D"/>
    <w:rsid w:val="00B55DB2"/>
    <w:rsid w:val="00B568C0"/>
    <w:rsid w:val="00B57B2D"/>
    <w:rsid w:val="00B57D6A"/>
    <w:rsid w:val="00B60BE1"/>
    <w:rsid w:val="00B6151E"/>
    <w:rsid w:val="00B61900"/>
    <w:rsid w:val="00B62002"/>
    <w:rsid w:val="00B624AE"/>
    <w:rsid w:val="00B6374F"/>
    <w:rsid w:val="00B63A28"/>
    <w:rsid w:val="00B63B79"/>
    <w:rsid w:val="00B63D73"/>
    <w:rsid w:val="00B64962"/>
    <w:rsid w:val="00B64EE0"/>
    <w:rsid w:val="00B65863"/>
    <w:rsid w:val="00B661F2"/>
    <w:rsid w:val="00B662C1"/>
    <w:rsid w:val="00B66D02"/>
    <w:rsid w:val="00B676EC"/>
    <w:rsid w:val="00B67B93"/>
    <w:rsid w:val="00B7016C"/>
    <w:rsid w:val="00B7039B"/>
    <w:rsid w:val="00B7054C"/>
    <w:rsid w:val="00B70EEC"/>
    <w:rsid w:val="00B712F0"/>
    <w:rsid w:val="00B720CB"/>
    <w:rsid w:val="00B725BC"/>
    <w:rsid w:val="00B72A12"/>
    <w:rsid w:val="00B72B8F"/>
    <w:rsid w:val="00B72DAC"/>
    <w:rsid w:val="00B730A1"/>
    <w:rsid w:val="00B735ED"/>
    <w:rsid w:val="00B742C2"/>
    <w:rsid w:val="00B7473A"/>
    <w:rsid w:val="00B74D1E"/>
    <w:rsid w:val="00B74EC8"/>
    <w:rsid w:val="00B74F94"/>
    <w:rsid w:val="00B756E2"/>
    <w:rsid w:val="00B75D3D"/>
    <w:rsid w:val="00B75F97"/>
    <w:rsid w:val="00B766CD"/>
    <w:rsid w:val="00B76A18"/>
    <w:rsid w:val="00B775BA"/>
    <w:rsid w:val="00B77D18"/>
    <w:rsid w:val="00B80A05"/>
    <w:rsid w:val="00B8104E"/>
    <w:rsid w:val="00B81097"/>
    <w:rsid w:val="00B814FF"/>
    <w:rsid w:val="00B81AE1"/>
    <w:rsid w:val="00B822CC"/>
    <w:rsid w:val="00B82BA5"/>
    <w:rsid w:val="00B82C1E"/>
    <w:rsid w:val="00B82C32"/>
    <w:rsid w:val="00B83848"/>
    <w:rsid w:val="00B83F33"/>
    <w:rsid w:val="00B8406F"/>
    <w:rsid w:val="00B84194"/>
    <w:rsid w:val="00B844CE"/>
    <w:rsid w:val="00B84745"/>
    <w:rsid w:val="00B84AD5"/>
    <w:rsid w:val="00B84C6C"/>
    <w:rsid w:val="00B85042"/>
    <w:rsid w:val="00B854E3"/>
    <w:rsid w:val="00B857D9"/>
    <w:rsid w:val="00B87750"/>
    <w:rsid w:val="00B87989"/>
    <w:rsid w:val="00B9004D"/>
    <w:rsid w:val="00B902BC"/>
    <w:rsid w:val="00B906BC"/>
    <w:rsid w:val="00B90CF1"/>
    <w:rsid w:val="00B90DC2"/>
    <w:rsid w:val="00B92687"/>
    <w:rsid w:val="00B93B1C"/>
    <w:rsid w:val="00B94248"/>
    <w:rsid w:val="00B942A1"/>
    <w:rsid w:val="00B94A9A"/>
    <w:rsid w:val="00B94B4F"/>
    <w:rsid w:val="00B94EE3"/>
    <w:rsid w:val="00B96966"/>
    <w:rsid w:val="00B96BC0"/>
    <w:rsid w:val="00B96FBA"/>
    <w:rsid w:val="00B976F6"/>
    <w:rsid w:val="00BA096E"/>
    <w:rsid w:val="00BA1A3E"/>
    <w:rsid w:val="00BA2148"/>
    <w:rsid w:val="00BA2353"/>
    <w:rsid w:val="00BA3192"/>
    <w:rsid w:val="00BA3EEC"/>
    <w:rsid w:val="00BA4631"/>
    <w:rsid w:val="00BA4CED"/>
    <w:rsid w:val="00BA50A2"/>
    <w:rsid w:val="00BA5805"/>
    <w:rsid w:val="00BA5F41"/>
    <w:rsid w:val="00BA6EB6"/>
    <w:rsid w:val="00BA70A6"/>
    <w:rsid w:val="00BA7385"/>
    <w:rsid w:val="00BA7ACC"/>
    <w:rsid w:val="00BA7FB8"/>
    <w:rsid w:val="00BB0522"/>
    <w:rsid w:val="00BB07F4"/>
    <w:rsid w:val="00BB0DDE"/>
    <w:rsid w:val="00BB132B"/>
    <w:rsid w:val="00BB1612"/>
    <w:rsid w:val="00BB1757"/>
    <w:rsid w:val="00BB187C"/>
    <w:rsid w:val="00BB1F0A"/>
    <w:rsid w:val="00BB2510"/>
    <w:rsid w:val="00BB2620"/>
    <w:rsid w:val="00BB296B"/>
    <w:rsid w:val="00BB2CFC"/>
    <w:rsid w:val="00BB2DAB"/>
    <w:rsid w:val="00BB307B"/>
    <w:rsid w:val="00BB3094"/>
    <w:rsid w:val="00BB339C"/>
    <w:rsid w:val="00BB3622"/>
    <w:rsid w:val="00BB3A28"/>
    <w:rsid w:val="00BB3D66"/>
    <w:rsid w:val="00BB4763"/>
    <w:rsid w:val="00BB52EE"/>
    <w:rsid w:val="00BB5610"/>
    <w:rsid w:val="00BB56DC"/>
    <w:rsid w:val="00BB6109"/>
    <w:rsid w:val="00BB61A2"/>
    <w:rsid w:val="00BB676B"/>
    <w:rsid w:val="00BB6774"/>
    <w:rsid w:val="00BB682C"/>
    <w:rsid w:val="00BB6CC0"/>
    <w:rsid w:val="00BB6D3D"/>
    <w:rsid w:val="00BB7CA9"/>
    <w:rsid w:val="00BB7F12"/>
    <w:rsid w:val="00BC04F1"/>
    <w:rsid w:val="00BC0E5F"/>
    <w:rsid w:val="00BC1BCD"/>
    <w:rsid w:val="00BC1BD6"/>
    <w:rsid w:val="00BC1F17"/>
    <w:rsid w:val="00BC235D"/>
    <w:rsid w:val="00BC236B"/>
    <w:rsid w:val="00BC2BB4"/>
    <w:rsid w:val="00BC2C8D"/>
    <w:rsid w:val="00BC2E12"/>
    <w:rsid w:val="00BC332C"/>
    <w:rsid w:val="00BC3E42"/>
    <w:rsid w:val="00BC45CB"/>
    <w:rsid w:val="00BC5978"/>
    <w:rsid w:val="00BC5D14"/>
    <w:rsid w:val="00BC65D9"/>
    <w:rsid w:val="00BC7087"/>
    <w:rsid w:val="00BC749A"/>
    <w:rsid w:val="00BC78C0"/>
    <w:rsid w:val="00BC7C38"/>
    <w:rsid w:val="00BC7C52"/>
    <w:rsid w:val="00BD02E4"/>
    <w:rsid w:val="00BD02E6"/>
    <w:rsid w:val="00BD0CF6"/>
    <w:rsid w:val="00BD0DC8"/>
    <w:rsid w:val="00BD14C5"/>
    <w:rsid w:val="00BD1803"/>
    <w:rsid w:val="00BD196A"/>
    <w:rsid w:val="00BD2081"/>
    <w:rsid w:val="00BD2311"/>
    <w:rsid w:val="00BD2D39"/>
    <w:rsid w:val="00BD2F8A"/>
    <w:rsid w:val="00BD344D"/>
    <w:rsid w:val="00BD4076"/>
    <w:rsid w:val="00BD4FB7"/>
    <w:rsid w:val="00BD557E"/>
    <w:rsid w:val="00BD58FF"/>
    <w:rsid w:val="00BD6238"/>
    <w:rsid w:val="00BD6262"/>
    <w:rsid w:val="00BD6ACF"/>
    <w:rsid w:val="00BD6C78"/>
    <w:rsid w:val="00BD7D1E"/>
    <w:rsid w:val="00BE0485"/>
    <w:rsid w:val="00BE0D3E"/>
    <w:rsid w:val="00BE10B1"/>
    <w:rsid w:val="00BE1ACA"/>
    <w:rsid w:val="00BE1D05"/>
    <w:rsid w:val="00BE2695"/>
    <w:rsid w:val="00BE27E4"/>
    <w:rsid w:val="00BE2B7A"/>
    <w:rsid w:val="00BE307D"/>
    <w:rsid w:val="00BE36B3"/>
    <w:rsid w:val="00BE3A8C"/>
    <w:rsid w:val="00BE3B45"/>
    <w:rsid w:val="00BE3D2C"/>
    <w:rsid w:val="00BE4C48"/>
    <w:rsid w:val="00BE4F61"/>
    <w:rsid w:val="00BE57E8"/>
    <w:rsid w:val="00BE61C1"/>
    <w:rsid w:val="00BE64AF"/>
    <w:rsid w:val="00BE6717"/>
    <w:rsid w:val="00BF0381"/>
    <w:rsid w:val="00BF0523"/>
    <w:rsid w:val="00BF095F"/>
    <w:rsid w:val="00BF11CF"/>
    <w:rsid w:val="00BF2B41"/>
    <w:rsid w:val="00BF31F9"/>
    <w:rsid w:val="00BF49D1"/>
    <w:rsid w:val="00BF4C4A"/>
    <w:rsid w:val="00BF5512"/>
    <w:rsid w:val="00BF5648"/>
    <w:rsid w:val="00BF5A3D"/>
    <w:rsid w:val="00BF5BCD"/>
    <w:rsid w:val="00BF5E3D"/>
    <w:rsid w:val="00BF620A"/>
    <w:rsid w:val="00BF6C71"/>
    <w:rsid w:val="00BF6DCF"/>
    <w:rsid w:val="00BF6E7B"/>
    <w:rsid w:val="00BF7738"/>
    <w:rsid w:val="00BF779D"/>
    <w:rsid w:val="00C00244"/>
    <w:rsid w:val="00C00690"/>
    <w:rsid w:val="00C01021"/>
    <w:rsid w:val="00C01026"/>
    <w:rsid w:val="00C0141F"/>
    <w:rsid w:val="00C014FD"/>
    <w:rsid w:val="00C016CD"/>
    <w:rsid w:val="00C01BD2"/>
    <w:rsid w:val="00C02061"/>
    <w:rsid w:val="00C021B8"/>
    <w:rsid w:val="00C024EF"/>
    <w:rsid w:val="00C02552"/>
    <w:rsid w:val="00C02B81"/>
    <w:rsid w:val="00C0324E"/>
    <w:rsid w:val="00C03A13"/>
    <w:rsid w:val="00C03E49"/>
    <w:rsid w:val="00C048AF"/>
    <w:rsid w:val="00C05024"/>
    <w:rsid w:val="00C050F2"/>
    <w:rsid w:val="00C05A1F"/>
    <w:rsid w:val="00C0647E"/>
    <w:rsid w:val="00C06937"/>
    <w:rsid w:val="00C077E0"/>
    <w:rsid w:val="00C079BB"/>
    <w:rsid w:val="00C07C42"/>
    <w:rsid w:val="00C07DE6"/>
    <w:rsid w:val="00C10838"/>
    <w:rsid w:val="00C1089B"/>
    <w:rsid w:val="00C11291"/>
    <w:rsid w:val="00C11417"/>
    <w:rsid w:val="00C116D5"/>
    <w:rsid w:val="00C119D1"/>
    <w:rsid w:val="00C12D77"/>
    <w:rsid w:val="00C14882"/>
    <w:rsid w:val="00C14F00"/>
    <w:rsid w:val="00C14FF6"/>
    <w:rsid w:val="00C152BE"/>
    <w:rsid w:val="00C153B5"/>
    <w:rsid w:val="00C154B5"/>
    <w:rsid w:val="00C157DE"/>
    <w:rsid w:val="00C15C0C"/>
    <w:rsid w:val="00C166ED"/>
    <w:rsid w:val="00C16D33"/>
    <w:rsid w:val="00C17872"/>
    <w:rsid w:val="00C17975"/>
    <w:rsid w:val="00C20244"/>
    <w:rsid w:val="00C205E9"/>
    <w:rsid w:val="00C207DE"/>
    <w:rsid w:val="00C212FC"/>
    <w:rsid w:val="00C21301"/>
    <w:rsid w:val="00C2187B"/>
    <w:rsid w:val="00C21BAE"/>
    <w:rsid w:val="00C21FF3"/>
    <w:rsid w:val="00C21FFF"/>
    <w:rsid w:val="00C2260E"/>
    <w:rsid w:val="00C22EF9"/>
    <w:rsid w:val="00C237CB"/>
    <w:rsid w:val="00C23F48"/>
    <w:rsid w:val="00C24077"/>
    <w:rsid w:val="00C242CB"/>
    <w:rsid w:val="00C24612"/>
    <w:rsid w:val="00C24F81"/>
    <w:rsid w:val="00C24F9C"/>
    <w:rsid w:val="00C260F1"/>
    <w:rsid w:val="00C2612B"/>
    <w:rsid w:val="00C26274"/>
    <w:rsid w:val="00C262BD"/>
    <w:rsid w:val="00C2634E"/>
    <w:rsid w:val="00C27C0A"/>
    <w:rsid w:val="00C3010B"/>
    <w:rsid w:val="00C309DF"/>
    <w:rsid w:val="00C30CE3"/>
    <w:rsid w:val="00C310C2"/>
    <w:rsid w:val="00C318E9"/>
    <w:rsid w:val="00C31B37"/>
    <w:rsid w:val="00C31D36"/>
    <w:rsid w:val="00C32CFB"/>
    <w:rsid w:val="00C33949"/>
    <w:rsid w:val="00C33A4E"/>
    <w:rsid w:val="00C34191"/>
    <w:rsid w:val="00C344A2"/>
    <w:rsid w:val="00C34922"/>
    <w:rsid w:val="00C35DB8"/>
    <w:rsid w:val="00C35F27"/>
    <w:rsid w:val="00C36067"/>
    <w:rsid w:val="00C362B9"/>
    <w:rsid w:val="00C36525"/>
    <w:rsid w:val="00C367C0"/>
    <w:rsid w:val="00C370CA"/>
    <w:rsid w:val="00C3762C"/>
    <w:rsid w:val="00C377ED"/>
    <w:rsid w:val="00C37AA7"/>
    <w:rsid w:val="00C40A9E"/>
    <w:rsid w:val="00C40CF1"/>
    <w:rsid w:val="00C40EB3"/>
    <w:rsid w:val="00C4145A"/>
    <w:rsid w:val="00C41BD9"/>
    <w:rsid w:val="00C41C24"/>
    <w:rsid w:val="00C41C71"/>
    <w:rsid w:val="00C41EDE"/>
    <w:rsid w:val="00C41F7D"/>
    <w:rsid w:val="00C426B5"/>
    <w:rsid w:val="00C431C8"/>
    <w:rsid w:val="00C434FD"/>
    <w:rsid w:val="00C43A42"/>
    <w:rsid w:val="00C44309"/>
    <w:rsid w:val="00C448B1"/>
    <w:rsid w:val="00C45399"/>
    <w:rsid w:val="00C45886"/>
    <w:rsid w:val="00C4592F"/>
    <w:rsid w:val="00C45A36"/>
    <w:rsid w:val="00C45FEE"/>
    <w:rsid w:val="00C46060"/>
    <w:rsid w:val="00C4648D"/>
    <w:rsid w:val="00C46E44"/>
    <w:rsid w:val="00C46F69"/>
    <w:rsid w:val="00C47AC7"/>
    <w:rsid w:val="00C50147"/>
    <w:rsid w:val="00C50689"/>
    <w:rsid w:val="00C50B30"/>
    <w:rsid w:val="00C5192E"/>
    <w:rsid w:val="00C51ADD"/>
    <w:rsid w:val="00C5207F"/>
    <w:rsid w:val="00C52DE6"/>
    <w:rsid w:val="00C53175"/>
    <w:rsid w:val="00C5399F"/>
    <w:rsid w:val="00C54010"/>
    <w:rsid w:val="00C5458F"/>
    <w:rsid w:val="00C557FC"/>
    <w:rsid w:val="00C55F0C"/>
    <w:rsid w:val="00C568D3"/>
    <w:rsid w:val="00C56A26"/>
    <w:rsid w:val="00C56E52"/>
    <w:rsid w:val="00C56EA4"/>
    <w:rsid w:val="00C5778E"/>
    <w:rsid w:val="00C577E1"/>
    <w:rsid w:val="00C579E9"/>
    <w:rsid w:val="00C57F3A"/>
    <w:rsid w:val="00C6016B"/>
    <w:rsid w:val="00C60268"/>
    <w:rsid w:val="00C602C0"/>
    <w:rsid w:val="00C61197"/>
    <w:rsid w:val="00C61380"/>
    <w:rsid w:val="00C613FF"/>
    <w:rsid w:val="00C61807"/>
    <w:rsid w:val="00C61893"/>
    <w:rsid w:val="00C61896"/>
    <w:rsid w:val="00C61A44"/>
    <w:rsid w:val="00C61E12"/>
    <w:rsid w:val="00C62206"/>
    <w:rsid w:val="00C62537"/>
    <w:rsid w:val="00C634A7"/>
    <w:rsid w:val="00C638D7"/>
    <w:rsid w:val="00C63A96"/>
    <w:rsid w:val="00C63B69"/>
    <w:rsid w:val="00C643B9"/>
    <w:rsid w:val="00C644C6"/>
    <w:rsid w:val="00C64720"/>
    <w:rsid w:val="00C64C0D"/>
    <w:rsid w:val="00C6517F"/>
    <w:rsid w:val="00C655E2"/>
    <w:rsid w:val="00C65F63"/>
    <w:rsid w:val="00C666B8"/>
    <w:rsid w:val="00C66C68"/>
    <w:rsid w:val="00C6715F"/>
    <w:rsid w:val="00C67BA6"/>
    <w:rsid w:val="00C70DA3"/>
    <w:rsid w:val="00C7104C"/>
    <w:rsid w:val="00C71920"/>
    <w:rsid w:val="00C71AC6"/>
    <w:rsid w:val="00C72A63"/>
    <w:rsid w:val="00C73BA2"/>
    <w:rsid w:val="00C74F80"/>
    <w:rsid w:val="00C753CF"/>
    <w:rsid w:val="00C7600A"/>
    <w:rsid w:val="00C761DB"/>
    <w:rsid w:val="00C76560"/>
    <w:rsid w:val="00C7729C"/>
    <w:rsid w:val="00C8036A"/>
    <w:rsid w:val="00C803CF"/>
    <w:rsid w:val="00C80617"/>
    <w:rsid w:val="00C80AE4"/>
    <w:rsid w:val="00C80B93"/>
    <w:rsid w:val="00C80CF1"/>
    <w:rsid w:val="00C83035"/>
    <w:rsid w:val="00C83155"/>
    <w:rsid w:val="00C83E9D"/>
    <w:rsid w:val="00C84013"/>
    <w:rsid w:val="00C84F56"/>
    <w:rsid w:val="00C8503F"/>
    <w:rsid w:val="00C85516"/>
    <w:rsid w:val="00C85929"/>
    <w:rsid w:val="00C85E0F"/>
    <w:rsid w:val="00C85EB4"/>
    <w:rsid w:val="00C867F0"/>
    <w:rsid w:val="00C8686B"/>
    <w:rsid w:val="00C871C4"/>
    <w:rsid w:val="00C87556"/>
    <w:rsid w:val="00C90426"/>
    <w:rsid w:val="00C90A64"/>
    <w:rsid w:val="00C90CD7"/>
    <w:rsid w:val="00C9131E"/>
    <w:rsid w:val="00C918A6"/>
    <w:rsid w:val="00C918DF"/>
    <w:rsid w:val="00C92388"/>
    <w:rsid w:val="00C92640"/>
    <w:rsid w:val="00C926D9"/>
    <w:rsid w:val="00C92E39"/>
    <w:rsid w:val="00C9331C"/>
    <w:rsid w:val="00C93E0E"/>
    <w:rsid w:val="00C9406E"/>
    <w:rsid w:val="00C940A8"/>
    <w:rsid w:val="00C94159"/>
    <w:rsid w:val="00C94E34"/>
    <w:rsid w:val="00C95046"/>
    <w:rsid w:val="00C96933"/>
    <w:rsid w:val="00C96BD2"/>
    <w:rsid w:val="00C971DA"/>
    <w:rsid w:val="00C974E6"/>
    <w:rsid w:val="00C976FF"/>
    <w:rsid w:val="00C97BBC"/>
    <w:rsid w:val="00CA0063"/>
    <w:rsid w:val="00CA1130"/>
    <w:rsid w:val="00CA15C7"/>
    <w:rsid w:val="00CA17D6"/>
    <w:rsid w:val="00CA1D98"/>
    <w:rsid w:val="00CA227E"/>
    <w:rsid w:val="00CA2B04"/>
    <w:rsid w:val="00CA415F"/>
    <w:rsid w:val="00CA41F3"/>
    <w:rsid w:val="00CA4236"/>
    <w:rsid w:val="00CA43CC"/>
    <w:rsid w:val="00CA51B9"/>
    <w:rsid w:val="00CA54EA"/>
    <w:rsid w:val="00CA5913"/>
    <w:rsid w:val="00CA5EA7"/>
    <w:rsid w:val="00CA61AF"/>
    <w:rsid w:val="00CA6D0E"/>
    <w:rsid w:val="00CA6E78"/>
    <w:rsid w:val="00CA7D8B"/>
    <w:rsid w:val="00CB016E"/>
    <w:rsid w:val="00CB0237"/>
    <w:rsid w:val="00CB026C"/>
    <w:rsid w:val="00CB080D"/>
    <w:rsid w:val="00CB13E1"/>
    <w:rsid w:val="00CB169F"/>
    <w:rsid w:val="00CB177E"/>
    <w:rsid w:val="00CB1B87"/>
    <w:rsid w:val="00CB1FAF"/>
    <w:rsid w:val="00CB2261"/>
    <w:rsid w:val="00CB2C14"/>
    <w:rsid w:val="00CB325A"/>
    <w:rsid w:val="00CB3870"/>
    <w:rsid w:val="00CB3A41"/>
    <w:rsid w:val="00CB3E5F"/>
    <w:rsid w:val="00CB3EA7"/>
    <w:rsid w:val="00CB52EC"/>
    <w:rsid w:val="00CB59AF"/>
    <w:rsid w:val="00CB5A49"/>
    <w:rsid w:val="00CB5C15"/>
    <w:rsid w:val="00CB5D90"/>
    <w:rsid w:val="00CB60D2"/>
    <w:rsid w:val="00CB6364"/>
    <w:rsid w:val="00CB6661"/>
    <w:rsid w:val="00CB678B"/>
    <w:rsid w:val="00CB68E7"/>
    <w:rsid w:val="00CB691D"/>
    <w:rsid w:val="00CB6A58"/>
    <w:rsid w:val="00CB7B7D"/>
    <w:rsid w:val="00CC0217"/>
    <w:rsid w:val="00CC0E40"/>
    <w:rsid w:val="00CC11C6"/>
    <w:rsid w:val="00CC1228"/>
    <w:rsid w:val="00CC147A"/>
    <w:rsid w:val="00CC1546"/>
    <w:rsid w:val="00CC15B0"/>
    <w:rsid w:val="00CC18D1"/>
    <w:rsid w:val="00CC1A21"/>
    <w:rsid w:val="00CC294A"/>
    <w:rsid w:val="00CC2AE6"/>
    <w:rsid w:val="00CC2DC2"/>
    <w:rsid w:val="00CC3674"/>
    <w:rsid w:val="00CC3BCC"/>
    <w:rsid w:val="00CC3BEA"/>
    <w:rsid w:val="00CC3C5D"/>
    <w:rsid w:val="00CC3FE6"/>
    <w:rsid w:val="00CC45A8"/>
    <w:rsid w:val="00CC531E"/>
    <w:rsid w:val="00CC5AC1"/>
    <w:rsid w:val="00CC664E"/>
    <w:rsid w:val="00CC66DE"/>
    <w:rsid w:val="00CC7325"/>
    <w:rsid w:val="00CC7C0C"/>
    <w:rsid w:val="00CC7D01"/>
    <w:rsid w:val="00CD0163"/>
    <w:rsid w:val="00CD029B"/>
    <w:rsid w:val="00CD03AD"/>
    <w:rsid w:val="00CD08EA"/>
    <w:rsid w:val="00CD1337"/>
    <w:rsid w:val="00CD1C0B"/>
    <w:rsid w:val="00CD2F4B"/>
    <w:rsid w:val="00CD3316"/>
    <w:rsid w:val="00CD40ED"/>
    <w:rsid w:val="00CD4758"/>
    <w:rsid w:val="00CD486B"/>
    <w:rsid w:val="00CD49F0"/>
    <w:rsid w:val="00CD4ED5"/>
    <w:rsid w:val="00CD56D4"/>
    <w:rsid w:val="00CD5B8E"/>
    <w:rsid w:val="00CD65F3"/>
    <w:rsid w:val="00CD66DD"/>
    <w:rsid w:val="00CD6C2D"/>
    <w:rsid w:val="00CD75E3"/>
    <w:rsid w:val="00CE0762"/>
    <w:rsid w:val="00CE2627"/>
    <w:rsid w:val="00CE2A56"/>
    <w:rsid w:val="00CE2EB2"/>
    <w:rsid w:val="00CE332E"/>
    <w:rsid w:val="00CE3968"/>
    <w:rsid w:val="00CE4494"/>
    <w:rsid w:val="00CE466E"/>
    <w:rsid w:val="00CE48D8"/>
    <w:rsid w:val="00CE49E1"/>
    <w:rsid w:val="00CE4AB6"/>
    <w:rsid w:val="00CE525D"/>
    <w:rsid w:val="00CE5833"/>
    <w:rsid w:val="00CE5C99"/>
    <w:rsid w:val="00CE6DBD"/>
    <w:rsid w:val="00CE6E8C"/>
    <w:rsid w:val="00CE7486"/>
    <w:rsid w:val="00CE79E1"/>
    <w:rsid w:val="00CE7FB5"/>
    <w:rsid w:val="00CF04E5"/>
    <w:rsid w:val="00CF0F70"/>
    <w:rsid w:val="00CF0FB3"/>
    <w:rsid w:val="00CF10A5"/>
    <w:rsid w:val="00CF12F6"/>
    <w:rsid w:val="00CF1862"/>
    <w:rsid w:val="00CF19E9"/>
    <w:rsid w:val="00CF1E42"/>
    <w:rsid w:val="00CF1FE9"/>
    <w:rsid w:val="00CF2096"/>
    <w:rsid w:val="00CF22CC"/>
    <w:rsid w:val="00CF23EE"/>
    <w:rsid w:val="00CF27AD"/>
    <w:rsid w:val="00CF2C12"/>
    <w:rsid w:val="00CF2D63"/>
    <w:rsid w:val="00CF3574"/>
    <w:rsid w:val="00CF388C"/>
    <w:rsid w:val="00CF43B9"/>
    <w:rsid w:val="00CF5488"/>
    <w:rsid w:val="00CF68F8"/>
    <w:rsid w:val="00D00665"/>
    <w:rsid w:val="00D00799"/>
    <w:rsid w:val="00D00BFC"/>
    <w:rsid w:val="00D015D5"/>
    <w:rsid w:val="00D01720"/>
    <w:rsid w:val="00D0187F"/>
    <w:rsid w:val="00D018AF"/>
    <w:rsid w:val="00D01BD8"/>
    <w:rsid w:val="00D01BFD"/>
    <w:rsid w:val="00D02089"/>
    <w:rsid w:val="00D02D72"/>
    <w:rsid w:val="00D0303F"/>
    <w:rsid w:val="00D0320B"/>
    <w:rsid w:val="00D039B8"/>
    <w:rsid w:val="00D03F04"/>
    <w:rsid w:val="00D043BF"/>
    <w:rsid w:val="00D045EF"/>
    <w:rsid w:val="00D04DE0"/>
    <w:rsid w:val="00D05104"/>
    <w:rsid w:val="00D0511A"/>
    <w:rsid w:val="00D05500"/>
    <w:rsid w:val="00D07238"/>
    <w:rsid w:val="00D07880"/>
    <w:rsid w:val="00D07B38"/>
    <w:rsid w:val="00D10354"/>
    <w:rsid w:val="00D10D8C"/>
    <w:rsid w:val="00D11335"/>
    <w:rsid w:val="00D11357"/>
    <w:rsid w:val="00D11645"/>
    <w:rsid w:val="00D11995"/>
    <w:rsid w:val="00D11CA0"/>
    <w:rsid w:val="00D12412"/>
    <w:rsid w:val="00D126F7"/>
    <w:rsid w:val="00D129F5"/>
    <w:rsid w:val="00D12D00"/>
    <w:rsid w:val="00D12ED9"/>
    <w:rsid w:val="00D13BB3"/>
    <w:rsid w:val="00D141DD"/>
    <w:rsid w:val="00D1445E"/>
    <w:rsid w:val="00D1494A"/>
    <w:rsid w:val="00D14FBA"/>
    <w:rsid w:val="00D15389"/>
    <w:rsid w:val="00D16BB3"/>
    <w:rsid w:val="00D16F54"/>
    <w:rsid w:val="00D17830"/>
    <w:rsid w:val="00D17C5C"/>
    <w:rsid w:val="00D17E28"/>
    <w:rsid w:val="00D17FF9"/>
    <w:rsid w:val="00D212D5"/>
    <w:rsid w:val="00D21342"/>
    <w:rsid w:val="00D21887"/>
    <w:rsid w:val="00D227A2"/>
    <w:rsid w:val="00D2323A"/>
    <w:rsid w:val="00D2393B"/>
    <w:rsid w:val="00D24C05"/>
    <w:rsid w:val="00D2551B"/>
    <w:rsid w:val="00D2632F"/>
    <w:rsid w:val="00D266DE"/>
    <w:rsid w:val="00D26BD7"/>
    <w:rsid w:val="00D26C99"/>
    <w:rsid w:val="00D274A0"/>
    <w:rsid w:val="00D27B55"/>
    <w:rsid w:val="00D27DD1"/>
    <w:rsid w:val="00D27FFE"/>
    <w:rsid w:val="00D30307"/>
    <w:rsid w:val="00D305AB"/>
    <w:rsid w:val="00D305D7"/>
    <w:rsid w:val="00D30D32"/>
    <w:rsid w:val="00D30E2D"/>
    <w:rsid w:val="00D3132C"/>
    <w:rsid w:val="00D31519"/>
    <w:rsid w:val="00D31689"/>
    <w:rsid w:val="00D31A8E"/>
    <w:rsid w:val="00D31CD6"/>
    <w:rsid w:val="00D31E0E"/>
    <w:rsid w:val="00D330A9"/>
    <w:rsid w:val="00D335B0"/>
    <w:rsid w:val="00D336F0"/>
    <w:rsid w:val="00D33C51"/>
    <w:rsid w:val="00D33D7B"/>
    <w:rsid w:val="00D3479A"/>
    <w:rsid w:val="00D34F6B"/>
    <w:rsid w:val="00D35095"/>
    <w:rsid w:val="00D351C9"/>
    <w:rsid w:val="00D35402"/>
    <w:rsid w:val="00D355E8"/>
    <w:rsid w:val="00D366B7"/>
    <w:rsid w:val="00D3677D"/>
    <w:rsid w:val="00D36F3F"/>
    <w:rsid w:val="00D37550"/>
    <w:rsid w:val="00D400A2"/>
    <w:rsid w:val="00D40D5A"/>
    <w:rsid w:val="00D4113B"/>
    <w:rsid w:val="00D415A6"/>
    <w:rsid w:val="00D42BAB"/>
    <w:rsid w:val="00D4361C"/>
    <w:rsid w:val="00D43DD6"/>
    <w:rsid w:val="00D442C2"/>
    <w:rsid w:val="00D44648"/>
    <w:rsid w:val="00D44C18"/>
    <w:rsid w:val="00D45886"/>
    <w:rsid w:val="00D4639D"/>
    <w:rsid w:val="00D465EA"/>
    <w:rsid w:val="00D46693"/>
    <w:rsid w:val="00D467C5"/>
    <w:rsid w:val="00D46BDA"/>
    <w:rsid w:val="00D4794A"/>
    <w:rsid w:val="00D47C97"/>
    <w:rsid w:val="00D47F9F"/>
    <w:rsid w:val="00D50122"/>
    <w:rsid w:val="00D50290"/>
    <w:rsid w:val="00D50316"/>
    <w:rsid w:val="00D50319"/>
    <w:rsid w:val="00D5047A"/>
    <w:rsid w:val="00D5120A"/>
    <w:rsid w:val="00D5123E"/>
    <w:rsid w:val="00D51A51"/>
    <w:rsid w:val="00D51C2C"/>
    <w:rsid w:val="00D52C10"/>
    <w:rsid w:val="00D5376A"/>
    <w:rsid w:val="00D541E4"/>
    <w:rsid w:val="00D54592"/>
    <w:rsid w:val="00D54C4F"/>
    <w:rsid w:val="00D55247"/>
    <w:rsid w:val="00D553AA"/>
    <w:rsid w:val="00D55A36"/>
    <w:rsid w:val="00D561E1"/>
    <w:rsid w:val="00D565DD"/>
    <w:rsid w:val="00D5689A"/>
    <w:rsid w:val="00D56AE5"/>
    <w:rsid w:val="00D57072"/>
    <w:rsid w:val="00D57543"/>
    <w:rsid w:val="00D601A1"/>
    <w:rsid w:val="00D60B5B"/>
    <w:rsid w:val="00D61249"/>
    <w:rsid w:val="00D615CB"/>
    <w:rsid w:val="00D61932"/>
    <w:rsid w:val="00D61AE5"/>
    <w:rsid w:val="00D61C8D"/>
    <w:rsid w:val="00D625C4"/>
    <w:rsid w:val="00D627E3"/>
    <w:rsid w:val="00D6281D"/>
    <w:rsid w:val="00D62BA6"/>
    <w:rsid w:val="00D63CCC"/>
    <w:rsid w:val="00D63DCB"/>
    <w:rsid w:val="00D63F5E"/>
    <w:rsid w:val="00D64636"/>
    <w:rsid w:val="00D64B17"/>
    <w:rsid w:val="00D651D2"/>
    <w:rsid w:val="00D668E4"/>
    <w:rsid w:val="00D66FDB"/>
    <w:rsid w:val="00D67073"/>
    <w:rsid w:val="00D67288"/>
    <w:rsid w:val="00D67466"/>
    <w:rsid w:val="00D67A3E"/>
    <w:rsid w:val="00D67AEE"/>
    <w:rsid w:val="00D7047B"/>
    <w:rsid w:val="00D70D5E"/>
    <w:rsid w:val="00D71A7C"/>
    <w:rsid w:val="00D71FA1"/>
    <w:rsid w:val="00D7227E"/>
    <w:rsid w:val="00D72835"/>
    <w:rsid w:val="00D729A9"/>
    <w:rsid w:val="00D73F27"/>
    <w:rsid w:val="00D741F4"/>
    <w:rsid w:val="00D74A0C"/>
    <w:rsid w:val="00D74FEC"/>
    <w:rsid w:val="00D75505"/>
    <w:rsid w:val="00D75704"/>
    <w:rsid w:val="00D75DF3"/>
    <w:rsid w:val="00D76695"/>
    <w:rsid w:val="00D76990"/>
    <w:rsid w:val="00D7717E"/>
    <w:rsid w:val="00D7753E"/>
    <w:rsid w:val="00D77543"/>
    <w:rsid w:val="00D77DAB"/>
    <w:rsid w:val="00D77DEF"/>
    <w:rsid w:val="00D80207"/>
    <w:rsid w:val="00D80990"/>
    <w:rsid w:val="00D80AA6"/>
    <w:rsid w:val="00D80FC2"/>
    <w:rsid w:val="00D81F47"/>
    <w:rsid w:val="00D81F52"/>
    <w:rsid w:val="00D8214B"/>
    <w:rsid w:val="00D8228F"/>
    <w:rsid w:val="00D824B0"/>
    <w:rsid w:val="00D824B4"/>
    <w:rsid w:val="00D8297F"/>
    <w:rsid w:val="00D82BFF"/>
    <w:rsid w:val="00D8354B"/>
    <w:rsid w:val="00D83CB1"/>
    <w:rsid w:val="00D83D35"/>
    <w:rsid w:val="00D83E29"/>
    <w:rsid w:val="00D84249"/>
    <w:rsid w:val="00D8484D"/>
    <w:rsid w:val="00D849CB"/>
    <w:rsid w:val="00D858B7"/>
    <w:rsid w:val="00D86270"/>
    <w:rsid w:val="00D862DA"/>
    <w:rsid w:val="00D8640C"/>
    <w:rsid w:val="00D86456"/>
    <w:rsid w:val="00D869A9"/>
    <w:rsid w:val="00D870BD"/>
    <w:rsid w:val="00D87128"/>
    <w:rsid w:val="00D87192"/>
    <w:rsid w:val="00D87D93"/>
    <w:rsid w:val="00D90160"/>
    <w:rsid w:val="00D90ED8"/>
    <w:rsid w:val="00D9106E"/>
    <w:rsid w:val="00D916DF"/>
    <w:rsid w:val="00D91A19"/>
    <w:rsid w:val="00D91B64"/>
    <w:rsid w:val="00D92229"/>
    <w:rsid w:val="00D924FA"/>
    <w:rsid w:val="00D92537"/>
    <w:rsid w:val="00D92E2F"/>
    <w:rsid w:val="00D93FBA"/>
    <w:rsid w:val="00D95264"/>
    <w:rsid w:val="00D95373"/>
    <w:rsid w:val="00D95591"/>
    <w:rsid w:val="00D95B70"/>
    <w:rsid w:val="00D979FF"/>
    <w:rsid w:val="00D97A9F"/>
    <w:rsid w:val="00DA11F5"/>
    <w:rsid w:val="00DA15F7"/>
    <w:rsid w:val="00DA1770"/>
    <w:rsid w:val="00DA19A6"/>
    <w:rsid w:val="00DA25C7"/>
    <w:rsid w:val="00DA273D"/>
    <w:rsid w:val="00DA2998"/>
    <w:rsid w:val="00DA3BE1"/>
    <w:rsid w:val="00DA3D7B"/>
    <w:rsid w:val="00DA3DA9"/>
    <w:rsid w:val="00DA4487"/>
    <w:rsid w:val="00DA48FC"/>
    <w:rsid w:val="00DA50D4"/>
    <w:rsid w:val="00DA5AA3"/>
    <w:rsid w:val="00DA5FB1"/>
    <w:rsid w:val="00DA619C"/>
    <w:rsid w:val="00DA6721"/>
    <w:rsid w:val="00DA7189"/>
    <w:rsid w:val="00DA7370"/>
    <w:rsid w:val="00DB05AE"/>
    <w:rsid w:val="00DB0FC1"/>
    <w:rsid w:val="00DB1190"/>
    <w:rsid w:val="00DB14BC"/>
    <w:rsid w:val="00DB1610"/>
    <w:rsid w:val="00DB189E"/>
    <w:rsid w:val="00DB2335"/>
    <w:rsid w:val="00DB2D15"/>
    <w:rsid w:val="00DB2FA7"/>
    <w:rsid w:val="00DB39A4"/>
    <w:rsid w:val="00DB3F75"/>
    <w:rsid w:val="00DB4005"/>
    <w:rsid w:val="00DB412B"/>
    <w:rsid w:val="00DB4473"/>
    <w:rsid w:val="00DB44CB"/>
    <w:rsid w:val="00DB44D5"/>
    <w:rsid w:val="00DB4594"/>
    <w:rsid w:val="00DB4AA3"/>
    <w:rsid w:val="00DB4BA1"/>
    <w:rsid w:val="00DB4DA0"/>
    <w:rsid w:val="00DB5349"/>
    <w:rsid w:val="00DB5A58"/>
    <w:rsid w:val="00DB680E"/>
    <w:rsid w:val="00DB68FF"/>
    <w:rsid w:val="00DB6935"/>
    <w:rsid w:val="00DB7230"/>
    <w:rsid w:val="00DB7549"/>
    <w:rsid w:val="00DB7A90"/>
    <w:rsid w:val="00DC01B3"/>
    <w:rsid w:val="00DC06C1"/>
    <w:rsid w:val="00DC0CC4"/>
    <w:rsid w:val="00DC1318"/>
    <w:rsid w:val="00DC154C"/>
    <w:rsid w:val="00DC2929"/>
    <w:rsid w:val="00DC29B3"/>
    <w:rsid w:val="00DC2C64"/>
    <w:rsid w:val="00DC32BA"/>
    <w:rsid w:val="00DC4051"/>
    <w:rsid w:val="00DC4DDC"/>
    <w:rsid w:val="00DC55B1"/>
    <w:rsid w:val="00DC5A0E"/>
    <w:rsid w:val="00DC5FD8"/>
    <w:rsid w:val="00DC61D2"/>
    <w:rsid w:val="00DC637E"/>
    <w:rsid w:val="00DC67FF"/>
    <w:rsid w:val="00DC6FB4"/>
    <w:rsid w:val="00DC75B9"/>
    <w:rsid w:val="00DC7635"/>
    <w:rsid w:val="00DD0208"/>
    <w:rsid w:val="00DD03C0"/>
    <w:rsid w:val="00DD07B2"/>
    <w:rsid w:val="00DD0EB2"/>
    <w:rsid w:val="00DD25E3"/>
    <w:rsid w:val="00DD300B"/>
    <w:rsid w:val="00DD35A7"/>
    <w:rsid w:val="00DD3A62"/>
    <w:rsid w:val="00DD3D29"/>
    <w:rsid w:val="00DD4930"/>
    <w:rsid w:val="00DD5110"/>
    <w:rsid w:val="00DD5264"/>
    <w:rsid w:val="00DD57FD"/>
    <w:rsid w:val="00DD5A02"/>
    <w:rsid w:val="00DD5DFF"/>
    <w:rsid w:val="00DD6537"/>
    <w:rsid w:val="00DD6667"/>
    <w:rsid w:val="00DD6822"/>
    <w:rsid w:val="00DD6E81"/>
    <w:rsid w:val="00DD6EC2"/>
    <w:rsid w:val="00DD6FA0"/>
    <w:rsid w:val="00DD7389"/>
    <w:rsid w:val="00DD74A2"/>
    <w:rsid w:val="00DD756E"/>
    <w:rsid w:val="00DD75DF"/>
    <w:rsid w:val="00DE088A"/>
    <w:rsid w:val="00DE0A83"/>
    <w:rsid w:val="00DE1023"/>
    <w:rsid w:val="00DE13CF"/>
    <w:rsid w:val="00DE28FB"/>
    <w:rsid w:val="00DE383B"/>
    <w:rsid w:val="00DE3934"/>
    <w:rsid w:val="00DE3CB2"/>
    <w:rsid w:val="00DE49BE"/>
    <w:rsid w:val="00DE509A"/>
    <w:rsid w:val="00DE5223"/>
    <w:rsid w:val="00DE5A8C"/>
    <w:rsid w:val="00DE5AF3"/>
    <w:rsid w:val="00DE6102"/>
    <w:rsid w:val="00DE6264"/>
    <w:rsid w:val="00DE6576"/>
    <w:rsid w:val="00DE6AFA"/>
    <w:rsid w:val="00DE6E2B"/>
    <w:rsid w:val="00DE7484"/>
    <w:rsid w:val="00DE7A3F"/>
    <w:rsid w:val="00DF06A6"/>
    <w:rsid w:val="00DF0FE2"/>
    <w:rsid w:val="00DF149C"/>
    <w:rsid w:val="00DF1A58"/>
    <w:rsid w:val="00DF2ED0"/>
    <w:rsid w:val="00DF32F4"/>
    <w:rsid w:val="00DF33CB"/>
    <w:rsid w:val="00DF44A3"/>
    <w:rsid w:val="00DF4614"/>
    <w:rsid w:val="00DF4EBC"/>
    <w:rsid w:val="00DF5027"/>
    <w:rsid w:val="00DF51D2"/>
    <w:rsid w:val="00DF57F0"/>
    <w:rsid w:val="00DF5E0B"/>
    <w:rsid w:val="00DF6251"/>
    <w:rsid w:val="00DF6D10"/>
    <w:rsid w:val="00DF716F"/>
    <w:rsid w:val="00DF7B25"/>
    <w:rsid w:val="00DF7D1B"/>
    <w:rsid w:val="00E004B7"/>
    <w:rsid w:val="00E008B8"/>
    <w:rsid w:val="00E00B67"/>
    <w:rsid w:val="00E01D9F"/>
    <w:rsid w:val="00E02CDB"/>
    <w:rsid w:val="00E02D97"/>
    <w:rsid w:val="00E03EAD"/>
    <w:rsid w:val="00E04327"/>
    <w:rsid w:val="00E0514B"/>
    <w:rsid w:val="00E05936"/>
    <w:rsid w:val="00E05970"/>
    <w:rsid w:val="00E05E62"/>
    <w:rsid w:val="00E06FAA"/>
    <w:rsid w:val="00E0777C"/>
    <w:rsid w:val="00E10046"/>
    <w:rsid w:val="00E10483"/>
    <w:rsid w:val="00E11B7A"/>
    <w:rsid w:val="00E129E5"/>
    <w:rsid w:val="00E135A1"/>
    <w:rsid w:val="00E13ABB"/>
    <w:rsid w:val="00E14348"/>
    <w:rsid w:val="00E14595"/>
    <w:rsid w:val="00E1496E"/>
    <w:rsid w:val="00E14D59"/>
    <w:rsid w:val="00E14F7D"/>
    <w:rsid w:val="00E1559B"/>
    <w:rsid w:val="00E1645B"/>
    <w:rsid w:val="00E16ED7"/>
    <w:rsid w:val="00E16EF1"/>
    <w:rsid w:val="00E177A0"/>
    <w:rsid w:val="00E17F63"/>
    <w:rsid w:val="00E206B1"/>
    <w:rsid w:val="00E2100B"/>
    <w:rsid w:val="00E210D8"/>
    <w:rsid w:val="00E213DD"/>
    <w:rsid w:val="00E21805"/>
    <w:rsid w:val="00E218C4"/>
    <w:rsid w:val="00E218F4"/>
    <w:rsid w:val="00E21FEA"/>
    <w:rsid w:val="00E22538"/>
    <w:rsid w:val="00E22779"/>
    <w:rsid w:val="00E22793"/>
    <w:rsid w:val="00E23C3D"/>
    <w:rsid w:val="00E243CD"/>
    <w:rsid w:val="00E24865"/>
    <w:rsid w:val="00E24B5F"/>
    <w:rsid w:val="00E25E21"/>
    <w:rsid w:val="00E264C7"/>
    <w:rsid w:val="00E26982"/>
    <w:rsid w:val="00E27055"/>
    <w:rsid w:val="00E27295"/>
    <w:rsid w:val="00E279EB"/>
    <w:rsid w:val="00E27D3B"/>
    <w:rsid w:val="00E3074C"/>
    <w:rsid w:val="00E30A25"/>
    <w:rsid w:val="00E31C06"/>
    <w:rsid w:val="00E32DA3"/>
    <w:rsid w:val="00E32FD2"/>
    <w:rsid w:val="00E335B1"/>
    <w:rsid w:val="00E35726"/>
    <w:rsid w:val="00E35E86"/>
    <w:rsid w:val="00E35F50"/>
    <w:rsid w:val="00E36320"/>
    <w:rsid w:val="00E36DEA"/>
    <w:rsid w:val="00E376C5"/>
    <w:rsid w:val="00E37710"/>
    <w:rsid w:val="00E37A80"/>
    <w:rsid w:val="00E37DC8"/>
    <w:rsid w:val="00E40393"/>
    <w:rsid w:val="00E410D8"/>
    <w:rsid w:val="00E41509"/>
    <w:rsid w:val="00E417C9"/>
    <w:rsid w:val="00E42400"/>
    <w:rsid w:val="00E424BC"/>
    <w:rsid w:val="00E434A3"/>
    <w:rsid w:val="00E43C06"/>
    <w:rsid w:val="00E43FFA"/>
    <w:rsid w:val="00E44074"/>
    <w:rsid w:val="00E44190"/>
    <w:rsid w:val="00E44510"/>
    <w:rsid w:val="00E449B1"/>
    <w:rsid w:val="00E44A23"/>
    <w:rsid w:val="00E4572A"/>
    <w:rsid w:val="00E460EE"/>
    <w:rsid w:val="00E467F8"/>
    <w:rsid w:val="00E47017"/>
    <w:rsid w:val="00E47A81"/>
    <w:rsid w:val="00E47B31"/>
    <w:rsid w:val="00E47CE3"/>
    <w:rsid w:val="00E47CEF"/>
    <w:rsid w:val="00E47FC5"/>
    <w:rsid w:val="00E501F7"/>
    <w:rsid w:val="00E507D2"/>
    <w:rsid w:val="00E5082D"/>
    <w:rsid w:val="00E509DF"/>
    <w:rsid w:val="00E50C6E"/>
    <w:rsid w:val="00E50DBE"/>
    <w:rsid w:val="00E50EDA"/>
    <w:rsid w:val="00E516BB"/>
    <w:rsid w:val="00E5196C"/>
    <w:rsid w:val="00E51B6E"/>
    <w:rsid w:val="00E5235F"/>
    <w:rsid w:val="00E526BF"/>
    <w:rsid w:val="00E529CE"/>
    <w:rsid w:val="00E52AA9"/>
    <w:rsid w:val="00E52D7C"/>
    <w:rsid w:val="00E52E3D"/>
    <w:rsid w:val="00E535FE"/>
    <w:rsid w:val="00E53658"/>
    <w:rsid w:val="00E53754"/>
    <w:rsid w:val="00E53872"/>
    <w:rsid w:val="00E54F45"/>
    <w:rsid w:val="00E55218"/>
    <w:rsid w:val="00E55A32"/>
    <w:rsid w:val="00E574A9"/>
    <w:rsid w:val="00E576A3"/>
    <w:rsid w:val="00E57FA8"/>
    <w:rsid w:val="00E60193"/>
    <w:rsid w:val="00E603A6"/>
    <w:rsid w:val="00E60534"/>
    <w:rsid w:val="00E60F63"/>
    <w:rsid w:val="00E61334"/>
    <w:rsid w:val="00E61355"/>
    <w:rsid w:val="00E613BC"/>
    <w:rsid w:val="00E6153A"/>
    <w:rsid w:val="00E61C32"/>
    <w:rsid w:val="00E61C74"/>
    <w:rsid w:val="00E61EA9"/>
    <w:rsid w:val="00E61F1E"/>
    <w:rsid w:val="00E62CC7"/>
    <w:rsid w:val="00E63694"/>
    <w:rsid w:val="00E638A1"/>
    <w:rsid w:val="00E65154"/>
    <w:rsid w:val="00E65699"/>
    <w:rsid w:val="00E6574E"/>
    <w:rsid w:val="00E65900"/>
    <w:rsid w:val="00E65C70"/>
    <w:rsid w:val="00E6632A"/>
    <w:rsid w:val="00E666B0"/>
    <w:rsid w:val="00E66861"/>
    <w:rsid w:val="00E66C3A"/>
    <w:rsid w:val="00E66DEA"/>
    <w:rsid w:val="00E66E21"/>
    <w:rsid w:val="00E67063"/>
    <w:rsid w:val="00E67212"/>
    <w:rsid w:val="00E674DD"/>
    <w:rsid w:val="00E67634"/>
    <w:rsid w:val="00E700BD"/>
    <w:rsid w:val="00E702EE"/>
    <w:rsid w:val="00E70871"/>
    <w:rsid w:val="00E70AD2"/>
    <w:rsid w:val="00E70B2C"/>
    <w:rsid w:val="00E70F38"/>
    <w:rsid w:val="00E70F95"/>
    <w:rsid w:val="00E710FC"/>
    <w:rsid w:val="00E7157F"/>
    <w:rsid w:val="00E71915"/>
    <w:rsid w:val="00E71ACC"/>
    <w:rsid w:val="00E72382"/>
    <w:rsid w:val="00E72A0F"/>
    <w:rsid w:val="00E73161"/>
    <w:rsid w:val="00E732EA"/>
    <w:rsid w:val="00E7384A"/>
    <w:rsid w:val="00E73DF8"/>
    <w:rsid w:val="00E75825"/>
    <w:rsid w:val="00E75B5C"/>
    <w:rsid w:val="00E75DD2"/>
    <w:rsid w:val="00E763E1"/>
    <w:rsid w:val="00E76FC9"/>
    <w:rsid w:val="00E773D5"/>
    <w:rsid w:val="00E77551"/>
    <w:rsid w:val="00E801C4"/>
    <w:rsid w:val="00E80483"/>
    <w:rsid w:val="00E805A3"/>
    <w:rsid w:val="00E80916"/>
    <w:rsid w:val="00E80D5A"/>
    <w:rsid w:val="00E80DAD"/>
    <w:rsid w:val="00E80FDB"/>
    <w:rsid w:val="00E812C5"/>
    <w:rsid w:val="00E81585"/>
    <w:rsid w:val="00E8183E"/>
    <w:rsid w:val="00E82251"/>
    <w:rsid w:val="00E82275"/>
    <w:rsid w:val="00E82E22"/>
    <w:rsid w:val="00E83178"/>
    <w:rsid w:val="00E83956"/>
    <w:rsid w:val="00E84051"/>
    <w:rsid w:val="00E84096"/>
    <w:rsid w:val="00E840DF"/>
    <w:rsid w:val="00E842A9"/>
    <w:rsid w:val="00E842C4"/>
    <w:rsid w:val="00E84459"/>
    <w:rsid w:val="00E85067"/>
    <w:rsid w:val="00E85396"/>
    <w:rsid w:val="00E8552C"/>
    <w:rsid w:val="00E8560F"/>
    <w:rsid w:val="00E8604E"/>
    <w:rsid w:val="00E86519"/>
    <w:rsid w:val="00E866D0"/>
    <w:rsid w:val="00E86900"/>
    <w:rsid w:val="00E86F63"/>
    <w:rsid w:val="00E87348"/>
    <w:rsid w:val="00E874CC"/>
    <w:rsid w:val="00E8780A"/>
    <w:rsid w:val="00E90043"/>
    <w:rsid w:val="00E90286"/>
    <w:rsid w:val="00E90928"/>
    <w:rsid w:val="00E90B71"/>
    <w:rsid w:val="00E92184"/>
    <w:rsid w:val="00E9263D"/>
    <w:rsid w:val="00E92F03"/>
    <w:rsid w:val="00E92F51"/>
    <w:rsid w:val="00E93A51"/>
    <w:rsid w:val="00E942AB"/>
    <w:rsid w:val="00E94710"/>
    <w:rsid w:val="00E94711"/>
    <w:rsid w:val="00E947C1"/>
    <w:rsid w:val="00E94842"/>
    <w:rsid w:val="00E94A0B"/>
    <w:rsid w:val="00E957FC"/>
    <w:rsid w:val="00E96426"/>
    <w:rsid w:val="00E966AE"/>
    <w:rsid w:val="00E966C0"/>
    <w:rsid w:val="00E96B7B"/>
    <w:rsid w:val="00EA0289"/>
    <w:rsid w:val="00EA04D1"/>
    <w:rsid w:val="00EA1BB7"/>
    <w:rsid w:val="00EA2CDF"/>
    <w:rsid w:val="00EA2E93"/>
    <w:rsid w:val="00EA2FFC"/>
    <w:rsid w:val="00EA3393"/>
    <w:rsid w:val="00EA3F23"/>
    <w:rsid w:val="00EA4400"/>
    <w:rsid w:val="00EA4662"/>
    <w:rsid w:val="00EA4B62"/>
    <w:rsid w:val="00EA4CCD"/>
    <w:rsid w:val="00EA5B42"/>
    <w:rsid w:val="00EA6464"/>
    <w:rsid w:val="00EA6814"/>
    <w:rsid w:val="00EA6D04"/>
    <w:rsid w:val="00EA780B"/>
    <w:rsid w:val="00EB06AF"/>
    <w:rsid w:val="00EB082D"/>
    <w:rsid w:val="00EB0DD4"/>
    <w:rsid w:val="00EB0E0F"/>
    <w:rsid w:val="00EB116B"/>
    <w:rsid w:val="00EB11D1"/>
    <w:rsid w:val="00EB14CA"/>
    <w:rsid w:val="00EB15C3"/>
    <w:rsid w:val="00EB181B"/>
    <w:rsid w:val="00EB1CA4"/>
    <w:rsid w:val="00EB1CCC"/>
    <w:rsid w:val="00EB2DEA"/>
    <w:rsid w:val="00EB3782"/>
    <w:rsid w:val="00EB37CC"/>
    <w:rsid w:val="00EB401D"/>
    <w:rsid w:val="00EB41A2"/>
    <w:rsid w:val="00EB47C2"/>
    <w:rsid w:val="00EB700A"/>
    <w:rsid w:val="00EC006B"/>
    <w:rsid w:val="00EC028B"/>
    <w:rsid w:val="00EC059D"/>
    <w:rsid w:val="00EC091E"/>
    <w:rsid w:val="00EC13C9"/>
    <w:rsid w:val="00EC19F8"/>
    <w:rsid w:val="00EC267C"/>
    <w:rsid w:val="00EC2A31"/>
    <w:rsid w:val="00EC341C"/>
    <w:rsid w:val="00EC3E51"/>
    <w:rsid w:val="00EC4931"/>
    <w:rsid w:val="00EC61C9"/>
    <w:rsid w:val="00EC61CA"/>
    <w:rsid w:val="00EC6CD8"/>
    <w:rsid w:val="00EC7244"/>
    <w:rsid w:val="00ED06C0"/>
    <w:rsid w:val="00ED0C87"/>
    <w:rsid w:val="00ED1152"/>
    <w:rsid w:val="00ED1657"/>
    <w:rsid w:val="00ED18AF"/>
    <w:rsid w:val="00ED190F"/>
    <w:rsid w:val="00ED198A"/>
    <w:rsid w:val="00ED2459"/>
    <w:rsid w:val="00ED2915"/>
    <w:rsid w:val="00ED2C1E"/>
    <w:rsid w:val="00ED2EC1"/>
    <w:rsid w:val="00ED35CB"/>
    <w:rsid w:val="00ED3891"/>
    <w:rsid w:val="00ED391F"/>
    <w:rsid w:val="00ED3D89"/>
    <w:rsid w:val="00ED428E"/>
    <w:rsid w:val="00ED4B3E"/>
    <w:rsid w:val="00ED5582"/>
    <w:rsid w:val="00ED5637"/>
    <w:rsid w:val="00ED5D10"/>
    <w:rsid w:val="00ED61B8"/>
    <w:rsid w:val="00ED6618"/>
    <w:rsid w:val="00ED6652"/>
    <w:rsid w:val="00ED66CA"/>
    <w:rsid w:val="00ED6D4C"/>
    <w:rsid w:val="00ED7D35"/>
    <w:rsid w:val="00ED7DB2"/>
    <w:rsid w:val="00EE0169"/>
    <w:rsid w:val="00EE0239"/>
    <w:rsid w:val="00EE229E"/>
    <w:rsid w:val="00EE3147"/>
    <w:rsid w:val="00EE31C2"/>
    <w:rsid w:val="00EE335A"/>
    <w:rsid w:val="00EE3430"/>
    <w:rsid w:val="00EE3A55"/>
    <w:rsid w:val="00EE45B7"/>
    <w:rsid w:val="00EE5B91"/>
    <w:rsid w:val="00EE5BD0"/>
    <w:rsid w:val="00EE5D0E"/>
    <w:rsid w:val="00EE6075"/>
    <w:rsid w:val="00EE6AFD"/>
    <w:rsid w:val="00EE6CDE"/>
    <w:rsid w:val="00EE71BB"/>
    <w:rsid w:val="00EE71C9"/>
    <w:rsid w:val="00EE7CE9"/>
    <w:rsid w:val="00EF0689"/>
    <w:rsid w:val="00EF0B8B"/>
    <w:rsid w:val="00EF0F6B"/>
    <w:rsid w:val="00EF18C8"/>
    <w:rsid w:val="00EF1C91"/>
    <w:rsid w:val="00EF24AF"/>
    <w:rsid w:val="00EF26C8"/>
    <w:rsid w:val="00EF2817"/>
    <w:rsid w:val="00EF3327"/>
    <w:rsid w:val="00EF352D"/>
    <w:rsid w:val="00EF3817"/>
    <w:rsid w:val="00EF381B"/>
    <w:rsid w:val="00EF41BD"/>
    <w:rsid w:val="00EF4AEE"/>
    <w:rsid w:val="00EF4CAC"/>
    <w:rsid w:val="00EF565B"/>
    <w:rsid w:val="00EF6618"/>
    <w:rsid w:val="00EF673A"/>
    <w:rsid w:val="00EF6DAD"/>
    <w:rsid w:val="00EF6E41"/>
    <w:rsid w:val="00EF734F"/>
    <w:rsid w:val="00F003C0"/>
    <w:rsid w:val="00F00965"/>
    <w:rsid w:val="00F011A7"/>
    <w:rsid w:val="00F01A02"/>
    <w:rsid w:val="00F01BB0"/>
    <w:rsid w:val="00F01F18"/>
    <w:rsid w:val="00F038BF"/>
    <w:rsid w:val="00F03C48"/>
    <w:rsid w:val="00F03F3B"/>
    <w:rsid w:val="00F03F98"/>
    <w:rsid w:val="00F05565"/>
    <w:rsid w:val="00F056E9"/>
    <w:rsid w:val="00F05AB0"/>
    <w:rsid w:val="00F060A3"/>
    <w:rsid w:val="00F06A16"/>
    <w:rsid w:val="00F07357"/>
    <w:rsid w:val="00F07468"/>
    <w:rsid w:val="00F076D2"/>
    <w:rsid w:val="00F10E9A"/>
    <w:rsid w:val="00F11DDC"/>
    <w:rsid w:val="00F11DDF"/>
    <w:rsid w:val="00F121F8"/>
    <w:rsid w:val="00F12F89"/>
    <w:rsid w:val="00F1302B"/>
    <w:rsid w:val="00F135C6"/>
    <w:rsid w:val="00F13A42"/>
    <w:rsid w:val="00F13F76"/>
    <w:rsid w:val="00F1432A"/>
    <w:rsid w:val="00F150A1"/>
    <w:rsid w:val="00F160D3"/>
    <w:rsid w:val="00F165D4"/>
    <w:rsid w:val="00F173CC"/>
    <w:rsid w:val="00F17EE5"/>
    <w:rsid w:val="00F2004B"/>
    <w:rsid w:val="00F2067E"/>
    <w:rsid w:val="00F20CAB"/>
    <w:rsid w:val="00F2176B"/>
    <w:rsid w:val="00F22ADB"/>
    <w:rsid w:val="00F22D82"/>
    <w:rsid w:val="00F23318"/>
    <w:rsid w:val="00F233EF"/>
    <w:rsid w:val="00F23A43"/>
    <w:rsid w:val="00F23A8E"/>
    <w:rsid w:val="00F2403C"/>
    <w:rsid w:val="00F243EA"/>
    <w:rsid w:val="00F265DC"/>
    <w:rsid w:val="00F26D40"/>
    <w:rsid w:val="00F2727B"/>
    <w:rsid w:val="00F277AF"/>
    <w:rsid w:val="00F27A5D"/>
    <w:rsid w:val="00F27B4B"/>
    <w:rsid w:val="00F32CB9"/>
    <w:rsid w:val="00F33E68"/>
    <w:rsid w:val="00F33EBF"/>
    <w:rsid w:val="00F340B6"/>
    <w:rsid w:val="00F34A98"/>
    <w:rsid w:val="00F35958"/>
    <w:rsid w:val="00F361B7"/>
    <w:rsid w:val="00F37314"/>
    <w:rsid w:val="00F37B49"/>
    <w:rsid w:val="00F401AC"/>
    <w:rsid w:val="00F40BAE"/>
    <w:rsid w:val="00F41CE9"/>
    <w:rsid w:val="00F42652"/>
    <w:rsid w:val="00F42BC6"/>
    <w:rsid w:val="00F42CFA"/>
    <w:rsid w:val="00F43201"/>
    <w:rsid w:val="00F43D32"/>
    <w:rsid w:val="00F43FEB"/>
    <w:rsid w:val="00F4400B"/>
    <w:rsid w:val="00F44534"/>
    <w:rsid w:val="00F4462D"/>
    <w:rsid w:val="00F448E5"/>
    <w:rsid w:val="00F44C91"/>
    <w:rsid w:val="00F450AF"/>
    <w:rsid w:val="00F4514E"/>
    <w:rsid w:val="00F455BC"/>
    <w:rsid w:val="00F45B9D"/>
    <w:rsid w:val="00F45C74"/>
    <w:rsid w:val="00F463D0"/>
    <w:rsid w:val="00F468B3"/>
    <w:rsid w:val="00F46BE8"/>
    <w:rsid w:val="00F46D5C"/>
    <w:rsid w:val="00F47950"/>
    <w:rsid w:val="00F47AC8"/>
    <w:rsid w:val="00F50B29"/>
    <w:rsid w:val="00F510F8"/>
    <w:rsid w:val="00F5113C"/>
    <w:rsid w:val="00F51658"/>
    <w:rsid w:val="00F522EF"/>
    <w:rsid w:val="00F52439"/>
    <w:rsid w:val="00F5267B"/>
    <w:rsid w:val="00F52A42"/>
    <w:rsid w:val="00F52F93"/>
    <w:rsid w:val="00F52FBC"/>
    <w:rsid w:val="00F531ED"/>
    <w:rsid w:val="00F531F4"/>
    <w:rsid w:val="00F54608"/>
    <w:rsid w:val="00F54936"/>
    <w:rsid w:val="00F55129"/>
    <w:rsid w:val="00F552BE"/>
    <w:rsid w:val="00F552F2"/>
    <w:rsid w:val="00F5556A"/>
    <w:rsid w:val="00F5573E"/>
    <w:rsid w:val="00F55E52"/>
    <w:rsid w:val="00F56C49"/>
    <w:rsid w:val="00F570AA"/>
    <w:rsid w:val="00F57779"/>
    <w:rsid w:val="00F577B1"/>
    <w:rsid w:val="00F57A34"/>
    <w:rsid w:val="00F57EF0"/>
    <w:rsid w:val="00F601B9"/>
    <w:rsid w:val="00F606FA"/>
    <w:rsid w:val="00F60715"/>
    <w:rsid w:val="00F61C4D"/>
    <w:rsid w:val="00F61F1D"/>
    <w:rsid w:val="00F62781"/>
    <w:rsid w:val="00F627E2"/>
    <w:rsid w:val="00F64A09"/>
    <w:rsid w:val="00F64C07"/>
    <w:rsid w:val="00F64CB2"/>
    <w:rsid w:val="00F64FE0"/>
    <w:rsid w:val="00F65604"/>
    <w:rsid w:val="00F65A2A"/>
    <w:rsid w:val="00F66AC0"/>
    <w:rsid w:val="00F66DFC"/>
    <w:rsid w:val="00F676C7"/>
    <w:rsid w:val="00F703AB"/>
    <w:rsid w:val="00F70B3E"/>
    <w:rsid w:val="00F71520"/>
    <w:rsid w:val="00F71B9C"/>
    <w:rsid w:val="00F71D96"/>
    <w:rsid w:val="00F723AA"/>
    <w:rsid w:val="00F72BD9"/>
    <w:rsid w:val="00F72C0A"/>
    <w:rsid w:val="00F72F8D"/>
    <w:rsid w:val="00F7364C"/>
    <w:rsid w:val="00F73EF7"/>
    <w:rsid w:val="00F74378"/>
    <w:rsid w:val="00F7510D"/>
    <w:rsid w:val="00F7524F"/>
    <w:rsid w:val="00F75384"/>
    <w:rsid w:val="00F756CB"/>
    <w:rsid w:val="00F7590F"/>
    <w:rsid w:val="00F75FE2"/>
    <w:rsid w:val="00F769FA"/>
    <w:rsid w:val="00F76A46"/>
    <w:rsid w:val="00F772CC"/>
    <w:rsid w:val="00F77AD6"/>
    <w:rsid w:val="00F77DD7"/>
    <w:rsid w:val="00F77E78"/>
    <w:rsid w:val="00F806AB"/>
    <w:rsid w:val="00F80A85"/>
    <w:rsid w:val="00F80B1C"/>
    <w:rsid w:val="00F80DF0"/>
    <w:rsid w:val="00F81C3C"/>
    <w:rsid w:val="00F81D14"/>
    <w:rsid w:val="00F82C72"/>
    <w:rsid w:val="00F8300E"/>
    <w:rsid w:val="00F83318"/>
    <w:rsid w:val="00F8366B"/>
    <w:rsid w:val="00F83BB1"/>
    <w:rsid w:val="00F83D37"/>
    <w:rsid w:val="00F83DAA"/>
    <w:rsid w:val="00F84423"/>
    <w:rsid w:val="00F84953"/>
    <w:rsid w:val="00F855C4"/>
    <w:rsid w:val="00F8569E"/>
    <w:rsid w:val="00F85A14"/>
    <w:rsid w:val="00F87674"/>
    <w:rsid w:val="00F902D2"/>
    <w:rsid w:val="00F90378"/>
    <w:rsid w:val="00F90705"/>
    <w:rsid w:val="00F90D30"/>
    <w:rsid w:val="00F90EB0"/>
    <w:rsid w:val="00F90FC9"/>
    <w:rsid w:val="00F913C6"/>
    <w:rsid w:val="00F91C88"/>
    <w:rsid w:val="00F9223B"/>
    <w:rsid w:val="00F9230E"/>
    <w:rsid w:val="00F92553"/>
    <w:rsid w:val="00F92571"/>
    <w:rsid w:val="00F943AD"/>
    <w:rsid w:val="00F9471D"/>
    <w:rsid w:val="00F94864"/>
    <w:rsid w:val="00F94B64"/>
    <w:rsid w:val="00F94E48"/>
    <w:rsid w:val="00F9586A"/>
    <w:rsid w:val="00F95B6C"/>
    <w:rsid w:val="00F95BDD"/>
    <w:rsid w:val="00F9665C"/>
    <w:rsid w:val="00F96B81"/>
    <w:rsid w:val="00FA0014"/>
    <w:rsid w:val="00FA02D6"/>
    <w:rsid w:val="00FA02EE"/>
    <w:rsid w:val="00FA04AA"/>
    <w:rsid w:val="00FA0B71"/>
    <w:rsid w:val="00FA1322"/>
    <w:rsid w:val="00FA1BB1"/>
    <w:rsid w:val="00FA1C58"/>
    <w:rsid w:val="00FA203B"/>
    <w:rsid w:val="00FA2442"/>
    <w:rsid w:val="00FA3070"/>
    <w:rsid w:val="00FA33A6"/>
    <w:rsid w:val="00FA377B"/>
    <w:rsid w:val="00FA3C9F"/>
    <w:rsid w:val="00FA3D24"/>
    <w:rsid w:val="00FA3E71"/>
    <w:rsid w:val="00FA54CD"/>
    <w:rsid w:val="00FA5AF7"/>
    <w:rsid w:val="00FA6A7E"/>
    <w:rsid w:val="00FA6CF9"/>
    <w:rsid w:val="00FA79C5"/>
    <w:rsid w:val="00FB0090"/>
    <w:rsid w:val="00FB024E"/>
    <w:rsid w:val="00FB0B18"/>
    <w:rsid w:val="00FB1B2E"/>
    <w:rsid w:val="00FB1C9A"/>
    <w:rsid w:val="00FB2041"/>
    <w:rsid w:val="00FB2506"/>
    <w:rsid w:val="00FB264C"/>
    <w:rsid w:val="00FB2ACA"/>
    <w:rsid w:val="00FB3910"/>
    <w:rsid w:val="00FB3F95"/>
    <w:rsid w:val="00FB4A01"/>
    <w:rsid w:val="00FB4C98"/>
    <w:rsid w:val="00FB511E"/>
    <w:rsid w:val="00FB5481"/>
    <w:rsid w:val="00FB5771"/>
    <w:rsid w:val="00FB59C7"/>
    <w:rsid w:val="00FB5CA1"/>
    <w:rsid w:val="00FB5E61"/>
    <w:rsid w:val="00FB673E"/>
    <w:rsid w:val="00FB6D8F"/>
    <w:rsid w:val="00FB753B"/>
    <w:rsid w:val="00FC1838"/>
    <w:rsid w:val="00FC19E9"/>
    <w:rsid w:val="00FC1BD5"/>
    <w:rsid w:val="00FC29AC"/>
    <w:rsid w:val="00FC2FBF"/>
    <w:rsid w:val="00FC3558"/>
    <w:rsid w:val="00FC376A"/>
    <w:rsid w:val="00FC3D57"/>
    <w:rsid w:val="00FC3EB4"/>
    <w:rsid w:val="00FC4015"/>
    <w:rsid w:val="00FC51B8"/>
    <w:rsid w:val="00FC55C4"/>
    <w:rsid w:val="00FC5FD1"/>
    <w:rsid w:val="00FC60B3"/>
    <w:rsid w:val="00FC65BC"/>
    <w:rsid w:val="00FC6AE0"/>
    <w:rsid w:val="00FC6C2D"/>
    <w:rsid w:val="00FC7959"/>
    <w:rsid w:val="00FD05E9"/>
    <w:rsid w:val="00FD0811"/>
    <w:rsid w:val="00FD093D"/>
    <w:rsid w:val="00FD0BC2"/>
    <w:rsid w:val="00FD0E32"/>
    <w:rsid w:val="00FD1684"/>
    <w:rsid w:val="00FD16AB"/>
    <w:rsid w:val="00FD1F43"/>
    <w:rsid w:val="00FD2059"/>
    <w:rsid w:val="00FD21BD"/>
    <w:rsid w:val="00FD2A66"/>
    <w:rsid w:val="00FD2D35"/>
    <w:rsid w:val="00FD2E12"/>
    <w:rsid w:val="00FD2E3A"/>
    <w:rsid w:val="00FD38DC"/>
    <w:rsid w:val="00FD3DD2"/>
    <w:rsid w:val="00FD44CB"/>
    <w:rsid w:val="00FD47FA"/>
    <w:rsid w:val="00FD4A8A"/>
    <w:rsid w:val="00FD5381"/>
    <w:rsid w:val="00FD550C"/>
    <w:rsid w:val="00FD6025"/>
    <w:rsid w:val="00FD6301"/>
    <w:rsid w:val="00FD6457"/>
    <w:rsid w:val="00FD6B74"/>
    <w:rsid w:val="00FD753F"/>
    <w:rsid w:val="00FD755E"/>
    <w:rsid w:val="00FD7CD3"/>
    <w:rsid w:val="00FE01FF"/>
    <w:rsid w:val="00FE1070"/>
    <w:rsid w:val="00FE17E1"/>
    <w:rsid w:val="00FE1B7F"/>
    <w:rsid w:val="00FE227C"/>
    <w:rsid w:val="00FE31C6"/>
    <w:rsid w:val="00FE3AE5"/>
    <w:rsid w:val="00FE3D4D"/>
    <w:rsid w:val="00FE44C5"/>
    <w:rsid w:val="00FE4A2A"/>
    <w:rsid w:val="00FE4F45"/>
    <w:rsid w:val="00FE54D0"/>
    <w:rsid w:val="00FE7331"/>
    <w:rsid w:val="00FE7EDA"/>
    <w:rsid w:val="00FF040E"/>
    <w:rsid w:val="00FF05F8"/>
    <w:rsid w:val="00FF084F"/>
    <w:rsid w:val="00FF0BCE"/>
    <w:rsid w:val="00FF1021"/>
    <w:rsid w:val="00FF141F"/>
    <w:rsid w:val="00FF1A32"/>
    <w:rsid w:val="00FF3165"/>
    <w:rsid w:val="00FF31BC"/>
    <w:rsid w:val="00FF342A"/>
    <w:rsid w:val="00FF3AA9"/>
    <w:rsid w:val="00FF3D2F"/>
    <w:rsid w:val="00FF406D"/>
    <w:rsid w:val="00FF452B"/>
    <w:rsid w:val="00FF49DF"/>
    <w:rsid w:val="00FF4F5B"/>
    <w:rsid w:val="00FF5430"/>
    <w:rsid w:val="00FF5CE3"/>
    <w:rsid w:val="00FF6755"/>
    <w:rsid w:val="00FF70CC"/>
    <w:rsid w:val="00FF710D"/>
    <w:rsid w:val="00FF71B2"/>
    <w:rsid w:val="00FF7E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89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99"/>
    <w:locked/>
    <w:pPr>
      <w:spacing w:after="240" w:line="240" w:lineRule="exact"/>
      <w:ind w:left="510" w:hanging="510"/>
    </w:pPr>
  </w:style>
  <w:style w:type="character" w:styleId="FootnoteReference">
    <w:name w:val="footnote reference"/>
    <w:uiPriority w:val="99"/>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704E54"/>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styleId="ListParagraph">
    <w:name w:val="List Paragraph"/>
    <w:basedOn w:val="Normal"/>
    <w:uiPriority w:val="34"/>
    <w:qFormat/>
    <w:locked/>
    <w:rsid w:val="00C557F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720" w:right="0" w:firstLine="0"/>
    </w:pPr>
    <w:rPr>
      <w:rFonts w:ascii="Calibri" w:eastAsiaTheme="minorHAnsi" w:hAnsi="Calibri" w:cs="Calibri"/>
      <w:sz w:val="22"/>
      <w:szCs w:val="22"/>
      <w:lang w:eastAsia="en-US"/>
    </w:rPr>
  </w:style>
  <w:style w:type="character" w:styleId="CommentReference">
    <w:name w:val="annotation reference"/>
    <w:basedOn w:val="DefaultParagraphFont"/>
    <w:uiPriority w:val="99"/>
    <w:semiHidden/>
    <w:unhideWhenUsed/>
    <w:locked/>
    <w:rsid w:val="00776D2D"/>
    <w:rPr>
      <w:sz w:val="16"/>
      <w:szCs w:val="16"/>
    </w:rPr>
  </w:style>
  <w:style w:type="paragraph" w:styleId="CommentText">
    <w:name w:val="annotation text"/>
    <w:basedOn w:val="Normal"/>
    <w:link w:val="CommentTextChar"/>
    <w:uiPriority w:val="99"/>
    <w:unhideWhenUsed/>
    <w:locked/>
    <w:rsid w:val="00776D2D"/>
    <w:pPr>
      <w:spacing w:line="240" w:lineRule="auto"/>
    </w:pPr>
    <w:rPr>
      <w:sz w:val="20"/>
      <w:szCs w:val="20"/>
    </w:rPr>
  </w:style>
  <w:style w:type="character" w:customStyle="1" w:styleId="CommentTextChar">
    <w:name w:val="Comment Text Char"/>
    <w:basedOn w:val="DefaultParagraphFont"/>
    <w:link w:val="CommentText"/>
    <w:uiPriority w:val="99"/>
    <w:rsid w:val="00776D2D"/>
    <w:rPr>
      <w:sz w:val="20"/>
      <w:szCs w:val="20"/>
    </w:rPr>
  </w:style>
  <w:style w:type="paragraph" w:styleId="CommentSubject">
    <w:name w:val="annotation subject"/>
    <w:basedOn w:val="CommentText"/>
    <w:next w:val="CommentText"/>
    <w:link w:val="CommentSubjectChar"/>
    <w:uiPriority w:val="99"/>
    <w:semiHidden/>
    <w:unhideWhenUsed/>
    <w:locked/>
    <w:rsid w:val="00776D2D"/>
    <w:rPr>
      <w:b/>
      <w:bCs/>
    </w:rPr>
  </w:style>
  <w:style w:type="character" w:customStyle="1" w:styleId="CommentSubjectChar">
    <w:name w:val="Comment Subject Char"/>
    <w:basedOn w:val="CommentTextChar"/>
    <w:link w:val="CommentSubject"/>
    <w:uiPriority w:val="99"/>
    <w:semiHidden/>
    <w:rsid w:val="00776D2D"/>
    <w:rPr>
      <w:b/>
      <w:bCs/>
      <w:sz w:val="20"/>
      <w:szCs w:val="20"/>
    </w:rPr>
  </w:style>
  <w:style w:type="paragraph" w:styleId="Revision">
    <w:name w:val="Revision"/>
    <w:hidden/>
    <w:uiPriority w:val="99"/>
    <w:semiHidden/>
    <w:rsid w:val="004762CA"/>
  </w:style>
  <w:style w:type="character" w:styleId="Emphasis">
    <w:name w:val="Emphasis"/>
    <w:basedOn w:val="DefaultParagraphFont"/>
    <w:uiPriority w:val="20"/>
    <w:qFormat/>
    <w:locked/>
    <w:rsid w:val="002D2334"/>
    <w:rPr>
      <w:i/>
      <w:iCs/>
    </w:rPr>
  </w:style>
  <w:style w:type="character" w:styleId="Hyperlink">
    <w:name w:val="Hyperlink"/>
    <w:basedOn w:val="DefaultParagraphFont"/>
    <w:uiPriority w:val="99"/>
    <w:unhideWhenUsed/>
    <w:locked/>
    <w:rsid w:val="002D2334"/>
    <w:rPr>
      <w:color w:val="0000FF"/>
      <w:u w:val="single"/>
    </w:rPr>
  </w:style>
  <w:style w:type="character" w:styleId="UnresolvedMention">
    <w:name w:val="Unresolved Mention"/>
    <w:basedOn w:val="DefaultParagraphFont"/>
    <w:uiPriority w:val="99"/>
    <w:semiHidden/>
    <w:unhideWhenUsed/>
    <w:rsid w:val="002D2334"/>
    <w:rPr>
      <w:color w:val="605E5C"/>
      <w:shd w:val="clear" w:color="auto" w:fill="E1DFDD"/>
    </w:rPr>
  </w:style>
  <w:style w:type="character" w:customStyle="1" w:styleId="FootnoteTextChar">
    <w:name w:val="Footnote Text Char"/>
    <w:link w:val="FootnoteText"/>
    <w:uiPriority w:val="99"/>
    <w:rsid w:val="002D2334"/>
  </w:style>
  <w:style w:type="paragraph" w:styleId="NormalWeb">
    <w:name w:val="Normal (Web)"/>
    <w:basedOn w:val="Normal"/>
    <w:uiPriority w:val="99"/>
    <w:semiHidden/>
    <w:unhideWhenUsed/>
    <w:locked/>
    <w:rsid w:val="002D2334"/>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paragraph" w:styleId="Title">
    <w:name w:val="Title"/>
    <w:basedOn w:val="Normal"/>
    <w:next w:val="Normal"/>
    <w:link w:val="TitleChar"/>
    <w:uiPriority w:val="10"/>
    <w:qFormat/>
    <w:locked/>
    <w:rsid w:val="002D233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contextualSpacing/>
    </w:pPr>
    <w:rPr>
      <w:rFonts w:ascii="Arial" w:eastAsiaTheme="majorEastAsia" w:hAnsi="Arial" w:cs="Arial"/>
      <w:b/>
      <w:spacing w:val="-10"/>
      <w:kern w:val="28"/>
      <w:sz w:val="32"/>
      <w:szCs w:val="28"/>
      <w:lang w:eastAsia="en-US"/>
    </w:rPr>
  </w:style>
  <w:style w:type="character" w:customStyle="1" w:styleId="TitleChar">
    <w:name w:val="Title Char"/>
    <w:basedOn w:val="DefaultParagraphFont"/>
    <w:link w:val="Title"/>
    <w:uiPriority w:val="10"/>
    <w:rsid w:val="002D2334"/>
    <w:rPr>
      <w:rFonts w:ascii="Arial" w:eastAsiaTheme="majorEastAsia" w:hAnsi="Arial" w:cs="Arial"/>
      <w:b/>
      <w:spacing w:val="-10"/>
      <w:kern w:val="28"/>
      <w:sz w:val="32"/>
      <w:szCs w:val="28"/>
      <w:lang w:eastAsia="en-US"/>
    </w:rPr>
  </w:style>
  <w:style w:type="paragraph" w:customStyle="1" w:styleId="Body">
    <w:name w:val="Body"/>
    <w:basedOn w:val="Normal"/>
    <w:qFormat/>
    <w:rsid w:val="00CA61A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CA61A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CA61AF"/>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CA61AF"/>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CA61AF"/>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CA61AF"/>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07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9.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2.xml"/><Relationship Id="rId27" Type="http://schemas.openxmlformats.org/officeDocument/2006/relationships/header" Target="header14.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3A1558-6358-4865-9ED6-4C7ACAAB88DE}">
  <ds:schemaRefs>
    <ds:schemaRef ds:uri="http://schemas.openxmlformats.org/officeDocument/2006/bibliography"/>
  </ds:schemaRefs>
</ds:datastoreItem>
</file>

<file path=customXml/itemProps2.xml><?xml version="1.0" encoding="utf-8"?>
<ds:datastoreItem xmlns:ds="http://schemas.openxmlformats.org/officeDocument/2006/customXml" ds:itemID="{1039734F-1C26-4EE5-A41D-E9D953322111}"/>
</file>

<file path=customXml/itemProps3.xml><?xml version="1.0" encoding="utf-8"?>
<ds:datastoreItem xmlns:ds="http://schemas.openxmlformats.org/officeDocument/2006/customXml" ds:itemID="{A4D69C0B-6975-443A-A3FE-011CC302F531}"/>
</file>

<file path=customXml/itemProps4.xml><?xml version="1.0" encoding="utf-8"?>
<ds:datastoreItem xmlns:ds="http://schemas.openxmlformats.org/officeDocument/2006/customXml" ds:itemID="{D216257C-CE8D-42B8-839D-B55F6E6B3456}"/>
</file>

<file path=docProps/app.xml><?xml version="1.0" encoding="utf-8"?>
<Properties xmlns="http://schemas.openxmlformats.org/officeDocument/2006/extended-properties" xmlns:vt="http://schemas.openxmlformats.org/officeDocument/2006/docPropsVTypes">
  <Template>Normal.dotm</Template>
  <TotalTime>0</TotalTime>
  <Pages>115</Pages>
  <Words>34931</Words>
  <Characters>180599</Characters>
  <Application>Microsoft Office Word</Application>
  <DocSecurity>0</DocSecurity>
  <Lines>1504</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2021-06-15T23:14:00Z</dcterms:created>
  <dcterms:modified xsi:type="dcterms:W3CDTF">2021-06-15T23:15:00Z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5">
    <vt:lpwstr>NETTLE J 05</vt:lpwstr>
  </property>
  <property fmtid="{D5CDD505-2E9C-101B-9397-08002B2CF9AE}" pid="3" name="Judge03">
    <vt:lpwstr>GAGELER J 03</vt:lpwstr>
  </property>
  <property fmtid="{D5CDD505-2E9C-101B-9397-08002B2CF9AE}" pid="4" name="ContentTypeId">
    <vt:lpwstr>0x0101001F32D2EC4F8DE44A8C0C478B82839881</vt:lpwstr>
  </property>
  <property fmtid="{D5CDD505-2E9C-101B-9397-08002B2CF9AE}" pid="5" name="Judge06">
    <vt:lpwstr>GORDON J 06</vt:lpwstr>
  </property>
  <property fmtid="{D5CDD505-2E9C-101B-9397-08002B2CF9AE}" pid="6" name="Judge01">
    <vt:lpwstr>KIEFEL CJ 01</vt:lpwstr>
  </property>
  <property fmtid="{D5CDD505-2E9C-101B-9397-08002B2CF9AE}" pid="7" name="Judge04">
    <vt:lpwstr>KEANE J 04</vt:lpwstr>
  </property>
  <property fmtid="{D5CDD505-2E9C-101B-9397-08002B2CF9AE}" pid="8" name="Judge07">
    <vt:lpwstr>EDELMAN J 07</vt:lpwstr>
  </property>
  <property fmtid="{D5CDD505-2E9C-101B-9397-08002B2CF9AE}" pid="9" name="Judge02">
    <vt:lpwstr>BELL J 02</vt:lpwstr>
  </property>
</Properties>
</file>