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961F4" w14:textId="77777777" w:rsidR="00204543" w:rsidRPr="00704FF8" w:rsidRDefault="00204543" w:rsidP="00704FF8">
      <w:pPr>
        <w:pStyle w:val="OrdersTopLine"/>
      </w:pPr>
      <w:bookmarkStart w:id="0" w:name="_GoBack"/>
      <w:bookmarkEnd w:id="0"/>
      <w:r w:rsidRPr="00704FF8">
        <w:t>HIGH COURT OF AUSTRALIA</w:t>
      </w:r>
    </w:p>
    <w:p w14:paraId="151FD14B" w14:textId="77777777" w:rsidR="00204543" w:rsidRPr="00704FF8" w:rsidRDefault="00204543" w:rsidP="00704FF8">
      <w:pPr>
        <w:pStyle w:val="OrderCentre"/>
      </w:pPr>
    </w:p>
    <w:p w14:paraId="00ACE345" w14:textId="77777777" w:rsidR="00204543" w:rsidRPr="00704FF8" w:rsidRDefault="00204543" w:rsidP="00704FF8">
      <w:pPr>
        <w:pStyle w:val="OrderCentre"/>
      </w:pPr>
      <w:r w:rsidRPr="00704FF8">
        <w:t>KIEFEL CJ</w:t>
      </w:r>
      <w:r>
        <w:t>,</w:t>
      </w:r>
    </w:p>
    <w:p w14:paraId="03978A50" w14:textId="77777777" w:rsidR="00204543" w:rsidRPr="00704FF8" w:rsidRDefault="00204543" w:rsidP="00704FF8">
      <w:pPr>
        <w:pStyle w:val="OrderCentre"/>
      </w:pPr>
      <w:r w:rsidRPr="00704FF8">
        <w:t>GAGELER, KEANE, GORDON AND EDELMAN JJ</w:t>
      </w:r>
    </w:p>
    <w:p w14:paraId="67A1D409" w14:textId="77777777" w:rsidR="00204543" w:rsidRPr="00427F3A" w:rsidRDefault="00204543" w:rsidP="00EE5374">
      <w:pPr>
        <w:pStyle w:val="Centre"/>
        <w:rPr>
          <w:lang w:val="en-AU"/>
        </w:rPr>
      </w:pPr>
    </w:p>
    <w:p w14:paraId="465052B7" w14:textId="77777777" w:rsidR="00204543" w:rsidRPr="00704FF8" w:rsidRDefault="00204543" w:rsidP="00704FF8">
      <w:pPr>
        <w:pStyle w:val="OrdersCenteredBorder"/>
      </w:pPr>
    </w:p>
    <w:p w14:paraId="12821139" w14:textId="77777777" w:rsidR="00204543" w:rsidRPr="00704FF8" w:rsidRDefault="00204543" w:rsidP="0032341F">
      <w:pPr>
        <w:pStyle w:val="OrdersBodyHeading"/>
      </w:pPr>
    </w:p>
    <w:p w14:paraId="22DB69E9" w14:textId="77777777" w:rsidR="00204543" w:rsidRPr="0032341F" w:rsidRDefault="00204543" w:rsidP="009362E8">
      <w:pPr>
        <w:pStyle w:val="OrdersPartyName"/>
        <w:ind w:right="-1"/>
      </w:pPr>
      <w:r w:rsidRPr="007A13B9">
        <w:t>MARION ANTOINETTE</w:t>
      </w:r>
      <w:r>
        <w:t xml:space="preserve"> </w:t>
      </w:r>
      <w:r w:rsidRPr="007A13B9">
        <w:t>WIGMANS</w:t>
      </w:r>
      <w:r w:rsidRPr="0032341F">
        <w:tab/>
        <w:t>APPELLANT</w:t>
      </w:r>
    </w:p>
    <w:p w14:paraId="567ADDF2" w14:textId="77777777" w:rsidR="00204543" w:rsidRPr="0032341F" w:rsidRDefault="00204543" w:rsidP="009362E8">
      <w:pPr>
        <w:pStyle w:val="OrdersPartyName"/>
        <w:ind w:right="-1"/>
      </w:pPr>
    </w:p>
    <w:p w14:paraId="42A15FA3" w14:textId="77777777" w:rsidR="00204543" w:rsidRPr="0032341F" w:rsidRDefault="00204543" w:rsidP="009362E8">
      <w:pPr>
        <w:pStyle w:val="OrdersPartyName"/>
        <w:ind w:right="-1"/>
      </w:pPr>
      <w:r w:rsidRPr="0032341F">
        <w:t>AND</w:t>
      </w:r>
    </w:p>
    <w:p w14:paraId="43DEB812" w14:textId="77777777" w:rsidR="00204543" w:rsidRPr="0032341F" w:rsidRDefault="00204543" w:rsidP="009362E8">
      <w:pPr>
        <w:pStyle w:val="OrdersPartyName"/>
        <w:ind w:right="-1"/>
      </w:pPr>
    </w:p>
    <w:p w14:paraId="52486BCC" w14:textId="77777777" w:rsidR="00204543" w:rsidRPr="0032341F" w:rsidRDefault="00204543" w:rsidP="009362E8">
      <w:pPr>
        <w:pStyle w:val="OrdersPartyName"/>
        <w:ind w:right="-1"/>
      </w:pPr>
      <w:r w:rsidRPr="007A13B9">
        <w:t>AMP LIMITED</w:t>
      </w:r>
      <w:r>
        <w:t xml:space="preserve"> </w:t>
      </w:r>
      <w:r w:rsidRPr="008A1920">
        <w:t xml:space="preserve">&amp; </w:t>
      </w:r>
      <w:r>
        <w:t>ORS</w:t>
      </w:r>
      <w:r w:rsidRPr="0032341F">
        <w:tab/>
        <w:t>RESPONDENT</w:t>
      </w:r>
      <w:r>
        <w:t>S</w:t>
      </w:r>
    </w:p>
    <w:p w14:paraId="3F5C421B" w14:textId="77777777" w:rsidR="00204543" w:rsidRPr="00427F3A" w:rsidRDefault="00204543" w:rsidP="00AF0A5E">
      <w:pPr>
        <w:pStyle w:val="BodyHeading"/>
      </w:pPr>
    </w:p>
    <w:p w14:paraId="5160ED35" w14:textId="77777777" w:rsidR="00204543" w:rsidRPr="00427F3A" w:rsidRDefault="00204543" w:rsidP="00BE0A6C">
      <w:pPr>
        <w:pStyle w:val="BodyHeading"/>
      </w:pPr>
    </w:p>
    <w:p w14:paraId="0E78FD92" w14:textId="77777777" w:rsidR="00204543" w:rsidRPr="00427F3A" w:rsidRDefault="00204543" w:rsidP="00EE5374">
      <w:pPr>
        <w:pStyle w:val="CentreItalics"/>
      </w:pPr>
      <w:proofErr w:type="spellStart"/>
      <w:r w:rsidRPr="00BA3123">
        <w:t>Wigmans</w:t>
      </w:r>
      <w:proofErr w:type="spellEnd"/>
      <w:r w:rsidRPr="00BA3123">
        <w:t xml:space="preserve"> v AMP Limited</w:t>
      </w:r>
    </w:p>
    <w:p w14:paraId="52A4926B" w14:textId="77777777" w:rsidR="00204543" w:rsidRPr="00427F3A" w:rsidRDefault="00204543" w:rsidP="00E90E4F">
      <w:pPr>
        <w:pStyle w:val="OrdersCentre"/>
      </w:pPr>
      <w:r>
        <w:t>[2021</w:t>
      </w:r>
      <w:r w:rsidRPr="00427F3A">
        <w:t xml:space="preserve">] HCA </w:t>
      </w:r>
      <w:r>
        <w:t>7</w:t>
      </w:r>
    </w:p>
    <w:p w14:paraId="0E91FE8C" w14:textId="77777777" w:rsidR="00204543" w:rsidRDefault="00204543" w:rsidP="00E90E4F">
      <w:pPr>
        <w:pStyle w:val="OrdersCentreItalics"/>
      </w:pPr>
      <w:r>
        <w:t>Date of Hearing:</w:t>
      </w:r>
      <w:r w:rsidRPr="005A4275">
        <w:t xml:space="preserve"> 10 November 2020</w:t>
      </w:r>
    </w:p>
    <w:p w14:paraId="11DEF503" w14:textId="77777777" w:rsidR="00204543" w:rsidRPr="00427F3A" w:rsidRDefault="00204543" w:rsidP="00E90E4F">
      <w:pPr>
        <w:pStyle w:val="OrdersCentreItalics"/>
      </w:pPr>
      <w:r>
        <w:t>Date of Judgment: 10 March 2021</w:t>
      </w:r>
    </w:p>
    <w:p w14:paraId="316A37C0" w14:textId="77777777" w:rsidR="00204543" w:rsidRDefault="00204543" w:rsidP="00E90E4F">
      <w:pPr>
        <w:pStyle w:val="OrdersCentre"/>
      </w:pPr>
      <w:r w:rsidRPr="007A13B9">
        <w:t>S67/2020</w:t>
      </w:r>
    </w:p>
    <w:p w14:paraId="52E99B6A" w14:textId="77777777" w:rsidR="00204543" w:rsidRPr="00427F3A" w:rsidRDefault="00204543" w:rsidP="00E90E4F">
      <w:pPr>
        <w:pStyle w:val="OrdersCentre"/>
      </w:pPr>
    </w:p>
    <w:p w14:paraId="66FC031A" w14:textId="77777777" w:rsidR="00204543" w:rsidRPr="00BE0A6C" w:rsidRDefault="00204543" w:rsidP="00E90E4F">
      <w:pPr>
        <w:pStyle w:val="OrderCentreBold"/>
      </w:pPr>
      <w:r w:rsidRPr="00BE0A6C">
        <w:t>ORDER</w:t>
      </w:r>
    </w:p>
    <w:p w14:paraId="6D0FF53A" w14:textId="77777777" w:rsidR="00204543" w:rsidRPr="00427F3A" w:rsidRDefault="00204543" w:rsidP="00736C52">
      <w:pPr>
        <w:pStyle w:val="Centre"/>
        <w:rPr>
          <w:lang w:val="en-AU"/>
        </w:rPr>
      </w:pPr>
    </w:p>
    <w:p w14:paraId="183FAAC8" w14:textId="77777777" w:rsidR="00204543" w:rsidRDefault="00204543" w:rsidP="00F90DE4">
      <w:pPr>
        <w:pStyle w:val="OrdersText"/>
      </w:pPr>
      <w:r>
        <w:t>1.</w:t>
      </w:r>
      <w:r>
        <w:tab/>
        <w:t xml:space="preserve">Appeal dismissed. </w:t>
      </w:r>
    </w:p>
    <w:p w14:paraId="5D87861C" w14:textId="77777777" w:rsidR="00204543" w:rsidRDefault="00204543" w:rsidP="00F90DE4">
      <w:pPr>
        <w:pStyle w:val="OrdersText"/>
      </w:pPr>
    </w:p>
    <w:p w14:paraId="3330B6A4" w14:textId="77777777" w:rsidR="00204543" w:rsidRPr="00932312" w:rsidRDefault="00204543" w:rsidP="00F90DE4">
      <w:pPr>
        <w:pStyle w:val="OrdersText"/>
      </w:pPr>
      <w:r>
        <w:t>2.</w:t>
      </w:r>
      <w:r>
        <w:tab/>
        <w:t xml:space="preserve">The appellant pay the respondents' costs of the appeal to this Court. </w:t>
      </w:r>
    </w:p>
    <w:p w14:paraId="6EDB7C94" w14:textId="77777777" w:rsidR="00204543" w:rsidRPr="00427F3A" w:rsidRDefault="00204543" w:rsidP="00EE5374">
      <w:pPr>
        <w:pStyle w:val="Body"/>
      </w:pPr>
    </w:p>
    <w:p w14:paraId="75473326" w14:textId="77777777" w:rsidR="00204543" w:rsidRPr="00427F3A" w:rsidRDefault="00204543" w:rsidP="0032341F">
      <w:pPr>
        <w:pStyle w:val="OrdersBody"/>
      </w:pPr>
      <w:r w:rsidRPr="00427F3A">
        <w:t xml:space="preserve">On appeal from the </w:t>
      </w:r>
      <w:r w:rsidRPr="00BA3123">
        <w:t>Supreme Court of New South Wales</w:t>
      </w:r>
    </w:p>
    <w:p w14:paraId="47821C89" w14:textId="77777777" w:rsidR="00204543" w:rsidRPr="00427F3A" w:rsidRDefault="00204543" w:rsidP="00EE5374">
      <w:pPr>
        <w:pStyle w:val="Body"/>
      </w:pPr>
    </w:p>
    <w:p w14:paraId="658D849D" w14:textId="77777777" w:rsidR="00204543" w:rsidRPr="00427F3A" w:rsidRDefault="00204543" w:rsidP="00E90E4F">
      <w:pPr>
        <w:pStyle w:val="OrdersBodyHeading"/>
      </w:pPr>
      <w:r w:rsidRPr="00427F3A">
        <w:t>Representation</w:t>
      </w:r>
    </w:p>
    <w:p w14:paraId="01257ADE" w14:textId="77777777" w:rsidR="00204543" w:rsidRDefault="00204543" w:rsidP="00BA3123">
      <w:pPr>
        <w:pStyle w:val="Body"/>
      </w:pPr>
    </w:p>
    <w:p w14:paraId="15E7457B" w14:textId="77777777" w:rsidR="00204543" w:rsidRDefault="00204543" w:rsidP="00BA3123">
      <w:pPr>
        <w:pStyle w:val="OrdersBody"/>
      </w:pPr>
      <w:r>
        <w:t xml:space="preserve">J T Gleeson SC with A M </w:t>
      </w:r>
      <w:proofErr w:type="spellStart"/>
      <w:r>
        <w:t>Hochroth</w:t>
      </w:r>
      <w:proofErr w:type="spellEnd"/>
      <w:r>
        <w:t xml:space="preserve"> and P A Meagher for the appellant (instructed by Quinn Emanuel Urquhart and Sullivan)</w:t>
      </w:r>
    </w:p>
    <w:p w14:paraId="64614750" w14:textId="77777777" w:rsidR="00204543" w:rsidRDefault="00204543" w:rsidP="00BA3123">
      <w:pPr>
        <w:pStyle w:val="Body"/>
      </w:pPr>
    </w:p>
    <w:p w14:paraId="02F9C649" w14:textId="77777777" w:rsidR="00204543" w:rsidRDefault="00204543" w:rsidP="00BA3123">
      <w:pPr>
        <w:pStyle w:val="OrdersBody"/>
      </w:pPr>
      <w:r>
        <w:t>E A Collins SC with I J M Ahmed for the first respondent (instructed by Herbert Smith Freehills)</w:t>
      </w:r>
    </w:p>
    <w:p w14:paraId="43387DD7" w14:textId="77777777" w:rsidR="00204543" w:rsidRDefault="00204543" w:rsidP="00BA3123">
      <w:pPr>
        <w:pStyle w:val="Body"/>
      </w:pPr>
    </w:p>
    <w:p w14:paraId="69407819" w14:textId="77777777" w:rsidR="00204543" w:rsidRDefault="00204543" w:rsidP="00BA3123">
      <w:pPr>
        <w:pStyle w:val="OrdersBody"/>
      </w:pPr>
      <w:r>
        <w:t xml:space="preserve">C A Moore SC with G A Donnellan and J </w:t>
      </w:r>
      <w:proofErr w:type="spellStart"/>
      <w:r>
        <w:t>Entwisle</w:t>
      </w:r>
      <w:proofErr w:type="spellEnd"/>
      <w:r>
        <w:t xml:space="preserve"> for the second and third respondents (instructed by Maurice Blackburn Lawyers)</w:t>
      </w:r>
    </w:p>
    <w:p w14:paraId="694C4380" w14:textId="77777777" w:rsidR="00204543" w:rsidRPr="00427F3A" w:rsidRDefault="00204543" w:rsidP="00EE5374">
      <w:pPr>
        <w:pStyle w:val="Body"/>
      </w:pPr>
    </w:p>
    <w:p w14:paraId="2DC67F56" w14:textId="77777777" w:rsidR="00204543" w:rsidRPr="00427F3A" w:rsidRDefault="00204543" w:rsidP="00F9713B">
      <w:pPr>
        <w:pStyle w:val="Notice"/>
        <w:rPr>
          <w:lang w:val="en-AU"/>
        </w:rPr>
      </w:pPr>
      <w:r w:rsidRPr="00427F3A">
        <w:rPr>
          <w:lang w:val="en-AU"/>
        </w:rPr>
        <w:t>Notice:  This copy of the Court's Reasons for Judgment is subject to formal revision prior to publication in the Commonwealth Law Reports.</w:t>
      </w:r>
    </w:p>
    <w:p w14:paraId="7988C955" w14:textId="330FC70E" w:rsidR="00204543" w:rsidRDefault="0020454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7BEF395" w14:textId="77777777" w:rsidR="00204543" w:rsidRDefault="0020454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204543" w:rsidSect="0020454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E9FFB02" w14:textId="77777777" w:rsidR="00204543" w:rsidRPr="00054C14" w:rsidRDefault="00204543" w:rsidP="00204543">
      <w:pPr>
        <w:pStyle w:val="CatchwordsBold"/>
      </w:pPr>
      <w:r w:rsidRPr="00054C14">
        <w:lastRenderedPageBreak/>
        <w:t>CATCHWORDS</w:t>
      </w:r>
    </w:p>
    <w:p w14:paraId="0A6D7D48" w14:textId="77777777" w:rsidR="00204543" w:rsidRPr="00054C14" w:rsidRDefault="00204543" w:rsidP="00204543">
      <w:pPr>
        <w:pStyle w:val="CatchwordsBold"/>
      </w:pPr>
    </w:p>
    <w:p w14:paraId="256BE8E2" w14:textId="77777777" w:rsidR="00204543" w:rsidRDefault="00204543" w:rsidP="00204543">
      <w:pPr>
        <w:pStyle w:val="CatchwordsBold"/>
      </w:pPr>
      <w:proofErr w:type="spellStart"/>
      <w:r>
        <w:t>Wigmans</w:t>
      </w:r>
      <w:proofErr w:type="spellEnd"/>
      <w:r>
        <w:t xml:space="preserve"> v AMP Limited</w:t>
      </w:r>
    </w:p>
    <w:p w14:paraId="37D1E2A5" w14:textId="77777777" w:rsidR="00204543" w:rsidRDefault="00204543" w:rsidP="00204543">
      <w:pPr>
        <w:spacing w:line="240" w:lineRule="auto"/>
        <w:ind w:right="0" w:firstLine="0"/>
        <w:jc w:val="both"/>
        <w:rPr>
          <w:rFonts w:ascii="Times New Roman" w:hAnsi="Times New Roman"/>
        </w:rPr>
      </w:pPr>
    </w:p>
    <w:p w14:paraId="09F0A4CB" w14:textId="77777777" w:rsidR="00204543" w:rsidRPr="00540B69" w:rsidRDefault="00204543" w:rsidP="00204543">
      <w:pPr>
        <w:pStyle w:val="CatchwordsText"/>
      </w:pPr>
      <w:r>
        <w:t xml:space="preserve">Practice and procedure – Representative action – Stay – Where five open class representative actions commenced against same defendant in relation to same controversy – Where considerable overlap between claims made in proceedings – Where representative plaintiff in four proceedings filed notice of motion in Supreme Court of New South Wales seeking orders that each other proceeding be permanently stayed – Whether Supreme Court's power to grant stay is confined by rule or presumption that representative proceeding issued first in time is to be preferred – Whether litigation funding arrangements can be relevant consideration under s 67 of </w:t>
      </w:r>
      <w:r>
        <w:rPr>
          <w:i/>
        </w:rPr>
        <w:t xml:space="preserve">Civil Procedure Act 2005 </w:t>
      </w:r>
      <w:r>
        <w:t>(NSW) – Whether Supreme Court erred in considering litigation funding arrangements.</w:t>
      </w:r>
    </w:p>
    <w:p w14:paraId="6FEEB2D8" w14:textId="77777777" w:rsidR="00204543" w:rsidRDefault="00204543" w:rsidP="00204543">
      <w:pPr>
        <w:pStyle w:val="CatchwordsText"/>
      </w:pPr>
    </w:p>
    <w:p w14:paraId="33500407" w14:textId="77777777" w:rsidR="00204543" w:rsidRDefault="00204543" w:rsidP="00204543">
      <w:pPr>
        <w:pStyle w:val="CatchwordsText"/>
      </w:pPr>
      <w:r>
        <w:t>Words and phrases – "abuse of process", "auction process", "certification and carriage motion procedures", "class actions", "competing funding proposals, costs estimates and net hypothetical return to members", "competing representative proceedings", "conflicts of interest", "contradictor", "duplicative proceedings", "equitable principles concerning test actions", "first-in-time rule or presumption", "funding model", "litigation funding arrangements", "multifactorial approach", "multiplicity", "one size fits all", "power to grant a stay", "prima facie vexatious and oppressive", "representative proceedings", "special referee".</w:t>
      </w:r>
    </w:p>
    <w:p w14:paraId="1FB74840" w14:textId="77777777" w:rsidR="00204543" w:rsidRDefault="00204543" w:rsidP="00204543">
      <w:pPr>
        <w:pStyle w:val="CatchwordsText"/>
      </w:pPr>
    </w:p>
    <w:p w14:paraId="555B9292" w14:textId="77777777" w:rsidR="00204543" w:rsidRPr="00DA5CDD" w:rsidRDefault="00204543" w:rsidP="00204543">
      <w:pPr>
        <w:pStyle w:val="CatchwordsText"/>
      </w:pPr>
      <w:r>
        <w:rPr>
          <w:i/>
        </w:rPr>
        <w:t xml:space="preserve">Civil Procedure Act 2005 </w:t>
      </w:r>
      <w:r>
        <w:t>(NSW), ss 56, 57, 58, 67, Pt 10.</w:t>
      </w:r>
    </w:p>
    <w:p w14:paraId="3512C448" w14:textId="77777777" w:rsidR="00204543" w:rsidRDefault="00204543" w:rsidP="00204543">
      <w:pPr>
        <w:spacing w:line="240" w:lineRule="auto"/>
        <w:ind w:right="0" w:firstLine="0"/>
        <w:jc w:val="both"/>
        <w:rPr>
          <w:rFonts w:ascii="Times New Roman" w:hAnsi="Times New Roman"/>
        </w:rPr>
      </w:pPr>
    </w:p>
    <w:p w14:paraId="2C00BE72" w14:textId="77777777" w:rsidR="00204543" w:rsidRPr="00EC3C56" w:rsidRDefault="00204543" w:rsidP="00204543">
      <w:pPr>
        <w:spacing w:line="240" w:lineRule="auto"/>
        <w:ind w:right="0" w:firstLine="0"/>
        <w:jc w:val="both"/>
        <w:rPr>
          <w:rFonts w:ascii="Times New Roman" w:hAnsi="Times New Roman"/>
        </w:rPr>
      </w:pPr>
    </w:p>
    <w:p w14:paraId="3396EF69" w14:textId="77777777" w:rsidR="00204543" w:rsidRPr="00350C23" w:rsidRDefault="00204543" w:rsidP="00204543">
      <w:pPr>
        <w:spacing w:line="240" w:lineRule="auto"/>
        <w:ind w:right="0" w:firstLine="0"/>
        <w:jc w:val="both"/>
        <w:rPr>
          <w:rFonts w:ascii="Times New Roman" w:hAnsi="Times New Roman"/>
        </w:rPr>
      </w:pPr>
    </w:p>
    <w:p w14:paraId="7F54427E" w14:textId="12BC9579" w:rsidR="00204543" w:rsidRDefault="00204543" w:rsidP="0020454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C4B605D" w14:textId="406B5A5F" w:rsidR="00204543" w:rsidRDefault="0020454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176D66F" w14:textId="770D5E0D" w:rsidR="00204543" w:rsidRDefault="0020454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6DE1122" w14:textId="77777777" w:rsidR="00204543" w:rsidRDefault="00204543" w:rsidP="0008166C">
      <w:pPr>
        <w:pStyle w:val="FixListStyle"/>
        <w:tabs>
          <w:tab w:val="clear" w:pos="720"/>
          <w:tab w:val="left" w:pos="0"/>
        </w:tabs>
        <w:spacing w:after="260" w:line="280" w:lineRule="exact"/>
        <w:ind w:right="0"/>
        <w:jc w:val="both"/>
        <w:rPr>
          <w:rFonts w:ascii="Times New Roman" w:hAnsi="Times New Roman"/>
        </w:rPr>
        <w:sectPr w:rsidR="00204543" w:rsidSect="00204543">
          <w:pgSz w:w="11907" w:h="16839" w:code="9"/>
          <w:pgMar w:top="1440" w:right="1701" w:bottom="1984" w:left="1701" w:header="720" w:footer="720" w:gutter="0"/>
          <w:pgNumType w:start="1"/>
          <w:cols w:space="720"/>
          <w:titlePg/>
          <w:docGrid w:linePitch="354"/>
        </w:sectPr>
      </w:pPr>
    </w:p>
    <w:p w14:paraId="0EB6393A" w14:textId="566EF3B8" w:rsidR="00451ADC" w:rsidRPr="0008166C" w:rsidRDefault="0008166C" w:rsidP="0008166C">
      <w:pPr>
        <w:pStyle w:val="FixListStyle"/>
        <w:tabs>
          <w:tab w:val="clear" w:pos="720"/>
          <w:tab w:val="left" w:pos="0"/>
        </w:tabs>
        <w:spacing w:after="260" w:line="280" w:lineRule="exact"/>
        <w:ind w:right="0"/>
        <w:jc w:val="both"/>
        <w:rPr>
          <w:rFonts w:ascii="Times New Roman" w:hAnsi="Times New Roman"/>
        </w:rPr>
      </w:pPr>
      <w:r w:rsidRPr="0008166C">
        <w:rPr>
          <w:rFonts w:ascii="Times New Roman" w:hAnsi="Times New Roman"/>
        </w:rPr>
        <w:lastRenderedPageBreak/>
        <w:t xml:space="preserve">KIEFEL CJ AND KEANE J.   </w:t>
      </w:r>
      <w:r w:rsidR="005E3B27" w:rsidRPr="0008166C">
        <w:rPr>
          <w:rFonts w:ascii="Times New Roman" w:hAnsi="Times New Roman"/>
        </w:rPr>
        <w:t>On 16 and 17 April 2018</w:t>
      </w:r>
      <w:r w:rsidR="00373531" w:rsidRPr="0008166C">
        <w:rPr>
          <w:rFonts w:ascii="Times New Roman" w:hAnsi="Times New Roman"/>
        </w:rPr>
        <w:t>,</w:t>
      </w:r>
      <w:r w:rsidR="005E3B27" w:rsidRPr="0008166C">
        <w:rPr>
          <w:rFonts w:ascii="Times New Roman" w:hAnsi="Times New Roman"/>
        </w:rPr>
        <w:t xml:space="preserve"> </w:t>
      </w:r>
      <w:r w:rsidR="00526CE4" w:rsidRPr="0008166C">
        <w:rPr>
          <w:rFonts w:ascii="Times New Roman" w:hAnsi="Times New Roman"/>
        </w:rPr>
        <w:t xml:space="preserve">executives of the first respondent ("AMP") </w:t>
      </w:r>
      <w:r w:rsidR="005E3B27" w:rsidRPr="0008166C">
        <w:rPr>
          <w:rFonts w:ascii="Times New Roman" w:hAnsi="Times New Roman"/>
        </w:rPr>
        <w:t xml:space="preserve">gave testimony </w:t>
      </w:r>
      <w:r w:rsidR="00526CE4" w:rsidRPr="0008166C">
        <w:rPr>
          <w:rFonts w:ascii="Times New Roman" w:hAnsi="Times New Roman"/>
        </w:rPr>
        <w:t xml:space="preserve">to the </w:t>
      </w:r>
      <w:r w:rsidR="00336F3F" w:rsidRPr="0008166C">
        <w:rPr>
          <w:rFonts w:ascii="Times New Roman" w:hAnsi="Times New Roman"/>
        </w:rPr>
        <w:t xml:space="preserve">Royal Commission into Misconduct in the Banking, Superannuation and Financial Services Industry </w:t>
      </w:r>
      <w:r w:rsidR="0036649F" w:rsidRPr="0008166C">
        <w:rPr>
          <w:rFonts w:ascii="Times New Roman" w:hAnsi="Times New Roman"/>
        </w:rPr>
        <w:t>to the effect that</w:t>
      </w:r>
      <w:r w:rsidR="004C1A13" w:rsidRPr="0008166C">
        <w:rPr>
          <w:rFonts w:ascii="Times New Roman" w:hAnsi="Times New Roman"/>
        </w:rPr>
        <w:t xml:space="preserve"> AMP had </w:t>
      </w:r>
      <w:r w:rsidR="0036649F" w:rsidRPr="0008166C">
        <w:rPr>
          <w:rFonts w:ascii="Times New Roman" w:hAnsi="Times New Roman"/>
        </w:rPr>
        <w:t xml:space="preserve">deliberately </w:t>
      </w:r>
      <w:r w:rsidR="004C1A13" w:rsidRPr="0008166C">
        <w:rPr>
          <w:rFonts w:ascii="Times New Roman" w:hAnsi="Times New Roman"/>
        </w:rPr>
        <w:t>c</w:t>
      </w:r>
      <w:r w:rsidR="00644887" w:rsidRPr="0008166C">
        <w:rPr>
          <w:rFonts w:ascii="Times New Roman" w:hAnsi="Times New Roman"/>
        </w:rPr>
        <w:t>harged some of its clients fees for no service</w:t>
      </w:r>
      <w:r w:rsidR="005E3B27" w:rsidRPr="0008166C">
        <w:rPr>
          <w:rFonts w:ascii="Times New Roman" w:hAnsi="Times New Roman"/>
        </w:rPr>
        <w:t xml:space="preserve">, </w:t>
      </w:r>
      <w:r w:rsidR="00916EE8" w:rsidRPr="0008166C">
        <w:rPr>
          <w:rFonts w:ascii="Times New Roman" w:hAnsi="Times New Roman"/>
        </w:rPr>
        <w:t xml:space="preserve">and that it had misled the Australian Securities and Investments Commission </w:t>
      </w:r>
      <w:r w:rsidR="001B48B4" w:rsidRPr="0008166C">
        <w:rPr>
          <w:rFonts w:ascii="Times New Roman" w:hAnsi="Times New Roman"/>
        </w:rPr>
        <w:t xml:space="preserve">as to the extent of this </w:t>
      </w:r>
      <w:r w:rsidR="007C7006" w:rsidRPr="0008166C">
        <w:rPr>
          <w:rFonts w:ascii="Times New Roman" w:hAnsi="Times New Roman"/>
        </w:rPr>
        <w:t>conduct</w:t>
      </w:r>
      <w:r w:rsidR="00320F68" w:rsidRPr="0008166C">
        <w:rPr>
          <w:rFonts w:ascii="Times New Roman" w:hAnsi="Times New Roman"/>
        </w:rPr>
        <w:t xml:space="preserve">. </w:t>
      </w:r>
      <w:r w:rsidR="00354169" w:rsidRPr="0008166C">
        <w:rPr>
          <w:rFonts w:ascii="Times New Roman" w:hAnsi="Times New Roman"/>
        </w:rPr>
        <w:t>F</w:t>
      </w:r>
      <w:r w:rsidR="00451ADC" w:rsidRPr="0008166C">
        <w:rPr>
          <w:rFonts w:ascii="Times New Roman" w:hAnsi="Times New Roman"/>
        </w:rPr>
        <w:t>ollowing this testimony, there was a sharp fall in the price at which shares in AMP traded on the Australian Securities Exchange ("</w:t>
      </w:r>
      <w:r w:rsidR="00725EAD" w:rsidRPr="0008166C">
        <w:rPr>
          <w:rFonts w:ascii="Times New Roman" w:hAnsi="Times New Roman"/>
        </w:rPr>
        <w:t xml:space="preserve">the </w:t>
      </w:r>
      <w:r w:rsidR="00451ADC" w:rsidRPr="0008166C">
        <w:rPr>
          <w:rFonts w:ascii="Times New Roman" w:hAnsi="Times New Roman"/>
        </w:rPr>
        <w:t>ASX").</w:t>
      </w:r>
    </w:p>
    <w:p w14:paraId="79351802" w14:textId="040E902A" w:rsidR="00663D00" w:rsidRPr="0008166C" w:rsidRDefault="00451ADC"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27007E" w:rsidRPr="0008166C">
        <w:rPr>
          <w:rFonts w:ascii="Times New Roman" w:hAnsi="Times New Roman"/>
        </w:rPr>
        <w:t>Shortly thereafter,</w:t>
      </w:r>
      <w:r w:rsidR="007C7006" w:rsidRPr="0008166C">
        <w:rPr>
          <w:rFonts w:ascii="Times New Roman" w:hAnsi="Times New Roman"/>
        </w:rPr>
        <w:t xml:space="preserve"> </w:t>
      </w:r>
      <w:r w:rsidR="0027007E" w:rsidRPr="0008166C">
        <w:rPr>
          <w:rFonts w:ascii="Times New Roman" w:hAnsi="Times New Roman"/>
        </w:rPr>
        <w:t>f</w:t>
      </w:r>
      <w:r w:rsidR="00092574" w:rsidRPr="0008166C">
        <w:rPr>
          <w:rFonts w:ascii="Times New Roman" w:hAnsi="Times New Roman"/>
        </w:rPr>
        <w:t xml:space="preserve">ive </w:t>
      </w:r>
      <w:r w:rsidR="004A375F" w:rsidRPr="0008166C">
        <w:rPr>
          <w:rFonts w:ascii="Times New Roman" w:hAnsi="Times New Roman"/>
        </w:rPr>
        <w:t xml:space="preserve">open class </w:t>
      </w:r>
      <w:r w:rsidR="00092574" w:rsidRPr="0008166C">
        <w:rPr>
          <w:rFonts w:ascii="Times New Roman" w:hAnsi="Times New Roman"/>
        </w:rPr>
        <w:t>representative proceedings were</w:t>
      </w:r>
      <w:r w:rsidR="0065311C" w:rsidRPr="0008166C">
        <w:rPr>
          <w:rFonts w:ascii="Times New Roman" w:hAnsi="Times New Roman"/>
        </w:rPr>
        <w:t xml:space="preserve"> </w:t>
      </w:r>
      <w:r w:rsidR="00092574" w:rsidRPr="0008166C">
        <w:rPr>
          <w:rFonts w:ascii="Times New Roman" w:hAnsi="Times New Roman"/>
        </w:rPr>
        <w:t>commenced</w:t>
      </w:r>
      <w:r w:rsidR="0027007E" w:rsidRPr="0008166C">
        <w:rPr>
          <w:rFonts w:ascii="Times New Roman" w:hAnsi="Times New Roman"/>
        </w:rPr>
        <w:t xml:space="preserve"> </w:t>
      </w:r>
      <w:r w:rsidR="007C7006" w:rsidRPr="0008166C">
        <w:rPr>
          <w:rFonts w:ascii="Times New Roman" w:hAnsi="Times New Roman"/>
        </w:rPr>
        <w:t xml:space="preserve">in quick succession </w:t>
      </w:r>
      <w:r w:rsidR="0065311C" w:rsidRPr="0008166C">
        <w:rPr>
          <w:rFonts w:ascii="Times New Roman" w:hAnsi="Times New Roman"/>
        </w:rPr>
        <w:t xml:space="preserve">on behalf </w:t>
      </w:r>
      <w:r w:rsidR="0027007E" w:rsidRPr="0008166C">
        <w:rPr>
          <w:rFonts w:ascii="Times New Roman" w:hAnsi="Times New Roman"/>
        </w:rPr>
        <w:t xml:space="preserve">of </w:t>
      </w:r>
      <w:r w:rsidR="003923E3" w:rsidRPr="0008166C">
        <w:rPr>
          <w:rFonts w:ascii="Times New Roman" w:hAnsi="Times New Roman"/>
        </w:rPr>
        <w:t xml:space="preserve">shareholders in AMP who had made investments during periods of time in which the </w:t>
      </w:r>
      <w:r w:rsidR="00647E24" w:rsidRPr="0008166C">
        <w:rPr>
          <w:rFonts w:ascii="Times New Roman" w:hAnsi="Times New Roman"/>
        </w:rPr>
        <w:t xml:space="preserve">representative parties </w:t>
      </w:r>
      <w:r w:rsidR="0069569B" w:rsidRPr="0008166C">
        <w:rPr>
          <w:rFonts w:ascii="Times New Roman" w:hAnsi="Times New Roman"/>
        </w:rPr>
        <w:t xml:space="preserve">allege </w:t>
      </w:r>
      <w:r w:rsidR="002A7B23" w:rsidRPr="0008166C">
        <w:rPr>
          <w:rFonts w:ascii="Times New Roman" w:hAnsi="Times New Roman"/>
        </w:rPr>
        <w:t xml:space="preserve">AMP ought to have disclosed </w:t>
      </w:r>
      <w:r w:rsidR="00B61F2A" w:rsidRPr="0008166C">
        <w:rPr>
          <w:rFonts w:ascii="Times New Roman" w:hAnsi="Times New Roman"/>
        </w:rPr>
        <w:t xml:space="preserve">to the </w:t>
      </w:r>
      <w:r w:rsidR="00A77137" w:rsidRPr="0008166C">
        <w:rPr>
          <w:rFonts w:ascii="Times New Roman" w:hAnsi="Times New Roman"/>
        </w:rPr>
        <w:t>market</w:t>
      </w:r>
      <w:r w:rsidR="00B61F2A" w:rsidRPr="0008166C">
        <w:rPr>
          <w:rFonts w:ascii="Times New Roman" w:hAnsi="Times New Roman"/>
        </w:rPr>
        <w:t xml:space="preserve"> </w:t>
      </w:r>
      <w:r w:rsidR="001A26A1" w:rsidRPr="0008166C">
        <w:rPr>
          <w:rFonts w:ascii="Times New Roman" w:hAnsi="Times New Roman"/>
        </w:rPr>
        <w:t>the</w:t>
      </w:r>
      <w:r w:rsidR="002A7B23" w:rsidRPr="0008166C">
        <w:rPr>
          <w:rFonts w:ascii="Times New Roman" w:hAnsi="Times New Roman"/>
        </w:rPr>
        <w:t xml:space="preserve"> information </w:t>
      </w:r>
      <w:r w:rsidR="00733403" w:rsidRPr="0008166C">
        <w:rPr>
          <w:rFonts w:ascii="Times New Roman" w:hAnsi="Times New Roman"/>
        </w:rPr>
        <w:t xml:space="preserve">that emerged </w:t>
      </w:r>
      <w:r w:rsidR="00712FDE" w:rsidRPr="0008166C">
        <w:rPr>
          <w:rFonts w:ascii="Times New Roman" w:hAnsi="Times New Roman"/>
        </w:rPr>
        <w:t>during</w:t>
      </w:r>
      <w:r w:rsidR="003E0BB5" w:rsidRPr="0008166C">
        <w:rPr>
          <w:rFonts w:ascii="Times New Roman" w:hAnsi="Times New Roman"/>
        </w:rPr>
        <w:t xml:space="preserve"> the</w:t>
      </w:r>
      <w:r w:rsidR="00733403" w:rsidRPr="0008166C">
        <w:rPr>
          <w:rFonts w:ascii="Times New Roman" w:hAnsi="Times New Roman"/>
        </w:rPr>
        <w:t xml:space="preserve"> Royal Commission</w:t>
      </w:r>
      <w:r w:rsidR="002A7B23" w:rsidRPr="0008166C">
        <w:rPr>
          <w:rFonts w:ascii="Times New Roman" w:hAnsi="Times New Roman"/>
        </w:rPr>
        <w:t>.</w:t>
      </w:r>
      <w:r w:rsidR="003E0BB5" w:rsidRPr="0008166C">
        <w:rPr>
          <w:rFonts w:ascii="Times New Roman" w:hAnsi="Times New Roman"/>
        </w:rPr>
        <w:t xml:space="preserve"> </w:t>
      </w:r>
      <w:r w:rsidR="00A72965" w:rsidRPr="0008166C">
        <w:rPr>
          <w:rFonts w:ascii="Times New Roman" w:hAnsi="Times New Roman"/>
        </w:rPr>
        <w:t xml:space="preserve">All </w:t>
      </w:r>
      <w:r w:rsidR="0069569B" w:rsidRPr="0008166C">
        <w:rPr>
          <w:rFonts w:ascii="Times New Roman" w:hAnsi="Times New Roman"/>
        </w:rPr>
        <w:t xml:space="preserve">the representative parties </w:t>
      </w:r>
      <w:r w:rsidR="00A72965" w:rsidRPr="0008166C">
        <w:rPr>
          <w:rFonts w:ascii="Times New Roman" w:hAnsi="Times New Roman"/>
        </w:rPr>
        <w:t>sought compensation for loss caused by</w:t>
      </w:r>
      <w:r w:rsidR="006E7DDE" w:rsidRPr="0008166C">
        <w:rPr>
          <w:rFonts w:ascii="Times New Roman" w:hAnsi="Times New Roman"/>
        </w:rPr>
        <w:t xml:space="preserve"> AMP's alleged</w:t>
      </w:r>
      <w:r w:rsidR="00A72965" w:rsidRPr="0008166C">
        <w:rPr>
          <w:rFonts w:ascii="Times New Roman" w:hAnsi="Times New Roman"/>
        </w:rPr>
        <w:t xml:space="preserve"> breach of </w:t>
      </w:r>
      <w:r w:rsidR="00C7203A" w:rsidRPr="0008166C">
        <w:rPr>
          <w:rFonts w:ascii="Times New Roman" w:hAnsi="Times New Roman"/>
        </w:rPr>
        <w:t xml:space="preserve">the continuous disclosure obligations imposed </w:t>
      </w:r>
      <w:r w:rsidR="00EF14C8" w:rsidRPr="0008166C">
        <w:rPr>
          <w:rFonts w:ascii="Times New Roman" w:hAnsi="Times New Roman"/>
        </w:rPr>
        <w:t xml:space="preserve">on it </w:t>
      </w:r>
      <w:r w:rsidR="00C7203A" w:rsidRPr="0008166C">
        <w:rPr>
          <w:rFonts w:ascii="Times New Roman" w:hAnsi="Times New Roman"/>
        </w:rPr>
        <w:t xml:space="preserve">by the </w:t>
      </w:r>
      <w:r w:rsidR="00C7203A" w:rsidRPr="0008166C">
        <w:rPr>
          <w:rFonts w:ascii="Times New Roman" w:hAnsi="Times New Roman"/>
          <w:i/>
        </w:rPr>
        <w:t xml:space="preserve">Corporations Act 2001 </w:t>
      </w:r>
      <w:r w:rsidR="00C7203A" w:rsidRPr="0008166C">
        <w:rPr>
          <w:rFonts w:ascii="Times New Roman" w:hAnsi="Times New Roman"/>
        </w:rPr>
        <w:t>(Cth)</w:t>
      </w:r>
      <w:r w:rsidR="00BD30D7" w:rsidRPr="0008166C">
        <w:rPr>
          <w:rFonts w:ascii="Times New Roman" w:hAnsi="Times New Roman"/>
        </w:rPr>
        <w:t xml:space="preserve"> </w:t>
      </w:r>
      <w:r w:rsidR="00446FFC" w:rsidRPr="0008166C">
        <w:rPr>
          <w:rFonts w:ascii="Times New Roman" w:hAnsi="Times New Roman"/>
        </w:rPr>
        <w:t xml:space="preserve">together </w:t>
      </w:r>
      <w:r w:rsidR="00A85F4C" w:rsidRPr="0008166C">
        <w:rPr>
          <w:rFonts w:ascii="Times New Roman" w:hAnsi="Times New Roman"/>
        </w:rPr>
        <w:t>with the ASX Listing Rules.</w:t>
      </w:r>
      <w:r w:rsidR="00575AD1" w:rsidRPr="0008166C">
        <w:rPr>
          <w:rFonts w:ascii="Times New Roman" w:hAnsi="Times New Roman"/>
        </w:rPr>
        <w:t xml:space="preserve"> </w:t>
      </w:r>
      <w:r w:rsidR="00026047" w:rsidRPr="0008166C">
        <w:rPr>
          <w:rFonts w:ascii="Times New Roman" w:hAnsi="Times New Roman"/>
        </w:rPr>
        <w:t>Misleading and deceptive conduct and statutory unconscionable conduct claims were also advanced.</w:t>
      </w:r>
    </w:p>
    <w:p w14:paraId="18E23AAD" w14:textId="4181A446" w:rsidR="00E86E6A" w:rsidRPr="0008166C" w:rsidRDefault="002974F9"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7F0A50" w:rsidRPr="0008166C">
        <w:rPr>
          <w:rFonts w:ascii="Times New Roman" w:hAnsi="Times New Roman"/>
        </w:rPr>
        <w:t>The appellant</w:t>
      </w:r>
      <w:r w:rsidR="00A0090F" w:rsidRPr="0008166C">
        <w:rPr>
          <w:rFonts w:ascii="Times New Roman" w:hAnsi="Times New Roman"/>
        </w:rPr>
        <w:t>, Ms</w:t>
      </w:r>
      <w:r w:rsidR="00786B1B" w:rsidRPr="0008166C">
        <w:rPr>
          <w:rFonts w:ascii="Times New Roman" w:hAnsi="Times New Roman"/>
        </w:rPr>
        <w:t> Marion</w:t>
      </w:r>
      <w:r w:rsidR="00A0090F" w:rsidRPr="0008166C">
        <w:rPr>
          <w:rFonts w:ascii="Times New Roman" w:hAnsi="Times New Roman"/>
        </w:rPr>
        <w:t> </w:t>
      </w:r>
      <w:proofErr w:type="spellStart"/>
      <w:r w:rsidR="00A0090F" w:rsidRPr="0008166C">
        <w:rPr>
          <w:rFonts w:ascii="Times New Roman" w:hAnsi="Times New Roman"/>
        </w:rPr>
        <w:t>Wigmans</w:t>
      </w:r>
      <w:proofErr w:type="spellEnd"/>
      <w:r w:rsidR="00A0090F" w:rsidRPr="0008166C">
        <w:rPr>
          <w:rFonts w:ascii="Times New Roman" w:hAnsi="Times New Roman"/>
        </w:rPr>
        <w:t>,</w:t>
      </w:r>
      <w:r w:rsidR="000C1400" w:rsidRPr="0008166C">
        <w:rPr>
          <w:rFonts w:ascii="Times New Roman" w:hAnsi="Times New Roman"/>
        </w:rPr>
        <w:t xml:space="preserve"> </w:t>
      </w:r>
      <w:r w:rsidR="00C51E13" w:rsidRPr="0008166C">
        <w:rPr>
          <w:rFonts w:ascii="Times New Roman" w:hAnsi="Times New Roman"/>
        </w:rPr>
        <w:t>was</w:t>
      </w:r>
      <w:r w:rsidR="006B6DE6" w:rsidRPr="0008166C">
        <w:rPr>
          <w:rFonts w:ascii="Times New Roman" w:hAnsi="Times New Roman"/>
        </w:rPr>
        <w:t xml:space="preserve"> first off the mark</w:t>
      </w:r>
      <w:r w:rsidR="00A70C3B" w:rsidRPr="0008166C">
        <w:rPr>
          <w:rFonts w:ascii="Times New Roman" w:hAnsi="Times New Roman"/>
        </w:rPr>
        <w:t xml:space="preserve">. </w:t>
      </w:r>
      <w:r w:rsidR="00971E1B" w:rsidRPr="0008166C">
        <w:rPr>
          <w:rFonts w:ascii="Times New Roman" w:hAnsi="Times New Roman"/>
        </w:rPr>
        <w:t>On 9 May 2018, p</w:t>
      </w:r>
      <w:r w:rsidR="00A70C3B" w:rsidRPr="0008166C">
        <w:rPr>
          <w:rFonts w:ascii="Times New Roman" w:hAnsi="Times New Roman"/>
        </w:rPr>
        <w:t>roceedings on her behalf were commen</w:t>
      </w:r>
      <w:r w:rsidR="00971E1B" w:rsidRPr="0008166C">
        <w:rPr>
          <w:rFonts w:ascii="Times New Roman" w:hAnsi="Times New Roman"/>
        </w:rPr>
        <w:t>c</w:t>
      </w:r>
      <w:r w:rsidR="00A70C3B" w:rsidRPr="0008166C">
        <w:rPr>
          <w:rFonts w:ascii="Times New Roman" w:hAnsi="Times New Roman"/>
        </w:rPr>
        <w:t>ed</w:t>
      </w:r>
      <w:r w:rsidR="000C1400" w:rsidRPr="0008166C">
        <w:rPr>
          <w:rFonts w:ascii="Times New Roman" w:hAnsi="Times New Roman"/>
        </w:rPr>
        <w:t xml:space="preserve"> </w:t>
      </w:r>
      <w:r w:rsidR="008B10C6" w:rsidRPr="0008166C">
        <w:rPr>
          <w:rFonts w:ascii="Times New Roman" w:hAnsi="Times New Roman"/>
        </w:rPr>
        <w:t>in the Supreme Court of New South Wales.</w:t>
      </w:r>
      <w:r w:rsidR="0019070F" w:rsidRPr="0008166C">
        <w:rPr>
          <w:rFonts w:ascii="Times New Roman" w:hAnsi="Times New Roman"/>
        </w:rPr>
        <w:t xml:space="preserve"> </w:t>
      </w:r>
      <w:r w:rsidR="0013359B" w:rsidRPr="0008166C">
        <w:rPr>
          <w:rFonts w:ascii="Times New Roman" w:hAnsi="Times New Roman"/>
        </w:rPr>
        <w:t>S</w:t>
      </w:r>
      <w:r w:rsidR="005F051F" w:rsidRPr="0008166C">
        <w:rPr>
          <w:rFonts w:ascii="Times New Roman" w:hAnsi="Times New Roman"/>
        </w:rPr>
        <w:t xml:space="preserve">even hours later, </w:t>
      </w:r>
      <w:proofErr w:type="spellStart"/>
      <w:r w:rsidR="00944C96" w:rsidRPr="0008166C">
        <w:rPr>
          <w:rFonts w:ascii="Times New Roman" w:hAnsi="Times New Roman"/>
        </w:rPr>
        <w:t>Wileypark</w:t>
      </w:r>
      <w:proofErr w:type="spellEnd"/>
      <w:r w:rsidR="00944C96" w:rsidRPr="0008166C">
        <w:rPr>
          <w:rFonts w:ascii="Times New Roman" w:hAnsi="Times New Roman"/>
        </w:rPr>
        <w:t xml:space="preserve"> Pty Ltd</w:t>
      </w:r>
      <w:r w:rsidR="00A9221C" w:rsidRPr="0008166C">
        <w:rPr>
          <w:rFonts w:ascii="Times New Roman" w:hAnsi="Times New Roman"/>
        </w:rPr>
        <w:t xml:space="preserve"> ("</w:t>
      </w:r>
      <w:proofErr w:type="spellStart"/>
      <w:r w:rsidR="00A9221C" w:rsidRPr="0008166C">
        <w:rPr>
          <w:rFonts w:ascii="Times New Roman" w:hAnsi="Times New Roman"/>
        </w:rPr>
        <w:t>Wileypark</w:t>
      </w:r>
      <w:proofErr w:type="spellEnd"/>
      <w:r w:rsidR="00A9221C" w:rsidRPr="0008166C">
        <w:rPr>
          <w:rFonts w:ascii="Times New Roman" w:hAnsi="Times New Roman"/>
        </w:rPr>
        <w:t>")</w:t>
      </w:r>
      <w:r w:rsidR="00944C96" w:rsidRPr="0008166C">
        <w:rPr>
          <w:rFonts w:ascii="Times New Roman" w:hAnsi="Times New Roman"/>
        </w:rPr>
        <w:t xml:space="preserve"> commenced proceedings </w:t>
      </w:r>
      <w:r w:rsidR="0068293B" w:rsidRPr="0008166C">
        <w:rPr>
          <w:rFonts w:ascii="Times New Roman" w:hAnsi="Times New Roman"/>
        </w:rPr>
        <w:t xml:space="preserve">in the Federal Court of Australia. </w:t>
      </w:r>
      <w:r w:rsidR="004F5BC7" w:rsidRPr="0008166C">
        <w:rPr>
          <w:rFonts w:ascii="Times New Roman" w:hAnsi="Times New Roman"/>
        </w:rPr>
        <w:t>Mr</w:t>
      </w:r>
      <w:r w:rsidR="00495FAE" w:rsidRPr="0008166C">
        <w:rPr>
          <w:rFonts w:ascii="Times New Roman" w:hAnsi="Times New Roman"/>
        </w:rPr>
        <w:t xml:space="preserve"> Andrew </w:t>
      </w:r>
      <w:r w:rsidR="004F5BC7" w:rsidRPr="0008166C">
        <w:rPr>
          <w:rFonts w:ascii="Times New Roman" w:hAnsi="Times New Roman"/>
        </w:rPr>
        <w:t>Georgiou</w:t>
      </w:r>
      <w:r w:rsidR="00495FAE" w:rsidRPr="0008166C">
        <w:rPr>
          <w:rFonts w:ascii="Times New Roman" w:hAnsi="Times New Roman"/>
        </w:rPr>
        <w:t xml:space="preserve"> did likewise</w:t>
      </w:r>
      <w:r w:rsidR="00DF7767" w:rsidRPr="0008166C">
        <w:rPr>
          <w:rFonts w:ascii="Times New Roman" w:hAnsi="Times New Roman"/>
        </w:rPr>
        <w:t xml:space="preserve"> on 25 May 2018, </w:t>
      </w:r>
      <w:r w:rsidR="00A9360B" w:rsidRPr="0008166C">
        <w:rPr>
          <w:rFonts w:ascii="Times New Roman" w:hAnsi="Times New Roman"/>
        </w:rPr>
        <w:t xml:space="preserve">as did the </w:t>
      </w:r>
      <w:r w:rsidR="00D938A5" w:rsidRPr="0008166C">
        <w:rPr>
          <w:rFonts w:ascii="Times New Roman" w:hAnsi="Times New Roman"/>
        </w:rPr>
        <w:t xml:space="preserve">third </w:t>
      </w:r>
      <w:r w:rsidR="00C62D06" w:rsidRPr="0008166C">
        <w:rPr>
          <w:rFonts w:ascii="Times New Roman" w:hAnsi="Times New Roman"/>
        </w:rPr>
        <w:t>respondent ("</w:t>
      </w:r>
      <w:proofErr w:type="spellStart"/>
      <w:r w:rsidR="00D938A5" w:rsidRPr="0008166C">
        <w:rPr>
          <w:rFonts w:ascii="Times New Roman" w:hAnsi="Times New Roman"/>
        </w:rPr>
        <w:t>Fernbrook</w:t>
      </w:r>
      <w:proofErr w:type="spellEnd"/>
      <w:r w:rsidR="00C62D06" w:rsidRPr="0008166C">
        <w:rPr>
          <w:rFonts w:ascii="Times New Roman" w:hAnsi="Times New Roman"/>
        </w:rPr>
        <w:t xml:space="preserve">") on </w:t>
      </w:r>
      <w:r w:rsidR="00D938A5" w:rsidRPr="0008166C">
        <w:rPr>
          <w:rFonts w:ascii="Times New Roman" w:hAnsi="Times New Roman"/>
        </w:rPr>
        <w:t>6</w:t>
      </w:r>
      <w:r w:rsidR="00C62D06" w:rsidRPr="0008166C">
        <w:rPr>
          <w:rFonts w:ascii="Times New Roman" w:hAnsi="Times New Roman"/>
        </w:rPr>
        <w:t> June 2018</w:t>
      </w:r>
      <w:r w:rsidR="007511F0" w:rsidRPr="0008166C">
        <w:rPr>
          <w:rFonts w:ascii="Times New Roman" w:hAnsi="Times New Roman"/>
        </w:rPr>
        <w:t xml:space="preserve"> </w:t>
      </w:r>
      <w:r w:rsidR="00A9360B" w:rsidRPr="0008166C">
        <w:rPr>
          <w:rFonts w:ascii="Times New Roman" w:hAnsi="Times New Roman"/>
        </w:rPr>
        <w:t xml:space="preserve">and the </w:t>
      </w:r>
      <w:r w:rsidR="00D938A5" w:rsidRPr="0008166C">
        <w:rPr>
          <w:rFonts w:ascii="Times New Roman" w:hAnsi="Times New Roman"/>
        </w:rPr>
        <w:t xml:space="preserve">second </w:t>
      </w:r>
      <w:r w:rsidR="00DF4C1D" w:rsidRPr="0008166C">
        <w:rPr>
          <w:rFonts w:ascii="Times New Roman" w:hAnsi="Times New Roman"/>
        </w:rPr>
        <w:t>respondent</w:t>
      </w:r>
      <w:r w:rsidR="00B27DAA" w:rsidRPr="0008166C">
        <w:rPr>
          <w:rFonts w:ascii="Times New Roman" w:hAnsi="Times New Roman"/>
        </w:rPr>
        <w:t xml:space="preserve"> </w:t>
      </w:r>
      <w:r w:rsidR="00A9221C" w:rsidRPr="0008166C">
        <w:rPr>
          <w:rFonts w:ascii="Times New Roman" w:hAnsi="Times New Roman"/>
        </w:rPr>
        <w:t>("</w:t>
      </w:r>
      <w:proofErr w:type="spellStart"/>
      <w:r w:rsidR="00D938A5" w:rsidRPr="0008166C">
        <w:rPr>
          <w:rFonts w:ascii="Times New Roman" w:hAnsi="Times New Roman"/>
        </w:rPr>
        <w:t>Komlotex</w:t>
      </w:r>
      <w:proofErr w:type="spellEnd"/>
      <w:r w:rsidR="00A9221C" w:rsidRPr="0008166C">
        <w:rPr>
          <w:rFonts w:ascii="Times New Roman" w:hAnsi="Times New Roman"/>
        </w:rPr>
        <w:t>")</w:t>
      </w:r>
      <w:r w:rsidR="00B27DAA" w:rsidRPr="0008166C">
        <w:rPr>
          <w:rFonts w:ascii="Times New Roman" w:hAnsi="Times New Roman"/>
        </w:rPr>
        <w:t xml:space="preserve"> </w:t>
      </w:r>
      <w:r w:rsidR="00DF7767" w:rsidRPr="0008166C">
        <w:rPr>
          <w:rFonts w:ascii="Times New Roman" w:hAnsi="Times New Roman"/>
        </w:rPr>
        <w:t xml:space="preserve">on </w:t>
      </w:r>
      <w:r w:rsidR="00D938A5" w:rsidRPr="0008166C">
        <w:rPr>
          <w:rFonts w:ascii="Times New Roman" w:hAnsi="Times New Roman"/>
        </w:rPr>
        <w:t>7</w:t>
      </w:r>
      <w:r w:rsidR="00DF7767" w:rsidRPr="0008166C">
        <w:rPr>
          <w:rFonts w:ascii="Times New Roman" w:hAnsi="Times New Roman"/>
        </w:rPr>
        <w:t> </w:t>
      </w:r>
      <w:r w:rsidR="00D938A5" w:rsidRPr="0008166C">
        <w:rPr>
          <w:rFonts w:ascii="Times New Roman" w:hAnsi="Times New Roman"/>
        </w:rPr>
        <w:t xml:space="preserve">June </w:t>
      </w:r>
      <w:r w:rsidR="00DF7767" w:rsidRPr="0008166C">
        <w:rPr>
          <w:rFonts w:ascii="Times New Roman" w:hAnsi="Times New Roman"/>
        </w:rPr>
        <w:t>2018</w:t>
      </w:r>
      <w:r w:rsidR="0098086F" w:rsidRPr="0008166C">
        <w:rPr>
          <w:rFonts w:ascii="Times New Roman" w:hAnsi="Times New Roman"/>
        </w:rPr>
        <w:t>.</w:t>
      </w:r>
      <w:r w:rsidR="0053531C" w:rsidRPr="0008166C">
        <w:rPr>
          <w:rFonts w:ascii="Times New Roman" w:hAnsi="Times New Roman"/>
        </w:rPr>
        <w:t xml:space="preserve"> </w:t>
      </w:r>
      <w:r w:rsidR="006839DD" w:rsidRPr="0008166C">
        <w:rPr>
          <w:rFonts w:ascii="Times New Roman" w:hAnsi="Times New Roman"/>
        </w:rPr>
        <w:t xml:space="preserve">Each lead </w:t>
      </w:r>
      <w:r w:rsidR="00A70DA9" w:rsidRPr="0008166C">
        <w:rPr>
          <w:rFonts w:ascii="Times New Roman" w:hAnsi="Times New Roman"/>
        </w:rPr>
        <w:t>plaintiff or applicant</w:t>
      </w:r>
      <w:r w:rsidR="006839DD" w:rsidRPr="0008166C">
        <w:rPr>
          <w:rFonts w:ascii="Times New Roman" w:hAnsi="Times New Roman"/>
        </w:rPr>
        <w:t xml:space="preserve"> </w:t>
      </w:r>
      <w:r w:rsidR="0051315C" w:rsidRPr="0008166C">
        <w:rPr>
          <w:rFonts w:ascii="Times New Roman" w:hAnsi="Times New Roman"/>
        </w:rPr>
        <w:t>was a group member</w:t>
      </w:r>
      <w:r w:rsidR="00FF7B01" w:rsidRPr="0008166C">
        <w:rPr>
          <w:rFonts w:ascii="Times New Roman" w:hAnsi="Times New Roman"/>
        </w:rPr>
        <w:t xml:space="preserve"> in each </w:t>
      </w:r>
      <w:r w:rsidR="005541EE" w:rsidRPr="0008166C">
        <w:rPr>
          <w:rFonts w:ascii="Times New Roman" w:hAnsi="Times New Roman"/>
        </w:rPr>
        <w:t>of</w:t>
      </w:r>
      <w:r w:rsidR="005733E1" w:rsidRPr="0008166C">
        <w:rPr>
          <w:rFonts w:ascii="Times New Roman" w:hAnsi="Times New Roman"/>
        </w:rPr>
        <w:t xml:space="preserve"> the other proceedings.</w:t>
      </w:r>
      <w:r w:rsidR="0013359B" w:rsidRPr="0008166C">
        <w:rPr>
          <w:rFonts w:ascii="Times New Roman" w:hAnsi="Times New Roman"/>
        </w:rPr>
        <w:t xml:space="preserve"> </w:t>
      </w:r>
      <w:r w:rsidR="00B950A8" w:rsidRPr="0008166C">
        <w:rPr>
          <w:rFonts w:ascii="Times New Roman" w:hAnsi="Times New Roman"/>
        </w:rPr>
        <w:t xml:space="preserve">The different proceedings were brought by a different lead plaintiff or applicant because different </w:t>
      </w:r>
      <w:r w:rsidR="00645A69" w:rsidRPr="0008166C">
        <w:rPr>
          <w:rFonts w:ascii="Times New Roman" w:hAnsi="Times New Roman"/>
        </w:rPr>
        <w:t xml:space="preserve">arrangements were made for the sponsorship of the proceedings </w:t>
      </w:r>
      <w:r w:rsidR="009B02AF" w:rsidRPr="0008166C">
        <w:rPr>
          <w:rFonts w:ascii="Times New Roman" w:hAnsi="Times New Roman"/>
        </w:rPr>
        <w:t>by</w:t>
      </w:r>
      <w:r w:rsidR="00645A69" w:rsidRPr="0008166C">
        <w:rPr>
          <w:rFonts w:ascii="Times New Roman" w:hAnsi="Times New Roman"/>
        </w:rPr>
        <w:t xml:space="preserve"> litigation funders or solicitors willing to act on a "no</w:t>
      </w:r>
      <w:r w:rsidR="00645A69" w:rsidRPr="0008166C">
        <w:rPr>
          <w:rFonts w:ascii="Times New Roman" w:hAnsi="Times New Roman"/>
        </w:rPr>
        <w:noBreakHyphen/>
        <w:t>win</w:t>
      </w:r>
      <w:r w:rsidR="0083163F" w:rsidRPr="0008166C">
        <w:rPr>
          <w:rFonts w:ascii="Times New Roman" w:hAnsi="Times New Roman"/>
        </w:rPr>
        <w:t>,</w:t>
      </w:r>
      <w:r w:rsidR="00A5214B" w:rsidRPr="0008166C">
        <w:rPr>
          <w:rFonts w:ascii="Times New Roman" w:hAnsi="Times New Roman"/>
        </w:rPr>
        <w:t xml:space="preserve"> </w:t>
      </w:r>
      <w:r w:rsidR="002C5168" w:rsidRPr="0008166C">
        <w:rPr>
          <w:rFonts w:ascii="Times New Roman" w:hAnsi="Times New Roman"/>
        </w:rPr>
        <w:t>no</w:t>
      </w:r>
      <w:r w:rsidR="002C5168" w:rsidRPr="0008166C">
        <w:rPr>
          <w:rFonts w:ascii="Times New Roman" w:hAnsi="Times New Roman"/>
        </w:rPr>
        <w:noBreakHyphen/>
        <w:t xml:space="preserve">fee" basis. </w:t>
      </w:r>
      <w:r w:rsidR="0013359B" w:rsidRPr="0008166C">
        <w:rPr>
          <w:rFonts w:ascii="Times New Roman" w:hAnsi="Times New Roman"/>
        </w:rPr>
        <w:t>T</w:t>
      </w:r>
      <w:r w:rsidR="00F435D7" w:rsidRPr="0008166C">
        <w:rPr>
          <w:rFonts w:ascii="Times New Roman" w:hAnsi="Times New Roman"/>
        </w:rPr>
        <w:t xml:space="preserve">he </w:t>
      </w:r>
      <w:r w:rsidR="007342A6" w:rsidRPr="0008166C">
        <w:rPr>
          <w:rFonts w:ascii="Times New Roman" w:hAnsi="Times New Roman"/>
        </w:rPr>
        <w:t xml:space="preserve">proceedings </w:t>
      </w:r>
      <w:r w:rsidR="004D5F58" w:rsidRPr="0008166C">
        <w:rPr>
          <w:rFonts w:ascii="Times New Roman" w:hAnsi="Times New Roman"/>
        </w:rPr>
        <w:t xml:space="preserve">that had been </w:t>
      </w:r>
      <w:r w:rsidR="007342A6" w:rsidRPr="0008166C">
        <w:rPr>
          <w:rFonts w:ascii="Times New Roman" w:hAnsi="Times New Roman"/>
        </w:rPr>
        <w:t>commenced in the Federal Court were</w:t>
      </w:r>
      <w:r w:rsidR="003A6679" w:rsidRPr="0008166C">
        <w:rPr>
          <w:rFonts w:ascii="Times New Roman" w:hAnsi="Times New Roman"/>
        </w:rPr>
        <w:t xml:space="preserve"> </w:t>
      </w:r>
      <w:r w:rsidR="0009230B" w:rsidRPr="0008166C">
        <w:rPr>
          <w:rFonts w:ascii="Times New Roman" w:hAnsi="Times New Roman"/>
        </w:rPr>
        <w:t>transferred to the Supreme Court</w:t>
      </w:r>
      <w:r w:rsidR="004B41EB" w:rsidRPr="0008166C">
        <w:rPr>
          <w:rStyle w:val="FootnoteReference"/>
          <w:rFonts w:ascii="Times New Roman" w:hAnsi="Times New Roman"/>
          <w:sz w:val="24"/>
        </w:rPr>
        <w:footnoteReference w:id="2"/>
      </w:r>
      <w:r w:rsidR="003625A1" w:rsidRPr="0008166C">
        <w:rPr>
          <w:rFonts w:ascii="Times New Roman" w:hAnsi="Times New Roman"/>
        </w:rPr>
        <w:t xml:space="preserve">. </w:t>
      </w:r>
      <w:r w:rsidR="005D4C37">
        <w:rPr>
          <w:rFonts w:ascii="Times New Roman" w:hAnsi="Times New Roman"/>
        </w:rPr>
        <w:t>The</w:t>
      </w:r>
      <w:r w:rsidR="00CC73D8" w:rsidRPr="0008166C">
        <w:rPr>
          <w:rFonts w:ascii="Times New Roman" w:hAnsi="Times New Roman"/>
        </w:rPr>
        <w:t xml:space="preserve"> </w:t>
      </w:r>
      <w:proofErr w:type="spellStart"/>
      <w:r w:rsidR="00CC73D8" w:rsidRPr="0008166C">
        <w:rPr>
          <w:rFonts w:ascii="Times New Roman" w:hAnsi="Times New Roman"/>
        </w:rPr>
        <w:t>Fernbrook</w:t>
      </w:r>
      <w:proofErr w:type="spellEnd"/>
      <w:r w:rsidR="00CC73D8" w:rsidRPr="0008166C">
        <w:rPr>
          <w:rFonts w:ascii="Times New Roman" w:hAnsi="Times New Roman"/>
        </w:rPr>
        <w:t xml:space="preserve"> proceedings were</w:t>
      </w:r>
      <w:r w:rsidR="00693796" w:rsidRPr="0008166C">
        <w:rPr>
          <w:rFonts w:ascii="Times New Roman" w:hAnsi="Times New Roman"/>
        </w:rPr>
        <w:t xml:space="preserve"> </w:t>
      </w:r>
      <w:r w:rsidR="00CC73D8" w:rsidRPr="0008166C">
        <w:rPr>
          <w:rFonts w:ascii="Times New Roman" w:hAnsi="Times New Roman"/>
        </w:rPr>
        <w:t xml:space="preserve">consolidated </w:t>
      </w:r>
      <w:r w:rsidR="001572D3" w:rsidRPr="0008166C">
        <w:rPr>
          <w:rFonts w:ascii="Times New Roman" w:hAnsi="Times New Roman"/>
        </w:rPr>
        <w:t>with</w:t>
      </w:r>
      <w:r w:rsidR="00CC73D8" w:rsidRPr="0008166C">
        <w:rPr>
          <w:rFonts w:ascii="Times New Roman" w:hAnsi="Times New Roman"/>
        </w:rPr>
        <w:t xml:space="preserve"> the </w:t>
      </w:r>
      <w:proofErr w:type="spellStart"/>
      <w:r w:rsidR="00CC73D8" w:rsidRPr="0008166C">
        <w:rPr>
          <w:rFonts w:ascii="Times New Roman" w:hAnsi="Times New Roman"/>
        </w:rPr>
        <w:t>Komlotex</w:t>
      </w:r>
      <w:proofErr w:type="spellEnd"/>
      <w:r w:rsidR="00CC73D8" w:rsidRPr="0008166C">
        <w:rPr>
          <w:rFonts w:ascii="Times New Roman" w:hAnsi="Times New Roman"/>
        </w:rPr>
        <w:t xml:space="preserve"> proceedings</w:t>
      </w:r>
      <w:r w:rsidR="004E5391" w:rsidRPr="0008166C">
        <w:rPr>
          <w:rFonts w:ascii="Times New Roman" w:hAnsi="Times New Roman"/>
        </w:rPr>
        <w:t xml:space="preserve"> </w:t>
      </w:r>
      <w:r w:rsidR="009A2B3C" w:rsidRPr="0008166C">
        <w:rPr>
          <w:rFonts w:ascii="Times New Roman" w:hAnsi="Times New Roman"/>
        </w:rPr>
        <w:t xml:space="preserve">("the </w:t>
      </w:r>
      <w:proofErr w:type="spellStart"/>
      <w:r w:rsidR="009A2B3C" w:rsidRPr="0008166C">
        <w:rPr>
          <w:rFonts w:ascii="Times New Roman" w:hAnsi="Times New Roman"/>
        </w:rPr>
        <w:t>Komlotex</w:t>
      </w:r>
      <w:proofErr w:type="spellEnd"/>
      <w:r w:rsidR="009A2B3C" w:rsidRPr="0008166C">
        <w:rPr>
          <w:rFonts w:ascii="Times New Roman" w:hAnsi="Times New Roman"/>
        </w:rPr>
        <w:t>/</w:t>
      </w:r>
      <w:proofErr w:type="spellStart"/>
      <w:r w:rsidR="009A2B3C" w:rsidRPr="0008166C">
        <w:rPr>
          <w:rFonts w:ascii="Times New Roman" w:hAnsi="Times New Roman"/>
        </w:rPr>
        <w:t>Fernbrook</w:t>
      </w:r>
      <w:proofErr w:type="spellEnd"/>
      <w:r w:rsidR="009A2B3C" w:rsidRPr="0008166C">
        <w:rPr>
          <w:rFonts w:ascii="Times New Roman" w:hAnsi="Times New Roman"/>
        </w:rPr>
        <w:t xml:space="preserve"> proceedings"</w:t>
      </w:r>
      <w:r w:rsidR="004E5391" w:rsidRPr="0008166C">
        <w:rPr>
          <w:rFonts w:ascii="Times New Roman" w:hAnsi="Times New Roman"/>
        </w:rPr>
        <w:t>)</w:t>
      </w:r>
      <w:r w:rsidR="00CC73D8" w:rsidRPr="0008166C">
        <w:rPr>
          <w:rStyle w:val="FootnoteReference"/>
          <w:rFonts w:ascii="Times New Roman" w:hAnsi="Times New Roman"/>
          <w:sz w:val="24"/>
        </w:rPr>
        <w:footnoteReference w:id="3"/>
      </w:r>
      <w:r w:rsidR="00CC73D8" w:rsidRPr="0008166C">
        <w:rPr>
          <w:rFonts w:ascii="Times New Roman" w:hAnsi="Times New Roman"/>
        </w:rPr>
        <w:t>.</w:t>
      </w:r>
      <w:r w:rsidR="00693796" w:rsidRPr="0008166C">
        <w:rPr>
          <w:rFonts w:ascii="Times New Roman" w:hAnsi="Times New Roman"/>
        </w:rPr>
        <w:t xml:space="preserve"> </w:t>
      </w:r>
      <w:r w:rsidR="00E12FA3" w:rsidRPr="0008166C">
        <w:rPr>
          <w:rFonts w:ascii="Times New Roman" w:hAnsi="Times New Roman"/>
        </w:rPr>
        <w:t>Each of Ms </w:t>
      </w:r>
      <w:proofErr w:type="spellStart"/>
      <w:r w:rsidR="00E12FA3" w:rsidRPr="0008166C">
        <w:rPr>
          <w:rFonts w:ascii="Times New Roman" w:hAnsi="Times New Roman"/>
        </w:rPr>
        <w:t>Wigmans</w:t>
      </w:r>
      <w:proofErr w:type="spellEnd"/>
      <w:r w:rsidR="00E12FA3" w:rsidRPr="0008166C">
        <w:rPr>
          <w:rFonts w:ascii="Times New Roman" w:hAnsi="Times New Roman"/>
        </w:rPr>
        <w:t xml:space="preserve">, </w:t>
      </w:r>
      <w:proofErr w:type="spellStart"/>
      <w:r w:rsidR="00E12FA3" w:rsidRPr="0008166C">
        <w:rPr>
          <w:rFonts w:ascii="Times New Roman" w:hAnsi="Times New Roman"/>
        </w:rPr>
        <w:t>Wileypark</w:t>
      </w:r>
      <w:proofErr w:type="spellEnd"/>
      <w:r w:rsidR="00E12FA3" w:rsidRPr="0008166C">
        <w:rPr>
          <w:rFonts w:ascii="Times New Roman" w:hAnsi="Times New Roman"/>
        </w:rPr>
        <w:t xml:space="preserve">, </w:t>
      </w:r>
      <w:r w:rsidR="00CA6D0A" w:rsidRPr="0008166C">
        <w:rPr>
          <w:rFonts w:ascii="Times New Roman" w:hAnsi="Times New Roman"/>
        </w:rPr>
        <w:t>Mr Georgiou</w:t>
      </w:r>
      <w:r w:rsidR="00E12FA3" w:rsidRPr="0008166C">
        <w:rPr>
          <w:rFonts w:ascii="Times New Roman" w:hAnsi="Times New Roman"/>
        </w:rPr>
        <w:t xml:space="preserve"> and </w:t>
      </w:r>
      <w:proofErr w:type="spellStart"/>
      <w:r w:rsidR="00E12FA3" w:rsidRPr="0008166C">
        <w:rPr>
          <w:rFonts w:ascii="Times New Roman" w:hAnsi="Times New Roman"/>
        </w:rPr>
        <w:t>Komlotex</w:t>
      </w:r>
      <w:proofErr w:type="spellEnd"/>
      <w:r w:rsidR="00E12FA3" w:rsidRPr="0008166C">
        <w:rPr>
          <w:rFonts w:ascii="Times New Roman" w:hAnsi="Times New Roman"/>
        </w:rPr>
        <w:t xml:space="preserve"> applied </w:t>
      </w:r>
      <w:r w:rsidR="005C1F49" w:rsidRPr="0008166C">
        <w:rPr>
          <w:rFonts w:ascii="Times New Roman" w:hAnsi="Times New Roman"/>
        </w:rPr>
        <w:t xml:space="preserve">to the Supreme Court </w:t>
      </w:r>
      <w:r w:rsidR="00E12FA3" w:rsidRPr="0008166C">
        <w:rPr>
          <w:rFonts w:ascii="Times New Roman" w:hAnsi="Times New Roman"/>
        </w:rPr>
        <w:t xml:space="preserve">for a stay </w:t>
      </w:r>
      <w:r w:rsidR="0061733A" w:rsidRPr="0008166C">
        <w:rPr>
          <w:rFonts w:ascii="Times New Roman" w:hAnsi="Times New Roman"/>
        </w:rPr>
        <w:t>of the proceedings</w:t>
      </w:r>
      <w:r w:rsidR="00DF7598" w:rsidRPr="0008166C">
        <w:rPr>
          <w:rFonts w:ascii="Times New Roman" w:hAnsi="Times New Roman"/>
        </w:rPr>
        <w:t xml:space="preserve"> </w:t>
      </w:r>
      <w:r w:rsidR="00E86E6A" w:rsidRPr="0008166C">
        <w:rPr>
          <w:rFonts w:ascii="Times New Roman" w:hAnsi="Times New Roman"/>
        </w:rPr>
        <w:t>in which the others were plaintiffs.</w:t>
      </w:r>
      <w:r w:rsidR="0016512D" w:rsidRPr="0008166C">
        <w:rPr>
          <w:rFonts w:ascii="Times New Roman" w:hAnsi="Times New Roman"/>
        </w:rPr>
        <w:t xml:space="preserve"> </w:t>
      </w:r>
    </w:p>
    <w:p w14:paraId="37010CA2" w14:textId="72FF696C" w:rsidR="009E1658" w:rsidRPr="0008166C" w:rsidRDefault="00E86E6A"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CB56AA" w:rsidRPr="0008166C">
        <w:rPr>
          <w:rFonts w:ascii="Times New Roman" w:hAnsi="Times New Roman"/>
        </w:rPr>
        <w:t>AMP</w:t>
      </w:r>
      <w:r w:rsidR="000131A6" w:rsidRPr="0008166C">
        <w:rPr>
          <w:rFonts w:ascii="Times New Roman" w:hAnsi="Times New Roman"/>
        </w:rPr>
        <w:t>, in the courts below and in this Court,</w:t>
      </w:r>
      <w:r w:rsidR="004F71CB" w:rsidRPr="0008166C">
        <w:rPr>
          <w:rFonts w:ascii="Times New Roman" w:hAnsi="Times New Roman"/>
        </w:rPr>
        <w:t xml:space="preserve"> was </w:t>
      </w:r>
      <w:r w:rsidR="00086149" w:rsidRPr="0008166C">
        <w:rPr>
          <w:rFonts w:ascii="Times New Roman" w:hAnsi="Times New Roman"/>
        </w:rPr>
        <w:t xml:space="preserve">relevantly </w:t>
      </w:r>
      <w:r w:rsidR="006E2D90" w:rsidRPr="0008166C">
        <w:rPr>
          <w:rFonts w:ascii="Times New Roman" w:hAnsi="Times New Roman"/>
        </w:rPr>
        <w:t>neutral as between the</w:t>
      </w:r>
      <w:r w:rsidR="003674A3" w:rsidRPr="0008166C">
        <w:rPr>
          <w:rFonts w:ascii="Times New Roman" w:hAnsi="Times New Roman"/>
        </w:rPr>
        <w:t xml:space="preserve"> competing representative</w:t>
      </w:r>
      <w:r w:rsidR="006E2D90" w:rsidRPr="0008166C">
        <w:rPr>
          <w:rFonts w:ascii="Times New Roman" w:hAnsi="Times New Roman"/>
        </w:rPr>
        <w:t xml:space="preserve"> proceedings</w:t>
      </w:r>
      <w:r w:rsidR="00C47B4A" w:rsidRPr="0008166C">
        <w:rPr>
          <w:rFonts w:ascii="Times New Roman" w:hAnsi="Times New Roman"/>
        </w:rPr>
        <w:t>. Not</w:t>
      </w:r>
      <w:r w:rsidR="00EF59D4" w:rsidRPr="0008166C">
        <w:rPr>
          <w:rFonts w:ascii="Times New Roman" w:hAnsi="Times New Roman"/>
        </w:rPr>
        <w:t xml:space="preserve"> surprisingly,</w:t>
      </w:r>
      <w:r w:rsidR="00C47B4A" w:rsidRPr="0008166C">
        <w:rPr>
          <w:rFonts w:ascii="Times New Roman" w:hAnsi="Times New Roman"/>
        </w:rPr>
        <w:t xml:space="preserve"> however, it </w:t>
      </w:r>
      <w:r w:rsidR="00B452C1" w:rsidRPr="0008166C">
        <w:rPr>
          <w:rFonts w:ascii="Times New Roman" w:hAnsi="Times New Roman"/>
        </w:rPr>
        <w:lastRenderedPageBreak/>
        <w:t xml:space="preserve">supported an outcome in which it would face only one set of proceedings. </w:t>
      </w:r>
      <w:r w:rsidR="00380431" w:rsidRPr="0008166C">
        <w:rPr>
          <w:rFonts w:ascii="Times New Roman" w:hAnsi="Times New Roman"/>
        </w:rPr>
        <w:t>The issue before this Court is as to the basis on which that outcome should be achieved.</w:t>
      </w:r>
    </w:p>
    <w:p w14:paraId="3BBDD25B" w14:textId="431A7A98" w:rsidR="00EF59D4" w:rsidRPr="0008166C" w:rsidRDefault="00EF59D4" w:rsidP="0008166C">
      <w:pPr>
        <w:pStyle w:val="HeadingL1"/>
        <w:spacing w:after="260" w:line="280" w:lineRule="exact"/>
        <w:ind w:right="0"/>
        <w:jc w:val="both"/>
        <w:rPr>
          <w:rFonts w:ascii="Times New Roman" w:hAnsi="Times New Roman"/>
        </w:rPr>
      </w:pPr>
      <w:r w:rsidRPr="0008166C">
        <w:rPr>
          <w:rFonts w:ascii="Times New Roman" w:hAnsi="Times New Roman"/>
        </w:rPr>
        <w:t xml:space="preserve">The </w:t>
      </w:r>
      <w:r w:rsidR="00086149" w:rsidRPr="0008166C">
        <w:rPr>
          <w:rFonts w:ascii="Times New Roman" w:hAnsi="Times New Roman"/>
        </w:rPr>
        <w:t>primary judge</w:t>
      </w:r>
    </w:p>
    <w:p w14:paraId="60732BB2" w14:textId="50B17DCA" w:rsidR="00964AC3" w:rsidRPr="0008166C" w:rsidRDefault="009E1658"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16512D" w:rsidRPr="0008166C">
        <w:rPr>
          <w:rFonts w:ascii="Times New Roman" w:hAnsi="Times New Roman"/>
        </w:rPr>
        <w:t xml:space="preserve">The primary judge (Ward CJ in Eq) </w:t>
      </w:r>
      <w:r w:rsidR="00677CAA" w:rsidRPr="0008166C">
        <w:rPr>
          <w:rFonts w:ascii="Times New Roman" w:hAnsi="Times New Roman"/>
        </w:rPr>
        <w:t>ordered</w:t>
      </w:r>
      <w:r w:rsidR="0079029D" w:rsidRPr="0008166C">
        <w:rPr>
          <w:rFonts w:ascii="Times New Roman" w:hAnsi="Times New Roman"/>
        </w:rPr>
        <w:t xml:space="preserve">, </w:t>
      </w:r>
      <w:r w:rsidR="00E90695" w:rsidRPr="0008166C">
        <w:rPr>
          <w:rFonts w:ascii="Times New Roman" w:hAnsi="Times New Roman"/>
        </w:rPr>
        <w:t xml:space="preserve">ostensibly </w:t>
      </w:r>
      <w:r w:rsidR="0079029D" w:rsidRPr="0008166C">
        <w:rPr>
          <w:rFonts w:ascii="Times New Roman" w:hAnsi="Times New Roman"/>
        </w:rPr>
        <w:t xml:space="preserve">pursuant to ss 67 and 183 of the </w:t>
      </w:r>
      <w:r w:rsidR="0079029D" w:rsidRPr="0008166C">
        <w:rPr>
          <w:rFonts w:ascii="Times New Roman" w:hAnsi="Times New Roman"/>
          <w:i/>
        </w:rPr>
        <w:t xml:space="preserve">Civil Procedure Act 2005 </w:t>
      </w:r>
      <w:r w:rsidR="0079029D" w:rsidRPr="0008166C">
        <w:rPr>
          <w:rFonts w:ascii="Times New Roman" w:hAnsi="Times New Roman"/>
        </w:rPr>
        <w:t>(NSW) ("</w:t>
      </w:r>
      <w:r w:rsidR="004E5391" w:rsidRPr="0008166C">
        <w:rPr>
          <w:rFonts w:ascii="Times New Roman" w:hAnsi="Times New Roman"/>
        </w:rPr>
        <w:t xml:space="preserve">the </w:t>
      </w:r>
      <w:r w:rsidR="0079029D" w:rsidRPr="0008166C">
        <w:rPr>
          <w:rFonts w:ascii="Times New Roman" w:hAnsi="Times New Roman"/>
        </w:rPr>
        <w:t xml:space="preserve">CPA") and the inherent power of </w:t>
      </w:r>
      <w:r w:rsidR="00BF3DC1" w:rsidRPr="0008166C">
        <w:rPr>
          <w:rFonts w:ascii="Times New Roman" w:hAnsi="Times New Roman"/>
        </w:rPr>
        <w:t>the Supreme</w:t>
      </w:r>
      <w:r w:rsidR="00E920C6" w:rsidRPr="0008166C">
        <w:rPr>
          <w:rFonts w:ascii="Times New Roman" w:hAnsi="Times New Roman"/>
        </w:rPr>
        <w:t> </w:t>
      </w:r>
      <w:r w:rsidR="00BF3DC1" w:rsidRPr="0008166C">
        <w:rPr>
          <w:rFonts w:ascii="Times New Roman" w:hAnsi="Times New Roman"/>
        </w:rPr>
        <w:t xml:space="preserve">Court, </w:t>
      </w:r>
      <w:r w:rsidR="00677CAA" w:rsidRPr="0008166C">
        <w:rPr>
          <w:rFonts w:ascii="Times New Roman" w:hAnsi="Times New Roman"/>
        </w:rPr>
        <w:t>that the proceedings of Ms </w:t>
      </w:r>
      <w:proofErr w:type="spellStart"/>
      <w:r w:rsidR="00677CAA" w:rsidRPr="0008166C">
        <w:rPr>
          <w:rFonts w:ascii="Times New Roman" w:hAnsi="Times New Roman"/>
        </w:rPr>
        <w:t>Wigmans</w:t>
      </w:r>
      <w:proofErr w:type="spellEnd"/>
      <w:r w:rsidR="00677CAA" w:rsidRPr="0008166C">
        <w:rPr>
          <w:rFonts w:ascii="Times New Roman" w:hAnsi="Times New Roman"/>
        </w:rPr>
        <w:t xml:space="preserve">, </w:t>
      </w:r>
      <w:proofErr w:type="spellStart"/>
      <w:r w:rsidR="00677CAA" w:rsidRPr="0008166C">
        <w:rPr>
          <w:rFonts w:ascii="Times New Roman" w:hAnsi="Times New Roman"/>
        </w:rPr>
        <w:t>Wileypark</w:t>
      </w:r>
      <w:proofErr w:type="spellEnd"/>
      <w:r w:rsidR="00677CAA" w:rsidRPr="0008166C">
        <w:rPr>
          <w:rFonts w:ascii="Times New Roman" w:hAnsi="Times New Roman"/>
        </w:rPr>
        <w:t xml:space="preserve"> and </w:t>
      </w:r>
      <w:r w:rsidR="00C26F56" w:rsidRPr="0008166C">
        <w:rPr>
          <w:rFonts w:ascii="Times New Roman" w:hAnsi="Times New Roman"/>
        </w:rPr>
        <w:t>Mr Georgiou</w:t>
      </w:r>
      <w:r w:rsidR="00677CAA" w:rsidRPr="0008166C">
        <w:rPr>
          <w:rFonts w:ascii="Times New Roman" w:hAnsi="Times New Roman"/>
        </w:rPr>
        <w:t xml:space="preserve"> be </w:t>
      </w:r>
      <w:r w:rsidR="00D02995" w:rsidRPr="0008166C">
        <w:rPr>
          <w:rFonts w:ascii="Times New Roman" w:hAnsi="Times New Roman"/>
        </w:rPr>
        <w:t xml:space="preserve">permanently </w:t>
      </w:r>
      <w:r w:rsidR="00677CAA" w:rsidRPr="0008166C">
        <w:rPr>
          <w:rFonts w:ascii="Times New Roman" w:hAnsi="Times New Roman"/>
        </w:rPr>
        <w:t>stayed</w:t>
      </w:r>
      <w:r w:rsidR="00014766" w:rsidRPr="0008166C">
        <w:rPr>
          <w:rStyle w:val="FootnoteReference"/>
          <w:rFonts w:ascii="Times New Roman" w:hAnsi="Times New Roman"/>
          <w:sz w:val="24"/>
        </w:rPr>
        <w:footnoteReference w:id="4"/>
      </w:r>
      <w:r w:rsidR="00EF59D4" w:rsidRPr="0008166C">
        <w:rPr>
          <w:rFonts w:ascii="Times New Roman" w:hAnsi="Times New Roman"/>
        </w:rPr>
        <w:t>.</w:t>
      </w:r>
      <w:r w:rsidR="00C32F7A" w:rsidRPr="0008166C">
        <w:rPr>
          <w:rFonts w:ascii="Times New Roman" w:hAnsi="Times New Roman"/>
        </w:rPr>
        <w:t xml:space="preserve"> </w:t>
      </w:r>
      <w:r w:rsidR="00D16617" w:rsidRPr="0008166C">
        <w:rPr>
          <w:rFonts w:ascii="Times New Roman" w:hAnsi="Times New Roman"/>
        </w:rPr>
        <w:t>While</w:t>
      </w:r>
      <w:r w:rsidR="00B00F3D" w:rsidRPr="0008166C">
        <w:rPr>
          <w:rFonts w:ascii="Times New Roman" w:hAnsi="Times New Roman"/>
        </w:rPr>
        <w:t xml:space="preserve"> the primary judge exercised the power to stay proceeding</w:t>
      </w:r>
      <w:r w:rsidR="00806D98" w:rsidRPr="0008166C">
        <w:rPr>
          <w:rFonts w:ascii="Times New Roman" w:hAnsi="Times New Roman"/>
        </w:rPr>
        <w:t>s</w:t>
      </w:r>
      <w:r w:rsidR="00B00F3D" w:rsidRPr="0008166C">
        <w:rPr>
          <w:rFonts w:ascii="Times New Roman" w:hAnsi="Times New Roman"/>
        </w:rPr>
        <w:t xml:space="preserve"> conferred by s 67 of the CPA</w:t>
      </w:r>
      <w:r w:rsidR="003062D5" w:rsidRPr="0008166C">
        <w:rPr>
          <w:rFonts w:ascii="Times New Roman" w:hAnsi="Times New Roman"/>
        </w:rPr>
        <w:t>, t</w:t>
      </w:r>
      <w:r w:rsidR="00F714A3" w:rsidRPr="0008166C">
        <w:rPr>
          <w:rFonts w:ascii="Times New Roman" w:hAnsi="Times New Roman"/>
        </w:rPr>
        <w:t xml:space="preserve">he issue </w:t>
      </w:r>
      <w:r w:rsidR="0022550E" w:rsidRPr="0008166C">
        <w:rPr>
          <w:rFonts w:ascii="Times New Roman" w:hAnsi="Times New Roman"/>
        </w:rPr>
        <w:t xml:space="preserve">resolved by that order </w:t>
      </w:r>
      <w:r w:rsidR="00F714A3" w:rsidRPr="0008166C">
        <w:rPr>
          <w:rFonts w:ascii="Times New Roman" w:hAnsi="Times New Roman"/>
        </w:rPr>
        <w:t xml:space="preserve">was </w:t>
      </w:r>
      <w:r w:rsidR="0022550E" w:rsidRPr="0008166C">
        <w:rPr>
          <w:rFonts w:ascii="Times New Roman" w:hAnsi="Times New Roman"/>
        </w:rPr>
        <w:t xml:space="preserve">as to </w:t>
      </w:r>
      <w:r w:rsidR="00F714A3" w:rsidRPr="0008166C">
        <w:rPr>
          <w:rFonts w:ascii="Times New Roman" w:hAnsi="Times New Roman"/>
        </w:rPr>
        <w:t>which of the proceedings should be allowed to proceed</w:t>
      </w:r>
      <w:r w:rsidR="004D201B" w:rsidRPr="0008166C">
        <w:rPr>
          <w:rFonts w:ascii="Times New Roman" w:hAnsi="Times New Roman"/>
        </w:rPr>
        <w:t xml:space="preserve">. </w:t>
      </w:r>
      <w:r w:rsidR="00E416D0" w:rsidRPr="0008166C">
        <w:rPr>
          <w:rFonts w:ascii="Times New Roman" w:hAnsi="Times New Roman"/>
        </w:rPr>
        <w:t>T</w:t>
      </w:r>
      <w:r w:rsidR="00F714A3" w:rsidRPr="0008166C">
        <w:rPr>
          <w:rFonts w:ascii="Times New Roman" w:hAnsi="Times New Roman"/>
        </w:rPr>
        <w:t>he answer to that question was</w:t>
      </w:r>
      <w:r w:rsidR="00E416D0" w:rsidRPr="0008166C">
        <w:rPr>
          <w:rFonts w:ascii="Times New Roman" w:hAnsi="Times New Roman"/>
        </w:rPr>
        <w:t xml:space="preserve"> ultimately</w:t>
      </w:r>
      <w:r w:rsidR="00F714A3" w:rsidRPr="0008166C">
        <w:rPr>
          <w:rFonts w:ascii="Times New Roman" w:hAnsi="Times New Roman"/>
        </w:rPr>
        <w:t xml:space="preserve"> found, not in the identification of </w:t>
      </w:r>
      <w:r w:rsidR="002E3400" w:rsidRPr="0008166C">
        <w:rPr>
          <w:rFonts w:ascii="Times New Roman" w:hAnsi="Times New Roman"/>
        </w:rPr>
        <w:t xml:space="preserve">a deficiency in each of the proceedings ordered to be stayed </w:t>
      </w:r>
      <w:r w:rsidR="00F714A3" w:rsidRPr="0008166C">
        <w:rPr>
          <w:rFonts w:ascii="Times New Roman" w:hAnsi="Times New Roman"/>
        </w:rPr>
        <w:t xml:space="preserve">as a vehicle for the doing of justice between the plaintiffs and the defendant, but by an assessment as to which sponsor offered the prospect of the highest return to group members. </w:t>
      </w:r>
      <w:r w:rsidR="000531B5" w:rsidRPr="0008166C">
        <w:rPr>
          <w:rFonts w:ascii="Times New Roman" w:hAnsi="Times New Roman"/>
        </w:rPr>
        <w:t>Accordingly, t</w:t>
      </w:r>
      <w:r w:rsidR="00805CB4" w:rsidRPr="0008166C">
        <w:rPr>
          <w:rFonts w:ascii="Times New Roman" w:hAnsi="Times New Roman"/>
        </w:rPr>
        <w:t xml:space="preserve">he purpose and effect of the order made by the primary judge was to afford </w:t>
      </w:r>
      <w:r w:rsidR="00D3510D" w:rsidRPr="0008166C">
        <w:rPr>
          <w:rFonts w:ascii="Times New Roman" w:hAnsi="Times New Roman"/>
        </w:rPr>
        <w:t>the solicitors acting for</w:t>
      </w:r>
      <w:r w:rsidR="00805CB4" w:rsidRPr="0008166C">
        <w:rPr>
          <w:rFonts w:ascii="Times New Roman" w:hAnsi="Times New Roman"/>
        </w:rPr>
        <w:t xml:space="preserve"> </w:t>
      </w:r>
      <w:proofErr w:type="spellStart"/>
      <w:r w:rsidR="00805CB4" w:rsidRPr="0008166C">
        <w:rPr>
          <w:rFonts w:ascii="Times New Roman" w:hAnsi="Times New Roman"/>
        </w:rPr>
        <w:t>Komlotex</w:t>
      </w:r>
      <w:proofErr w:type="spellEnd"/>
      <w:r w:rsidR="006F7E7B" w:rsidRPr="0008166C">
        <w:rPr>
          <w:rFonts w:ascii="Times New Roman" w:hAnsi="Times New Roman"/>
        </w:rPr>
        <w:t xml:space="preserve"> and </w:t>
      </w:r>
      <w:proofErr w:type="spellStart"/>
      <w:r w:rsidR="00E3182F" w:rsidRPr="0008166C">
        <w:rPr>
          <w:rFonts w:ascii="Times New Roman" w:hAnsi="Times New Roman"/>
        </w:rPr>
        <w:t>Fernbrook</w:t>
      </w:r>
      <w:proofErr w:type="spellEnd"/>
      <w:r w:rsidR="00805CB4" w:rsidRPr="0008166C">
        <w:rPr>
          <w:rFonts w:ascii="Times New Roman" w:hAnsi="Times New Roman"/>
        </w:rPr>
        <w:t xml:space="preserve"> the exclusive opportunity to continue </w:t>
      </w:r>
      <w:r w:rsidR="00696CF9" w:rsidRPr="0008166C">
        <w:rPr>
          <w:rFonts w:ascii="Times New Roman" w:hAnsi="Times New Roman"/>
        </w:rPr>
        <w:t>their</w:t>
      </w:r>
      <w:r w:rsidR="00805CB4" w:rsidRPr="0008166C">
        <w:rPr>
          <w:rFonts w:ascii="Times New Roman" w:hAnsi="Times New Roman"/>
        </w:rPr>
        <w:t xml:space="preserve"> proceedings for the benefit of group members.</w:t>
      </w:r>
    </w:p>
    <w:p w14:paraId="6C849B78" w14:textId="44338DB1" w:rsidR="00B16D5B" w:rsidRPr="0008166C" w:rsidRDefault="000531B5" w:rsidP="0008166C">
      <w:pPr>
        <w:pStyle w:val="FixListStyle"/>
        <w:spacing w:after="260" w:line="280" w:lineRule="exact"/>
        <w:ind w:right="0"/>
        <w:jc w:val="both"/>
        <w:rPr>
          <w:rFonts w:ascii="Times New Roman" w:hAnsi="Times New Roman"/>
        </w:rPr>
      </w:pPr>
      <w:r w:rsidRPr="0008166C">
        <w:rPr>
          <w:rFonts w:ascii="Times New Roman" w:hAnsi="Times New Roman"/>
        </w:rPr>
        <w:tab/>
      </w:r>
      <w:bookmarkStart w:id="1" w:name="_Ref55324976"/>
      <w:r w:rsidR="00B16D5B" w:rsidRPr="0008166C">
        <w:rPr>
          <w:rFonts w:ascii="Times New Roman" w:hAnsi="Times New Roman"/>
        </w:rPr>
        <w:t>The primary judge approached the determination of the four stay applications by an assessment of the relative potential benefits expected to flow to group members from each of the competing representative proceedings. Her Honour proceeded by reference to "case management principles" derived from the "overriding purpose" in s 56 of the CPA</w:t>
      </w:r>
      <w:r w:rsidR="00B16D5B" w:rsidRPr="0008166C">
        <w:rPr>
          <w:rStyle w:val="FootnoteReference"/>
          <w:rFonts w:ascii="Times New Roman" w:hAnsi="Times New Roman"/>
          <w:sz w:val="24"/>
        </w:rPr>
        <w:footnoteReference w:id="5"/>
      </w:r>
      <w:r w:rsidR="00B16D5B" w:rsidRPr="0008166C">
        <w:rPr>
          <w:rFonts w:ascii="Times New Roman" w:hAnsi="Times New Roman"/>
        </w:rPr>
        <w:t xml:space="preserve"> using a "multi-factorial analysis" of the kind endorsed by the Full Court of the Federal Court in </w:t>
      </w:r>
      <w:proofErr w:type="spellStart"/>
      <w:r w:rsidR="00B16D5B" w:rsidRPr="0008166C">
        <w:rPr>
          <w:rFonts w:ascii="Times New Roman" w:hAnsi="Times New Roman"/>
          <w:i/>
          <w:iCs/>
        </w:rPr>
        <w:t>Perera</w:t>
      </w:r>
      <w:proofErr w:type="spellEnd"/>
      <w:r w:rsidR="00B16D5B" w:rsidRPr="0008166C">
        <w:rPr>
          <w:rFonts w:ascii="Times New Roman" w:hAnsi="Times New Roman"/>
          <w:i/>
          <w:iCs/>
        </w:rPr>
        <w:t xml:space="preserve"> v </w:t>
      </w:r>
      <w:proofErr w:type="spellStart"/>
      <w:r w:rsidR="00B16D5B" w:rsidRPr="0008166C">
        <w:rPr>
          <w:rFonts w:ascii="Times New Roman" w:hAnsi="Times New Roman"/>
          <w:i/>
        </w:rPr>
        <w:t>GetSwift</w:t>
      </w:r>
      <w:proofErr w:type="spellEnd"/>
      <w:r w:rsidR="00352179" w:rsidRPr="0008166C">
        <w:rPr>
          <w:rFonts w:ascii="Times New Roman" w:hAnsi="Times New Roman"/>
          <w:i/>
        </w:rPr>
        <w:t xml:space="preserve"> Ltd</w:t>
      </w:r>
      <w:r w:rsidR="00B16D5B" w:rsidRPr="0008166C">
        <w:rPr>
          <w:rStyle w:val="FootnoteReference"/>
          <w:rFonts w:ascii="Times New Roman" w:hAnsi="Times New Roman"/>
          <w:sz w:val="24"/>
        </w:rPr>
        <w:footnoteReference w:id="6"/>
      </w:r>
      <w:r w:rsidR="00B16D5B" w:rsidRPr="0008166C">
        <w:rPr>
          <w:rFonts w:ascii="Times New Roman" w:hAnsi="Times New Roman"/>
        </w:rPr>
        <w:t>. The primary judge identified</w:t>
      </w:r>
      <w:r w:rsidR="00245A0C" w:rsidRPr="0008166C">
        <w:rPr>
          <w:rFonts w:ascii="Times New Roman" w:hAnsi="Times New Roman"/>
        </w:rPr>
        <w:t xml:space="preserve"> as relevant</w:t>
      </w:r>
      <w:r w:rsidR="00B16D5B" w:rsidRPr="0008166C">
        <w:rPr>
          <w:rFonts w:ascii="Times New Roman" w:hAnsi="Times New Roman"/>
        </w:rPr>
        <w:t xml:space="preserve"> the following </w:t>
      </w:r>
      <w:r w:rsidR="006F7E7B" w:rsidRPr="0008166C">
        <w:rPr>
          <w:rFonts w:ascii="Times New Roman" w:hAnsi="Times New Roman"/>
        </w:rPr>
        <w:t xml:space="preserve">eight </w:t>
      </w:r>
      <w:r w:rsidR="00B16D5B" w:rsidRPr="0008166C">
        <w:rPr>
          <w:rFonts w:ascii="Times New Roman" w:hAnsi="Times New Roman"/>
        </w:rPr>
        <w:t xml:space="preserve">factors drawn from the judgment of the Full Court in </w:t>
      </w:r>
      <w:proofErr w:type="spellStart"/>
      <w:r w:rsidR="00B16D5B" w:rsidRPr="0008166C">
        <w:rPr>
          <w:rFonts w:ascii="Times New Roman" w:hAnsi="Times New Roman"/>
          <w:i/>
          <w:iCs/>
        </w:rPr>
        <w:t>GetSwift</w:t>
      </w:r>
      <w:proofErr w:type="spellEnd"/>
      <w:r w:rsidR="00BE754E" w:rsidRPr="0008166C">
        <w:rPr>
          <w:rStyle w:val="FootnoteReference"/>
          <w:rFonts w:ascii="Times New Roman" w:hAnsi="Times New Roman"/>
          <w:sz w:val="24"/>
        </w:rPr>
        <w:footnoteReference w:id="7"/>
      </w:r>
      <w:r w:rsidR="00B16D5B" w:rsidRPr="0008166C">
        <w:rPr>
          <w:rFonts w:ascii="Times New Roman" w:hAnsi="Times New Roman"/>
          <w:i/>
          <w:iCs/>
        </w:rPr>
        <w:t xml:space="preserve"> </w:t>
      </w:r>
      <w:r w:rsidR="00B16D5B" w:rsidRPr="0008166C">
        <w:rPr>
          <w:rFonts w:ascii="Times New Roman" w:hAnsi="Times New Roman"/>
        </w:rPr>
        <w:t>as well as that of Lee J at first instance in that case</w:t>
      </w:r>
      <w:r w:rsidR="00B16D5B" w:rsidRPr="0008166C">
        <w:rPr>
          <w:rStyle w:val="FootnoteReference"/>
          <w:rFonts w:ascii="Times New Roman" w:hAnsi="Times New Roman"/>
          <w:sz w:val="24"/>
        </w:rPr>
        <w:footnoteReference w:id="8"/>
      </w:r>
      <w:r w:rsidR="00B16D5B" w:rsidRPr="0008166C">
        <w:rPr>
          <w:rFonts w:ascii="Times New Roman" w:hAnsi="Times New Roman"/>
        </w:rPr>
        <w:t>. They were</w:t>
      </w:r>
      <w:r w:rsidR="00352179" w:rsidRPr="0008166C">
        <w:rPr>
          <w:rStyle w:val="FootnoteReference"/>
          <w:rFonts w:ascii="Times New Roman" w:hAnsi="Times New Roman"/>
          <w:sz w:val="24"/>
        </w:rPr>
        <w:footnoteReference w:id="9"/>
      </w:r>
      <w:r w:rsidR="00B16D5B" w:rsidRPr="0008166C">
        <w:rPr>
          <w:rFonts w:ascii="Times New Roman" w:hAnsi="Times New Roman"/>
        </w:rPr>
        <w:t>:</w:t>
      </w:r>
      <w:bookmarkEnd w:id="1"/>
    </w:p>
    <w:p w14:paraId="364D32F8" w14:textId="77777777" w:rsidR="00B16D5B" w:rsidRPr="0008166C" w:rsidRDefault="00B16D5B" w:rsidP="0008166C">
      <w:pPr>
        <w:pStyle w:val="NormalBody"/>
        <w:spacing w:after="260" w:line="280" w:lineRule="exact"/>
        <w:ind w:left="720" w:right="0" w:hanging="720"/>
        <w:jc w:val="both"/>
        <w:rPr>
          <w:rFonts w:ascii="Times New Roman" w:hAnsi="Times New Roman"/>
        </w:rPr>
      </w:pPr>
      <w:r w:rsidRPr="0008166C">
        <w:rPr>
          <w:rFonts w:ascii="Times New Roman" w:hAnsi="Times New Roman"/>
        </w:rPr>
        <w:lastRenderedPageBreak/>
        <w:t>(1)</w:t>
      </w:r>
      <w:r w:rsidRPr="0008166C">
        <w:rPr>
          <w:rFonts w:ascii="Times New Roman" w:hAnsi="Times New Roman"/>
        </w:rPr>
        <w:tab/>
        <w:t>the competing funding proposals, costs estimates and net hypothetical return to group members (assessed "having regard to standardised assumptions such as the likely length of trial"</w:t>
      </w:r>
      <w:r w:rsidRPr="0008166C">
        <w:rPr>
          <w:rStyle w:val="FootnoteReference"/>
          <w:rFonts w:ascii="Times New Roman" w:hAnsi="Times New Roman"/>
          <w:sz w:val="24"/>
        </w:rPr>
        <w:footnoteReference w:id="10"/>
      </w:r>
      <w:r w:rsidRPr="0008166C">
        <w:rPr>
          <w:rFonts w:ascii="Times New Roman" w:hAnsi="Times New Roman"/>
        </w:rPr>
        <w:t>);</w:t>
      </w:r>
    </w:p>
    <w:p w14:paraId="4AA92EFB" w14:textId="5F6242C1" w:rsidR="00B16D5B" w:rsidRPr="0008166C" w:rsidRDefault="00B16D5B" w:rsidP="0008166C">
      <w:pPr>
        <w:pStyle w:val="NormalBody"/>
        <w:spacing w:after="260" w:line="280" w:lineRule="exact"/>
        <w:ind w:right="0"/>
        <w:jc w:val="both"/>
        <w:rPr>
          <w:rFonts w:ascii="Times New Roman" w:hAnsi="Times New Roman"/>
        </w:rPr>
      </w:pPr>
      <w:r w:rsidRPr="0008166C">
        <w:rPr>
          <w:rFonts w:ascii="Times New Roman" w:hAnsi="Times New Roman"/>
        </w:rPr>
        <w:t>(2)</w:t>
      </w:r>
      <w:r w:rsidRPr="0008166C">
        <w:rPr>
          <w:rFonts w:ascii="Times New Roman" w:hAnsi="Times New Roman"/>
        </w:rPr>
        <w:tab/>
        <w:t xml:space="preserve">the proposals for security for </w:t>
      </w:r>
      <w:r w:rsidR="00A3353C" w:rsidRPr="0008166C">
        <w:rPr>
          <w:rFonts w:ascii="Times New Roman" w:hAnsi="Times New Roman"/>
        </w:rPr>
        <w:t xml:space="preserve">AMP's </w:t>
      </w:r>
      <w:r w:rsidRPr="0008166C">
        <w:rPr>
          <w:rFonts w:ascii="Times New Roman" w:hAnsi="Times New Roman"/>
        </w:rPr>
        <w:t>costs;</w:t>
      </w:r>
    </w:p>
    <w:p w14:paraId="577C39AF" w14:textId="57A7C113" w:rsidR="00B16D5B" w:rsidRPr="0008166C" w:rsidRDefault="00B16D5B" w:rsidP="0008166C">
      <w:pPr>
        <w:pStyle w:val="NormalBody"/>
        <w:spacing w:after="260" w:line="280" w:lineRule="exact"/>
        <w:ind w:right="0"/>
        <w:jc w:val="both"/>
        <w:rPr>
          <w:rFonts w:ascii="Times New Roman" w:hAnsi="Times New Roman"/>
        </w:rPr>
      </w:pPr>
      <w:r w:rsidRPr="0008166C">
        <w:rPr>
          <w:rFonts w:ascii="Times New Roman" w:hAnsi="Times New Roman"/>
        </w:rPr>
        <w:t>(3)</w:t>
      </w:r>
      <w:r w:rsidRPr="0008166C">
        <w:rPr>
          <w:rFonts w:ascii="Times New Roman" w:hAnsi="Times New Roman"/>
        </w:rPr>
        <w:tab/>
        <w:t>the nature and scope of the causes of action advanced;</w:t>
      </w:r>
    </w:p>
    <w:p w14:paraId="59A6E35F" w14:textId="340AD683" w:rsidR="00A3353C" w:rsidRPr="0008166C" w:rsidRDefault="00A3353C" w:rsidP="0008166C">
      <w:pPr>
        <w:pStyle w:val="NormalBody"/>
        <w:spacing w:after="260" w:line="280" w:lineRule="exact"/>
        <w:ind w:right="0"/>
        <w:jc w:val="both"/>
        <w:rPr>
          <w:rFonts w:ascii="Times New Roman" w:hAnsi="Times New Roman"/>
        </w:rPr>
      </w:pPr>
      <w:r w:rsidRPr="0008166C">
        <w:rPr>
          <w:rFonts w:ascii="Times New Roman" w:hAnsi="Times New Roman"/>
        </w:rPr>
        <w:t>(4)</w:t>
      </w:r>
      <w:r w:rsidRPr="0008166C">
        <w:rPr>
          <w:rFonts w:ascii="Times New Roman" w:hAnsi="Times New Roman"/>
        </w:rPr>
        <w:tab/>
        <w:t>the size of the respective classes;</w:t>
      </w:r>
    </w:p>
    <w:p w14:paraId="53BDDAFF" w14:textId="596F35F0" w:rsidR="00B16D5B" w:rsidRPr="0008166C" w:rsidRDefault="00B16D5B" w:rsidP="0008166C">
      <w:pPr>
        <w:pStyle w:val="NormalBody"/>
        <w:spacing w:after="260" w:line="280" w:lineRule="exact"/>
        <w:ind w:right="0"/>
        <w:jc w:val="both"/>
        <w:rPr>
          <w:rFonts w:ascii="Times New Roman" w:hAnsi="Times New Roman"/>
        </w:rPr>
      </w:pPr>
      <w:r w:rsidRPr="0008166C">
        <w:rPr>
          <w:rFonts w:ascii="Times New Roman" w:hAnsi="Times New Roman"/>
        </w:rPr>
        <w:t>(</w:t>
      </w:r>
      <w:r w:rsidR="00B510AB" w:rsidRPr="0008166C">
        <w:rPr>
          <w:rFonts w:ascii="Times New Roman" w:hAnsi="Times New Roman"/>
        </w:rPr>
        <w:t>5</w:t>
      </w:r>
      <w:r w:rsidRPr="0008166C">
        <w:rPr>
          <w:rFonts w:ascii="Times New Roman" w:hAnsi="Times New Roman"/>
        </w:rPr>
        <w:t>)</w:t>
      </w:r>
      <w:r w:rsidRPr="0008166C">
        <w:rPr>
          <w:rFonts w:ascii="Times New Roman" w:hAnsi="Times New Roman"/>
        </w:rPr>
        <w:tab/>
        <w:t xml:space="preserve">the extent of any bookbuild; </w:t>
      </w:r>
    </w:p>
    <w:p w14:paraId="35873C1C" w14:textId="15532CA1" w:rsidR="00B16D5B" w:rsidRPr="0008166C" w:rsidRDefault="00B16D5B" w:rsidP="0008166C">
      <w:pPr>
        <w:pStyle w:val="NormalBody"/>
        <w:spacing w:after="260" w:line="280" w:lineRule="exact"/>
        <w:ind w:left="720" w:right="0" w:hanging="720"/>
        <w:jc w:val="both"/>
        <w:rPr>
          <w:rFonts w:ascii="Times New Roman" w:hAnsi="Times New Roman"/>
        </w:rPr>
      </w:pPr>
      <w:r w:rsidRPr="0008166C">
        <w:rPr>
          <w:rFonts w:ascii="Times New Roman" w:hAnsi="Times New Roman"/>
        </w:rPr>
        <w:t>(</w:t>
      </w:r>
      <w:r w:rsidR="00B510AB" w:rsidRPr="0008166C">
        <w:rPr>
          <w:rFonts w:ascii="Times New Roman" w:hAnsi="Times New Roman"/>
        </w:rPr>
        <w:t>6</w:t>
      </w:r>
      <w:r w:rsidRPr="0008166C">
        <w:rPr>
          <w:rFonts w:ascii="Times New Roman" w:hAnsi="Times New Roman"/>
        </w:rPr>
        <w:t>)</w:t>
      </w:r>
      <w:r w:rsidRPr="0008166C">
        <w:rPr>
          <w:rFonts w:ascii="Times New Roman" w:hAnsi="Times New Roman"/>
        </w:rPr>
        <w:tab/>
        <w:t>the experience of the legal practitioners</w:t>
      </w:r>
      <w:r w:rsidR="00B510AB" w:rsidRPr="0008166C">
        <w:rPr>
          <w:rFonts w:ascii="Times New Roman" w:hAnsi="Times New Roman"/>
        </w:rPr>
        <w:t xml:space="preserve"> (and funders)</w:t>
      </w:r>
      <w:r w:rsidRPr="0008166C">
        <w:rPr>
          <w:rFonts w:ascii="Times New Roman" w:hAnsi="Times New Roman"/>
        </w:rPr>
        <w:t xml:space="preserve"> and availability of resources;</w:t>
      </w:r>
    </w:p>
    <w:p w14:paraId="2019BEFD" w14:textId="07277C10" w:rsidR="00B16D5B" w:rsidRPr="0008166C" w:rsidRDefault="00B16D5B" w:rsidP="0008166C">
      <w:pPr>
        <w:pStyle w:val="NormalBody"/>
        <w:spacing w:after="260" w:line="280" w:lineRule="exact"/>
        <w:ind w:left="720" w:right="0" w:hanging="720"/>
        <w:jc w:val="both"/>
        <w:rPr>
          <w:rFonts w:ascii="Times New Roman" w:hAnsi="Times New Roman"/>
        </w:rPr>
      </w:pPr>
      <w:r w:rsidRPr="0008166C">
        <w:rPr>
          <w:rFonts w:ascii="Times New Roman" w:hAnsi="Times New Roman"/>
        </w:rPr>
        <w:t>(</w:t>
      </w:r>
      <w:r w:rsidR="004E6E93" w:rsidRPr="0008166C">
        <w:rPr>
          <w:rFonts w:ascii="Times New Roman" w:hAnsi="Times New Roman"/>
        </w:rPr>
        <w:t>7</w:t>
      </w:r>
      <w:r w:rsidRPr="0008166C">
        <w:rPr>
          <w:rFonts w:ascii="Times New Roman" w:hAnsi="Times New Roman"/>
        </w:rPr>
        <w:t>)</w:t>
      </w:r>
      <w:r w:rsidRPr="0008166C">
        <w:rPr>
          <w:rFonts w:ascii="Times New Roman" w:hAnsi="Times New Roman"/>
        </w:rPr>
        <w:tab/>
        <w:t>the state of progress of the proceedings; and</w:t>
      </w:r>
    </w:p>
    <w:p w14:paraId="16C0A7F6" w14:textId="753280EC" w:rsidR="00B16D5B" w:rsidRPr="0008166C" w:rsidRDefault="00B16D5B" w:rsidP="0008166C">
      <w:pPr>
        <w:pStyle w:val="NormalBody"/>
        <w:spacing w:after="260" w:line="280" w:lineRule="exact"/>
        <w:ind w:left="720" w:right="0" w:hanging="720"/>
        <w:jc w:val="both"/>
        <w:rPr>
          <w:rFonts w:ascii="Times New Roman" w:hAnsi="Times New Roman"/>
        </w:rPr>
      </w:pPr>
      <w:r w:rsidRPr="0008166C">
        <w:rPr>
          <w:rFonts w:ascii="Times New Roman" w:hAnsi="Times New Roman"/>
        </w:rPr>
        <w:t>(</w:t>
      </w:r>
      <w:r w:rsidR="004E6E93" w:rsidRPr="0008166C">
        <w:rPr>
          <w:rFonts w:ascii="Times New Roman" w:hAnsi="Times New Roman"/>
        </w:rPr>
        <w:t>8</w:t>
      </w:r>
      <w:r w:rsidRPr="0008166C">
        <w:rPr>
          <w:rFonts w:ascii="Times New Roman" w:hAnsi="Times New Roman"/>
        </w:rPr>
        <w:t>)</w:t>
      </w:r>
      <w:r w:rsidRPr="0008166C">
        <w:rPr>
          <w:rFonts w:ascii="Times New Roman" w:hAnsi="Times New Roman"/>
        </w:rPr>
        <w:tab/>
        <w:t>the conduct of the representative plaintiffs to date.</w:t>
      </w:r>
    </w:p>
    <w:p w14:paraId="77F836BF" w14:textId="47E3E0B9" w:rsidR="00B16D5B" w:rsidRPr="0008166C" w:rsidRDefault="00B16D5B" w:rsidP="0008166C">
      <w:pPr>
        <w:pStyle w:val="FixListStyle"/>
        <w:spacing w:after="260" w:line="280" w:lineRule="exact"/>
        <w:ind w:right="0"/>
        <w:jc w:val="both"/>
        <w:rPr>
          <w:rFonts w:ascii="Times New Roman" w:hAnsi="Times New Roman"/>
        </w:rPr>
      </w:pPr>
      <w:r w:rsidRPr="0008166C">
        <w:rPr>
          <w:rFonts w:ascii="Times New Roman" w:hAnsi="Times New Roman"/>
        </w:rPr>
        <w:tab/>
        <w:t>The primary judge concluded that Ms </w:t>
      </w:r>
      <w:proofErr w:type="spellStart"/>
      <w:r w:rsidRPr="0008166C">
        <w:rPr>
          <w:rFonts w:ascii="Times New Roman" w:hAnsi="Times New Roman"/>
        </w:rPr>
        <w:t>Wigmans</w:t>
      </w:r>
      <w:proofErr w:type="spellEnd"/>
      <w:r w:rsidRPr="0008166C">
        <w:rPr>
          <w:rFonts w:ascii="Times New Roman" w:hAnsi="Times New Roman"/>
        </w:rPr>
        <w:t xml:space="preserve">' </w:t>
      </w:r>
      <w:r w:rsidR="00612D47" w:rsidRPr="0008166C">
        <w:rPr>
          <w:rFonts w:ascii="Times New Roman" w:hAnsi="Times New Roman"/>
        </w:rPr>
        <w:t xml:space="preserve">proceedings </w:t>
      </w:r>
      <w:r w:rsidRPr="0008166C">
        <w:rPr>
          <w:rFonts w:ascii="Times New Roman" w:hAnsi="Times New Roman"/>
        </w:rPr>
        <w:t xml:space="preserve">and </w:t>
      </w:r>
      <w:r w:rsidR="00612D47" w:rsidRPr="0008166C">
        <w:rPr>
          <w:rFonts w:ascii="Times New Roman" w:hAnsi="Times New Roman"/>
        </w:rPr>
        <w:t xml:space="preserve">the </w:t>
      </w:r>
      <w:proofErr w:type="spellStart"/>
      <w:r w:rsidRPr="0008166C">
        <w:rPr>
          <w:rFonts w:ascii="Times New Roman" w:hAnsi="Times New Roman"/>
        </w:rPr>
        <w:t>Komlotex</w:t>
      </w:r>
      <w:proofErr w:type="spellEnd"/>
      <w:r w:rsidRPr="0008166C">
        <w:rPr>
          <w:rFonts w:ascii="Times New Roman" w:hAnsi="Times New Roman"/>
        </w:rPr>
        <w:t>/</w:t>
      </w:r>
      <w:proofErr w:type="spellStart"/>
      <w:r w:rsidRPr="0008166C">
        <w:rPr>
          <w:rFonts w:ascii="Times New Roman" w:hAnsi="Times New Roman"/>
        </w:rPr>
        <w:t>Fernbrook</w:t>
      </w:r>
      <w:proofErr w:type="spellEnd"/>
      <w:r w:rsidRPr="0008166C">
        <w:rPr>
          <w:rFonts w:ascii="Times New Roman" w:hAnsi="Times New Roman"/>
        </w:rPr>
        <w:t xml:space="preserve"> proceedings ought to be preferred to </w:t>
      </w:r>
      <w:r w:rsidR="00612D47" w:rsidRPr="0008166C">
        <w:rPr>
          <w:rFonts w:ascii="Times New Roman" w:hAnsi="Times New Roman"/>
        </w:rPr>
        <w:t xml:space="preserve">the proceedings of </w:t>
      </w:r>
      <w:proofErr w:type="spellStart"/>
      <w:r w:rsidRPr="0008166C">
        <w:rPr>
          <w:rFonts w:ascii="Times New Roman" w:hAnsi="Times New Roman"/>
        </w:rPr>
        <w:t>Wileypark</w:t>
      </w:r>
      <w:proofErr w:type="spellEnd"/>
      <w:r w:rsidRPr="0008166C">
        <w:rPr>
          <w:rFonts w:ascii="Times New Roman" w:hAnsi="Times New Roman"/>
        </w:rPr>
        <w:t xml:space="preserve"> and Mr Georgiou because of their superior proposal with respect to the provision of security for AMP's costs</w:t>
      </w:r>
      <w:r w:rsidRPr="0008166C">
        <w:rPr>
          <w:rStyle w:val="FootnoteReference"/>
          <w:rFonts w:ascii="Times New Roman" w:hAnsi="Times New Roman"/>
          <w:sz w:val="24"/>
        </w:rPr>
        <w:footnoteReference w:id="11"/>
      </w:r>
      <w:r w:rsidRPr="0008166C">
        <w:rPr>
          <w:rFonts w:ascii="Times New Roman" w:hAnsi="Times New Roman"/>
        </w:rPr>
        <w:t xml:space="preserve">. Her Honour went on to hold that it was decisive as between the remaining two proceedings that the </w:t>
      </w:r>
      <w:proofErr w:type="spellStart"/>
      <w:r w:rsidRPr="0008166C">
        <w:rPr>
          <w:rFonts w:ascii="Times New Roman" w:hAnsi="Times New Roman"/>
        </w:rPr>
        <w:t>Komlotex</w:t>
      </w:r>
      <w:proofErr w:type="spellEnd"/>
      <w:r w:rsidRPr="0008166C">
        <w:rPr>
          <w:rFonts w:ascii="Times New Roman" w:hAnsi="Times New Roman"/>
        </w:rPr>
        <w:t>/</w:t>
      </w:r>
      <w:proofErr w:type="spellStart"/>
      <w:r w:rsidRPr="0008166C">
        <w:rPr>
          <w:rFonts w:ascii="Times New Roman" w:hAnsi="Times New Roman"/>
        </w:rPr>
        <w:t>Fernbrook</w:t>
      </w:r>
      <w:proofErr w:type="spellEnd"/>
      <w:r w:rsidRPr="0008166C">
        <w:rPr>
          <w:rFonts w:ascii="Times New Roman" w:hAnsi="Times New Roman"/>
        </w:rPr>
        <w:t xml:space="preserve"> proceedings were to be "funded" by the solicitors acting for </w:t>
      </w:r>
      <w:proofErr w:type="spellStart"/>
      <w:r w:rsidR="005D28DE" w:rsidRPr="0008166C">
        <w:rPr>
          <w:rFonts w:ascii="Times New Roman" w:hAnsi="Times New Roman"/>
        </w:rPr>
        <w:t>Komlotex</w:t>
      </w:r>
      <w:proofErr w:type="spellEnd"/>
      <w:r w:rsidR="005D28DE" w:rsidRPr="0008166C">
        <w:rPr>
          <w:rFonts w:ascii="Times New Roman" w:hAnsi="Times New Roman"/>
        </w:rPr>
        <w:t xml:space="preserve"> and </w:t>
      </w:r>
      <w:proofErr w:type="spellStart"/>
      <w:r w:rsidR="005D28DE" w:rsidRPr="0008166C">
        <w:rPr>
          <w:rFonts w:ascii="Times New Roman" w:hAnsi="Times New Roman"/>
        </w:rPr>
        <w:t>Fernbrook</w:t>
      </w:r>
      <w:proofErr w:type="spellEnd"/>
      <w:r w:rsidRPr="0008166C">
        <w:rPr>
          <w:rFonts w:ascii="Times New Roman" w:hAnsi="Times New Roman"/>
        </w:rPr>
        <w:t>, Maurice Blackburn, on a "no</w:t>
      </w:r>
      <w:r w:rsidR="00FD602E" w:rsidRPr="0008166C">
        <w:rPr>
          <w:rFonts w:ascii="Times New Roman" w:hAnsi="Times New Roman"/>
        </w:rPr>
        <w:noBreakHyphen/>
      </w:r>
      <w:r w:rsidRPr="0008166C">
        <w:rPr>
          <w:rFonts w:ascii="Times New Roman" w:hAnsi="Times New Roman"/>
        </w:rPr>
        <w:t>win</w:t>
      </w:r>
      <w:r w:rsidR="00A5214B" w:rsidRPr="0008166C">
        <w:rPr>
          <w:rFonts w:ascii="Times New Roman" w:hAnsi="Times New Roman"/>
        </w:rPr>
        <w:t xml:space="preserve">, </w:t>
      </w:r>
      <w:r w:rsidRPr="0008166C">
        <w:rPr>
          <w:rFonts w:ascii="Times New Roman" w:hAnsi="Times New Roman"/>
        </w:rPr>
        <w:t>no</w:t>
      </w:r>
      <w:r w:rsidR="00FD602E" w:rsidRPr="0008166C">
        <w:rPr>
          <w:rFonts w:ascii="Times New Roman" w:hAnsi="Times New Roman"/>
        </w:rPr>
        <w:noBreakHyphen/>
      </w:r>
      <w:r w:rsidRPr="0008166C">
        <w:rPr>
          <w:rFonts w:ascii="Times New Roman" w:hAnsi="Times New Roman"/>
        </w:rPr>
        <w:t>fee" basis with a 25 per</w:t>
      </w:r>
      <w:r w:rsidR="00FD602E" w:rsidRPr="0008166C">
        <w:rPr>
          <w:rFonts w:ascii="Times New Roman" w:hAnsi="Times New Roman"/>
        </w:rPr>
        <w:t xml:space="preserve"> </w:t>
      </w:r>
      <w:r w:rsidRPr="0008166C">
        <w:rPr>
          <w:rFonts w:ascii="Times New Roman" w:hAnsi="Times New Roman"/>
        </w:rPr>
        <w:t>cent uplift on professional fees if the resolution sum exceeded $80 million</w:t>
      </w:r>
      <w:r w:rsidRPr="0008166C">
        <w:rPr>
          <w:rStyle w:val="FootnoteReference"/>
          <w:rFonts w:ascii="Times New Roman" w:hAnsi="Times New Roman"/>
          <w:sz w:val="24"/>
        </w:rPr>
        <w:footnoteReference w:id="12"/>
      </w:r>
      <w:r w:rsidRPr="0008166C">
        <w:rPr>
          <w:rFonts w:ascii="Times New Roman" w:hAnsi="Times New Roman"/>
        </w:rPr>
        <w:t>. This funding model was expected to produce a better net return for group members than that proposed for Ms </w:t>
      </w:r>
      <w:proofErr w:type="spellStart"/>
      <w:r w:rsidRPr="0008166C">
        <w:rPr>
          <w:rFonts w:ascii="Times New Roman" w:hAnsi="Times New Roman"/>
        </w:rPr>
        <w:t>Wigmans</w:t>
      </w:r>
      <w:proofErr w:type="spellEnd"/>
      <w:r w:rsidRPr="0008166C">
        <w:rPr>
          <w:rFonts w:ascii="Times New Roman" w:hAnsi="Times New Roman"/>
        </w:rPr>
        <w:t>' proceeding</w:t>
      </w:r>
      <w:r w:rsidR="00A255A4" w:rsidRPr="0008166C">
        <w:rPr>
          <w:rFonts w:ascii="Times New Roman" w:hAnsi="Times New Roman"/>
        </w:rPr>
        <w:t>s</w:t>
      </w:r>
      <w:r w:rsidRPr="0008166C">
        <w:rPr>
          <w:rFonts w:ascii="Times New Roman" w:hAnsi="Times New Roman"/>
        </w:rPr>
        <w:t>. Ms </w:t>
      </w:r>
      <w:proofErr w:type="spellStart"/>
      <w:r w:rsidRPr="0008166C">
        <w:rPr>
          <w:rFonts w:ascii="Times New Roman" w:hAnsi="Times New Roman"/>
        </w:rPr>
        <w:t>Wigmans</w:t>
      </w:r>
      <w:proofErr w:type="spellEnd"/>
      <w:r w:rsidRPr="0008166C">
        <w:rPr>
          <w:rFonts w:ascii="Times New Roman" w:hAnsi="Times New Roman"/>
        </w:rPr>
        <w:t>' proceeding</w:t>
      </w:r>
      <w:r w:rsidR="00A255A4" w:rsidRPr="0008166C">
        <w:rPr>
          <w:rFonts w:ascii="Times New Roman" w:hAnsi="Times New Roman"/>
        </w:rPr>
        <w:t>s</w:t>
      </w:r>
      <w:r w:rsidRPr="0008166C">
        <w:rPr>
          <w:rFonts w:ascii="Times New Roman" w:hAnsi="Times New Roman"/>
        </w:rPr>
        <w:t xml:space="preserve">, in which the solicitors Quinn Emanuel act for her, </w:t>
      </w:r>
      <w:r w:rsidR="005D28DE" w:rsidRPr="0008166C">
        <w:rPr>
          <w:rFonts w:ascii="Times New Roman" w:hAnsi="Times New Roman"/>
        </w:rPr>
        <w:t xml:space="preserve">were </w:t>
      </w:r>
      <w:r w:rsidRPr="0008166C">
        <w:rPr>
          <w:rFonts w:ascii="Times New Roman" w:hAnsi="Times New Roman"/>
        </w:rPr>
        <w:t>to be funded by a commercial litigation funder on terms pursuant to which the fu</w:t>
      </w:r>
      <w:r w:rsidR="00317914" w:rsidRPr="0008166C">
        <w:rPr>
          <w:rFonts w:ascii="Times New Roman" w:hAnsi="Times New Roman"/>
        </w:rPr>
        <w:t>nder</w:t>
      </w:r>
      <w:r w:rsidRPr="0008166C">
        <w:rPr>
          <w:rFonts w:ascii="Times New Roman" w:hAnsi="Times New Roman"/>
        </w:rPr>
        <w:t xml:space="preserve"> stood to recover up to 20 per cent of any recovery</w:t>
      </w:r>
      <w:r w:rsidRPr="0008166C">
        <w:rPr>
          <w:rStyle w:val="FootnoteReference"/>
          <w:rFonts w:ascii="Times New Roman" w:hAnsi="Times New Roman"/>
          <w:sz w:val="24"/>
        </w:rPr>
        <w:footnoteReference w:id="13"/>
      </w:r>
      <w:r w:rsidRPr="0008166C">
        <w:rPr>
          <w:rFonts w:ascii="Times New Roman" w:hAnsi="Times New Roman"/>
        </w:rPr>
        <w:t xml:space="preserve">. </w:t>
      </w:r>
    </w:p>
    <w:p w14:paraId="678049AC" w14:textId="5F216E35" w:rsidR="00801AA7" w:rsidRPr="0008166C" w:rsidRDefault="00801AA7" w:rsidP="0008166C">
      <w:pPr>
        <w:pStyle w:val="HeadingL1"/>
        <w:spacing w:after="260" w:line="280" w:lineRule="exact"/>
        <w:ind w:right="0"/>
        <w:jc w:val="both"/>
        <w:rPr>
          <w:rFonts w:ascii="Times New Roman" w:hAnsi="Times New Roman"/>
        </w:rPr>
      </w:pPr>
      <w:r w:rsidRPr="0008166C">
        <w:rPr>
          <w:rFonts w:ascii="Times New Roman" w:hAnsi="Times New Roman"/>
        </w:rPr>
        <w:lastRenderedPageBreak/>
        <w:t>The Court of Appeal</w:t>
      </w:r>
    </w:p>
    <w:p w14:paraId="6052684A" w14:textId="4B1CF9B9" w:rsidR="00ED5283" w:rsidRPr="0008166C" w:rsidRDefault="002655FA"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6F4649" w:rsidRPr="0008166C">
        <w:rPr>
          <w:rFonts w:ascii="Times New Roman" w:hAnsi="Times New Roman"/>
        </w:rPr>
        <w:t>The Court</w:t>
      </w:r>
      <w:r w:rsidR="00857B90" w:rsidRPr="0008166C">
        <w:rPr>
          <w:rFonts w:ascii="Times New Roman" w:hAnsi="Times New Roman"/>
        </w:rPr>
        <w:t xml:space="preserve"> </w:t>
      </w:r>
      <w:r w:rsidR="006F4649" w:rsidRPr="0008166C">
        <w:rPr>
          <w:rFonts w:ascii="Times New Roman" w:hAnsi="Times New Roman"/>
        </w:rPr>
        <w:t>of</w:t>
      </w:r>
      <w:r w:rsidR="00857B90" w:rsidRPr="0008166C">
        <w:rPr>
          <w:rFonts w:ascii="Times New Roman" w:hAnsi="Times New Roman"/>
        </w:rPr>
        <w:t xml:space="preserve"> </w:t>
      </w:r>
      <w:r w:rsidR="006F4649" w:rsidRPr="0008166C">
        <w:rPr>
          <w:rFonts w:ascii="Times New Roman" w:hAnsi="Times New Roman"/>
        </w:rPr>
        <w:t>Appeal of the Supreme</w:t>
      </w:r>
      <w:r w:rsidR="008753B5" w:rsidRPr="0008166C">
        <w:rPr>
          <w:rFonts w:ascii="Times New Roman" w:hAnsi="Times New Roman"/>
        </w:rPr>
        <w:t xml:space="preserve"> </w:t>
      </w:r>
      <w:r w:rsidR="006F4649" w:rsidRPr="0008166C">
        <w:rPr>
          <w:rFonts w:ascii="Times New Roman" w:hAnsi="Times New Roman"/>
        </w:rPr>
        <w:t>Court of New</w:t>
      </w:r>
      <w:r w:rsidR="00FA0179" w:rsidRPr="0008166C">
        <w:rPr>
          <w:rFonts w:ascii="Times New Roman" w:hAnsi="Times New Roman"/>
        </w:rPr>
        <w:t xml:space="preserve"> </w:t>
      </w:r>
      <w:r w:rsidR="006F4649" w:rsidRPr="0008166C">
        <w:rPr>
          <w:rFonts w:ascii="Times New Roman" w:hAnsi="Times New Roman"/>
        </w:rPr>
        <w:t>South</w:t>
      </w:r>
      <w:r w:rsidR="00FA0179" w:rsidRPr="0008166C">
        <w:rPr>
          <w:rFonts w:ascii="Times New Roman" w:hAnsi="Times New Roman"/>
        </w:rPr>
        <w:t xml:space="preserve"> </w:t>
      </w:r>
      <w:r w:rsidR="006F4649" w:rsidRPr="0008166C">
        <w:rPr>
          <w:rFonts w:ascii="Times New Roman" w:hAnsi="Times New Roman"/>
        </w:rPr>
        <w:t xml:space="preserve">Wales (Bell P, </w:t>
      </w:r>
      <w:proofErr w:type="spellStart"/>
      <w:r w:rsidR="006F4649" w:rsidRPr="0008166C">
        <w:rPr>
          <w:rFonts w:ascii="Times New Roman" w:hAnsi="Times New Roman"/>
        </w:rPr>
        <w:t>Macfarlan</w:t>
      </w:r>
      <w:proofErr w:type="spellEnd"/>
      <w:r w:rsidR="006F4649" w:rsidRPr="0008166C">
        <w:rPr>
          <w:rFonts w:ascii="Times New Roman" w:hAnsi="Times New Roman"/>
        </w:rPr>
        <w:t>, Meagher</w:t>
      </w:r>
      <w:r w:rsidR="005D28DE" w:rsidRPr="0008166C">
        <w:rPr>
          <w:rFonts w:ascii="Times New Roman" w:hAnsi="Times New Roman"/>
        </w:rPr>
        <w:t>,</w:t>
      </w:r>
      <w:r w:rsidR="006F4649" w:rsidRPr="0008166C">
        <w:rPr>
          <w:rFonts w:ascii="Times New Roman" w:hAnsi="Times New Roman"/>
        </w:rPr>
        <w:t xml:space="preserve"> Payne and White JJA</w:t>
      </w:r>
      <w:r w:rsidR="00120828" w:rsidRPr="0008166C">
        <w:rPr>
          <w:rFonts w:ascii="Times New Roman" w:hAnsi="Times New Roman"/>
        </w:rPr>
        <w:t>) dismissed</w:t>
      </w:r>
      <w:r w:rsidR="006F4649" w:rsidRPr="0008166C">
        <w:rPr>
          <w:rFonts w:ascii="Times New Roman" w:hAnsi="Times New Roman"/>
        </w:rPr>
        <w:t xml:space="preserve"> Ms </w:t>
      </w:r>
      <w:proofErr w:type="spellStart"/>
      <w:r w:rsidR="006F4649" w:rsidRPr="0008166C">
        <w:rPr>
          <w:rFonts w:ascii="Times New Roman" w:hAnsi="Times New Roman"/>
        </w:rPr>
        <w:t>Wigmans</w:t>
      </w:r>
      <w:proofErr w:type="spellEnd"/>
      <w:r w:rsidR="006F4649" w:rsidRPr="0008166C">
        <w:rPr>
          <w:rFonts w:ascii="Times New Roman" w:hAnsi="Times New Roman"/>
        </w:rPr>
        <w:t>' appeal</w:t>
      </w:r>
      <w:r w:rsidR="00B14C01" w:rsidRPr="0008166C">
        <w:rPr>
          <w:rStyle w:val="FootnoteReference"/>
          <w:rFonts w:ascii="Times New Roman" w:hAnsi="Times New Roman"/>
          <w:sz w:val="24"/>
        </w:rPr>
        <w:footnoteReference w:id="14"/>
      </w:r>
      <w:r w:rsidR="00FA0179" w:rsidRPr="0008166C">
        <w:rPr>
          <w:rFonts w:ascii="Times New Roman" w:hAnsi="Times New Roman"/>
        </w:rPr>
        <w:t>.</w:t>
      </w:r>
      <w:r w:rsidR="00965F5D" w:rsidRPr="0008166C">
        <w:rPr>
          <w:rFonts w:ascii="Times New Roman" w:hAnsi="Times New Roman"/>
        </w:rPr>
        <w:t xml:space="preserve"> </w:t>
      </w:r>
      <w:r w:rsidR="00ED5283" w:rsidRPr="0008166C">
        <w:rPr>
          <w:rFonts w:ascii="Times New Roman" w:hAnsi="Times New Roman"/>
        </w:rPr>
        <w:t xml:space="preserve">The Court of Appeal found no error in the reasons of the primary judge. The "only real point of difference" </w:t>
      </w:r>
      <w:r w:rsidR="00625DD5" w:rsidRPr="0008166C">
        <w:rPr>
          <w:rFonts w:ascii="Times New Roman" w:hAnsi="Times New Roman"/>
        </w:rPr>
        <w:t xml:space="preserve">in reasoning </w:t>
      </w:r>
      <w:r w:rsidR="00ED5283" w:rsidRPr="0008166C">
        <w:rPr>
          <w:rFonts w:ascii="Times New Roman" w:hAnsi="Times New Roman"/>
        </w:rPr>
        <w:t xml:space="preserve">between Bell P (with whom </w:t>
      </w:r>
      <w:proofErr w:type="spellStart"/>
      <w:r w:rsidR="00ED5283" w:rsidRPr="0008166C">
        <w:rPr>
          <w:rFonts w:ascii="Times New Roman" w:hAnsi="Times New Roman"/>
        </w:rPr>
        <w:t>Macfarlan</w:t>
      </w:r>
      <w:proofErr w:type="spellEnd"/>
      <w:r w:rsidR="00ED5283" w:rsidRPr="0008166C">
        <w:rPr>
          <w:rFonts w:ascii="Times New Roman" w:hAnsi="Times New Roman"/>
        </w:rPr>
        <w:t>, Mea</w:t>
      </w:r>
      <w:r w:rsidR="005D28DE" w:rsidRPr="0008166C">
        <w:rPr>
          <w:rFonts w:ascii="Times New Roman" w:hAnsi="Times New Roman"/>
        </w:rPr>
        <w:t>g</w:t>
      </w:r>
      <w:r w:rsidR="00ED5283" w:rsidRPr="0008166C">
        <w:rPr>
          <w:rFonts w:ascii="Times New Roman" w:hAnsi="Times New Roman"/>
        </w:rPr>
        <w:t xml:space="preserve">her, Payne and White JJA agreed) and the primary judge was that Bell P considered that, because a stay application ultimately turns on whether the ends of justice require such a remedy, it cannot aptly be </w:t>
      </w:r>
      <w:r w:rsidR="00900046" w:rsidRPr="0008166C">
        <w:rPr>
          <w:rFonts w:ascii="Times New Roman" w:hAnsi="Times New Roman"/>
        </w:rPr>
        <w:t>said to be</w:t>
      </w:r>
      <w:r w:rsidR="00ED5283" w:rsidRPr="0008166C">
        <w:rPr>
          <w:rFonts w:ascii="Times New Roman" w:hAnsi="Times New Roman"/>
        </w:rPr>
        <w:t xml:space="preserve"> dictated by "case management principles"</w:t>
      </w:r>
      <w:r w:rsidR="00ED5283" w:rsidRPr="0008166C">
        <w:rPr>
          <w:rStyle w:val="FootnoteReference"/>
          <w:rFonts w:ascii="Times New Roman" w:hAnsi="Times New Roman"/>
          <w:sz w:val="24"/>
        </w:rPr>
        <w:footnoteReference w:id="15"/>
      </w:r>
      <w:r w:rsidR="00ED5283" w:rsidRPr="0008166C">
        <w:rPr>
          <w:rFonts w:ascii="Times New Roman" w:hAnsi="Times New Roman"/>
        </w:rPr>
        <w:t xml:space="preserve">. </w:t>
      </w:r>
    </w:p>
    <w:p w14:paraId="7BC25263" w14:textId="31A50ECA" w:rsidR="00D85004" w:rsidRPr="0008166C" w:rsidRDefault="00D85004" w:rsidP="0008166C">
      <w:pPr>
        <w:pStyle w:val="FixListStyle"/>
        <w:spacing w:after="260" w:line="280" w:lineRule="exact"/>
        <w:ind w:right="0"/>
        <w:jc w:val="both"/>
        <w:rPr>
          <w:rFonts w:ascii="Times New Roman" w:hAnsi="Times New Roman"/>
        </w:rPr>
      </w:pPr>
      <w:bookmarkStart w:id="2" w:name="_Ref55452743"/>
      <w:r w:rsidRPr="0008166C">
        <w:rPr>
          <w:rFonts w:ascii="Times New Roman" w:hAnsi="Times New Roman"/>
        </w:rPr>
        <w:tab/>
        <w:t xml:space="preserve">In the Court of Appeal, Bell P found particular guidance in </w:t>
      </w:r>
      <w:r w:rsidRPr="0008166C">
        <w:rPr>
          <w:rFonts w:ascii="Times New Roman" w:hAnsi="Times New Roman"/>
          <w:i/>
        </w:rPr>
        <w:t>McHenry v Lewis</w:t>
      </w:r>
      <w:r w:rsidRPr="0008166C">
        <w:rPr>
          <w:rStyle w:val="FootnoteReference"/>
          <w:rFonts w:ascii="Times New Roman" w:hAnsi="Times New Roman"/>
          <w:sz w:val="24"/>
        </w:rPr>
        <w:footnoteReference w:id="16"/>
      </w:r>
      <w:r w:rsidRPr="0008166C">
        <w:rPr>
          <w:rFonts w:ascii="Times New Roman" w:hAnsi="Times New Roman"/>
        </w:rPr>
        <w:t>, a case concerned with two "representative proceedings" of the kind permitted by the Court of Chancery where more than one person had the same interest in a claim</w:t>
      </w:r>
      <w:r w:rsidRPr="0008166C">
        <w:rPr>
          <w:rStyle w:val="FootnoteReference"/>
          <w:rFonts w:ascii="Times New Roman" w:hAnsi="Times New Roman"/>
          <w:sz w:val="24"/>
        </w:rPr>
        <w:footnoteReference w:id="17"/>
      </w:r>
      <w:r w:rsidRPr="0008166C">
        <w:rPr>
          <w:rFonts w:ascii="Times New Roman" w:hAnsi="Times New Roman"/>
        </w:rPr>
        <w:t xml:space="preserve">. Bell P considered that </w:t>
      </w:r>
      <w:r w:rsidRPr="0008166C">
        <w:rPr>
          <w:rFonts w:ascii="Times New Roman" w:hAnsi="Times New Roman"/>
          <w:i/>
          <w:iCs/>
        </w:rPr>
        <w:t xml:space="preserve">McHenry v Lewis </w:t>
      </w:r>
      <w:r w:rsidRPr="0008166C">
        <w:rPr>
          <w:rFonts w:ascii="Times New Roman" w:hAnsi="Times New Roman"/>
        </w:rPr>
        <w:t xml:space="preserve">anticipated the solution offered by </w:t>
      </w:r>
      <w:proofErr w:type="spellStart"/>
      <w:r w:rsidRPr="0008166C">
        <w:rPr>
          <w:rFonts w:ascii="Times New Roman" w:hAnsi="Times New Roman"/>
          <w:i/>
        </w:rPr>
        <w:t>GetSwift</w:t>
      </w:r>
      <w:proofErr w:type="spellEnd"/>
      <w:r w:rsidRPr="0008166C">
        <w:rPr>
          <w:rFonts w:ascii="Times New Roman" w:hAnsi="Times New Roman"/>
          <w:i/>
        </w:rPr>
        <w:t xml:space="preserve"> </w:t>
      </w:r>
      <w:r w:rsidRPr="0008166C">
        <w:rPr>
          <w:rFonts w:ascii="Times New Roman" w:hAnsi="Times New Roman"/>
        </w:rPr>
        <w:t xml:space="preserve">to the problem of </w:t>
      </w:r>
      <w:r w:rsidR="006257D5" w:rsidRPr="0008166C">
        <w:rPr>
          <w:rFonts w:ascii="Times New Roman" w:hAnsi="Times New Roman"/>
        </w:rPr>
        <w:t xml:space="preserve">modern </w:t>
      </w:r>
      <w:r w:rsidRPr="0008166C">
        <w:rPr>
          <w:rFonts w:ascii="Times New Roman" w:hAnsi="Times New Roman"/>
        </w:rPr>
        <w:t>competing representative proceedings with "</w:t>
      </w:r>
      <w:proofErr w:type="spellStart"/>
      <w:r w:rsidRPr="0008166C">
        <w:rPr>
          <w:rFonts w:ascii="Times New Roman" w:hAnsi="Times New Roman"/>
        </w:rPr>
        <w:t>remarkab</w:t>
      </w:r>
      <w:r w:rsidR="005D57E4" w:rsidRPr="0008166C">
        <w:rPr>
          <w:rFonts w:ascii="Times New Roman" w:hAnsi="Times New Roman"/>
        </w:rPr>
        <w:t>l</w:t>
      </w:r>
      <w:proofErr w:type="spellEnd"/>
      <w:r w:rsidR="0085317A" w:rsidRPr="0008166C">
        <w:rPr>
          <w:rFonts w:ascii="Times New Roman" w:hAnsi="Times New Roman"/>
        </w:rPr>
        <w:t>[</w:t>
      </w:r>
      <w:r w:rsidRPr="0008166C">
        <w:rPr>
          <w:rFonts w:ascii="Times New Roman" w:hAnsi="Times New Roman"/>
        </w:rPr>
        <w:t>e</w:t>
      </w:r>
      <w:r w:rsidR="0085317A" w:rsidRPr="0008166C">
        <w:rPr>
          <w:rFonts w:ascii="Times New Roman" w:hAnsi="Times New Roman"/>
        </w:rPr>
        <w:t>]</w:t>
      </w:r>
      <w:r w:rsidRPr="0008166C">
        <w:rPr>
          <w:rFonts w:ascii="Times New Roman" w:hAnsi="Times New Roman"/>
        </w:rPr>
        <w:t xml:space="preserve"> similar[</w:t>
      </w:r>
      <w:proofErr w:type="spellStart"/>
      <w:r w:rsidRPr="0008166C">
        <w:rPr>
          <w:rFonts w:ascii="Times New Roman" w:hAnsi="Times New Roman"/>
        </w:rPr>
        <w:t>ity</w:t>
      </w:r>
      <w:proofErr w:type="spellEnd"/>
      <w:r w:rsidRPr="0008166C">
        <w:rPr>
          <w:rFonts w:ascii="Times New Roman" w:hAnsi="Times New Roman"/>
        </w:rPr>
        <w:t>]"</w:t>
      </w:r>
      <w:r w:rsidRPr="0008166C">
        <w:rPr>
          <w:rStyle w:val="FootnoteReference"/>
          <w:rFonts w:ascii="Times New Roman" w:hAnsi="Times New Roman"/>
          <w:sz w:val="24"/>
        </w:rPr>
        <w:footnoteReference w:id="18"/>
      </w:r>
      <w:r w:rsidRPr="0008166C">
        <w:rPr>
          <w:rFonts w:ascii="Times New Roman" w:hAnsi="Times New Roman"/>
        </w:rPr>
        <w:t xml:space="preserve">. </w:t>
      </w:r>
    </w:p>
    <w:p w14:paraId="3F40EB8A" w14:textId="24353A65" w:rsidR="00714EF9" w:rsidRPr="0008166C" w:rsidRDefault="00D85004" w:rsidP="0008166C">
      <w:pPr>
        <w:pStyle w:val="FixListStyle"/>
        <w:spacing w:after="260" w:line="280" w:lineRule="exact"/>
        <w:ind w:right="0"/>
        <w:jc w:val="both"/>
        <w:rPr>
          <w:rFonts w:ascii="Times New Roman" w:hAnsi="Times New Roman"/>
        </w:rPr>
      </w:pPr>
      <w:r w:rsidRPr="0008166C">
        <w:rPr>
          <w:rFonts w:ascii="Times New Roman" w:hAnsi="Times New Roman"/>
        </w:rPr>
        <w:tab/>
        <w:t xml:space="preserve">It will be necessary to consider more closely the considerations said by </w:t>
      </w:r>
      <w:proofErr w:type="spellStart"/>
      <w:r w:rsidRPr="0008166C">
        <w:rPr>
          <w:rFonts w:ascii="Times New Roman" w:hAnsi="Times New Roman"/>
        </w:rPr>
        <w:t>Jessel</w:t>
      </w:r>
      <w:proofErr w:type="spellEnd"/>
      <w:r w:rsidRPr="0008166C">
        <w:rPr>
          <w:rFonts w:ascii="Times New Roman" w:hAnsi="Times New Roman"/>
        </w:rPr>
        <w:t xml:space="preserve"> MR in </w:t>
      </w:r>
      <w:r w:rsidRPr="0008166C">
        <w:rPr>
          <w:rFonts w:ascii="Times New Roman" w:hAnsi="Times New Roman"/>
          <w:i/>
          <w:iCs/>
        </w:rPr>
        <w:t xml:space="preserve">McHenry v Lewis </w:t>
      </w:r>
      <w:r w:rsidRPr="0008166C">
        <w:rPr>
          <w:rFonts w:ascii="Times New Roman" w:hAnsi="Times New Roman"/>
        </w:rPr>
        <w:t>to be relevant to the solution of the problem posed by the pendency of multiple proceedings against the same defendant</w:t>
      </w:r>
      <w:bookmarkEnd w:id="2"/>
      <w:r w:rsidRPr="0008166C">
        <w:rPr>
          <w:rFonts w:ascii="Times New Roman" w:hAnsi="Times New Roman"/>
        </w:rPr>
        <w:t xml:space="preserve">. For the moment, it is sufficient to observe that Bell P was clearly right to conclude that the order made by the primary judge was not supportable as an exercise in case management. </w:t>
      </w:r>
    </w:p>
    <w:p w14:paraId="234909C3" w14:textId="69CB91DC" w:rsidR="00E55E4C" w:rsidRPr="0008166C" w:rsidRDefault="00E55E4C" w:rsidP="0008166C">
      <w:pPr>
        <w:pStyle w:val="HeadingL1"/>
        <w:spacing w:after="260" w:line="280" w:lineRule="exact"/>
        <w:ind w:right="0"/>
        <w:jc w:val="both"/>
        <w:rPr>
          <w:rFonts w:ascii="Times New Roman" w:hAnsi="Times New Roman"/>
        </w:rPr>
      </w:pPr>
      <w:r w:rsidRPr="0008166C">
        <w:rPr>
          <w:rFonts w:ascii="Times New Roman" w:hAnsi="Times New Roman"/>
        </w:rPr>
        <w:t>The appeal to this Court</w:t>
      </w:r>
    </w:p>
    <w:p w14:paraId="2D84DADA" w14:textId="7603D142" w:rsidR="009D66A8" w:rsidRPr="0008166C" w:rsidRDefault="0088568F"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B4084A" w:rsidRPr="0008166C">
        <w:rPr>
          <w:rFonts w:ascii="Times New Roman" w:hAnsi="Times New Roman"/>
        </w:rPr>
        <w:t>Ms </w:t>
      </w:r>
      <w:proofErr w:type="spellStart"/>
      <w:r w:rsidRPr="0008166C">
        <w:rPr>
          <w:rFonts w:ascii="Times New Roman" w:hAnsi="Times New Roman"/>
        </w:rPr>
        <w:t>Wigmans</w:t>
      </w:r>
      <w:proofErr w:type="spellEnd"/>
      <w:r w:rsidR="0045713D" w:rsidRPr="0008166C">
        <w:rPr>
          <w:rFonts w:ascii="Times New Roman" w:hAnsi="Times New Roman"/>
        </w:rPr>
        <w:t xml:space="preserve"> submitted</w:t>
      </w:r>
      <w:r w:rsidRPr="0008166C">
        <w:rPr>
          <w:rFonts w:ascii="Times New Roman" w:hAnsi="Times New Roman"/>
        </w:rPr>
        <w:t xml:space="preserve"> </w:t>
      </w:r>
      <w:r w:rsidR="008360A1" w:rsidRPr="0008166C">
        <w:rPr>
          <w:rFonts w:ascii="Times New Roman" w:hAnsi="Times New Roman"/>
        </w:rPr>
        <w:t xml:space="preserve">that the order made by the primary judge in accordance with the </w:t>
      </w:r>
      <w:r w:rsidR="00D44C49" w:rsidRPr="0008166C">
        <w:rPr>
          <w:rFonts w:ascii="Times New Roman" w:hAnsi="Times New Roman"/>
        </w:rPr>
        <w:t>"</w:t>
      </w:r>
      <w:r w:rsidRPr="0008166C">
        <w:rPr>
          <w:rFonts w:ascii="Times New Roman" w:hAnsi="Times New Roman"/>
        </w:rPr>
        <w:t>multi</w:t>
      </w:r>
      <w:r w:rsidRPr="0008166C">
        <w:rPr>
          <w:rFonts w:ascii="Times New Roman" w:hAnsi="Times New Roman"/>
        </w:rPr>
        <w:noBreakHyphen/>
        <w:t>factorial</w:t>
      </w:r>
      <w:r w:rsidR="00D44C49" w:rsidRPr="0008166C">
        <w:rPr>
          <w:rFonts w:ascii="Times New Roman" w:hAnsi="Times New Roman"/>
        </w:rPr>
        <w:t xml:space="preserve"> analysis"</w:t>
      </w:r>
      <w:r w:rsidRPr="0008166C">
        <w:rPr>
          <w:rFonts w:ascii="Times New Roman" w:hAnsi="Times New Roman"/>
        </w:rPr>
        <w:t xml:space="preserve"> </w:t>
      </w:r>
      <w:r w:rsidR="002B47A1" w:rsidRPr="0008166C">
        <w:rPr>
          <w:rFonts w:ascii="Times New Roman" w:hAnsi="Times New Roman"/>
        </w:rPr>
        <w:t>endorsed</w:t>
      </w:r>
      <w:r w:rsidRPr="0008166C">
        <w:rPr>
          <w:rFonts w:ascii="Times New Roman" w:hAnsi="Times New Roman"/>
        </w:rPr>
        <w:t xml:space="preserve"> in</w:t>
      </w:r>
      <w:r w:rsidR="00E47C59" w:rsidRPr="0008166C">
        <w:rPr>
          <w:rFonts w:ascii="Times New Roman" w:hAnsi="Times New Roman"/>
        </w:rPr>
        <w:t xml:space="preserve"> </w:t>
      </w:r>
      <w:proofErr w:type="spellStart"/>
      <w:r w:rsidR="00E47C59" w:rsidRPr="0008166C">
        <w:rPr>
          <w:rFonts w:ascii="Times New Roman" w:hAnsi="Times New Roman"/>
          <w:i/>
        </w:rPr>
        <w:t>GetSwift</w:t>
      </w:r>
      <w:proofErr w:type="spellEnd"/>
      <w:r w:rsidR="00B04D87" w:rsidRPr="0008166C">
        <w:rPr>
          <w:rFonts w:ascii="Times New Roman" w:hAnsi="Times New Roman"/>
          <w:iCs/>
        </w:rPr>
        <w:t xml:space="preserve"> was not authorised by s 67 or s 183 of the CPA or by the inherent power of the </w:t>
      </w:r>
      <w:r w:rsidR="005D57E4" w:rsidRPr="0008166C">
        <w:rPr>
          <w:rFonts w:ascii="Times New Roman" w:hAnsi="Times New Roman"/>
          <w:iCs/>
        </w:rPr>
        <w:t>Supreme C</w:t>
      </w:r>
      <w:r w:rsidR="00B04D87" w:rsidRPr="0008166C">
        <w:rPr>
          <w:rFonts w:ascii="Times New Roman" w:hAnsi="Times New Roman"/>
          <w:iCs/>
        </w:rPr>
        <w:t>ourt. Ms </w:t>
      </w:r>
      <w:proofErr w:type="spellStart"/>
      <w:r w:rsidR="00B04D87" w:rsidRPr="0008166C">
        <w:rPr>
          <w:rFonts w:ascii="Times New Roman" w:hAnsi="Times New Roman"/>
          <w:iCs/>
        </w:rPr>
        <w:t>Wigmans</w:t>
      </w:r>
      <w:proofErr w:type="spellEnd"/>
      <w:r w:rsidR="00537E18" w:rsidRPr="0008166C">
        <w:rPr>
          <w:rFonts w:ascii="Times New Roman" w:hAnsi="Times New Roman"/>
          <w:iCs/>
        </w:rPr>
        <w:t xml:space="preserve"> </w:t>
      </w:r>
      <w:r w:rsidR="00C179EE" w:rsidRPr="0008166C">
        <w:rPr>
          <w:rFonts w:ascii="Times New Roman" w:hAnsi="Times New Roman"/>
        </w:rPr>
        <w:t>urged</w:t>
      </w:r>
      <w:r w:rsidR="00000CE5" w:rsidRPr="0008166C">
        <w:rPr>
          <w:rFonts w:ascii="Times New Roman" w:hAnsi="Times New Roman"/>
        </w:rPr>
        <w:t xml:space="preserve"> instead </w:t>
      </w:r>
      <w:r w:rsidR="007C29FF" w:rsidRPr="0008166C">
        <w:rPr>
          <w:rFonts w:ascii="Times New Roman" w:hAnsi="Times New Roman"/>
        </w:rPr>
        <w:t xml:space="preserve">that, </w:t>
      </w:r>
      <w:r w:rsidR="00BC6144" w:rsidRPr="0008166C">
        <w:rPr>
          <w:rFonts w:ascii="Times New Roman" w:hAnsi="Times New Roman"/>
        </w:rPr>
        <w:t xml:space="preserve">where </w:t>
      </w:r>
      <w:r w:rsidR="00A65D0C" w:rsidRPr="0008166C">
        <w:rPr>
          <w:rFonts w:ascii="Times New Roman" w:hAnsi="Times New Roman"/>
        </w:rPr>
        <w:t>later</w:t>
      </w:r>
      <w:r w:rsidR="00A216BF" w:rsidRPr="0008166C">
        <w:rPr>
          <w:rFonts w:ascii="Times New Roman" w:hAnsi="Times New Roman"/>
        </w:rPr>
        <w:noBreakHyphen/>
      </w:r>
      <w:r w:rsidR="00A65D0C" w:rsidRPr="0008166C">
        <w:rPr>
          <w:rFonts w:ascii="Times New Roman" w:hAnsi="Times New Roman"/>
        </w:rPr>
        <w:t>in</w:t>
      </w:r>
      <w:r w:rsidR="00A216BF" w:rsidRPr="0008166C">
        <w:rPr>
          <w:rFonts w:ascii="Times New Roman" w:hAnsi="Times New Roman"/>
        </w:rPr>
        <w:noBreakHyphen/>
      </w:r>
      <w:r w:rsidR="00A65D0C" w:rsidRPr="0008166C">
        <w:rPr>
          <w:rFonts w:ascii="Times New Roman" w:hAnsi="Times New Roman"/>
        </w:rPr>
        <w:t>time proceedings</w:t>
      </w:r>
      <w:r w:rsidR="00E80344" w:rsidRPr="0008166C">
        <w:rPr>
          <w:rFonts w:ascii="Times New Roman" w:hAnsi="Times New Roman"/>
        </w:rPr>
        <w:t xml:space="preserve"> </w:t>
      </w:r>
      <w:r w:rsidR="00FB7BC8" w:rsidRPr="0008166C">
        <w:rPr>
          <w:rFonts w:ascii="Times New Roman" w:hAnsi="Times New Roman"/>
        </w:rPr>
        <w:t xml:space="preserve">have no </w:t>
      </w:r>
      <w:r w:rsidR="008014FF" w:rsidRPr="0008166C">
        <w:rPr>
          <w:rFonts w:ascii="Times New Roman" w:hAnsi="Times New Roman"/>
        </w:rPr>
        <w:t xml:space="preserve">discernible </w:t>
      </w:r>
      <w:r w:rsidR="00FB7BC8" w:rsidRPr="0008166C">
        <w:rPr>
          <w:rFonts w:ascii="Times New Roman" w:hAnsi="Times New Roman"/>
        </w:rPr>
        <w:t xml:space="preserve">juridical advantage over the proceedings first commenced, the later proceedings </w:t>
      </w:r>
      <w:r w:rsidR="00E80344" w:rsidRPr="0008166C">
        <w:rPr>
          <w:rFonts w:ascii="Times New Roman" w:hAnsi="Times New Roman"/>
        </w:rPr>
        <w:t>should be stayed as</w:t>
      </w:r>
      <w:r w:rsidR="00A65D0C" w:rsidRPr="0008166C">
        <w:rPr>
          <w:rFonts w:ascii="Times New Roman" w:hAnsi="Times New Roman"/>
        </w:rPr>
        <w:t xml:space="preserve"> vexatious</w:t>
      </w:r>
      <w:r w:rsidR="00537E18" w:rsidRPr="0008166C">
        <w:rPr>
          <w:rFonts w:ascii="Times New Roman" w:hAnsi="Times New Roman"/>
        </w:rPr>
        <w:t xml:space="preserve"> in accordance </w:t>
      </w:r>
      <w:r w:rsidR="00095FB6" w:rsidRPr="0008166C">
        <w:rPr>
          <w:rFonts w:ascii="Times New Roman" w:hAnsi="Times New Roman"/>
        </w:rPr>
        <w:t xml:space="preserve">with the settled approach </w:t>
      </w:r>
      <w:r w:rsidR="00095FB6" w:rsidRPr="0008166C">
        <w:rPr>
          <w:rFonts w:ascii="Times New Roman" w:hAnsi="Times New Roman"/>
        </w:rPr>
        <w:lastRenderedPageBreak/>
        <w:t xml:space="preserve">of the courts </w:t>
      </w:r>
      <w:r w:rsidR="00631D79" w:rsidRPr="0008166C">
        <w:rPr>
          <w:rFonts w:ascii="Times New Roman" w:hAnsi="Times New Roman"/>
        </w:rPr>
        <w:t xml:space="preserve">to the problem of multiple proceedings </w:t>
      </w:r>
      <w:r w:rsidR="00095FB6" w:rsidRPr="0008166C">
        <w:rPr>
          <w:rFonts w:ascii="Times New Roman" w:hAnsi="Times New Roman"/>
        </w:rPr>
        <w:t xml:space="preserve">by the same plaintiffs seeking the same relief against the same defendant. </w:t>
      </w:r>
      <w:r w:rsidR="008E3BBD" w:rsidRPr="0008166C">
        <w:rPr>
          <w:rFonts w:ascii="Times New Roman" w:hAnsi="Times New Roman"/>
        </w:rPr>
        <w:t xml:space="preserve">On that basis, the </w:t>
      </w:r>
      <w:proofErr w:type="spellStart"/>
      <w:r w:rsidR="009518CD" w:rsidRPr="0008166C">
        <w:rPr>
          <w:rFonts w:ascii="Times New Roman" w:hAnsi="Times New Roman"/>
        </w:rPr>
        <w:t>Komlotex</w:t>
      </w:r>
      <w:proofErr w:type="spellEnd"/>
      <w:r w:rsidR="001957A5" w:rsidRPr="0008166C">
        <w:rPr>
          <w:rFonts w:ascii="Times New Roman" w:hAnsi="Times New Roman"/>
        </w:rPr>
        <w:t>/</w:t>
      </w:r>
      <w:proofErr w:type="spellStart"/>
      <w:r w:rsidR="001957A5" w:rsidRPr="0008166C">
        <w:rPr>
          <w:rFonts w:ascii="Times New Roman" w:hAnsi="Times New Roman"/>
        </w:rPr>
        <w:t>Fernbrook</w:t>
      </w:r>
      <w:proofErr w:type="spellEnd"/>
      <w:r w:rsidR="009518CD" w:rsidRPr="0008166C">
        <w:rPr>
          <w:rFonts w:ascii="Times New Roman" w:hAnsi="Times New Roman"/>
        </w:rPr>
        <w:t xml:space="preserve"> proceeding</w:t>
      </w:r>
      <w:r w:rsidR="00F714A3" w:rsidRPr="0008166C">
        <w:rPr>
          <w:rFonts w:ascii="Times New Roman" w:hAnsi="Times New Roman"/>
        </w:rPr>
        <w:t>s, rather than Ms </w:t>
      </w:r>
      <w:proofErr w:type="spellStart"/>
      <w:r w:rsidR="00F714A3" w:rsidRPr="0008166C">
        <w:rPr>
          <w:rFonts w:ascii="Times New Roman" w:hAnsi="Times New Roman"/>
        </w:rPr>
        <w:t>Wigman</w:t>
      </w:r>
      <w:r w:rsidR="00B57420" w:rsidRPr="0008166C">
        <w:rPr>
          <w:rFonts w:ascii="Times New Roman" w:hAnsi="Times New Roman"/>
        </w:rPr>
        <w:t>s</w:t>
      </w:r>
      <w:proofErr w:type="spellEnd"/>
      <w:r w:rsidR="00B57420" w:rsidRPr="0008166C">
        <w:rPr>
          <w:rFonts w:ascii="Times New Roman" w:hAnsi="Times New Roman"/>
        </w:rPr>
        <w:t>'</w:t>
      </w:r>
      <w:r w:rsidR="00F714A3" w:rsidRPr="0008166C">
        <w:rPr>
          <w:rFonts w:ascii="Times New Roman" w:hAnsi="Times New Roman"/>
        </w:rPr>
        <w:t xml:space="preserve"> proceedings,</w:t>
      </w:r>
      <w:r w:rsidR="009518CD" w:rsidRPr="0008166C">
        <w:rPr>
          <w:rFonts w:ascii="Times New Roman" w:hAnsi="Times New Roman"/>
        </w:rPr>
        <w:t xml:space="preserve"> </w:t>
      </w:r>
      <w:r w:rsidR="006B7827" w:rsidRPr="0008166C">
        <w:rPr>
          <w:rFonts w:ascii="Times New Roman" w:hAnsi="Times New Roman"/>
        </w:rPr>
        <w:t>should</w:t>
      </w:r>
      <w:r w:rsidR="009518CD" w:rsidRPr="0008166C">
        <w:rPr>
          <w:rFonts w:ascii="Times New Roman" w:hAnsi="Times New Roman"/>
        </w:rPr>
        <w:t xml:space="preserve"> have been stayed</w:t>
      </w:r>
      <w:r w:rsidR="00000CE5" w:rsidRPr="0008166C">
        <w:rPr>
          <w:rFonts w:ascii="Times New Roman" w:hAnsi="Times New Roman"/>
        </w:rPr>
        <w:t>.</w:t>
      </w:r>
    </w:p>
    <w:p w14:paraId="598ACEE4" w14:textId="7933F892" w:rsidR="00555B59" w:rsidRPr="0008166C" w:rsidRDefault="000E1860" w:rsidP="0008166C">
      <w:pPr>
        <w:pStyle w:val="FixListStyle"/>
        <w:spacing w:after="260" w:line="280" w:lineRule="exact"/>
        <w:ind w:right="0"/>
        <w:jc w:val="both"/>
        <w:rPr>
          <w:rFonts w:ascii="Times New Roman" w:hAnsi="Times New Roman"/>
        </w:rPr>
      </w:pPr>
      <w:r w:rsidRPr="0008166C">
        <w:rPr>
          <w:rFonts w:ascii="Times New Roman" w:hAnsi="Times New Roman"/>
        </w:rPr>
        <w:tab/>
      </w:r>
      <w:proofErr w:type="spellStart"/>
      <w:r w:rsidR="006731E9" w:rsidRPr="0008166C">
        <w:rPr>
          <w:rFonts w:ascii="Times New Roman" w:hAnsi="Times New Roman"/>
        </w:rPr>
        <w:t>Komlotex</w:t>
      </w:r>
      <w:proofErr w:type="spellEnd"/>
      <w:r w:rsidR="006731E9" w:rsidRPr="0008166C">
        <w:rPr>
          <w:rFonts w:ascii="Times New Roman" w:hAnsi="Times New Roman"/>
        </w:rPr>
        <w:t xml:space="preserve"> and </w:t>
      </w:r>
      <w:proofErr w:type="spellStart"/>
      <w:r w:rsidR="006731E9" w:rsidRPr="0008166C">
        <w:rPr>
          <w:rFonts w:ascii="Times New Roman" w:hAnsi="Times New Roman"/>
        </w:rPr>
        <w:t>Fernbrook</w:t>
      </w:r>
      <w:proofErr w:type="spellEnd"/>
      <w:r w:rsidR="006731E9" w:rsidRPr="0008166C">
        <w:rPr>
          <w:rFonts w:ascii="Times New Roman" w:hAnsi="Times New Roman"/>
        </w:rPr>
        <w:t xml:space="preserve"> submitted that s 67 of the CPA expressly conferred on the primary judge the power to stay proceedings. </w:t>
      </w:r>
      <w:proofErr w:type="spellStart"/>
      <w:r w:rsidR="006731E9" w:rsidRPr="0008166C">
        <w:rPr>
          <w:rFonts w:ascii="Times New Roman" w:hAnsi="Times New Roman"/>
        </w:rPr>
        <w:t>Komlotex</w:t>
      </w:r>
      <w:proofErr w:type="spellEnd"/>
      <w:r w:rsidR="006731E9" w:rsidRPr="0008166C">
        <w:rPr>
          <w:rFonts w:ascii="Times New Roman" w:hAnsi="Times New Roman"/>
        </w:rPr>
        <w:t xml:space="preserve"> and </w:t>
      </w:r>
      <w:proofErr w:type="spellStart"/>
      <w:r w:rsidR="006731E9" w:rsidRPr="0008166C">
        <w:rPr>
          <w:rFonts w:ascii="Times New Roman" w:hAnsi="Times New Roman"/>
        </w:rPr>
        <w:t>Fernbrook</w:t>
      </w:r>
      <w:proofErr w:type="spellEnd"/>
      <w:r w:rsidR="006731E9" w:rsidRPr="0008166C">
        <w:rPr>
          <w:rFonts w:ascii="Times New Roman" w:hAnsi="Times New Roman"/>
        </w:rPr>
        <w:t xml:space="preserve"> argued that the effect of s 58 is that the s 67 power must be exercised to further the dictates of justice, which themselves turn, in part, on the objectives of case management set out in s 57 and the overriding purpose of the CPA appearing in s 5</w:t>
      </w:r>
      <w:r w:rsidR="005D57E4" w:rsidRPr="0008166C">
        <w:rPr>
          <w:rFonts w:ascii="Times New Roman" w:hAnsi="Times New Roman"/>
        </w:rPr>
        <w:t>6</w:t>
      </w:r>
      <w:r w:rsidR="004D0F4E" w:rsidRPr="0008166C">
        <w:rPr>
          <w:rFonts w:ascii="Times New Roman" w:hAnsi="Times New Roman"/>
        </w:rPr>
        <w:t xml:space="preserve">. </w:t>
      </w:r>
      <w:r w:rsidR="006731E9" w:rsidRPr="0008166C">
        <w:rPr>
          <w:rFonts w:ascii="Times New Roman" w:hAnsi="Times New Roman"/>
        </w:rPr>
        <w:t>It was said that the "multi</w:t>
      </w:r>
      <w:r w:rsidR="006731E9" w:rsidRPr="0008166C">
        <w:rPr>
          <w:rFonts w:ascii="Times New Roman" w:hAnsi="Times New Roman"/>
        </w:rPr>
        <w:noBreakHyphen/>
        <w:t>factorial analysis" applied by the primary judge went to the just determination of the proceedings, the efficient disposal of the business of the court and use of judicial resources, the timely disposal of the proceedings at a cost affordable by the parties and such other matters as the court considers relevant.</w:t>
      </w:r>
    </w:p>
    <w:p w14:paraId="00E4A40C" w14:textId="30669824" w:rsidR="007F2E7E" w:rsidRPr="0008166C" w:rsidRDefault="008C6E4E"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6731E9" w:rsidRPr="0008166C">
        <w:rPr>
          <w:rFonts w:ascii="Times New Roman" w:hAnsi="Times New Roman"/>
        </w:rPr>
        <w:t xml:space="preserve">In considering the arguments advanced by the parties, it </w:t>
      </w:r>
      <w:r w:rsidR="00DA79AF" w:rsidRPr="0008166C">
        <w:rPr>
          <w:rFonts w:ascii="Times New Roman" w:hAnsi="Times New Roman"/>
        </w:rPr>
        <w:t>must be appreciated that t</w:t>
      </w:r>
      <w:r w:rsidRPr="0008166C">
        <w:rPr>
          <w:rFonts w:ascii="Times New Roman" w:hAnsi="Times New Roman"/>
        </w:rPr>
        <w:t>he issue</w:t>
      </w:r>
      <w:r w:rsidR="00DA79AF" w:rsidRPr="0008166C">
        <w:rPr>
          <w:rFonts w:ascii="Times New Roman" w:hAnsi="Times New Roman"/>
        </w:rPr>
        <w:t>s</w:t>
      </w:r>
      <w:r w:rsidRPr="0008166C">
        <w:rPr>
          <w:rFonts w:ascii="Times New Roman" w:hAnsi="Times New Roman"/>
        </w:rPr>
        <w:t xml:space="preserve"> presented by this case arise because the prospect of</w:t>
      </w:r>
      <w:r w:rsidR="00DA79AF" w:rsidRPr="0008166C">
        <w:rPr>
          <w:rFonts w:ascii="Times New Roman" w:hAnsi="Times New Roman"/>
        </w:rPr>
        <w:t xml:space="preserve"> </w:t>
      </w:r>
      <w:r w:rsidR="00462BFE" w:rsidRPr="0008166C">
        <w:rPr>
          <w:rFonts w:ascii="Times New Roman" w:hAnsi="Times New Roman"/>
        </w:rPr>
        <w:t xml:space="preserve">the </w:t>
      </w:r>
      <w:r w:rsidRPr="0008166C">
        <w:rPr>
          <w:rFonts w:ascii="Times New Roman" w:hAnsi="Times New Roman"/>
        </w:rPr>
        <w:t>profit</w:t>
      </w:r>
      <w:r w:rsidR="00DA79AF" w:rsidRPr="0008166C">
        <w:rPr>
          <w:rFonts w:ascii="Times New Roman" w:hAnsi="Times New Roman"/>
        </w:rPr>
        <w:t>s</w:t>
      </w:r>
      <w:r w:rsidRPr="0008166C">
        <w:rPr>
          <w:rFonts w:ascii="Times New Roman" w:hAnsi="Times New Roman"/>
        </w:rPr>
        <w:t xml:space="preserve"> </w:t>
      </w:r>
      <w:r w:rsidR="00462BFE" w:rsidRPr="0008166C">
        <w:rPr>
          <w:rFonts w:ascii="Times New Roman" w:hAnsi="Times New Roman"/>
        </w:rPr>
        <w:t xml:space="preserve">to be made </w:t>
      </w:r>
      <w:r w:rsidRPr="0008166C">
        <w:rPr>
          <w:rFonts w:ascii="Times New Roman" w:hAnsi="Times New Roman"/>
        </w:rPr>
        <w:t xml:space="preserve">from the </w:t>
      </w:r>
      <w:r w:rsidR="00506549" w:rsidRPr="0008166C">
        <w:rPr>
          <w:rFonts w:ascii="Times New Roman" w:hAnsi="Times New Roman"/>
        </w:rPr>
        <w:t>maintenance</w:t>
      </w:r>
      <w:r w:rsidRPr="0008166C">
        <w:rPr>
          <w:rFonts w:ascii="Times New Roman" w:hAnsi="Times New Roman"/>
        </w:rPr>
        <w:t xml:space="preserve"> of</w:t>
      </w:r>
      <w:r w:rsidR="00204031" w:rsidRPr="0008166C">
        <w:rPr>
          <w:rFonts w:ascii="Times New Roman" w:hAnsi="Times New Roman"/>
        </w:rPr>
        <w:t xml:space="preserve"> representative proceedings</w:t>
      </w:r>
      <w:r w:rsidRPr="0008166C">
        <w:rPr>
          <w:rFonts w:ascii="Times New Roman" w:hAnsi="Times New Roman"/>
        </w:rPr>
        <w:t xml:space="preserve"> </w:t>
      </w:r>
      <w:r w:rsidR="00506549" w:rsidRPr="0008166C">
        <w:rPr>
          <w:rFonts w:ascii="Times New Roman" w:hAnsi="Times New Roman"/>
        </w:rPr>
        <w:t>by third part</w:t>
      </w:r>
      <w:r w:rsidR="00DA79AF" w:rsidRPr="0008166C">
        <w:rPr>
          <w:rFonts w:ascii="Times New Roman" w:hAnsi="Times New Roman"/>
        </w:rPr>
        <w:t>y funders</w:t>
      </w:r>
      <w:r w:rsidRPr="0008166C">
        <w:rPr>
          <w:rFonts w:ascii="Times New Roman" w:hAnsi="Times New Roman"/>
        </w:rPr>
        <w:t xml:space="preserve"> </w:t>
      </w:r>
      <w:r w:rsidR="007A654E" w:rsidRPr="0008166C">
        <w:rPr>
          <w:rFonts w:ascii="Times New Roman" w:hAnsi="Times New Roman"/>
        </w:rPr>
        <w:t xml:space="preserve">or by solicitors </w:t>
      </w:r>
      <w:r w:rsidR="00DA79AF" w:rsidRPr="0008166C">
        <w:rPr>
          <w:rFonts w:ascii="Times New Roman" w:hAnsi="Times New Roman"/>
        </w:rPr>
        <w:t xml:space="preserve">willing to act </w:t>
      </w:r>
      <w:r w:rsidR="007A654E" w:rsidRPr="0008166C">
        <w:rPr>
          <w:rFonts w:ascii="Times New Roman" w:hAnsi="Times New Roman"/>
        </w:rPr>
        <w:t>on a "no</w:t>
      </w:r>
      <w:r w:rsidR="007A654E" w:rsidRPr="0008166C">
        <w:rPr>
          <w:rFonts w:ascii="Times New Roman" w:hAnsi="Times New Roman"/>
        </w:rPr>
        <w:noBreakHyphen/>
        <w:t>win, no</w:t>
      </w:r>
      <w:r w:rsidR="007A654E" w:rsidRPr="0008166C">
        <w:rPr>
          <w:rFonts w:ascii="Times New Roman" w:hAnsi="Times New Roman"/>
        </w:rPr>
        <w:noBreakHyphen/>
        <w:t>fee" basis</w:t>
      </w:r>
      <w:r w:rsidRPr="0008166C">
        <w:rPr>
          <w:rFonts w:ascii="Times New Roman" w:hAnsi="Times New Roman"/>
        </w:rPr>
        <w:t xml:space="preserve"> </w:t>
      </w:r>
      <w:r w:rsidR="000F76AE" w:rsidRPr="0008166C">
        <w:rPr>
          <w:rFonts w:ascii="Times New Roman" w:hAnsi="Times New Roman"/>
        </w:rPr>
        <w:t xml:space="preserve">is apt </w:t>
      </w:r>
      <w:r w:rsidR="006F3FB2" w:rsidRPr="0008166C">
        <w:rPr>
          <w:rFonts w:ascii="Times New Roman" w:hAnsi="Times New Roman"/>
        </w:rPr>
        <w:t>to spawn multiple proceedings</w:t>
      </w:r>
      <w:r w:rsidR="00214401" w:rsidRPr="0008166C">
        <w:rPr>
          <w:rFonts w:ascii="Times New Roman" w:hAnsi="Times New Roman"/>
        </w:rPr>
        <w:t>. W</w:t>
      </w:r>
      <w:r w:rsidR="00C7341E" w:rsidRPr="0008166C">
        <w:rPr>
          <w:rFonts w:ascii="Times New Roman" w:hAnsi="Times New Roman"/>
        </w:rPr>
        <w:t>ould</w:t>
      </w:r>
      <w:r w:rsidR="00C7341E" w:rsidRPr="0008166C">
        <w:rPr>
          <w:rFonts w:ascii="Times New Roman" w:hAnsi="Times New Roman"/>
        </w:rPr>
        <w:noBreakHyphen/>
        <w:t>be sponsors</w:t>
      </w:r>
      <w:r w:rsidR="00626224" w:rsidRPr="0008166C">
        <w:rPr>
          <w:rFonts w:ascii="Times New Roman" w:hAnsi="Times New Roman"/>
        </w:rPr>
        <w:t xml:space="preserve"> of </w:t>
      </w:r>
      <w:r w:rsidR="000234D9" w:rsidRPr="0008166C">
        <w:rPr>
          <w:rFonts w:ascii="Times New Roman" w:hAnsi="Times New Roman"/>
        </w:rPr>
        <w:t>representative proceedings</w:t>
      </w:r>
      <w:r w:rsidR="00C7341E" w:rsidRPr="0008166C">
        <w:rPr>
          <w:rFonts w:ascii="Times New Roman" w:hAnsi="Times New Roman"/>
        </w:rPr>
        <w:t xml:space="preserve"> compete for what are called, in the United States of America</w:t>
      </w:r>
      <w:r w:rsidR="007B7956" w:rsidRPr="0008166C">
        <w:rPr>
          <w:rFonts w:ascii="Times New Roman" w:hAnsi="Times New Roman"/>
        </w:rPr>
        <w:t>,</w:t>
      </w:r>
      <w:r w:rsidR="00C7341E" w:rsidRPr="0008166C">
        <w:rPr>
          <w:rFonts w:ascii="Times New Roman" w:hAnsi="Times New Roman"/>
        </w:rPr>
        <w:t xml:space="preserve"> "carriage rights"</w:t>
      </w:r>
      <w:r w:rsidR="003562B9" w:rsidRPr="0008166C">
        <w:rPr>
          <w:rFonts w:ascii="Times New Roman" w:hAnsi="Times New Roman"/>
        </w:rPr>
        <w:t xml:space="preserve"> in respect of </w:t>
      </w:r>
      <w:r w:rsidR="006B5C77" w:rsidRPr="0008166C">
        <w:rPr>
          <w:rFonts w:ascii="Times New Roman" w:hAnsi="Times New Roman"/>
        </w:rPr>
        <w:t xml:space="preserve">the </w:t>
      </w:r>
      <w:r w:rsidR="00626224" w:rsidRPr="0008166C">
        <w:rPr>
          <w:rFonts w:ascii="Times New Roman" w:hAnsi="Times New Roman"/>
        </w:rPr>
        <w:t>proceedings.</w:t>
      </w:r>
      <w:r w:rsidRPr="0008166C">
        <w:rPr>
          <w:rFonts w:ascii="Times New Roman" w:hAnsi="Times New Roman"/>
        </w:rPr>
        <w:t xml:space="preserve"> </w:t>
      </w:r>
      <w:r w:rsidR="00B64A6F" w:rsidRPr="0008166C">
        <w:rPr>
          <w:rFonts w:ascii="Times New Roman" w:hAnsi="Times New Roman"/>
        </w:rPr>
        <w:t xml:space="preserve">In the United States, the </w:t>
      </w:r>
      <w:r w:rsidR="00797B8B" w:rsidRPr="0008166C">
        <w:rPr>
          <w:rFonts w:ascii="Times New Roman" w:hAnsi="Times New Roman"/>
        </w:rPr>
        <w:t>competition to exploit the opportunity</w:t>
      </w:r>
      <w:r w:rsidR="00EE6B43" w:rsidRPr="0008166C">
        <w:rPr>
          <w:rFonts w:ascii="Times New Roman" w:hAnsi="Times New Roman"/>
        </w:rPr>
        <w:t xml:space="preserve"> to control </w:t>
      </w:r>
      <w:r w:rsidR="00975C91" w:rsidRPr="0008166C">
        <w:rPr>
          <w:rFonts w:ascii="Times New Roman" w:hAnsi="Times New Roman"/>
        </w:rPr>
        <w:t>a</w:t>
      </w:r>
      <w:r w:rsidR="00675B80" w:rsidRPr="0008166C">
        <w:rPr>
          <w:rFonts w:ascii="Times New Roman" w:hAnsi="Times New Roman"/>
        </w:rPr>
        <w:t xml:space="preserve"> </w:t>
      </w:r>
      <w:r w:rsidR="00F37C2A" w:rsidRPr="0008166C">
        <w:rPr>
          <w:rFonts w:ascii="Times New Roman" w:hAnsi="Times New Roman"/>
        </w:rPr>
        <w:t xml:space="preserve">class action </w:t>
      </w:r>
      <w:r w:rsidR="00675B80" w:rsidRPr="0008166C">
        <w:rPr>
          <w:rFonts w:ascii="Times New Roman" w:hAnsi="Times New Roman"/>
        </w:rPr>
        <w:t>is regulated by legislation</w:t>
      </w:r>
      <w:r w:rsidR="007C2DFA" w:rsidRPr="0008166C">
        <w:rPr>
          <w:rFonts w:ascii="Times New Roman" w:hAnsi="Times New Roman"/>
        </w:rPr>
        <w:t>, whereby the</w:t>
      </w:r>
      <w:r w:rsidR="00975C91" w:rsidRPr="0008166C">
        <w:rPr>
          <w:rFonts w:ascii="Times New Roman" w:hAnsi="Times New Roman"/>
        </w:rPr>
        <w:t xml:space="preserve"> </w:t>
      </w:r>
      <w:r w:rsidR="003D4B16" w:rsidRPr="0008166C">
        <w:rPr>
          <w:rFonts w:ascii="Times New Roman" w:hAnsi="Times New Roman"/>
        </w:rPr>
        <w:t>c</w:t>
      </w:r>
      <w:r w:rsidR="00975C91" w:rsidRPr="0008166C">
        <w:rPr>
          <w:rFonts w:ascii="Times New Roman" w:hAnsi="Times New Roman"/>
        </w:rPr>
        <w:t xml:space="preserve">ourts are specifically tasked with the </w:t>
      </w:r>
      <w:r w:rsidR="008C3472" w:rsidRPr="0008166C">
        <w:rPr>
          <w:rFonts w:ascii="Times New Roman" w:hAnsi="Times New Roman"/>
        </w:rPr>
        <w:t xml:space="preserve">selection of </w:t>
      </w:r>
      <w:r w:rsidR="00555DAE" w:rsidRPr="0008166C">
        <w:rPr>
          <w:rFonts w:ascii="Times New Roman" w:hAnsi="Times New Roman"/>
        </w:rPr>
        <w:t xml:space="preserve">the </w:t>
      </w:r>
      <w:r w:rsidR="008C3472" w:rsidRPr="0008166C">
        <w:rPr>
          <w:rFonts w:ascii="Times New Roman" w:hAnsi="Times New Roman"/>
        </w:rPr>
        <w:t>sponsor</w:t>
      </w:r>
      <w:r w:rsidR="00007A5B" w:rsidRPr="0008166C">
        <w:rPr>
          <w:rFonts w:ascii="Times New Roman" w:hAnsi="Times New Roman"/>
        </w:rPr>
        <w:t xml:space="preserve"> </w:t>
      </w:r>
      <w:r w:rsidR="00975C91" w:rsidRPr="0008166C">
        <w:rPr>
          <w:rFonts w:ascii="Times New Roman" w:hAnsi="Times New Roman"/>
        </w:rPr>
        <w:t>of representative proceedings</w:t>
      </w:r>
      <w:r w:rsidR="00007A5B" w:rsidRPr="0008166C">
        <w:rPr>
          <w:rFonts w:ascii="Times New Roman" w:hAnsi="Times New Roman"/>
        </w:rPr>
        <w:t xml:space="preserve"> from the available candidates.</w:t>
      </w:r>
      <w:r w:rsidR="00975C91" w:rsidRPr="0008166C">
        <w:rPr>
          <w:rFonts w:ascii="Times New Roman" w:hAnsi="Times New Roman"/>
        </w:rPr>
        <w:t xml:space="preserve"> </w:t>
      </w:r>
      <w:r w:rsidR="00BE2CF0" w:rsidRPr="0008166C">
        <w:rPr>
          <w:rFonts w:ascii="Times New Roman" w:hAnsi="Times New Roman"/>
        </w:rPr>
        <w:t xml:space="preserve">By that legislation, </w:t>
      </w:r>
      <w:r w:rsidR="000E461B" w:rsidRPr="0008166C">
        <w:rPr>
          <w:rFonts w:ascii="Times New Roman" w:hAnsi="Times New Roman"/>
        </w:rPr>
        <w:t xml:space="preserve">the courts are required to make an evaluation of the competing claims of prospective sponsors in order to select the sponsor </w:t>
      </w:r>
      <w:r w:rsidR="00C7341E" w:rsidRPr="0008166C">
        <w:rPr>
          <w:rFonts w:ascii="Times New Roman" w:hAnsi="Times New Roman"/>
        </w:rPr>
        <w:t xml:space="preserve">judged best able </w:t>
      </w:r>
      <w:r w:rsidR="000E461B" w:rsidRPr="0008166C">
        <w:rPr>
          <w:rFonts w:ascii="Times New Roman" w:hAnsi="Times New Roman"/>
        </w:rPr>
        <w:t>to maximise the return to class members.</w:t>
      </w:r>
      <w:r w:rsidR="003D4B16" w:rsidRPr="0008166C">
        <w:rPr>
          <w:rFonts w:ascii="Times New Roman" w:hAnsi="Times New Roman"/>
        </w:rPr>
        <w:t xml:space="preserve"> </w:t>
      </w:r>
      <w:r w:rsidR="00435EA9" w:rsidRPr="0008166C">
        <w:rPr>
          <w:rFonts w:ascii="Times New Roman" w:hAnsi="Times New Roman"/>
        </w:rPr>
        <w:t>The</w:t>
      </w:r>
      <w:r w:rsidR="00C13506" w:rsidRPr="0008166C">
        <w:rPr>
          <w:rFonts w:ascii="Times New Roman" w:hAnsi="Times New Roman"/>
        </w:rPr>
        <w:t xml:space="preserve"> CPA </w:t>
      </w:r>
      <w:r w:rsidR="00885393" w:rsidRPr="0008166C">
        <w:rPr>
          <w:rFonts w:ascii="Times New Roman" w:hAnsi="Times New Roman"/>
        </w:rPr>
        <w:t xml:space="preserve">contains </w:t>
      </w:r>
      <w:r w:rsidR="00C13506" w:rsidRPr="0008166C">
        <w:rPr>
          <w:rFonts w:ascii="Times New Roman" w:hAnsi="Times New Roman"/>
        </w:rPr>
        <w:t xml:space="preserve">no </w:t>
      </w:r>
      <w:r w:rsidR="009F2691" w:rsidRPr="0008166C">
        <w:rPr>
          <w:rFonts w:ascii="Times New Roman" w:hAnsi="Times New Roman"/>
        </w:rPr>
        <w:t xml:space="preserve">equivalent </w:t>
      </w:r>
      <w:r w:rsidR="00885393" w:rsidRPr="0008166C">
        <w:rPr>
          <w:rFonts w:ascii="Times New Roman" w:hAnsi="Times New Roman"/>
        </w:rPr>
        <w:t>provision.</w:t>
      </w:r>
      <w:r w:rsidR="00555DAE" w:rsidRPr="0008166C">
        <w:rPr>
          <w:rFonts w:ascii="Times New Roman" w:hAnsi="Times New Roman"/>
        </w:rPr>
        <w:t xml:space="preserve"> </w:t>
      </w:r>
    </w:p>
    <w:p w14:paraId="34F64E99" w14:textId="79B33412" w:rsidR="00792E47" w:rsidRPr="0008166C" w:rsidRDefault="007F2E7E" w:rsidP="0008166C">
      <w:pPr>
        <w:pStyle w:val="FixListStyle"/>
        <w:spacing w:after="260" w:line="280" w:lineRule="exact"/>
        <w:ind w:right="0"/>
        <w:jc w:val="both"/>
        <w:rPr>
          <w:rFonts w:ascii="Times New Roman" w:hAnsi="Times New Roman"/>
        </w:rPr>
      </w:pPr>
      <w:r w:rsidRPr="0008166C">
        <w:rPr>
          <w:rFonts w:ascii="Times New Roman" w:hAnsi="Times New Roman"/>
        </w:rPr>
        <w:tab/>
        <w:t>T</w:t>
      </w:r>
      <w:r w:rsidR="0005272D" w:rsidRPr="0008166C">
        <w:rPr>
          <w:rFonts w:ascii="Times New Roman" w:hAnsi="Times New Roman"/>
        </w:rPr>
        <w:t>he p</w:t>
      </w:r>
      <w:r w:rsidR="009F44FA" w:rsidRPr="0008166C">
        <w:rPr>
          <w:rFonts w:ascii="Times New Roman" w:hAnsi="Times New Roman"/>
        </w:rPr>
        <w:t>ower</w:t>
      </w:r>
      <w:r w:rsidR="0005272D" w:rsidRPr="0008166C">
        <w:rPr>
          <w:rFonts w:ascii="Times New Roman" w:hAnsi="Times New Roman"/>
        </w:rPr>
        <w:t xml:space="preserve"> to order a stay </w:t>
      </w:r>
      <w:r w:rsidRPr="0008166C">
        <w:rPr>
          <w:rFonts w:ascii="Times New Roman" w:hAnsi="Times New Roman"/>
        </w:rPr>
        <w:t>provided by s </w:t>
      </w:r>
      <w:r w:rsidR="007B7956" w:rsidRPr="0008166C">
        <w:rPr>
          <w:rFonts w:ascii="Times New Roman" w:hAnsi="Times New Roman"/>
        </w:rPr>
        <w:t>6</w:t>
      </w:r>
      <w:r w:rsidRPr="0008166C">
        <w:rPr>
          <w:rFonts w:ascii="Times New Roman" w:hAnsi="Times New Roman"/>
        </w:rPr>
        <w:t xml:space="preserve">7 of the CPA </w:t>
      </w:r>
      <w:r w:rsidR="00C7341E" w:rsidRPr="0008166C">
        <w:rPr>
          <w:rFonts w:ascii="Times New Roman" w:hAnsi="Times New Roman"/>
        </w:rPr>
        <w:t>is</w:t>
      </w:r>
      <w:r w:rsidR="0005272D" w:rsidRPr="0008166C">
        <w:rPr>
          <w:rFonts w:ascii="Times New Roman" w:hAnsi="Times New Roman"/>
        </w:rPr>
        <w:t xml:space="preserve"> available as a tool to resolve the problem presented by multiple proceedings. </w:t>
      </w:r>
      <w:r w:rsidR="00C7341E" w:rsidRPr="0008166C">
        <w:rPr>
          <w:rFonts w:ascii="Times New Roman" w:hAnsi="Times New Roman"/>
        </w:rPr>
        <w:t xml:space="preserve">The problem of multiple proceedings is not novel. </w:t>
      </w:r>
      <w:r w:rsidR="0005272D" w:rsidRPr="0008166C">
        <w:rPr>
          <w:rFonts w:ascii="Times New Roman" w:hAnsi="Times New Roman"/>
        </w:rPr>
        <w:t xml:space="preserve">Indeed, the remedy of a stay of proceedings has long been recognised as </w:t>
      </w:r>
      <w:r w:rsidR="00C7341E" w:rsidRPr="0008166C">
        <w:rPr>
          <w:rFonts w:ascii="Times New Roman" w:hAnsi="Times New Roman"/>
        </w:rPr>
        <w:t xml:space="preserve">an </w:t>
      </w:r>
      <w:r w:rsidR="005065AC" w:rsidRPr="0008166C">
        <w:rPr>
          <w:rFonts w:ascii="Times New Roman" w:hAnsi="Times New Roman"/>
        </w:rPr>
        <w:t xml:space="preserve">available </w:t>
      </w:r>
      <w:r w:rsidR="00C7341E" w:rsidRPr="0008166C">
        <w:rPr>
          <w:rFonts w:ascii="Times New Roman" w:hAnsi="Times New Roman"/>
        </w:rPr>
        <w:t xml:space="preserve">means </w:t>
      </w:r>
      <w:r w:rsidR="005065AC" w:rsidRPr="0008166C">
        <w:rPr>
          <w:rFonts w:ascii="Times New Roman" w:hAnsi="Times New Roman"/>
        </w:rPr>
        <w:t>to protect</w:t>
      </w:r>
      <w:r w:rsidR="0005272D" w:rsidRPr="0008166C">
        <w:rPr>
          <w:rFonts w:ascii="Times New Roman" w:hAnsi="Times New Roman"/>
        </w:rPr>
        <w:t xml:space="preserve"> a defendant </w:t>
      </w:r>
      <w:r w:rsidR="0080585F" w:rsidRPr="0008166C">
        <w:rPr>
          <w:rFonts w:ascii="Times New Roman" w:hAnsi="Times New Roman"/>
        </w:rPr>
        <w:t xml:space="preserve">vexed by multiple proceedings. </w:t>
      </w:r>
      <w:r w:rsidR="00C7341E" w:rsidRPr="0008166C">
        <w:rPr>
          <w:rFonts w:ascii="Times New Roman" w:hAnsi="Times New Roman"/>
        </w:rPr>
        <w:t xml:space="preserve">But </w:t>
      </w:r>
      <w:r w:rsidR="00B80A4E" w:rsidRPr="0008166C">
        <w:rPr>
          <w:rFonts w:ascii="Times New Roman" w:hAnsi="Times New Roman"/>
        </w:rPr>
        <w:t xml:space="preserve">the power to grant a stay </w:t>
      </w:r>
      <w:r w:rsidR="00C7341E" w:rsidRPr="0008166C">
        <w:rPr>
          <w:rFonts w:ascii="Times New Roman" w:hAnsi="Times New Roman"/>
        </w:rPr>
        <w:t xml:space="preserve">to end such vexation </w:t>
      </w:r>
      <w:r w:rsidR="00B80A4E" w:rsidRPr="0008166C">
        <w:rPr>
          <w:rFonts w:ascii="Times New Roman" w:hAnsi="Times New Roman"/>
        </w:rPr>
        <w:t>is exercisable by the courts according to principles</w:t>
      </w:r>
      <w:r w:rsidR="000160E6" w:rsidRPr="0008166C">
        <w:rPr>
          <w:rFonts w:ascii="Times New Roman" w:hAnsi="Times New Roman"/>
        </w:rPr>
        <w:t xml:space="preserve"> concerned to do justice between plaintiff</w:t>
      </w:r>
      <w:r w:rsidR="006758ED" w:rsidRPr="0008166C">
        <w:rPr>
          <w:rFonts w:ascii="Times New Roman" w:hAnsi="Times New Roman"/>
        </w:rPr>
        <w:t>s</w:t>
      </w:r>
      <w:r w:rsidR="000160E6" w:rsidRPr="0008166C">
        <w:rPr>
          <w:rFonts w:ascii="Times New Roman" w:hAnsi="Times New Roman"/>
        </w:rPr>
        <w:t xml:space="preserve"> and defendant</w:t>
      </w:r>
      <w:r w:rsidR="007B7956" w:rsidRPr="0008166C">
        <w:rPr>
          <w:rFonts w:ascii="Times New Roman" w:hAnsi="Times New Roman"/>
        </w:rPr>
        <w:t>s</w:t>
      </w:r>
      <w:r w:rsidR="000160E6" w:rsidRPr="0008166C">
        <w:rPr>
          <w:rFonts w:ascii="Times New Roman" w:hAnsi="Times New Roman"/>
        </w:rPr>
        <w:t>.</w:t>
      </w:r>
      <w:r w:rsidR="00B80A4E" w:rsidRPr="0008166C">
        <w:rPr>
          <w:rFonts w:ascii="Times New Roman" w:hAnsi="Times New Roman"/>
        </w:rPr>
        <w:t xml:space="preserve"> The first of these is that "a plaintiff who has regularly invoked the jurisdiction of a court has a prim</w:t>
      </w:r>
      <w:r w:rsidR="0030174C" w:rsidRPr="0008166C">
        <w:rPr>
          <w:rFonts w:ascii="Times New Roman" w:hAnsi="Times New Roman"/>
        </w:rPr>
        <w:t>a</w:t>
      </w:r>
      <w:r w:rsidR="00B80A4E" w:rsidRPr="0008166C">
        <w:rPr>
          <w:rFonts w:ascii="Times New Roman" w:hAnsi="Times New Roman"/>
        </w:rPr>
        <w:t xml:space="preserve"> facie right to insist upon its exercise</w:t>
      </w:r>
      <w:r w:rsidR="002850CE" w:rsidRPr="0008166C">
        <w:rPr>
          <w:rFonts w:ascii="Times New Roman" w:hAnsi="Times New Roman"/>
        </w:rPr>
        <w:t>"</w:t>
      </w:r>
      <w:r w:rsidR="002850CE" w:rsidRPr="0008166C">
        <w:rPr>
          <w:rStyle w:val="FootnoteReference"/>
          <w:rFonts w:ascii="Times New Roman" w:hAnsi="Times New Roman"/>
          <w:sz w:val="24"/>
        </w:rPr>
        <w:footnoteReference w:id="19"/>
      </w:r>
      <w:r w:rsidR="00825390" w:rsidRPr="0008166C">
        <w:rPr>
          <w:rFonts w:ascii="Times New Roman" w:hAnsi="Times New Roman"/>
        </w:rPr>
        <w:t>.</w:t>
      </w:r>
      <w:r w:rsidR="005D05E5" w:rsidRPr="0008166C">
        <w:rPr>
          <w:rFonts w:ascii="Times New Roman" w:hAnsi="Times New Roman"/>
        </w:rPr>
        <w:t xml:space="preserve"> </w:t>
      </w:r>
      <w:r w:rsidR="00106493" w:rsidRPr="0008166C">
        <w:rPr>
          <w:rFonts w:ascii="Times New Roman" w:hAnsi="Times New Roman"/>
        </w:rPr>
        <w:t xml:space="preserve">Secondly, "the rationale for the exercise of </w:t>
      </w:r>
      <w:r w:rsidR="002C53AE" w:rsidRPr="0008166C">
        <w:rPr>
          <w:rFonts w:ascii="Times New Roman" w:hAnsi="Times New Roman"/>
        </w:rPr>
        <w:t>the</w:t>
      </w:r>
      <w:r w:rsidR="00106493" w:rsidRPr="0008166C">
        <w:rPr>
          <w:rFonts w:ascii="Times New Roman" w:hAnsi="Times New Roman"/>
        </w:rPr>
        <w:t xml:space="preserve"> power to stay is the avoidance of </w:t>
      </w:r>
      <w:r w:rsidR="00106493" w:rsidRPr="0008166C">
        <w:rPr>
          <w:rFonts w:ascii="Times New Roman" w:hAnsi="Times New Roman"/>
        </w:rPr>
        <w:lastRenderedPageBreak/>
        <w:t xml:space="preserve">injustice between </w:t>
      </w:r>
      <w:r w:rsidR="00902850" w:rsidRPr="0008166C">
        <w:rPr>
          <w:rFonts w:ascii="Times New Roman" w:hAnsi="Times New Roman"/>
        </w:rPr>
        <w:t>parties in the particular case"</w:t>
      </w:r>
      <w:r w:rsidR="00C17CA6" w:rsidRPr="0008166C">
        <w:rPr>
          <w:rStyle w:val="FootnoteReference"/>
          <w:rFonts w:ascii="Times New Roman" w:hAnsi="Times New Roman"/>
          <w:sz w:val="24"/>
        </w:rPr>
        <w:footnoteReference w:id="20"/>
      </w:r>
      <w:r w:rsidR="00825390" w:rsidRPr="0008166C">
        <w:rPr>
          <w:rFonts w:ascii="Times New Roman" w:hAnsi="Times New Roman"/>
        </w:rPr>
        <w:t>.</w:t>
      </w:r>
      <w:r w:rsidR="00C17CA6" w:rsidRPr="0008166C">
        <w:rPr>
          <w:rFonts w:ascii="Times New Roman" w:hAnsi="Times New Roman"/>
        </w:rPr>
        <w:t xml:space="preserve"> </w:t>
      </w:r>
      <w:r w:rsidR="00C7341E" w:rsidRPr="0008166C">
        <w:rPr>
          <w:rFonts w:ascii="Times New Roman" w:hAnsi="Times New Roman"/>
        </w:rPr>
        <w:t xml:space="preserve">Accordingly, where </w:t>
      </w:r>
      <w:r w:rsidR="0080585F" w:rsidRPr="0008166C">
        <w:rPr>
          <w:rFonts w:ascii="Times New Roman" w:hAnsi="Times New Roman"/>
        </w:rPr>
        <w:t>multiple proceedings are brought by the same plaintiffs seeking the same relief against the same defendants</w:t>
      </w:r>
      <w:r w:rsidR="00086707" w:rsidRPr="0008166C">
        <w:rPr>
          <w:rFonts w:ascii="Times New Roman" w:hAnsi="Times New Roman"/>
        </w:rPr>
        <w:t>,</w:t>
      </w:r>
      <w:r w:rsidR="0080585F" w:rsidRPr="0008166C">
        <w:rPr>
          <w:rFonts w:ascii="Times New Roman" w:hAnsi="Times New Roman"/>
        </w:rPr>
        <w:t xml:space="preserve"> if the</w:t>
      </w:r>
      <w:r w:rsidR="009F44FA" w:rsidRPr="0008166C">
        <w:rPr>
          <w:rFonts w:ascii="Times New Roman" w:hAnsi="Times New Roman"/>
        </w:rPr>
        <w:t xml:space="preserve"> </w:t>
      </w:r>
      <w:r w:rsidR="0080585F" w:rsidRPr="0008166C">
        <w:rPr>
          <w:rFonts w:ascii="Times New Roman" w:hAnsi="Times New Roman"/>
        </w:rPr>
        <w:t>plaintiffs do not make an election as to which action sho</w:t>
      </w:r>
      <w:r w:rsidR="009F44FA" w:rsidRPr="0008166C">
        <w:rPr>
          <w:rFonts w:ascii="Times New Roman" w:hAnsi="Times New Roman"/>
        </w:rPr>
        <w:t>u</w:t>
      </w:r>
      <w:r w:rsidR="0080585F" w:rsidRPr="0008166C">
        <w:rPr>
          <w:rFonts w:ascii="Times New Roman" w:hAnsi="Times New Roman"/>
        </w:rPr>
        <w:t>ld proceed, the court will stay all but one proceeding</w:t>
      </w:r>
      <w:r w:rsidR="0080585F" w:rsidRPr="0008166C">
        <w:rPr>
          <w:rStyle w:val="FootnoteReference"/>
          <w:rFonts w:ascii="Times New Roman" w:hAnsi="Times New Roman"/>
          <w:sz w:val="24"/>
        </w:rPr>
        <w:footnoteReference w:id="21"/>
      </w:r>
      <w:r w:rsidR="009F44FA" w:rsidRPr="0008166C">
        <w:rPr>
          <w:rFonts w:ascii="Times New Roman" w:hAnsi="Times New Roman"/>
        </w:rPr>
        <w:t>.</w:t>
      </w:r>
      <w:r w:rsidR="0097252B" w:rsidRPr="0008166C">
        <w:rPr>
          <w:rFonts w:ascii="Times New Roman" w:hAnsi="Times New Roman"/>
        </w:rPr>
        <w:t xml:space="preserve"> </w:t>
      </w:r>
      <w:r w:rsidR="000F4A6F" w:rsidRPr="0008166C">
        <w:rPr>
          <w:rFonts w:ascii="Times New Roman" w:hAnsi="Times New Roman"/>
        </w:rPr>
        <w:t>W</w:t>
      </w:r>
      <w:r w:rsidR="00665ED2" w:rsidRPr="0008166C">
        <w:rPr>
          <w:rFonts w:ascii="Times New Roman" w:hAnsi="Times New Roman"/>
        </w:rPr>
        <w:t>here the plai</w:t>
      </w:r>
      <w:r w:rsidR="00170801" w:rsidRPr="0008166C">
        <w:rPr>
          <w:rFonts w:ascii="Times New Roman" w:hAnsi="Times New Roman"/>
        </w:rPr>
        <w:t>ntiffs</w:t>
      </w:r>
      <w:r w:rsidR="00665ED2" w:rsidRPr="0008166C">
        <w:rPr>
          <w:rFonts w:ascii="Times New Roman" w:hAnsi="Times New Roman"/>
        </w:rPr>
        <w:t xml:space="preserve"> do not make </w:t>
      </w:r>
      <w:r w:rsidR="000F4A6F" w:rsidRPr="0008166C">
        <w:rPr>
          <w:rFonts w:ascii="Times New Roman" w:hAnsi="Times New Roman"/>
        </w:rPr>
        <w:t xml:space="preserve">the </w:t>
      </w:r>
      <w:r w:rsidR="00665ED2" w:rsidRPr="0008166C">
        <w:rPr>
          <w:rFonts w:ascii="Times New Roman" w:hAnsi="Times New Roman"/>
        </w:rPr>
        <w:t xml:space="preserve">election, the court will stay </w:t>
      </w:r>
      <w:r w:rsidR="000F4A6F" w:rsidRPr="0008166C">
        <w:rPr>
          <w:rFonts w:ascii="Times New Roman" w:hAnsi="Times New Roman"/>
        </w:rPr>
        <w:t xml:space="preserve">the </w:t>
      </w:r>
      <w:r w:rsidR="00665ED2" w:rsidRPr="0008166C">
        <w:rPr>
          <w:rFonts w:ascii="Times New Roman" w:hAnsi="Times New Roman"/>
        </w:rPr>
        <w:t xml:space="preserve">proceedings brought later in time unless </w:t>
      </w:r>
      <w:r w:rsidR="001F752A" w:rsidRPr="0008166C">
        <w:rPr>
          <w:rFonts w:ascii="Times New Roman" w:hAnsi="Times New Roman"/>
        </w:rPr>
        <w:t>they offer</w:t>
      </w:r>
      <w:r w:rsidR="00832853" w:rsidRPr="0008166C">
        <w:rPr>
          <w:rFonts w:ascii="Times New Roman" w:hAnsi="Times New Roman"/>
        </w:rPr>
        <w:t xml:space="preserve"> </w:t>
      </w:r>
      <w:r w:rsidR="0059633E" w:rsidRPr="0008166C">
        <w:rPr>
          <w:rFonts w:ascii="Times New Roman" w:hAnsi="Times New Roman"/>
        </w:rPr>
        <w:t xml:space="preserve">some </w:t>
      </w:r>
      <w:r w:rsidR="007F0B6C" w:rsidRPr="0008166C">
        <w:rPr>
          <w:rFonts w:ascii="Times New Roman" w:hAnsi="Times New Roman"/>
        </w:rPr>
        <w:t xml:space="preserve">legitimate </w:t>
      </w:r>
      <w:r w:rsidR="0059633E" w:rsidRPr="0008166C">
        <w:rPr>
          <w:rFonts w:ascii="Times New Roman" w:hAnsi="Times New Roman"/>
        </w:rPr>
        <w:t>juridical advantage for the plaintiffs or the defendant</w:t>
      </w:r>
      <w:r w:rsidR="00523F57" w:rsidRPr="0008166C">
        <w:rPr>
          <w:rFonts w:ascii="Times New Roman" w:hAnsi="Times New Roman"/>
        </w:rPr>
        <w:t>s</w:t>
      </w:r>
      <w:r w:rsidR="0059633E" w:rsidRPr="0008166C">
        <w:rPr>
          <w:rFonts w:ascii="Times New Roman" w:hAnsi="Times New Roman"/>
        </w:rPr>
        <w:t xml:space="preserve"> over the proceedings brought earlier in time</w:t>
      </w:r>
      <w:r w:rsidR="00170801" w:rsidRPr="0008166C">
        <w:rPr>
          <w:rStyle w:val="FootnoteReference"/>
          <w:rFonts w:ascii="Times New Roman" w:hAnsi="Times New Roman"/>
          <w:sz w:val="24"/>
        </w:rPr>
        <w:footnoteReference w:id="22"/>
      </w:r>
      <w:r w:rsidR="00111617" w:rsidRPr="0008166C">
        <w:rPr>
          <w:rFonts w:ascii="Times New Roman" w:hAnsi="Times New Roman"/>
        </w:rPr>
        <w:t>.</w:t>
      </w:r>
      <w:r w:rsidR="00BA2032" w:rsidRPr="0008166C">
        <w:rPr>
          <w:rFonts w:ascii="Times New Roman" w:hAnsi="Times New Roman"/>
        </w:rPr>
        <w:t xml:space="preserve"> The point is that these principles are concerned with the doing of justice between plaintiffs and defendants</w:t>
      </w:r>
      <w:r w:rsidR="002C53AE" w:rsidRPr="0008166C">
        <w:rPr>
          <w:rFonts w:ascii="Times New Roman" w:hAnsi="Times New Roman"/>
        </w:rPr>
        <w:t>;</w:t>
      </w:r>
      <w:r w:rsidR="00BA2032" w:rsidRPr="0008166C">
        <w:rPr>
          <w:rFonts w:ascii="Times New Roman" w:hAnsi="Times New Roman"/>
        </w:rPr>
        <w:t xml:space="preserve"> they are not concerned to </w:t>
      </w:r>
      <w:r w:rsidR="00AF450C" w:rsidRPr="0008166C">
        <w:rPr>
          <w:rFonts w:ascii="Times New Roman" w:hAnsi="Times New Roman"/>
        </w:rPr>
        <w:t>determine</w:t>
      </w:r>
      <w:r w:rsidR="00BA2032" w:rsidRPr="0008166C">
        <w:rPr>
          <w:rFonts w:ascii="Times New Roman" w:hAnsi="Times New Roman"/>
        </w:rPr>
        <w:t xml:space="preserve"> the competing claims of financiers and lawyers to sponsorship of the proceedings on behalf of those on the plaintiffs' side of the record.</w:t>
      </w:r>
      <w:r w:rsidR="00632AE6" w:rsidRPr="0008166C">
        <w:rPr>
          <w:rFonts w:ascii="Times New Roman" w:hAnsi="Times New Roman"/>
        </w:rPr>
        <w:t xml:space="preserve"> </w:t>
      </w:r>
      <w:r w:rsidR="00AF450C" w:rsidRPr="0008166C">
        <w:rPr>
          <w:rFonts w:ascii="Times New Roman" w:hAnsi="Times New Roman"/>
        </w:rPr>
        <w:t>Legislative direction is required to enlist the courts to determine matters</w:t>
      </w:r>
      <w:r w:rsidR="002C53AE" w:rsidRPr="0008166C">
        <w:rPr>
          <w:rFonts w:ascii="Times New Roman" w:hAnsi="Times New Roman"/>
        </w:rPr>
        <w:t xml:space="preserve"> of that kind</w:t>
      </w:r>
      <w:r w:rsidR="00AF450C" w:rsidRPr="0008166C">
        <w:rPr>
          <w:rFonts w:ascii="Times New Roman" w:hAnsi="Times New Roman"/>
        </w:rPr>
        <w:t xml:space="preserve">. </w:t>
      </w:r>
      <w:r w:rsidR="00632AE6" w:rsidRPr="0008166C">
        <w:rPr>
          <w:rFonts w:ascii="Times New Roman" w:hAnsi="Times New Roman"/>
        </w:rPr>
        <w:t xml:space="preserve">The courts may mould their established </w:t>
      </w:r>
      <w:r w:rsidR="00AF450C" w:rsidRPr="0008166C">
        <w:rPr>
          <w:rFonts w:ascii="Times New Roman" w:hAnsi="Times New Roman"/>
        </w:rPr>
        <w:t>procedures</w:t>
      </w:r>
      <w:r w:rsidR="00632AE6" w:rsidRPr="0008166C">
        <w:rPr>
          <w:rFonts w:ascii="Times New Roman" w:hAnsi="Times New Roman"/>
        </w:rPr>
        <w:t xml:space="preserve"> to do justice between the parties to litigation, but the court must proceed by reference to settled principles</w:t>
      </w:r>
      <w:r w:rsidR="00AF450C" w:rsidRPr="0008166C">
        <w:rPr>
          <w:rFonts w:ascii="Times New Roman" w:hAnsi="Times New Roman"/>
        </w:rPr>
        <w:t xml:space="preserve"> and</w:t>
      </w:r>
      <w:r w:rsidR="00632AE6" w:rsidRPr="0008166C">
        <w:rPr>
          <w:rFonts w:ascii="Times New Roman" w:hAnsi="Times New Roman"/>
        </w:rPr>
        <w:t xml:space="preserve"> bearing in mind that the parties cannot invest </w:t>
      </w:r>
      <w:r w:rsidR="00237CE3" w:rsidRPr="0008166C">
        <w:rPr>
          <w:rFonts w:ascii="Times New Roman" w:hAnsi="Times New Roman"/>
        </w:rPr>
        <w:t>a</w:t>
      </w:r>
      <w:r w:rsidR="00632AE6" w:rsidRPr="0008166C">
        <w:rPr>
          <w:rFonts w:ascii="Times New Roman" w:hAnsi="Times New Roman"/>
        </w:rPr>
        <w:t xml:space="preserve"> court with a jurisdiction it does not have.</w:t>
      </w:r>
    </w:p>
    <w:p w14:paraId="65F0F1B8" w14:textId="6AE18834" w:rsidR="001243CF" w:rsidRPr="0008166C" w:rsidRDefault="00142D0E"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3046C3" w:rsidRPr="0008166C">
        <w:rPr>
          <w:rFonts w:ascii="Times New Roman" w:hAnsi="Times New Roman"/>
        </w:rPr>
        <w:t>Neither</w:t>
      </w:r>
      <w:r w:rsidR="00CB749A" w:rsidRPr="0008166C">
        <w:rPr>
          <w:rFonts w:ascii="Times New Roman" w:hAnsi="Times New Roman"/>
        </w:rPr>
        <w:t xml:space="preserve"> </w:t>
      </w:r>
      <w:r w:rsidR="001243CF" w:rsidRPr="0008166C">
        <w:rPr>
          <w:rFonts w:ascii="Times New Roman" w:hAnsi="Times New Roman"/>
        </w:rPr>
        <w:t xml:space="preserve">the CPA </w:t>
      </w:r>
      <w:r w:rsidR="003046C3" w:rsidRPr="0008166C">
        <w:rPr>
          <w:rFonts w:ascii="Times New Roman" w:hAnsi="Times New Roman"/>
        </w:rPr>
        <w:t>n</w:t>
      </w:r>
      <w:r w:rsidR="001243CF" w:rsidRPr="0008166C">
        <w:rPr>
          <w:rFonts w:ascii="Times New Roman" w:hAnsi="Times New Roman"/>
        </w:rPr>
        <w:t>or</w:t>
      </w:r>
      <w:r w:rsidR="00237CE3" w:rsidRPr="0008166C">
        <w:rPr>
          <w:rFonts w:ascii="Times New Roman" w:hAnsi="Times New Roman"/>
        </w:rPr>
        <w:t xml:space="preserve"> </w:t>
      </w:r>
      <w:r w:rsidR="0019146D" w:rsidRPr="0008166C">
        <w:rPr>
          <w:rFonts w:ascii="Times New Roman" w:hAnsi="Times New Roman"/>
        </w:rPr>
        <w:t>the Supreme Court's inherent</w:t>
      </w:r>
      <w:r w:rsidR="00237CE3" w:rsidRPr="0008166C">
        <w:rPr>
          <w:rFonts w:ascii="Times New Roman" w:hAnsi="Times New Roman"/>
        </w:rPr>
        <w:t xml:space="preserve"> power to prevent abuse of its processes</w:t>
      </w:r>
      <w:r w:rsidR="0067441E" w:rsidRPr="0008166C">
        <w:rPr>
          <w:rFonts w:ascii="Times New Roman" w:hAnsi="Times New Roman"/>
        </w:rPr>
        <w:t xml:space="preserve"> authorise</w:t>
      </w:r>
      <w:r w:rsidR="00A301C2" w:rsidRPr="0008166C">
        <w:rPr>
          <w:rFonts w:ascii="Times New Roman" w:hAnsi="Times New Roman"/>
        </w:rPr>
        <w:t>s</w:t>
      </w:r>
      <w:r w:rsidR="00DE3491" w:rsidRPr="0008166C">
        <w:rPr>
          <w:rFonts w:ascii="Times New Roman" w:hAnsi="Times New Roman"/>
        </w:rPr>
        <w:t xml:space="preserve"> the Supreme Court</w:t>
      </w:r>
      <w:r w:rsidR="00BD4BBA" w:rsidRPr="0008166C">
        <w:rPr>
          <w:rFonts w:ascii="Times New Roman" w:hAnsi="Times New Roman"/>
        </w:rPr>
        <w:t xml:space="preserve"> to make a selection of the sponsor of representative proceedings.</w:t>
      </w:r>
      <w:r w:rsidR="00D57F82" w:rsidRPr="0008166C">
        <w:rPr>
          <w:rFonts w:ascii="Times New Roman" w:hAnsi="Times New Roman"/>
        </w:rPr>
        <w:t xml:space="preserve"> T</w:t>
      </w:r>
      <w:r w:rsidR="001243CF" w:rsidRPr="0008166C">
        <w:rPr>
          <w:rFonts w:ascii="Times New Roman" w:hAnsi="Times New Roman"/>
        </w:rPr>
        <w:t>h</w:t>
      </w:r>
      <w:r w:rsidR="004415B3" w:rsidRPr="0008166C">
        <w:rPr>
          <w:rFonts w:ascii="Times New Roman" w:hAnsi="Times New Roman"/>
        </w:rPr>
        <w:t xml:space="preserve">at is </w:t>
      </w:r>
      <w:r w:rsidR="00452745" w:rsidRPr="0008166C">
        <w:rPr>
          <w:rFonts w:ascii="Times New Roman" w:hAnsi="Times New Roman"/>
        </w:rPr>
        <w:t>empha</w:t>
      </w:r>
      <w:r w:rsidR="007D1CDD" w:rsidRPr="0008166C">
        <w:rPr>
          <w:rFonts w:ascii="Times New Roman" w:hAnsi="Times New Roman"/>
        </w:rPr>
        <w:t>tically</w:t>
      </w:r>
      <w:r w:rsidR="004415B3" w:rsidRPr="0008166C">
        <w:rPr>
          <w:rFonts w:ascii="Times New Roman" w:hAnsi="Times New Roman"/>
        </w:rPr>
        <w:t xml:space="preserve"> so where</w:t>
      </w:r>
      <w:r w:rsidR="00E32557" w:rsidRPr="0008166C">
        <w:rPr>
          <w:rFonts w:ascii="Times New Roman" w:hAnsi="Times New Roman"/>
        </w:rPr>
        <w:t xml:space="preserve"> the</w:t>
      </w:r>
      <w:r w:rsidR="001243CF" w:rsidRPr="0008166C">
        <w:rPr>
          <w:rFonts w:ascii="Times New Roman" w:hAnsi="Times New Roman"/>
        </w:rPr>
        <w:t xml:space="preserve"> proceedings </w:t>
      </w:r>
      <w:r w:rsidR="007D1CDD" w:rsidRPr="0008166C">
        <w:rPr>
          <w:rFonts w:ascii="Times New Roman" w:hAnsi="Times New Roman"/>
        </w:rPr>
        <w:t>to be so sponsored</w:t>
      </w:r>
      <w:r w:rsidR="001243CF" w:rsidRPr="0008166C">
        <w:rPr>
          <w:rFonts w:ascii="Times New Roman" w:hAnsi="Times New Roman"/>
        </w:rPr>
        <w:t xml:space="preserve"> </w:t>
      </w:r>
      <w:r w:rsidR="00E32557" w:rsidRPr="0008166C">
        <w:rPr>
          <w:rFonts w:ascii="Times New Roman" w:hAnsi="Times New Roman"/>
        </w:rPr>
        <w:t xml:space="preserve">are to be </w:t>
      </w:r>
      <w:r w:rsidR="001243CF" w:rsidRPr="0008166C">
        <w:rPr>
          <w:rFonts w:ascii="Times New Roman" w:hAnsi="Times New Roman"/>
        </w:rPr>
        <w:t xml:space="preserve">determined </w:t>
      </w:r>
      <w:r w:rsidR="00D57F82" w:rsidRPr="0008166C">
        <w:rPr>
          <w:rFonts w:ascii="Times New Roman" w:hAnsi="Times New Roman"/>
        </w:rPr>
        <w:t>by</w:t>
      </w:r>
      <w:r w:rsidR="001243CF" w:rsidRPr="0008166C">
        <w:rPr>
          <w:rFonts w:ascii="Times New Roman" w:hAnsi="Times New Roman"/>
        </w:rPr>
        <w:t xml:space="preserve"> the same court</w:t>
      </w:r>
      <w:r w:rsidR="001243CF" w:rsidRPr="0008166C">
        <w:rPr>
          <w:rStyle w:val="FootnoteReference"/>
          <w:rFonts w:ascii="Times New Roman" w:hAnsi="Times New Roman"/>
          <w:sz w:val="24"/>
        </w:rPr>
        <w:footnoteReference w:id="23"/>
      </w:r>
      <w:r w:rsidR="001243CF" w:rsidRPr="0008166C">
        <w:rPr>
          <w:rFonts w:ascii="Times New Roman" w:hAnsi="Times New Roman"/>
        </w:rPr>
        <w:t>.</w:t>
      </w:r>
      <w:r w:rsidR="00497B54" w:rsidRPr="0008166C">
        <w:rPr>
          <w:rFonts w:ascii="Times New Roman" w:hAnsi="Times New Roman"/>
        </w:rPr>
        <w:t xml:space="preserve"> T</w:t>
      </w:r>
      <w:r w:rsidR="001243CF" w:rsidRPr="0008166C">
        <w:rPr>
          <w:rFonts w:ascii="Times New Roman" w:hAnsi="Times New Roman"/>
        </w:rPr>
        <w:t xml:space="preserve">he </w:t>
      </w:r>
      <w:r w:rsidR="00DE3491" w:rsidRPr="0008166C">
        <w:rPr>
          <w:rFonts w:ascii="Times New Roman" w:hAnsi="Times New Roman"/>
        </w:rPr>
        <w:t>Supreme C</w:t>
      </w:r>
      <w:r w:rsidR="001243CF" w:rsidRPr="0008166C">
        <w:rPr>
          <w:rFonts w:ascii="Times New Roman" w:hAnsi="Times New Roman"/>
        </w:rPr>
        <w:t xml:space="preserve">ourt's </w:t>
      </w:r>
      <w:r w:rsidR="00497B54" w:rsidRPr="0008166C">
        <w:rPr>
          <w:rFonts w:ascii="Times New Roman" w:hAnsi="Times New Roman"/>
        </w:rPr>
        <w:t>fundamental function</w:t>
      </w:r>
      <w:r w:rsidR="001243CF" w:rsidRPr="0008166C">
        <w:rPr>
          <w:rFonts w:ascii="Times New Roman" w:hAnsi="Times New Roman"/>
        </w:rPr>
        <w:t xml:space="preserve"> as the independent arbiter of the merits of the group members' claims</w:t>
      </w:r>
      <w:r w:rsidR="00E32557" w:rsidRPr="0008166C">
        <w:rPr>
          <w:rFonts w:ascii="Times New Roman" w:hAnsi="Times New Roman"/>
        </w:rPr>
        <w:t xml:space="preserve"> as between</w:t>
      </w:r>
      <w:r w:rsidR="00805E09" w:rsidRPr="0008166C">
        <w:rPr>
          <w:rFonts w:ascii="Times New Roman" w:hAnsi="Times New Roman"/>
        </w:rPr>
        <w:t xml:space="preserve"> them and the defendant</w:t>
      </w:r>
      <w:r w:rsidR="00497B54" w:rsidRPr="0008166C">
        <w:rPr>
          <w:rFonts w:ascii="Times New Roman" w:hAnsi="Times New Roman"/>
        </w:rPr>
        <w:t xml:space="preserve"> sits awkwardly with the assumption, without legislative direction, of a role whereby the </w:t>
      </w:r>
      <w:r w:rsidR="00DE3491" w:rsidRPr="0008166C">
        <w:rPr>
          <w:rFonts w:ascii="Times New Roman" w:hAnsi="Times New Roman"/>
        </w:rPr>
        <w:t>C</w:t>
      </w:r>
      <w:r w:rsidR="00497B54" w:rsidRPr="0008166C">
        <w:rPr>
          <w:rFonts w:ascii="Times New Roman" w:hAnsi="Times New Roman"/>
        </w:rPr>
        <w:t>ourt makes a reputational investment in the choice of sponsor</w:t>
      </w:r>
      <w:r w:rsidR="00805E09" w:rsidRPr="0008166C">
        <w:rPr>
          <w:rFonts w:ascii="Times New Roman" w:hAnsi="Times New Roman"/>
        </w:rPr>
        <w:t>.</w:t>
      </w:r>
      <w:r w:rsidR="001243CF" w:rsidRPr="0008166C">
        <w:rPr>
          <w:rFonts w:ascii="Times New Roman" w:hAnsi="Times New Roman"/>
        </w:rPr>
        <w:t xml:space="preserve"> </w:t>
      </w:r>
    </w:p>
    <w:p w14:paraId="00841B86" w14:textId="08BC1FE1" w:rsidR="00A64B60" w:rsidRPr="0008166C" w:rsidRDefault="001E4281"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F472A2" w:rsidRPr="0008166C">
        <w:rPr>
          <w:rFonts w:ascii="Times New Roman" w:hAnsi="Times New Roman"/>
        </w:rPr>
        <w:t>T</w:t>
      </w:r>
      <w:r w:rsidR="00830A9D" w:rsidRPr="0008166C">
        <w:rPr>
          <w:rFonts w:ascii="Times New Roman" w:hAnsi="Times New Roman"/>
        </w:rPr>
        <w:t>he courts below erred in failing to give effect to the prima</w:t>
      </w:r>
      <w:r w:rsidR="00484211" w:rsidRPr="0008166C">
        <w:rPr>
          <w:rFonts w:ascii="Times New Roman" w:hAnsi="Times New Roman"/>
        </w:rPr>
        <w:t> </w:t>
      </w:r>
      <w:r w:rsidR="00830A9D" w:rsidRPr="0008166C">
        <w:rPr>
          <w:rFonts w:ascii="Times New Roman" w:hAnsi="Times New Roman"/>
        </w:rPr>
        <w:t>facie entitlement of Ms </w:t>
      </w:r>
      <w:proofErr w:type="spellStart"/>
      <w:r w:rsidR="00830A9D" w:rsidRPr="0008166C">
        <w:rPr>
          <w:rFonts w:ascii="Times New Roman" w:hAnsi="Times New Roman"/>
        </w:rPr>
        <w:t>Wigmans</w:t>
      </w:r>
      <w:proofErr w:type="spellEnd"/>
      <w:r w:rsidR="00830A9D" w:rsidRPr="0008166C">
        <w:rPr>
          <w:rFonts w:ascii="Times New Roman" w:hAnsi="Times New Roman"/>
        </w:rPr>
        <w:t xml:space="preserve"> to insist upon the determination of her proceedings</w:t>
      </w:r>
      <w:r w:rsidR="00C7341E" w:rsidRPr="0008166C">
        <w:rPr>
          <w:rFonts w:ascii="Times New Roman" w:hAnsi="Times New Roman"/>
        </w:rPr>
        <w:t>. T</w:t>
      </w:r>
      <w:r w:rsidR="00830A9D" w:rsidRPr="0008166C">
        <w:rPr>
          <w:rFonts w:ascii="Times New Roman" w:hAnsi="Times New Roman"/>
        </w:rPr>
        <w:t xml:space="preserve">he proceedings brought later in time </w:t>
      </w:r>
      <w:r w:rsidR="002D1AA1" w:rsidRPr="0008166C">
        <w:rPr>
          <w:rFonts w:ascii="Times New Roman" w:hAnsi="Times New Roman"/>
        </w:rPr>
        <w:t>offered</w:t>
      </w:r>
      <w:r w:rsidR="00830A9D" w:rsidRPr="0008166C">
        <w:rPr>
          <w:rFonts w:ascii="Times New Roman" w:hAnsi="Times New Roman"/>
        </w:rPr>
        <w:t xml:space="preserve"> </w:t>
      </w:r>
      <w:r w:rsidR="00602820" w:rsidRPr="0008166C">
        <w:rPr>
          <w:rFonts w:ascii="Times New Roman" w:hAnsi="Times New Roman"/>
        </w:rPr>
        <w:t>no legitimate juridical advantage</w:t>
      </w:r>
      <w:r w:rsidR="00A64B60" w:rsidRPr="0008166C">
        <w:rPr>
          <w:rFonts w:ascii="Times New Roman" w:hAnsi="Times New Roman"/>
        </w:rPr>
        <w:t xml:space="preserve"> to group members or to the defendant. </w:t>
      </w:r>
      <w:r w:rsidR="00D9458D" w:rsidRPr="0008166C">
        <w:rPr>
          <w:rFonts w:ascii="Times New Roman" w:hAnsi="Times New Roman"/>
        </w:rPr>
        <w:t xml:space="preserve">That being so, </w:t>
      </w:r>
      <w:r w:rsidR="00A64B60" w:rsidRPr="0008166C">
        <w:rPr>
          <w:rFonts w:ascii="Times New Roman" w:hAnsi="Times New Roman"/>
        </w:rPr>
        <w:t>Ms </w:t>
      </w:r>
      <w:proofErr w:type="spellStart"/>
      <w:r w:rsidR="00A64B60" w:rsidRPr="0008166C">
        <w:rPr>
          <w:rFonts w:ascii="Times New Roman" w:hAnsi="Times New Roman"/>
        </w:rPr>
        <w:t>Wigmans</w:t>
      </w:r>
      <w:proofErr w:type="spellEnd"/>
      <w:r w:rsidR="00A64B60" w:rsidRPr="0008166C">
        <w:rPr>
          <w:rFonts w:ascii="Times New Roman" w:hAnsi="Times New Roman"/>
        </w:rPr>
        <w:t>' appeal should be allowed and the later</w:t>
      </w:r>
      <w:r w:rsidR="00A64B60" w:rsidRPr="0008166C">
        <w:rPr>
          <w:rFonts w:ascii="Times New Roman" w:hAnsi="Times New Roman"/>
        </w:rPr>
        <w:noBreakHyphen/>
        <w:t>in</w:t>
      </w:r>
      <w:r w:rsidR="00A64B60" w:rsidRPr="0008166C">
        <w:rPr>
          <w:rFonts w:ascii="Times New Roman" w:hAnsi="Times New Roman"/>
        </w:rPr>
        <w:noBreakHyphen/>
        <w:t xml:space="preserve">time proceedings stayed. </w:t>
      </w:r>
    </w:p>
    <w:p w14:paraId="40759799" w14:textId="76B09CED" w:rsidR="005636A8" w:rsidRPr="0008166C" w:rsidRDefault="005636A8" w:rsidP="0008166C">
      <w:pPr>
        <w:pStyle w:val="HeadingL1"/>
        <w:spacing w:after="260" w:line="280" w:lineRule="exact"/>
        <w:ind w:right="0"/>
        <w:jc w:val="both"/>
        <w:rPr>
          <w:rFonts w:ascii="Times New Roman" w:hAnsi="Times New Roman"/>
        </w:rPr>
      </w:pPr>
      <w:r w:rsidRPr="0008166C">
        <w:rPr>
          <w:rFonts w:ascii="Times New Roman" w:hAnsi="Times New Roman"/>
        </w:rPr>
        <w:lastRenderedPageBreak/>
        <w:t>The CPA</w:t>
      </w:r>
    </w:p>
    <w:p w14:paraId="6A2A0259" w14:textId="0916BA7A" w:rsidR="003F29D1" w:rsidRPr="0008166C" w:rsidRDefault="003F29D1" w:rsidP="0008166C">
      <w:pPr>
        <w:pStyle w:val="FixListStyle"/>
        <w:spacing w:after="260" w:line="280" w:lineRule="exact"/>
        <w:ind w:right="0"/>
        <w:jc w:val="both"/>
        <w:rPr>
          <w:rFonts w:ascii="Times New Roman" w:hAnsi="Times New Roman"/>
        </w:rPr>
      </w:pPr>
      <w:r w:rsidRPr="0008166C">
        <w:rPr>
          <w:rFonts w:ascii="Times New Roman" w:hAnsi="Times New Roman"/>
        </w:rPr>
        <w:tab/>
        <w:t xml:space="preserve">It is necessary to refer </w:t>
      </w:r>
      <w:r w:rsidR="001243CF" w:rsidRPr="0008166C">
        <w:rPr>
          <w:rFonts w:ascii="Times New Roman" w:hAnsi="Times New Roman"/>
        </w:rPr>
        <w:t>at some length</w:t>
      </w:r>
      <w:r w:rsidRPr="0008166C">
        <w:rPr>
          <w:rFonts w:ascii="Times New Roman" w:hAnsi="Times New Roman"/>
        </w:rPr>
        <w:t xml:space="preserve"> to th</w:t>
      </w:r>
      <w:r w:rsidR="00E34768" w:rsidRPr="0008166C">
        <w:rPr>
          <w:rFonts w:ascii="Times New Roman" w:hAnsi="Times New Roman"/>
        </w:rPr>
        <w:t>e</w:t>
      </w:r>
      <w:r w:rsidRPr="0008166C">
        <w:rPr>
          <w:rFonts w:ascii="Times New Roman" w:hAnsi="Times New Roman"/>
        </w:rPr>
        <w:t xml:space="preserve"> p</w:t>
      </w:r>
      <w:r w:rsidR="009E15B8" w:rsidRPr="0008166C">
        <w:rPr>
          <w:rFonts w:ascii="Times New Roman" w:hAnsi="Times New Roman"/>
        </w:rPr>
        <w:t>rovisions of the CPA that deal</w:t>
      </w:r>
      <w:r w:rsidR="00E34768" w:rsidRPr="0008166C">
        <w:rPr>
          <w:rFonts w:ascii="Times New Roman" w:hAnsi="Times New Roman"/>
        </w:rPr>
        <w:t xml:space="preserve"> both</w:t>
      </w:r>
      <w:r w:rsidR="009E15B8" w:rsidRPr="0008166C">
        <w:rPr>
          <w:rFonts w:ascii="Times New Roman" w:hAnsi="Times New Roman"/>
        </w:rPr>
        <w:t xml:space="preserve"> with case management </w:t>
      </w:r>
      <w:r w:rsidR="00E34768" w:rsidRPr="0008166C">
        <w:rPr>
          <w:rFonts w:ascii="Times New Roman" w:hAnsi="Times New Roman"/>
        </w:rPr>
        <w:t>and</w:t>
      </w:r>
      <w:r w:rsidR="009E15B8" w:rsidRPr="0008166C">
        <w:rPr>
          <w:rFonts w:ascii="Times New Roman" w:hAnsi="Times New Roman"/>
        </w:rPr>
        <w:t xml:space="preserve"> </w:t>
      </w:r>
      <w:r w:rsidR="002B1E64" w:rsidRPr="0008166C">
        <w:rPr>
          <w:rFonts w:ascii="Times New Roman" w:hAnsi="Times New Roman"/>
        </w:rPr>
        <w:t xml:space="preserve">with </w:t>
      </w:r>
      <w:r w:rsidR="009E15B8" w:rsidRPr="0008166C">
        <w:rPr>
          <w:rFonts w:ascii="Times New Roman" w:hAnsi="Times New Roman"/>
        </w:rPr>
        <w:t xml:space="preserve">representative proceedings. </w:t>
      </w:r>
      <w:r w:rsidR="00AA4850" w:rsidRPr="0008166C">
        <w:rPr>
          <w:rFonts w:ascii="Times New Roman" w:hAnsi="Times New Roman"/>
        </w:rPr>
        <w:t>This</w:t>
      </w:r>
      <w:r w:rsidR="009E15B8" w:rsidRPr="0008166C">
        <w:rPr>
          <w:rFonts w:ascii="Times New Roman" w:hAnsi="Times New Roman"/>
        </w:rPr>
        <w:t xml:space="preserve"> comprehensive review</w:t>
      </w:r>
      <w:r w:rsidR="00050EC5" w:rsidRPr="0008166C">
        <w:rPr>
          <w:rFonts w:ascii="Times New Roman" w:hAnsi="Times New Roman"/>
        </w:rPr>
        <w:t xml:space="preserve"> is necessary </w:t>
      </w:r>
      <w:r w:rsidR="00186663" w:rsidRPr="0008166C">
        <w:rPr>
          <w:rFonts w:ascii="Times New Roman" w:hAnsi="Times New Roman"/>
        </w:rPr>
        <w:t xml:space="preserve">in order </w:t>
      </w:r>
      <w:r w:rsidR="00050EC5" w:rsidRPr="0008166C">
        <w:rPr>
          <w:rFonts w:ascii="Times New Roman" w:hAnsi="Times New Roman"/>
        </w:rPr>
        <w:t xml:space="preserve">to </w:t>
      </w:r>
      <w:r w:rsidR="00E34768" w:rsidRPr="0008166C">
        <w:rPr>
          <w:rFonts w:ascii="Times New Roman" w:hAnsi="Times New Roman"/>
        </w:rPr>
        <w:t>demonstrate</w:t>
      </w:r>
      <w:r w:rsidR="00050EC5" w:rsidRPr="0008166C">
        <w:rPr>
          <w:rFonts w:ascii="Times New Roman" w:hAnsi="Times New Roman"/>
        </w:rPr>
        <w:t xml:space="preserve"> that the</w:t>
      </w:r>
      <w:r w:rsidR="00BD3C63" w:rsidRPr="0008166C">
        <w:rPr>
          <w:rFonts w:ascii="Times New Roman" w:hAnsi="Times New Roman"/>
        </w:rPr>
        <w:t xml:space="preserve"> CPA does not contemplate </w:t>
      </w:r>
      <w:r w:rsidR="001E7E17" w:rsidRPr="0008166C">
        <w:rPr>
          <w:rFonts w:ascii="Times New Roman" w:hAnsi="Times New Roman"/>
        </w:rPr>
        <w:t>the exercise performed by the primary judge</w:t>
      </w:r>
      <w:r w:rsidR="00050EC5" w:rsidRPr="0008166C">
        <w:rPr>
          <w:rFonts w:ascii="Times New Roman" w:hAnsi="Times New Roman"/>
        </w:rPr>
        <w:t>.</w:t>
      </w:r>
    </w:p>
    <w:p w14:paraId="7A459B00" w14:textId="77777777" w:rsidR="005636A8" w:rsidRPr="0008166C" w:rsidRDefault="005636A8" w:rsidP="0008166C">
      <w:pPr>
        <w:pStyle w:val="HeadingL2"/>
        <w:spacing w:after="260" w:line="280" w:lineRule="exact"/>
        <w:ind w:right="0"/>
        <w:jc w:val="both"/>
        <w:rPr>
          <w:rFonts w:ascii="Times New Roman" w:hAnsi="Times New Roman"/>
        </w:rPr>
      </w:pPr>
      <w:r w:rsidRPr="0008166C">
        <w:rPr>
          <w:rFonts w:ascii="Times New Roman" w:hAnsi="Times New Roman"/>
        </w:rPr>
        <w:t>Case management</w:t>
      </w:r>
    </w:p>
    <w:p w14:paraId="5B5847B5" w14:textId="3D45B811" w:rsidR="005636A8" w:rsidRPr="0008166C" w:rsidRDefault="005636A8" w:rsidP="0008166C">
      <w:pPr>
        <w:pStyle w:val="FixListStyle"/>
        <w:spacing w:after="260" w:line="280" w:lineRule="exact"/>
        <w:ind w:right="0"/>
        <w:jc w:val="both"/>
        <w:rPr>
          <w:rFonts w:ascii="Times New Roman" w:hAnsi="Times New Roman"/>
        </w:rPr>
      </w:pPr>
      <w:r w:rsidRPr="0008166C">
        <w:rPr>
          <w:rFonts w:ascii="Times New Roman" w:hAnsi="Times New Roman"/>
        </w:rPr>
        <w:tab/>
      </w:r>
      <w:bookmarkStart w:id="3" w:name="_Ref55365947"/>
      <w:r w:rsidRPr="0008166C">
        <w:rPr>
          <w:rFonts w:ascii="Times New Roman" w:hAnsi="Times New Roman"/>
        </w:rPr>
        <w:t>Section</w:t>
      </w:r>
      <w:r w:rsidR="00BD30C0" w:rsidRPr="0008166C">
        <w:rPr>
          <w:rFonts w:ascii="Times New Roman" w:hAnsi="Times New Roman"/>
        </w:rPr>
        <w:t> </w:t>
      </w:r>
      <w:r w:rsidRPr="0008166C">
        <w:rPr>
          <w:rFonts w:ascii="Times New Roman" w:hAnsi="Times New Roman"/>
        </w:rPr>
        <w:t>67 of the CPA, appearing in Pt 6 "Case management and interlocutory matters", provides that:</w:t>
      </w:r>
      <w:bookmarkEnd w:id="3"/>
    </w:p>
    <w:p w14:paraId="6F569FC6" w14:textId="77777777" w:rsidR="0008166C" w:rsidRDefault="000200E5" w:rsidP="0008166C">
      <w:pPr>
        <w:pStyle w:val="leftright"/>
        <w:spacing w:before="0" w:after="260" w:line="280" w:lineRule="exact"/>
        <w:ind w:right="0"/>
        <w:jc w:val="both"/>
        <w:rPr>
          <w:rFonts w:ascii="Times New Roman" w:hAnsi="Times New Roman"/>
        </w:rPr>
      </w:pPr>
      <w:r w:rsidRPr="0008166C">
        <w:rPr>
          <w:rFonts w:ascii="Times New Roman" w:hAnsi="Times New Roman"/>
        </w:rPr>
        <w:t>"</w:t>
      </w:r>
      <w:r w:rsidR="005636A8" w:rsidRPr="0008166C">
        <w:rPr>
          <w:rFonts w:ascii="Times New Roman" w:hAnsi="Times New Roman"/>
        </w:rPr>
        <w:t>Subject to rules of court, the court may at any time and from time to time, by order, stay any proceedings before it, either permanently or until a specified day.</w:t>
      </w:r>
      <w:r w:rsidRPr="0008166C">
        <w:rPr>
          <w:rFonts w:ascii="Times New Roman" w:hAnsi="Times New Roman"/>
        </w:rPr>
        <w:t>"</w:t>
      </w:r>
      <w:r w:rsidR="005636A8" w:rsidRPr="0008166C">
        <w:rPr>
          <w:rFonts w:ascii="Times New Roman" w:hAnsi="Times New Roman"/>
        </w:rPr>
        <w:t xml:space="preserve"> </w:t>
      </w:r>
    </w:p>
    <w:p w14:paraId="791A7D3A" w14:textId="4E2B5487" w:rsidR="005636A8" w:rsidRPr="0008166C" w:rsidRDefault="005636A8" w:rsidP="0008166C">
      <w:pPr>
        <w:pStyle w:val="FixListStyle"/>
        <w:spacing w:after="260" w:line="280" w:lineRule="exact"/>
        <w:ind w:right="0"/>
        <w:jc w:val="both"/>
        <w:rPr>
          <w:rFonts w:ascii="Times New Roman" w:hAnsi="Times New Roman"/>
        </w:rPr>
      </w:pPr>
      <w:r w:rsidRPr="0008166C">
        <w:rPr>
          <w:rFonts w:ascii="Times New Roman" w:hAnsi="Times New Roman"/>
        </w:rPr>
        <w:tab/>
        <w:t>Section</w:t>
      </w:r>
      <w:r w:rsidR="00BD30C0" w:rsidRPr="0008166C">
        <w:rPr>
          <w:rFonts w:ascii="Times New Roman" w:hAnsi="Times New Roman"/>
        </w:rPr>
        <w:t> </w:t>
      </w:r>
      <w:r w:rsidRPr="0008166C">
        <w:rPr>
          <w:rFonts w:ascii="Times New Roman" w:hAnsi="Times New Roman"/>
        </w:rPr>
        <w:t>58(1) provides that, in exercising this power, the Supreme Court</w:t>
      </w:r>
      <w:r w:rsidRPr="0008166C">
        <w:rPr>
          <w:rStyle w:val="FootnoteReference"/>
          <w:rFonts w:ascii="Times New Roman" w:hAnsi="Times New Roman"/>
          <w:sz w:val="24"/>
        </w:rPr>
        <w:footnoteReference w:id="24"/>
      </w:r>
      <w:r w:rsidRPr="0008166C">
        <w:rPr>
          <w:rFonts w:ascii="Times New Roman" w:hAnsi="Times New Roman"/>
        </w:rPr>
        <w:t xml:space="preserve"> must follow the "dictates of justice". It provides:</w:t>
      </w:r>
    </w:p>
    <w:p w14:paraId="08431375" w14:textId="69A6CF35" w:rsidR="005636A8" w:rsidRPr="0008166C" w:rsidRDefault="000D7FC2" w:rsidP="0008166C">
      <w:pPr>
        <w:pStyle w:val="leftright"/>
        <w:spacing w:before="0" w:after="260" w:line="280" w:lineRule="exact"/>
        <w:ind w:right="0"/>
        <w:jc w:val="both"/>
        <w:rPr>
          <w:rFonts w:ascii="Times New Roman" w:hAnsi="Times New Roman"/>
        </w:rPr>
      </w:pPr>
      <w:r w:rsidRPr="0008166C">
        <w:rPr>
          <w:rFonts w:ascii="Times New Roman" w:hAnsi="Times New Roman"/>
        </w:rPr>
        <w:t>"</w:t>
      </w:r>
      <w:r w:rsidR="005636A8" w:rsidRPr="0008166C">
        <w:rPr>
          <w:rFonts w:ascii="Times New Roman" w:hAnsi="Times New Roman"/>
        </w:rPr>
        <w:t>In deciding</w:t>
      </w:r>
      <w:r w:rsidR="00326EFF" w:rsidRPr="0008166C">
        <w:rPr>
          <w:rFonts w:ascii="Times New Roman" w:hAnsi="Times New Roman"/>
        </w:rPr>
        <w:t xml:space="preserve"> –</w:t>
      </w:r>
    </w:p>
    <w:p w14:paraId="104E2CE0" w14:textId="3F681FBC" w:rsidR="005636A8" w:rsidRPr="0008166C" w:rsidRDefault="005636A8" w:rsidP="0008166C">
      <w:pPr>
        <w:pStyle w:val="leftright"/>
        <w:spacing w:before="0" w:after="260" w:line="280" w:lineRule="exact"/>
        <w:ind w:left="1440" w:right="0" w:hanging="1440"/>
        <w:jc w:val="both"/>
        <w:rPr>
          <w:rFonts w:ascii="Times New Roman" w:hAnsi="Times New Roman"/>
        </w:rPr>
      </w:pPr>
      <w:r w:rsidRPr="0008166C">
        <w:rPr>
          <w:rFonts w:ascii="Times New Roman" w:hAnsi="Times New Roman"/>
        </w:rPr>
        <w:tab/>
        <w:t>(a)</w:t>
      </w:r>
      <w:r w:rsidRPr="0008166C">
        <w:rPr>
          <w:rFonts w:ascii="Times New Roman" w:hAnsi="Times New Roman"/>
        </w:rPr>
        <w:tab/>
        <w:t>whether to make any order or direction for the management of proceedings, including</w:t>
      </w:r>
      <w:r w:rsidR="00326EFF" w:rsidRPr="0008166C">
        <w:rPr>
          <w:rFonts w:ascii="Times New Roman" w:hAnsi="Times New Roman"/>
        </w:rPr>
        <w:t xml:space="preserve"> –</w:t>
      </w:r>
    </w:p>
    <w:p w14:paraId="221C37C9" w14:textId="77777777" w:rsidR="005636A8" w:rsidRPr="0008166C" w:rsidRDefault="005636A8" w:rsidP="0008166C">
      <w:pPr>
        <w:pStyle w:val="leftright"/>
        <w:spacing w:before="0" w:after="260" w:line="280" w:lineRule="exact"/>
        <w:ind w:left="2160" w:right="0" w:hanging="2160"/>
        <w:jc w:val="both"/>
        <w:rPr>
          <w:rFonts w:ascii="Times New Roman" w:hAnsi="Times New Roman"/>
        </w:rPr>
      </w:pPr>
      <w:r w:rsidRPr="0008166C">
        <w:rPr>
          <w:rFonts w:ascii="Times New Roman" w:hAnsi="Times New Roman"/>
        </w:rPr>
        <w:tab/>
      </w:r>
      <w:r w:rsidRPr="0008166C">
        <w:rPr>
          <w:rFonts w:ascii="Times New Roman" w:hAnsi="Times New Roman"/>
        </w:rPr>
        <w:tab/>
        <w:t>(</w:t>
      </w:r>
      <w:proofErr w:type="spellStart"/>
      <w:r w:rsidRPr="0008166C">
        <w:rPr>
          <w:rFonts w:ascii="Times New Roman" w:hAnsi="Times New Roman"/>
        </w:rPr>
        <w:t>i</w:t>
      </w:r>
      <w:proofErr w:type="spellEnd"/>
      <w:r w:rsidRPr="0008166C">
        <w:rPr>
          <w:rFonts w:ascii="Times New Roman" w:hAnsi="Times New Roman"/>
        </w:rPr>
        <w:t>)</w:t>
      </w:r>
      <w:r w:rsidRPr="0008166C">
        <w:rPr>
          <w:rFonts w:ascii="Times New Roman" w:hAnsi="Times New Roman"/>
        </w:rPr>
        <w:tab/>
        <w:t>any order for the amendment of a document, and</w:t>
      </w:r>
    </w:p>
    <w:p w14:paraId="2F94EC84" w14:textId="77777777" w:rsidR="005636A8" w:rsidRPr="0008166C" w:rsidRDefault="005636A8" w:rsidP="0008166C">
      <w:pPr>
        <w:pStyle w:val="leftright"/>
        <w:spacing w:before="0" w:after="260" w:line="280" w:lineRule="exact"/>
        <w:ind w:left="2160" w:right="0" w:hanging="2160"/>
        <w:jc w:val="both"/>
        <w:rPr>
          <w:rFonts w:ascii="Times New Roman" w:hAnsi="Times New Roman"/>
        </w:rPr>
      </w:pPr>
      <w:r w:rsidRPr="0008166C">
        <w:rPr>
          <w:rFonts w:ascii="Times New Roman" w:hAnsi="Times New Roman"/>
        </w:rPr>
        <w:tab/>
      </w:r>
      <w:r w:rsidRPr="0008166C">
        <w:rPr>
          <w:rFonts w:ascii="Times New Roman" w:hAnsi="Times New Roman"/>
        </w:rPr>
        <w:tab/>
        <w:t>(ii)</w:t>
      </w:r>
      <w:r w:rsidRPr="0008166C">
        <w:rPr>
          <w:rFonts w:ascii="Times New Roman" w:hAnsi="Times New Roman"/>
        </w:rPr>
        <w:tab/>
        <w:t>any order granting an adjournment or stay of proceedings, and</w:t>
      </w:r>
    </w:p>
    <w:p w14:paraId="7F425D44" w14:textId="77777777" w:rsidR="005636A8" w:rsidRPr="0008166C" w:rsidRDefault="005636A8" w:rsidP="0008166C">
      <w:pPr>
        <w:pStyle w:val="leftright"/>
        <w:spacing w:before="0" w:after="260" w:line="280" w:lineRule="exact"/>
        <w:ind w:left="2160" w:right="0" w:hanging="2160"/>
        <w:jc w:val="both"/>
        <w:rPr>
          <w:rFonts w:ascii="Times New Roman" w:hAnsi="Times New Roman"/>
        </w:rPr>
      </w:pPr>
      <w:r w:rsidRPr="0008166C">
        <w:rPr>
          <w:rFonts w:ascii="Times New Roman" w:hAnsi="Times New Roman"/>
        </w:rPr>
        <w:tab/>
      </w:r>
      <w:r w:rsidRPr="0008166C">
        <w:rPr>
          <w:rFonts w:ascii="Times New Roman" w:hAnsi="Times New Roman"/>
        </w:rPr>
        <w:tab/>
        <w:t>(iii)</w:t>
      </w:r>
      <w:r w:rsidRPr="0008166C">
        <w:rPr>
          <w:rFonts w:ascii="Times New Roman" w:hAnsi="Times New Roman"/>
        </w:rPr>
        <w:tab/>
        <w:t>any other order of a procedural nature, and</w:t>
      </w:r>
    </w:p>
    <w:p w14:paraId="3000E753" w14:textId="77777777" w:rsidR="005636A8" w:rsidRPr="0008166C" w:rsidRDefault="005636A8" w:rsidP="0008166C">
      <w:pPr>
        <w:pStyle w:val="leftright"/>
        <w:spacing w:before="0" w:after="260" w:line="280" w:lineRule="exact"/>
        <w:ind w:left="1440" w:right="0" w:hanging="1440"/>
        <w:jc w:val="both"/>
        <w:rPr>
          <w:rFonts w:ascii="Times New Roman" w:hAnsi="Times New Roman"/>
        </w:rPr>
      </w:pPr>
      <w:r w:rsidRPr="0008166C">
        <w:rPr>
          <w:rFonts w:ascii="Times New Roman" w:hAnsi="Times New Roman"/>
        </w:rPr>
        <w:tab/>
      </w:r>
      <w:r w:rsidRPr="0008166C">
        <w:rPr>
          <w:rFonts w:ascii="Times New Roman" w:hAnsi="Times New Roman"/>
        </w:rPr>
        <w:tab/>
        <w:t>(iv)</w:t>
      </w:r>
      <w:r w:rsidRPr="0008166C">
        <w:rPr>
          <w:rFonts w:ascii="Times New Roman" w:hAnsi="Times New Roman"/>
        </w:rPr>
        <w:tab/>
        <w:t>any direction under Division 2, and</w:t>
      </w:r>
    </w:p>
    <w:p w14:paraId="2DB72B1A" w14:textId="77777777" w:rsidR="005636A8" w:rsidRPr="0008166C" w:rsidRDefault="005636A8" w:rsidP="0008166C">
      <w:pPr>
        <w:pStyle w:val="leftright"/>
        <w:spacing w:before="0" w:after="260" w:line="280" w:lineRule="exact"/>
        <w:ind w:left="1440" w:right="0" w:hanging="1440"/>
        <w:jc w:val="both"/>
        <w:rPr>
          <w:rFonts w:ascii="Times New Roman" w:hAnsi="Times New Roman"/>
        </w:rPr>
      </w:pPr>
      <w:r w:rsidRPr="0008166C">
        <w:rPr>
          <w:rFonts w:ascii="Times New Roman" w:hAnsi="Times New Roman"/>
        </w:rPr>
        <w:tab/>
        <w:t>(b)</w:t>
      </w:r>
      <w:r w:rsidRPr="0008166C">
        <w:rPr>
          <w:rFonts w:ascii="Times New Roman" w:hAnsi="Times New Roman"/>
        </w:rPr>
        <w:tab/>
        <w:t>the terms in which any such order or direction is to be made,</w:t>
      </w:r>
    </w:p>
    <w:p w14:paraId="35A33323" w14:textId="77777777" w:rsidR="0008166C" w:rsidRDefault="005636A8" w:rsidP="0008166C">
      <w:pPr>
        <w:pStyle w:val="leftright"/>
        <w:spacing w:before="0" w:after="260" w:line="280" w:lineRule="exact"/>
        <w:ind w:right="0" w:hanging="720"/>
        <w:jc w:val="both"/>
        <w:rPr>
          <w:rFonts w:ascii="Times New Roman" w:hAnsi="Times New Roman"/>
        </w:rPr>
      </w:pPr>
      <w:r w:rsidRPr="0008166C">
        <w:rPr>
          <w:rFonts w:ascii="Times New Roman" w:hAnsi="Times New Roman"/>
        </w:rPr>
        <w:tab/>
        <w:t>the court must seek to act in accordance with the dictates of justice.</w:t>
      </w:r>
      <w:r w:rsidR="006F1B61" w:rsidRPr="0008166C">
        <w:rPr>
          <w:rFonts w:ascii="Times New Roman" w:hAnsi="Times New Roman"/>
        </w:rPr>
        <w:t>"</w:t>
      </w:r>
    </w:p>
    <w:p w14:paraId="3E2859CC" w14:textId="5FC2221A" w:rsidR="005636A8" w:rsidRPr="0008166C" w:rsidRDefault="005636A8" w:rsidP="0008166C">
      <w:pPr>
        <w:pStyle w:val="FixListStyle"/>
        <w:spacing w:after="260" w:line="280" w:lineRule="exact"/>
        <w:ind w:right="0"/>
        <w:jc w:val="both"/>
        <w:rPr>
          <w:rFonts w:ascii="Times New Roman" w:hAnsi="Times New Roman"/>
        </w:rPr>
      </w:pPr>
      <w:r w:rsidRPr="0008166C">
        <w:rPr>
          <w:rFonts w:ascii="Times New Roman" w:hAnsi="Times New Roman"/>
        </w:rPr>
        <w:tab/>
        <w:t>Section</w:t>
      </w:r>
      <w:r w:rsidR="00BD30C0" w:rsidRPr="0008166C">
        <w:rPr>
          <w:rFonts w:ascii="Times New Roman" w:hAnsi="Times New Roman"/>
        </w:rPr>
        <w:t> </w:t>
      </w:r>
      <w:r w:rsidRPr="0008166C">
        <w:rPr>
          <w:rFonts w:ascii="Times New Roman" w:hAnsi="Times New Roman"/>
        </w:rPr>
        <w:t xml:space="preserve">58(2) provides guidance as to "the dictates of justice", </w:t>
      </w:r>
      <w:r w:rsidR="002535EB" w:rsidRPr="0008166C">
        <w:rPr>
          <w:rFonts w:ascii="Times New Roman" w:hAnsi="Times New Roman"/>
        </w:rPr>
        <w:t>stating</w:t>
      </w:r>
      <w:r w:rsidRPr="0008166C">
        <w:rPr>
          <w:rFonts w:ascii="Times New Roman" w:hAnsi="Times New Roman"/>
        </w:rPr>
        <w:t xml:space="preserve"> that:</w:t>
      </w:r>
    </w:p>
    <w:p w14:paraId="2D09B75C" w14:textId="10DB3B44" w:rsidR="005636A8" w:rsidRPr="0008166C" w:rsidRDefault="00CD3E9D" w:rsidP="0008166C">
      <w:pPr>
        <w:pStyle w:val="leftright"/>
        <w:spacing w:before="0" w:after="260" w:line="280" w:lineRule="exact"/>
        <w:ind w:right="0" w:hanging="720"/>
        <w:jc w:val="both"/>
        <w:rPr>
          <w:rFonts w:ascii="Times New Roman" w:hAnsi="Times New Roman"/>
        </w:rPr>
      </w:pPr>
      <w:r w:rsidRPr="0008166C">
        <w:rPr>
          <w:rFonts w:ascii="Times New Roman" w:hAnsi="Times New Roman"/>
        </w:rPr>
        <w:tab/>
      </w:r>
      <w:r w:rsidR="00DF09FF" w:rsidRPr="0008166C">
        <w:rPr>
          <w:rFonts w:ascii="Times New Roman" w:hAnsi="Times New Roman"/>
        </w:rPr>
        <w:t>"</w:t>
      </w:r>
      <w:r w:rsidR="005636A8" w:rsidRPr="0008166C">
        <w:rPr>
          <w:rFonts w:ascii="Times New Roman" w:hAnsi="Times New Roman"/>
        </w:rPr>
        <w:t>For the purpose of determining what are the dictates of justice in a particular case, the court</w:t>
      </w:r>
      <w:r w:rsidR="00F85321" w:rsidRPr="0008166C">
        <w:rPr>
          <w:rFonts w:ascii="Times New Roman" w:hAnsi="Times New Roman"/>
        </w:rPr>
        <w:t xml:space="preserve"> –</w:t>
      </w:r>
    </w:p>
    <w:p w14:paraId="68CC0C80" w14:textId="77777777" w:rsidR="005636A8" w:rsidRPr="0008166C" w:rsidRDefault="005636A8" w:rsidP="0008166C">
      <w:pPr>
        <w:pStyle w:val="leftright"/>
        <w:spacing w:before="0" w:after="260" w:line="280" w:lineRule="exact"/>
        <w:ind w:left="1440" w:right="0" w:hanging="1440"/>
        <w:jc w:val="both"/>
        <w:rPr>
          <w:rFonts w:ascii="Times New Roman" w:hAnsi="Times New Roman"/>
        </w:rPr>
      </w:pPr>
      <w:r w:rsidRPr="0008166C">
        <w:rPr>
          <w:rFonts w:ascii="Times New Roman" w:hAnsi="Times New Roman"/>
        </w:rPr>
        <w:tab/>
        <w:t>(a)</w:t>
      </w:r>
      <w:r w:rsidRPr="0008166C">
        <w:rPr>
          <w:rFonts w:ascii="Times New Roman" w:hAnsi="Times New Roman"/>
        </w:rPr>
        <w:tab/>
        <w:t>must have regard to the provisions of sections 56 and 57, and</w:t>
      </w:r>
    </w:p>
    <w:p w14:paraId="770880A9" w14:textId="5A7A7EA0" w:rsidR="005636A8" w:rsidRPr="0008166C" w:rsidRDefault="005636A8" w:rsidP="0008166C">
      <w:pPr>
        <w:pStyle w:val="leftright"/>
        <w:spacing w:before="0" w:after="260" w:line="280" w:lineRule="exact"/>
        <w:ind w:left="1440" w:right="0" w:hanging="1440"/>
        <w:jc w:val="both"/>
        <w:rPr>
          <w:rFonts w:ascii="Times New Roman" w:hAnsi="Times New Roman"/>
        </w:rPr>
      </w:pPr>
      <w:r w:rsidRPr="0008166C">
        <w:rPr>
          <w:rFonts w:ascii="Times New Roman" w:hAnsi="Times New Roman"/>
        </w:rPr>
        <w:lastRenderedPageBreak/>
        <w:tab/>
        <w:t>(b)</w:t>
      </w:r>
      <w:r w:rsidRPr="0008166C">
        <w:rPr>
          <w:rFonts w:ascii="Times New Roman" w:hAnsi="Times New Roman"/>
        </w:rPr>
        <w:tab/>
        <w:t>may have regard to the following matters to the extent to which it considers them relevant</w:t>
      </w:r>
      <w:r w:rsidR="00326EFF" w:rsidRPr="0008166C">
        <w:rPr>
          <w:rFonts w:ascii="Times New Roman" w:hAnsi="Times New Roman"/>
        </w:rPr>
        <w:t xml:space="preserve"> –</w:t>
      </w:r>
    </w:p>
    <w:p w14:paraId="1C3CBE65" w14:textId="77777777" w:rsidR="005636A8" w:rsidRPr="0008166C" w:rsidRDefault="005636A8" w:rsidP="0008166C">
      <w:pPr>
        <w:pStyle w:val="leftright"/>
        <w:spacing w:before="0" w:after="260" w:line="280" w:lineRule="exact"/>
        <w:ind w:left="2160" w:right="0" w:hanging="2160"/>
        <w:jc w:val="both"/>
        <w:rPr>
          <w:rFonts w:ascii="Times New Roman" w:hAnsi="Times New Roman"/>
        </w:rPr>
      </w:pPr>
      <w:r w:rsidRPr="0008166C">
        <w:rPr>
          <w:rFonts w:ascii="Times New Roman" w:hAnsi="Times New Roman"/>
        </w:rPr>
        <w:tab/>
      </w:r>
      <w:r w:rsidRPr="0008166C">
        <w:rPr>
          <w:rFonts w:ascii="Times New Roman" w:hAnsi="Times New Roman"/>
        </w:rPr>
        <w:tab/>
        <w:t>(</w:t>
      </w:r>
      <w:proofErr w:type="spellStart"/>
      <w:r w:rsidRPr="0008166C">
        <w:rPr>
          <w:rFonts w:ascii="Times New Roman" w:hAnsi="Times New Roman"/>
        </w:rPr>
        <w:t>i</w:t>
      </w:r>
      <w:proofErr w:type="spellEnd"/>
      <w:r w:rsidRPr="0008166C">
        <w:rPr>
          <w:rFonts w:ascii="Times New Roman" w:hAnsi="Times New Roman"/>
        </w:rPr>
        <w:t>)</w:t>
      </w:r>
      <w:r w:rsidRPr="0008166C">
        <w:rPr>
          <w:rFonts w:ascii="Times New Roman" w:hAnsi="Times New Roman"/>
        </w:rPr>
        <w:tab/>
        <w:t>the degree of difficulty or complexity to which the issues in the proceedings give rise,</w:t>
      </w:r>
    </w:p>
    <w:p w14:paraId="6160EADA" w14:textId="77777777" w:rsidR="005636A8" w:rsidRPr="0008166C" w:rsidRDefault="005636A8" w:rsidP="0008166C">
      <w:pPr>
        <w:pStyle w:val="leftright"/>
        <w:spacing w:before="0" w:after="260" w:line="280" w:lineRule="exact"/>
        <w:ind w:left="2160" w:right="0" w:hanging="2160"/>
        <w:jc w:val="both"/>
        <w:rPr>
          <w:rFonts w:ascii="Times New Roman" w:hAnsi="Times New Roman"/>
        </w:rPr>
      </w:pPr>
      <w:r w:rsidRPr="0008166C">
        <w:rPr>
          <w:rFonts w:ascii="Times New Roman" w:hAnsi="Times New Roman"/>
        </w:rPr>
        <w:tab/>
      </w:r>
      <w:r w:rsidRPr="0008166C">
        <w:rPr>
          <w:rFonts w:ascii="Times New Roman" w:hAnsi="Times New Roman"/>
        </w:rPr>
        <w:tab/>
        <w:t>(ii)</w:t>
      </w:r>
      <w:r w:rsidRPr="0008166C">
        <w:rPr>
          <w:rFonts w:ascii="Times New Roman" w:hAnsi="Times New Roman"/>
        </w:rPr>
        <w:tab/>
        <w:t>the degree of expedition with which the respective parties have approached the proceedings, including the degree to which they have been timely in their interlocutory activities,</w:t>
      </w:r>
    </w:p>
    <w:p w14:paraId="5E1E95F2" w14:textId="77777777" w:rsidR="005636A8" w:rsidRPr="0008166C" w:rsidRDefault="005636A8" w:rsidP="0008166C">
      <w:pPr>
        <w:pStyle w:val="leftright"/>
        <w:spacing w:before="0" w:after="260" w:line="280" w:lineRule="exact"/>
        <w:ind w:left="2160" w:right="0" w:hanging="2160"/>
        <w:jc w:val="both"/>
        <w:rPr>
          <w:rFonts w:ascii="Times New Roman" w:hAnsi="Times New Roman"/>
        </w:rPr>
      </w:pPr>
      <w:r w:rsidRPr="0008166C">
        <w:rPr>
          <w:rFonts w:ascii="Times New Roman" w:hAnsi="Times New Roman"/>
        </w:rPr>
        <w:tab/>
      </w:r>
      <w:r w:rsidRPr="0008166C">
        <w:rPr>
          <w:rFonts w:ascii="Times New Roman" w:hAnsi="Times New Roman"/>
        </w:rPr>
        <w:tab/>
        <w:t>(iii)</w:t>
      </w:r>
      <w:r w:rsidRPr="0008166C">
        <w:rPr>
          <w:rFonts w:ascii="Times New Roman" w:hAnsi="Times New Roman"/>
        </w:rPr>
        <w:tab/>
        <w:t xml:space="preserve">the degree to which any lack of expedition in approaching the proceedings has arisen from circumstances beyond the control of the respective parties, </w:t>
      </w:r>
    </w:p>
    <w:p w14:paraId="566B3C34" w14:textId="77777777" w:rsidR="005636A8" w:rsidRPr="0008166C" w:rsidRDefault="005636A8" w:rsidP="0008166C">
      <w:pPr>
        <w:pStyle w:val="leftright"/>
        <w:spacing w:before="0" w:after="260" w:line="280" w:lineRule="exact"/>
        <w:ind w:left="2160" w:right="0" w:hanging="2160"/>
        <w:jc w:val="both"/>
        <w:rPr>
          <w:rFonts w:ascii="Times New Roman" w:hAnsi="Times New Roman"/>
        </w:rPr>
      </w:pPr>
      <w:r w:rsidRPr="0008166C">
        <w:rPr>
          <w:rFonts w:ascii="Times New Roman" w:hAnsi="Times New Roman"/>
        </w:rPr>
        <w:tab/>
      </w:r>
      <w:r w:rsidRPr="0008166C">
        <w:rPr>
          <w:rFonts w:ascii="Times New Roman" w:hAnsi="Times New Roman"/>
        </w:rPr>
        <w:tab/>
        <w:t>(iv)</w:t>
      </w:r>
      <w:r w:rsidRPr="0008166C">
        <w:rPr>
          <w:rFonts w:ascii="Times New Roman" w:hAnsi="Times New Roman"/>
        </w:rPr>
        <w:tab/>
        <w:t>the degree to which the respective parties have fulfilled their duties under section 56(3),</w:t>
      </w:r>
    </w:p>
    <w:p w14:paraId="6AF1882E" w14:textId="77777777" w:rsidR="005636A8" w:rsidRPr="0008166C" w:rsidRDefault="005636A8" w:rsidP="0008166C">
      <w:pPr>
        <w:pStyle w:val="leftright"/>
        <w:spacing w:before="0" w:after="260" w:line="280" w:lineRule="exact"/>
        <w:ind w:left="2160" w:right="0" w:hanging="2160"/>
        <w:jc w:val="both"/>
        <w:rPr>
          <w:rFonts w:ascii="Times New Roman" w:hAnsi="Times New Roman"/>
        </w:rPr>
      </w:pPr>
      <w:r w:rsidRPr="0008166C">
        <w:rPr>
          <w:rFonts w:ascii="Times New Roman" w:hAnsi="Times New Roman"/>
        </w:rPr>
        <w:tab/>
      </w:r>
      <w:r w:rsidRPr="0008166C">
        <w:rPr>
          <w:rFonts w:ascii="Times New Roman" w:hAnsi="Times New Roman"/>
        </w:rPr>
        <w:tab/>
        <w:t>(v)</w:t>
      </w:r>
      <w:r w:rsidRPr="0008166C">
        <w:rPr>
          <w:rFonts w:ascii="Times New Roman" w:hAnsi="Times New Roman"/>
        </w:rPr>
        <w:tab/>
        <w:t>the use that any party has made, or could have made, of any opportunity that has been available to the party in the course of the proceedings, whether under rules of court, the practice of the court or any direction of a procedural nature given in the proceedings,</w:t>
      </w:r>
    </w:p>
    <w:p w14:paraId="4F023F20" w14:textId="77777777" w:rsidR="005636A8" w:rsidRPr="0008166C" w:rsidRDefault="005636A8" w:rsidP="0008166C">
      <w:pPr>
        <w:pStyle w:val="leftright"/>
        <w:spacing w:before="0" w:after="260" w:line="280" w:lineRule="exact"/>
        <w:ind w:left="2160" w:right="0" w:hanging="2160"/>
        <w:jc w:val="both"/>
        <w:rPr>
          <w:rFonts w:ascii="Times New Roman" w:hAnsi="Times New Roman"/>
        </w:rPr>
      </w:pPr>
      <w:r w:rsidRPr="0008166C">
        <w:rPr>
          <w:rFonts w:ascii="Times New Roman" w:hAnsi="Times New Roman"/>
        </w:rPr>
        <w:tab/>
      </w:r>
      <w:r w:rsidRPr="0008166C">
        <w:rPr>
          <w:rFonts w:ascii="Times New Roman" w:hAnsi="Times New Roman"/>
        </w:rPr>
        <w:tab/>
        <w:t>(vi)</w:t>
      </w:r>
      <w:r w:rsidRPr="0008166C">
        <w:rPr>
          <w:rFonts w:ascii="Times New Roman" w:hAnsi="Times New Roman"/>
        </w:rPr>
        <w:tab/>
        <w:t xml:space="preserve">the degree of injustice that would be suffered by the respective parties as a consequence of any order or direction, </w:t>
      </w:r>
    </w:p>
    <w:p w14:paraId="1B2FDCAB" w14:textId="77777777" w:rsidR="0008166C" w:rsidRDefault="005636A8" w:rsidP="0008166C">
      <w:pPr>
        <w:pStyle w:val="leftright"/>
        <w:spacing w:before="0" w:after="260" w:line="280" w:lineRule="exact"/>
        <w:ind w:left="2160" w:right="0" w:hanging="2160"/>
        <w:jc w:val="both"/>
        <w:rPr>
          <w:rFonts w:ascii="Times New Roman" w:hAnsi="Times New Roman"/>
        </w:rPr>
      </w:pPr>
      <w:r w:rsidRPr="0008166C">
        <w:rPr>
          <w:rFonts w:ascii="Times New Roman" w:hAnsi="Times New Roman"/>
        </w:rPr>
        <w:tab/>
      </w:r>
      <w:r w:rsidRPr="0008166C">
        <w:rPr>
          <w:rFonts w:ascii="Times New Roman" w:hAnsi="Times New Roman"/>
        </w:rPr>
        <w:tab/>
        <w:t>(vii)</w:t>
      </w:r>
      <w:r w:rsidRPr="0008166C">
        <w:rPr>
          <w:rFonts w:ascii="Times New Roman" w:hAnsi="Times New Roman"/>
        </w:rPr>
        <w:tab/>
        <w:t>such other matters as the court considers relevant in the circumstances of the case.</w:t>
      </w:r>
      <w:r w:rsidR="00D70529" w:rsidRPr="0008166C">
        <w:rPr>
          <w:rFonts w:ascii="Times New Roman" w:hAnsi="Times New Roman"/>
        </w:rPr>
        <w:t>"</w:t>
      </w:r>
    </w:p>
    <w:p w14:paraId="199A50C1" w14:textId="165A2450" w:rsidR="005636A8" w:rsidRPr="0008166C" w:rsidRDefault="005636A8" w:rsidP="0008166C">
      <w:pPr>
        <w:pStyle w:val="FixListStyle"/>
        <w:spacing w:after="260" w:line="280" w:lineRule="exact"/>
        <w:ind w:right="0"/>
        <w:jc w:val="both"/>
        <w:rPr>
          <w:rFonts w:ascii="Times New Roman" w:hAnsi="Times New Roman"/>
        </w:rPr>
      </w:pPr>
      <w:r w:rsidRPr="0008166C">
        <w:rPr>
          <w:rFonts w:ascii="Times New Roman" w:hAnsi="Times New Roman"/>
        </w:rPr>
        <w:tab/>
        <w:t>Section</w:t>
      </w:r>
      <w:r w:rsidR="00BD30C0" w:rsidRPr="0008166C">
        <w:rPr>
          <w:rFonts w:ascii="Times New Roman" w:hAnsi="Times New Roman"/>
        </w:rPr>
        <w:t> </w:t>
      </w:r>
      <w:r w:rsidRPr="0008166C">
        <w:rPr>
          <w:rFonts w:ascii="Times New Roman" w:hAnsi="Times New Roman"/>
        </w:rPr>
        <w:t>56, referred to in s 58(2)(a), sets out the "overriding purpose" of the CPA, to be furthered by the Supreme Court with the assistance of persons involved in proceedings. It provides:</w:t>
      </w:r>
    </w:p>
    <w:p w14:paraId="5018C40B" w14:textId="3949AA5F" w:rsidR="005636A8" w:rsidRPr="0008166C" w:rsidRDefault="00E3718F" w:rsidP="0008166C">
      <w:pPr>
        <w:pStyle w:val="leftright"/>
        <w:spacing w:before="0" w:after="260" w:line="280" w:lineRule="exact"/>
        <w:ind w:left="1440" w:right="0" w:hanging="720"/>
        <w:jc w:val="both"/>
        <w:rPr>
          <w:rFonts w:ascii="Times New Roman" w:hAnsi="Times New Roman"/>
        </w:rPr>
      </w:pPr>
      <w:r w:rsidRPr="0008166C">
        <w:rPr>
          <w:rFonts w:ascii="Times New Roman" w:hAnsi="Times New Roman"/>
        </w:rPr>
        <w:t>"</w:t>
      </w:r>
      <w:r w:rsidR="005636A8" w:rsidRPr="0008166C">
        <w:rPr>
          <w:rFonts w:ascii="Times New Roman" w:hAnsi="Times New Roman"/>
        </w:rPr>
        <w:t>(1)</w:t>
      </w:r>
      <w:r w:rsidR="005636A8" w:rsidRPr="0008166C">
        <w:rPr>
          <w:rFonts w:ascii="Times New Roman" w:hAnsi="Times New Roman"/>
        </w:rPr>
        <w:tab/>
        <w:t xml:space="preserve">The overriding purpose of this Act and of rules of court, in their application to civil proceedings, is to facilitate the just, quick and cheap resolution of the real issues in the proceedings. </w:t>
      </w:r>
    </w:p>
    <w:p w14:paraId="6125C238" w14:textId="1B1A9DDF" w:rsidR="005636A8" w:rsidRPr="0008166C" w:rsidRDefault="005636A8" w:rsidP="0008166C">
      <w:pPr>
        <w:pStyle w:val="leftright"/>
        <w:spacing w:before="0" w:after="260" w:line="280" w:lineRule="exact"/>
        <w:ind w:left="1440" w:right="0" w:hanging="720"/>
        <w:jc w:val="both"/>
        <w:rPr>
          <w:rFonts w:ascii="Times New Roman" w:hAnsi="Times New Roman"/>
        </w:rPr>
      </w:pPr>
      <w:r w:rsidRPr="0008166C">
        <w:rPr>
          <w:rFonts w:ascii="Times New Roman" w:hAnsi="Times New Roman"/>
        </w:rPr>
        <w:t>(2)</w:t>
      </w:r>
      <w:r w:rsidRPr="0008166C">
        <w:rPr>
          <w:rFonts w:ascii="Times New Roman" w:hAnsi="Times New Roman"/>
        </w:rPr>
        <w:tab/>
        <w:t xml:space="preserve">The court must seek to give effect to the overriding purpose when it exercises any power given to it by this Act or </w:t>
      </w:r>
      <w:r w:rsidR="00B1261D" w:rsidRPr="0008166C">
        <w:rPr>
          <w:rFonts w:ascii="Times New Roman" w:hAnsi="Times New Roman"/>
        </w:rPr>
        <w:t xml:space="preserve">by </w:t>
      </w:r>
      <w:r w:rsidRPr="0008166C">
        <w:rPr>
          <w:rFonts w:ascii="Times New Roman" w:hAnsi="Times New Roman"/>
        </w:rPr>
        <w:t xml:space="preserve">rules of court and when it interprets any provision of this Act or of any such rule. </w:t>
      </w:r>
    </w:p>
    <w:p w14:paraId="0098D196" w14:textId="77777777" w:rsidR="005636A8" w:rsidRPr="0008166C" w:rsidRDefault="005636A8" w:rsidP="0008166C">
      <w:pPr>
        <w:pStyle w:val="leftright"/>
        <w:spacing w:before="0" w:after="260" w:line="280" w:lineRule="exact"/>
        <w:ind w:left="1440" w:right="0" w:hanging="720"/>
        <w:jc w:val="both"/>
        <w:rPr>
          <w:rFonts w:ascii="Times New Roman" w:hAnsi="Times New Roman"/>
        </w:rPr>
      </w:pPr>
      <w:r w:rsidRPr="0008166C">
        <w:rPr>
          <w:rFonts w:ascii="Times New Roman" w:hAnsi="Times New Roman"/>
        </w:rPr>
        <w:t>(3)</w:t>
      </w:r>
      <w:r w:rsidRPr="0008166C">
        <w:rPr>
          <w:rFonts w:ascii="Times New Roman" w:hAnsi="Times New Roman"/>
        </w:rPr>
        <w:tab/>
        <w:t>A party to civil proceedings is under a duty to assist the court to further the overriding purpose and, to that effect, to participate in the processes of the court and to comply with directions and orders of the court.</w:t>
      </w:r>
    </w:p>
    <w:p w14:paraId="01AD28E9" w14:textId="77777777" w:rsidR="005636A8" w:rsidRPr="0008166C" w:rsidRDefault="005636A8" w:rsidP="0008166C">
      <w:pPr>
        <w:pStyle w:val="leftright"/>
        <w:spacing w:before="0" w:after="260" w:line="280" w:lineRule="exact"/>
        <w:ind w:left="1440" w:right="0" w:hanging="720"/>
        <w:jc w:val="both"/>
        <w:rPr>
          <w:rFonts w:ascii="Times New Roman" w:hAnsi="Times New Roman"/>
        </w:rPr>
      </w:pPr>
      <w:r w:rsidRPr="0008166C">
        <w:rPr>
          <w:rFonts w:ascii="Times New Roman" w:hAnsi="Times New Roman"/>
        </w:rPr>
        <w:lastRenderedPageBreak/>
        <w:t>...</w:t>
      </w:r>
    </w:p>
    <w:p w14:paraId="6B0715B6" w14:textId="28589D1D" w:rsidR="005636A8" w:rsidRPr="0008166C" w:rsidRDefault="005636A8" w:rsidP="0008166C">
      <w:pPr>
        <w:pStyle w:val="leftright"/>
        <w:spacing w:before="0" w:after="260" w:line="280" w:lineRule="exact"/>
        <w:ind w:left="1440" w:right="0" w:hanging="720"/>
        <w:jc w:val="both"/>
        <w:rPr>
          <w:rFonts w:ascii="Times New Roman" w:hAnsi="Times New Roman"/>
        </w:rPr>
      </w:pPr>
      <w:r w:rsidRPr="0008166C">
        <w:rPr>
          <w:rFonts w:ascii="Times New Roman" w:hAnsi="Times New Roman"/>
        </w:rPr>
        <w:t>(4)</w:t>
      </w:r>
      <w:r w:rsidRPr="0008166C">
        <w:rPr>
          <w:rFonts w:ascii="Times New Roman" w:hAnsi="Times New Roman"/>
        </w:rPr>
        <w:tab/>
        <w:t>Each of the following persons must not, by their conduct, cause a party to civil proceedings to be put in breach of a duty identified in subsection (3)</w:t>
      </w:r>
      <w:r w:rsidR="00B1261D" w:rsidRPr="0008166C">
        <w:rPr>
          <w:rFonts w:ascii="Times New Roman" w:hAnsi="Times New Roman"/>
        </w:rPr>
        <w:t> –</w:t>
      </w:r>
    </w:p>
    <w:p w14:paraId="09D8CCC2" w14:textId="77777777" w:rsidR="005636A8" w:rsidRPr="0008166C" w:rsidRDefault="005636A8" w:rsidP="0008166C">
      <w:pPr>
        <w:pStyle w:val="leftright"/>
        <w:spacing w:before="0" w:after="260" w:line="280" w:lineRule="exact"/>
        <w:ind w:left="2160" w:right="0" w:hanging="1440"/>
        <w:jc w:val="both"/>
        <w:rPr>
          <w:rFonts w:ascii="Times New Roman" w:hAnsi="Times New Roman"/>
        </w:rPr>
      </w:pPr>
      <w:r w:rsidRPr="0008166C">
        <w:rPr>
          <w:rFonts w:ascii="Times New Roman" w:hAnsi="Times New Roman"/>
        </w:rPr>
        <w:tab/>
        <w:t>(a)</w:t>
      </w:r>
      <w:r w:rsidRPr="0008166C">
        <w:rPr>
          <w:rFonts w:ascii="Times New Roman" w:hAnsi="Times New Roman"/>
        </w:rPr>
        <w:tab/>
        <w:t>any solicitor or barrister representing the party in the proceedings,</w:t>
      </w:r>
    </w:p>
    <w:p w14:paraId="5D33ED57" w14:textId="77777777" w:rsidR="005636A8" w:rsidRPr="0008166C" w:rsidRDefault="005636A8" w:rsidP="0008166C">
      <w:pPr>
        <w:pStyle w:val="leftright"/>
        <w:spacing w:before="0" w:after="260" w:line="280" w:lineRule="exact"/>
        <w:ind w:left="2160" w:right="0" w:hanging="1440"/>
        <w:jc w:val="both"/>
        <w:rPr>
          <w:rFonts w:ascii="Times New Roman" w:hAnsi="Times New Roman"/>
        </w:rPr>
      </w:pPr>
      <w:r w:rsidRPr="0008166C">
        <w:rPr>
          <w:rFonts w:ascii="Times New Roman" w:hAnsi="Times New Roman"/>
        </w:rPr>
        <w:tab/>
        <w:t>(b)</w:t>
      </w:r>
      <w:r w:rsidRPr="0008166C">
        <w:rPr>
          <w:rFonts w:ascii="Times New Roman" w:hAnsi="Times New Roman"/>
        </w:rPr>
        <w:tab/>
        <w:t xml:space="preserve">any person with a relevant interest in the proceedings commenced by the party. </w:t>
      </w:r>
    </w:p>
    <w:p w14:paraId="2C250BA8" w14:textId="77777777" w:rsidR="005636A8" w:rsidRPr="0008166C" w:rsidRDefault="005636A8" w:rsidP="0008166C">
      <w:pPr>
        <w:pStyle w:val="leftright"/>
        <w:spacing w:before="0" w:after="260" w:line="280" w:lineRule="exact"/>
        <w:ind w:left="1440" w:right="0" w:hanging="720"/>
        <w:jc w:val="both"/>
        <w:rPr>
          <w:rFonts w:ascii="Times New Roman" w:hAnsi="Times New Roman"/>
        </w:rPr>
      </w:pPr>
      <w:r w:rsidRPr="0008166C">
        <w:rPr>
          <w:rFonts w:ascii="Times New Roman" w:hAnsi="Times New Roman"/>
        </w:rPr>
        <w:t>(5)</w:t>
      </w:r>
      <w:r w:rsidRPr="0008166C">
        <w:rPr>
          <w:rFonts w:ascii="Times New Roman" w:hAnsi="Times New Roman"/>
        </w:rPr>
        <w:tab/>
        <w:t xml:space="preserve">The court may take into account any failure to comply with subsection (3) or (4) in exercising a discretion with respect to costs. </w:t>
      </w:r>
    </w:p>
    <w:p w14:paraId="243CF8D6" w14:textId="545A2392" w:rsidR="005636A8" w:rsidRPr="0008166C" w:rsidRDefault="005636A8" w:rsidP="0008166C">
      <w:pPr>
        <w:pStyle w:val="leftright"/>
        <w:spacing w:before="0" w:after="260" w:line="280" w:lineRule="exact"/>
        <w:ind w:left="1440" w:right="0" w:hanging="720"/>
        <w:jc w:val="both"/>
        <w:rPr>
          <w:rFonts w:ascii="Times New Roman" w:hAnsi="Times New Roman"/>
        </w:rPr>
      </w:pPr>
      <w:r w:rsidRPr="0008166C">
        <w:rPr>
          <w:rFonts w:ascii="Times New Roman" w:hAnsi="Times New Roman"/>
        </w:rPr>
        <w:t>(6)</w:t>
      </w:r>
      <w:r w:rsidRPr="0008166C">
        <w:rPr>
          <w:rFonts w:ascii="Times New Roman" w:hAnsi="Times New Roman"/>
        </w:rPr>
        <w:tab/>
        <w:t xml:space="preserve">For the purposes of this section, a person </w:t>
      </w:r>
      <w:r w:rsidR="004E07D3" w:rsidRPr="0008166C">
        <w:rPr>
          <w:rFonts w:ascii="Times New Roman" w:hAnsi="Times New Roman"/>
        </w:rPr>
        <w:t>h</w:t>
      </w:r>
      <w:r w:rsidRPr="0008166C">
        <w:rPr>
          <w:rFonts w:ascii="Times New Roman" w:hAnsi="Times New Roman"/>
        </w:rPr>
        <w:t xml:space="preserve">as a </w:t>
      </w:r>
      <w:r w:rsidRPr="0008166C">
        <w:rPr>
          <w:rFonts w:ascii="Times New Roman" w:hAnsi="Times New Roman"/>
          <w:b/>
          <w:i/>
        </w:rPr>
        <w:t>relevant interest</w:t>
      </w:r>
      <w:r w:rsidRPr="0008166C">
        <w:rPr>
          <w:rFonts w:ascii="Times New Roman" w:hAnsi="Times New Roman"/>
        </w:rPr>
        <w:t xml:space="preserve"> in civil proceedings if the person</w:t>
      </w:r>
      <w:r w:rsidR="00B1261D" w:rsidRPr="0008166C">
        <w:rPr>
          <w:rFonts w:ascii="Times New Roman" w:hAnsi="Times New Roman"/>
        </w:rPr>
        <w:t> –</w:t>
      </w:r>
    </w:p>
    <w:p w14:paraId="5222E42F" w14:textId="36E72A37" w:rsidR="005636A8" w:rsidRPr="0008166C" w:rsidRDefault="005636A8" w:rsidP="0008166C">
      <w:pPr>
        <w:pStyle w:val="leftright"/>
        <w:spacing w:before="0" w:after="260" w:line="280" w:lineRule="exact"/>
        <w:ind w:left="2160" w:right="0" w:hanging="1440"/>
        <w:jc w:val="both"/>
        <w:rPr>
          <w:rFonts w:ascii="Times New Roman" w:hAnsi="Times New Roman"/>
        </w:rPr>
      </w:pPr>
      <w:r w:rsidRPr="0008166C">
        <w:rPr>
          <w:rFonts w:ascii="Times New Roman" w:hAnsi="Times New Roman"/>
        </w:rPr>
        <w:tab/>
        <w:t>(a)</w:t>
      </w:r>
      <w:r w:rsidRPr="0008166C">
        <w:rPr>
          <w:rFonts w:ascii="Times New Roman" w:hAnsi="Times New Roman"/>
        </w:rPr>
        <w:tab/>
        <w:t>provides financial assistance or other assistance to any party to the proceedings, and</w:t>
      </w:r>
    </w:p>
    <w:p w14:paraId="6385DF3D" w14:textId="77777777" w:rsidR="0008166C" w:rsidRDefault="005636A8" w:rsidP="0008166C">
      <w:pPr>
        <w:pStyle w:val="leftright"/>
        <w:spacing w:before="0" w:after="260" w:line="280" w:lineRule="exact"/>
        <w:ind w:left="2160" w:right="0" w:hanging="1440"/>
        <w:jc w:val="both"/>
        <w:rPr>
          <w:rFonts w:ascii="Times New Roman" w:hAnsi="Times New Roman"/>
        </w:rPr>
      </w:pPr>
      <w:r w:rsidRPr="0008166C">
        <w:rPr>
          <w:rFonts w:ascii="Times New Roman" w:hAnsi="Times New Roman"/>
        </w:rPr>
        <w:tab/>
        <w:t>(b)</w:t>
      </w:r>
      <w:r w:rsidRPr="0008166C">
        <w:rPr>
          <w:rFonts w:ascii="Times New Roman" w:hAnsi="Times New Roman"/>
        </w:rPr>
        <w:tab/>
        <w:t>exercises any direct or indirect control, or any influence, over the conduct of the proceedings or the conduct of a party in respect of the proceedings.</w:t>
      </w:r>
      <w:r w:rsidR="00AD7338" w:rsidRPr="0008166C">
        <w:rPr>
          <w:rFonts w:ascii="Times New Roman" w:hAnsi="Times New Roman"/>
        </w:rPr>
        <w:t>"</w:t>
      </w:r>
    </w:p>
    <w:p w14:paraId="5590708D" w14:textId="4D5C2861" w:rsidR="005636A8" w:rsidRPr="0008166C" w:rsidRDefault="005636A8" w:rsidP="0008166C">
      <w:pPr>
        <w:pStyle w:val="FixListStyle"/>
        <w:spacing w:after="260" w:line="280" w:lineRule="exact"/>
        <w:ind w:right="0"/>
        <w:jc w:val="both"/>
        <w:rPr>
          <w:rFonts w:ascii="Times New Roman" w:hAnsi="Times New Roman"/>
        </w:rPr>
      </w:pPr>
      <w:r w:rsidRPr="0008166C">
        <w:rPr>
          <w:rFonts w:ascii="Times New Roman" w:hAnsi="Times New Roman"/>
        </w:rPr>
        <w:tab/>
        <w:t xml:space="preserve">Section 57, also referred to in s 58(2)(a), sets out the objects with regard to which the Supreme Court's case management </w:t>
      </w:r>
      <w:r w:rsidR="0045735C" w:rsidRPr="0008166C">
        <w:rPr>
          <w:rFonts w:ascii="Times New Roman" w:hAnsi="Times New Roman"/>
        </w:rPr>
        <w:t>is</w:t>
      </w:r>
      <w:r w:rsidRPr="0008166C">
        <w:rPr>
          <w:rFonts w:ascii="Times New Roman" w:hAnsi="Times New Roman"/>
        </w:rPr>
        <w:t xml:space="preserve"> to be exercised. It provides that</w:t>
      </w:r>
      <w:r w:rsidR="00A54E9F" w:rsidRPr="0008166C">
        <w:rPr>
          <w:rFonts w:ascii="Times New Roman" w:hAnsi="Times New Roman"/>
        </w:rPr>
        <w:t>:</w:t>
      </w:r>
    </w:p>
    <w:p w14:paraId="213AAEBC" w14:textId="5D4B5DF0" w:rsidR="005636A8" w:rsidRPr="0008166C" w:rsidRDefault="00E14352" w:rsidP="0008166C">
      <w:pPr>
        <w:pStyle w:val="leftright"/>
        <w:spacing w:before="0" w:after="260" w:line="280" w:lineRule="exact"/>
        <w:ind w:left="1440" w:right="0" w:hanging="720"/>
        <w:jc w:val="both"/>
        <w:rPr>
          <w:rFonts w:ascii="Times New Roman" w:hAnsi="Times New Roman"/>
        </w:rPr>
      </w:pPr>
      <w:r w:rsidRPr="0008166C">
        <w:rPr>
          <w:rFonts w:ascii="Times New Roman" w:hAnsi="Times New Roman"/>
        </w:rPr>
        <w:t>"</w:t>
      </w:r>
      <w:r w:rsidR="005636A8" w:rsidRPr="0008166C">
        <w:rPr>
          <w:rFonts w:ascii="Times New Roman" w:hAnsi="Times New Roman"/>
        </w:rPr>
        <w:t>(1)</w:t>
      </w:r>
      <w:r w:rsidR="005636A8" w:rsidRPr="0008166C">
        <w:rPr>
          <w:rFonts w:ascii="Times New Roman" w:hAnsi="Times New Roman"/>
        </w:rPr>
        <w:tab/>
        <w:t>For the purpose of furthering the overriding purpose referred to in section 56(1), proceedings in any court are to be managed having regard to the following objects</w:t>
      </w:r>
      <w:r w:rsidR="00B1261D" w:rsidRPr="0008166C">
        <w:rPr>
          <w:rFonts w:ascii="Times New Roman" w:hAnsi="Times New Roman"/>
        </w:rPr>
        <w:t> –</w:t>
      </w:r>
    </w:p>
    <w:p w14:paraId="634E3025" w14:textId="77777777" w:rsidR="005636A8" w:rsidRPr="0008166C" w:rsidRDefault="005636A8" w:rsidP="0008166C">
      <w:pPr>
        <w:pStyle w:val="leftright"/>
        <w:spacing w:before="0" w:after="260" w:line="280" w:lineRule="exact"/>
        <w:ind w:left="1440" w:right="0" w:hanging="720"/>
        <w:jc w:val="both"/>
        <w:rPr>
          <w:rFonts w:ascii="Times New Roman" w:hAnsi="Times New Roman"/>
        </w:rPr>
      </w:pPr>
      <w:r w:rsidRPr="0008166C">
        <w:rPr>
          <w:rFonts w:ascii="Times New Roman" w:hAnsi="Times New Roman"/>
        </w:rPr>
        <w:tab/>
        <w:t>(a)</w:t>
      </w:r>
      <w:r w:rsidRPr="0008166C">
        <w:rPr>
          <w:rFonts w:ascii="Times New Roman" w:hAnsi="Times New Roman"/>
        </w:rPr>
        <w:tab/>
        <w:t xml:space="preserve">the just determination of the proceedings, </w:t>
      </w:r>
    </w:p>
    <w:p w14:paraId="4999F114" w14:textId="77777777" w:rsidR="005636A8" w:rsidRPr="0008166C" w:rsidRDefault="005636A8" w:rsidP="0008166C">
      <w:pPr>
        <w:pStyle w:val="leftright"/>
        <w:spacing w:before="0" w:after="260" w:line="280" w:lineRule="exact"/>
        <w:ind w:left="2160" w:right="0" w:hanging="1440"/>
        <w:jc w:val="both"/>
        <w:rPr>
          <w:rFonts w:ascii="Times New Roman" w:hAnsi="Times New Roman"/>
        </w:rPr>
      </w:pPr>
      <w:r w:rsidRPr="0008166C">
        <w:rPr>
          <w:rFonts w:ascii="Times New Roman" w:hAnsi="Times New Roman"/>
        </w:rPr>
        <w:tab/>
        <w:t>(b)</w:t>
      </w:r>
      <w:r w:rsidRPr="0008166C">
        <w:rPr>
          <w:rFonts w:ascii="Times New Roman" w:hAnsi="Times New Roman"/>
        </w:rPr>
        <w:tab/>
        <w:t xml:space="preserve">the efficient disposal of the business of the court, </w:t>
      </w:r>
    </w:p>
    <w:p w14:paraId="31C26CD9" w14:textId="77777777" w:rsidR="005636A8" w:rsidRPr="0008166C" w:rsidRDefault="005636A8" w:rsidP="0008166C">
      <w:pPr>
        <w:pStyle w:val="leftright"/>
        <w:spacing w:before="0" w:after="260" w:line="280" w:lineRule="exact"/>
        <w:ind w:left="2160" w:right="0" w:hanging="1440"/>
        <w:jc w:val="both"/>
        <w:rPr>
          <w:rFonts w:ascii="Times New Roman" w:hAnsi="Times New Roman"/>
        </w:rPr>
      </w:pPr>
      <w:r w:rsidRPr="0008166C">
        <w:rPr>
          <w:rFonts w:ascii="Times New Roman" w:hAnsi="Times New Roman"/>
        </w:rPr>
        <w:tab/>
        <w:t>(c)</w:t>
      </w:r>
      <w:r w:rsidRPr="0008166C">
        <w:rPr>
          <w:rFonts w:ascii="Times New Roman" w:hAnsi="Times New Roman"/>
        </w:rPr>
        <w:tab/>
        <w:t xml:space="preserve">the efficient use of available judicial and administrative resources, </w:t>
      </w:r>
    </w:p>
    <w:p w14:paraId="0AD69FD8" w14:textId="77777777" w:rsidR="005636A8" w:rsidRPr="0008166C" w:rsidRDefault="005636A8" w:rsidP="0008166C">
      <w:pPr>
        <w:pStyle w:val="leftright"/>
        <w:spacing w:before="0" w:after="260" w:line="280" w:lineRule="exact"/>
        <w:ind w:left="2160" w:right="0" w:hanging="1440"/>
        <w:jc w:val="both"/>
        <w:rPr>
          <w:rFonts w:ascii="Times New Roman" w:hAnsi="Times New Roman"/>
        </w:rPr>
      </w:pPr>
      <w:r w:rsidRPr="0008166C">
        <w:rPr>
          <w:rFonts w:ascii="Times New Roman" w:hAnsi="Times New Roman"/>
        </w:rPr>
        <w:tab/>
        <w:t>(d)</w:t>
      </w:r>
      <w:r w:rsidRPr="0008166C">
        <w:rPr>
          <w:rFonts w:ascii="Times New Roman" w:hAnsi="Times New Roman"/>
        </w:rPr>
        <w:tab/>
        <w:t xml:space="preserve">the timely disposal of the proceedings, and all other proceedings in the court, at a cost affordable by the respective parties. </w:t>
      </w:r>
    </w:p>
    <w:p w14:paraId="4D7CA4CB" w14:textId="77777777" w:rsidR="0008166C" w:rsidRDefault="005636A8" w:rsidP="0008166C">
      <w:pPr>
        <w:pStyle w:val="leftright"/>
        <w:spacing w:before="0" w:after="260" w:line="280" w:lineRule="exact"/>
        <w:ind w:left="1440" w:right="0" w:hanging="720"/>
        <w:jc w:val="both"/>
        <w:rPr>
          <w:rFonts w:ascii="Times New Roman" w:hAnsi="Times New Roman"/>
        </w:rPr>
      </w:pPr>
      <w:r w:rsidRPr="0008166C">
        <w:rPr>
          <w:rFonts w:ascii="Times New Roman" w:hAnsi="Times New Roman"/>
        </w:rPr>
        <w:t>(2)</w:t>
      </w:r>
      <w:r w:rsidRPr="0008166C">
        <w:rPr>
          <w:rFonts w:ascii="Times New Roman" w:hAnsi="Times New Roman"/>
        </w:rPr>
        <w:tab/>
        <w:t xml:space="preserve">This Act and any rules of court are to be so construed and applied, and the practice and procedure of the courts are to be so regulated, </w:t>
      </w:r>
      <w:r w:rsidRPr="0008166C">
        <w:rPr>
          <w:rFonts w:ascii="Times New Roman" w:hAnsi="Times New Roman"/>
        </w:rPr>
        <w:lastRenderedPageBreak/>
        <w:t>as best to ensure the attainment of the objects referred to in subsection (1).</w:t>
      </w:r>
      <w:r w:rsidR="00E14352" w:rsidRPr="0008166C">
        <w:rPr>
          <w:rFonts w:ascii="Times New Roman" w:hAnsi="Times New Roman"/>
        </w:rPr>
        <w:t>"</w:t>
      </w:r>
      <w:r w:rsidRPr="0008166C">
        <w:rPr>
          <w:rFonts w:ascii="Times New Roman" w:hAnsi="Times New Roman"/>
        </w:rPr>
        <w:t xml:space="preserve"> </w:t>
      </w:r>
    </w:p>
    <w:p w14:paraId="43D38460" w14:textId="0573FB4E" w:rsidR="005636A8" w:rsidRPr="0008166C" w:rsidRDefault="006255ED" w:rsidP="0008166C">
      <w:pPr>
        <w:pStyle w:val="FixListStyle"/>
        <w:spacing w:after="260" w:line="280" w:lineRule="exact"/>
        <w:ind w:right="0"/>
        <w:jc w:val="both"/>
        <w:rPr>
          <w:rFonts w:ascii="Times New Roman" w:hAnsi="Times New Roman"/>
        </w:rPr>
      </w:pPr>
      <w:r w:rsidRPr="0008166C">
        <w:rPr>
          <w:rFonts w:ascii="Times New Roman" w:hAnsi="Times New Roman"/>
        </w:rPr>
        <w:tab/>
        <w:t>It is</w:t>
      </w:r>
      <w:r w:rsidR="001D1660" w:rsidRPr="0008166C">
        <w:rPr>
          <w:rFonts w:ascii="Times New Roman" w:hAnsi="Times New Roman"/>
        </w:rPr>
        <w:t xml:space="preserve"> to be noted that</w:t>
      </w:r>
      <w:r w:rsidRPr="0008166C">
        <w:rPr>
          <w:rFonts w:ascii="Times New Roman" w:hAnsi="Times New Roman"/>
        </w:rPr>
        <w:t xml:space="preserve"> these </w:t>
      </w:r>
      <w:r w:rsidR="00343DF9" w:rsidRPr="0008166C">
        <w:rPr>
          <w:rFonts w:ascii="Times New Roman" w:hAnsi="Times New Roman"/>
        </w:rPr>
        <w:t xml:space="preserve">"case management" </w:t>
      </w:r>
      <w:r w:rsidRPr="0008166C">
        <w:rPr>
          <w:rFonts w:ascii="Times New Roman" w:hAnsi="Times New Roman"/>
        </w:rPr>
        <w:t>provisions are not in any way</w:t>
      </w:r>
      <w:r w:rsidR="001D1660" w:rsidRPr="0008166C">
        <w:rPr>
          <w:rFonts w:ascii="Times New Roman" w:hAnsi="Times New Roman"/>
        </w:rPr>
        <w:t xml:space="preserve"> directed </w:t>
      </w:r>
      <w:r w:rsidR="00A1213F" w:rsidRPr="0008166C">
        <w:rPr>
          <w:rFonts w:ascii="Times New Roman" w:hAnsi="Times New Roman"/>
        </w:rPr>
        <w:t>to the making of</w:t>
      </w:r>
      <w:r w:rsidRPr="0008166C">
        <w:rPr>
          <w:rFonts w:ascii="Times New Roman" w:hAnsi="Times New Roman"/>
        </w:rPr>
        <w:t xml:space="preserve"> </w:t>
      </w:r>
      <w:r w:rsidR="001D1660" w:rsidRPr="0008166C">
        <w:rPr>
          <w:rFonts w:ascii="Times New Roman" w:hAnsi="Times New Roman"/>
        </w:rPr>
        <w:t>a</w:t>
      </w:r>
      <w:r w:rsidRPr="0008166C">
        <w:rPr>
          <w:rFonts w:ascii="Times New Roman" w:hAnsi="Times New Roman"/>
        </w:rPr>
        <w:t xml:space="preserve"> choice </w:t>
      </w:r>
      <w:r w:rsidR="003E0F08" w:rsidRPr="0008166C">
        <w:rPr>
          <w:rFonts w:ascii="Times New Roman" w:hAnsi="Times New Roman"/>
        </w:rPr>
        <w:t>as</w:t>
      </w:r>
      <w:r w:rsidRPr="0008166C">
        <w:rPr>
          <w:rFonts w:ascii="Times New Roman" w:hAnsi="Times New Roman"/>
        </w:rPr>
        <w:t xml:space="preserve"> </w:t>
      </w:r>
      <w:r w:rsidR="003E0F08" w:rsidRPr="0008166C">
        <w:rPr>
          <w:rFonts w:ascii="Times New Roman" w:hAnsi="Times New Roman"/>
        </w:rPr>
        <w:t xml:space="preserve">to </w:t>
      </w:r>
      <w:r w:rsidRPr="0008166C">
        <w:rPr>
          <w:rFonts w:ascii="Times New Roman" w:hAnsi="Times New Roman"/>
        </w:rPr>
        <w:t xml:space="preserve">which </w:t>
      </w:r>
      <w:r w:rsidR="00C7341E" w:rsidRPr="0008166C">
        <w:rPr>
          <w:rFonts w:ascii="Times New Roman" w:hAnsi="Times New Roman"/>
        </w:rPr>
        <w:t xml:space="preserve">of the sponsors of multiple </w:t>
      </w:r>
      <w:r w:rsidR="001D1660" w:rsidRPr="0008166C">
        <w:rPr>
          <w:rFonts w:ascii="Times New Roman" w:hAnsi="Times New Roman"/>
        </w:rPr>
        <w:t>proceedings</w:t>
      </w:r>
      <w:r w:rsidR="00F93612" w:rsidRPr="0008166C">
        <w:rPr>
          <w:rFonts w:ascii="Times New Roman" w:hAnsi="Times New Roman"/>
        </w:rPr>
        <w:t xml:space="preserve"> </w:t>
      </w:r>
      <w:r w:rsidR="003E0F08" w:rsidRPr="0008166C">
        <w:rPr>
          <w:rFonts w:ascii="Times New Roman" w:hAnsi="Times New Roman"/>
        </w:rPr>
        <w:t>should</w:t>
      </w:r>
      <w:r w:rsidR="00C7341E" w:rsidRPr="0008166C">
        <w:rPr>
          <w:rFonts w:ascii="Times New Roman" w:hAnsi="Times New Roman"/>
        </w:rPr>
        <w:t xml:space="preserve"> have the</w:t>
      </w:r>
      <w:r w:rsidR="002910AC" w:rsidRPr="0008166C">
        <w:rPr>
          <w:rFonts w:ascii="Times New Roman" w:hAnsi="Times New Roman"/>
        </w:rPr>
        <w:t xml:space="preserve"> exclusive</w:t>
      </w:r>
      <w:r w:rsidR="00C7341E" w:rsidRPr="0008166C">
        <w:rPr>
          <w:rFonts w:ascii="Times New Roman" w:hAnsi="Times New Roman"/>
        </w:rPr>
        <w:t xml:space="preserve"> carriage of </w:t>
      </w:r>
      <w:r w:rsidR="00F93612" w:rsidRPr="0008166C">
        <w:rPr>
          <w:rFonts w:ascii="Times New Roman" w:hAnsi="Times New Roman"/>
        </w:rPr>
        <w:t xml:space="preserve">the </w:t>
      </w:r>
      <w:r w:rsidR="00A54E9F" w:rsidRPr="0008166C">
        <w:rPr>
          <w:rFonts w:ascii="Times New Roman" w:hAnsi="Times New Roman"/>
        </w:rPr>
        <w:t>proceeding</w:t>
      </w:r>
      <w:r w:rsidR="003619ED" w:rsidRPr="0008166C">
        <w:rPr>
          <w:rFonts w:ascii="Times New Roman" w:hAnsi="Times New Roman"/>
        </w:rPr>
        <w:t xml:space="preserve"> allowed</w:t>
      </w:r>
      <w:r w:rsidR="00125B67" w:rsidRPr="0008166C">
        <w:rPr>
          <w:rFonts w:ascii="Times New Roman" w:hAnsi="Times New Roman"/>
        </w:rPr>
        <w:t xml:space="preserve"> to pro</w:t>
      </w:r>
      <w:r w:rsidR="00A54E9F" w:rsidRPr="0008166C">
        <w:rPr>
          <w:rFonts w:ascii="Times New Roman" w:hAnsi="Times New Roman"/>
        </w:rPr>
        <w:t xml:space="preserve">gress </w:t>
      </w:r>
      <w:r w:rsidR="00125B67" w:rsidRPr="0008166C">
        <w:rPr>
          <w:rFonts w:ascii="Times New Roman" w:hAnsi="Times New Roman"/>
        </w:rPr>
        <w:t xml:space="preserve">to a determination </w:t>
      </w:r>
      <w:r w:rsidR="002B5CEA" w:rsidRPr="0008166C">
        <w:rPr>
          <w:rFonts w:ascii="Times New Roman" w:hAnsi="Times New Roman"/>
        </w:rPr>
        <w:t>by the court</w:t>
      </w:r>
      <w:r w:rsidR="00125B67" w:rsidRPr="0008166C">
        <w:rPr>
          <w:rFonts w:ascii="Times New Roman" w:hAnsi="Times New Roman"/>
        </w:rPr>
        <w:t>.</w:t>
      </w:r>
      <w:r w:rsidR="00343DF9" w:rsidRPr="0008166C">
        <w:rPr>
          <w:rFonts w:ascii="Times New Roman" w:hAnsi="Times New Roman"/>
        </w:rPr>
        <w:t xml:space="preserve"> </w:t>
      </w:r>
      <w:r w:rsidR="000B0C02" w:rsidRPr="0008166C">
        <w:rPr>
          <w:rFonts w:ascii="Times New Roman" w:hAnsi="Times New Roman"/>
        </w:rPr>
        <w:t>None of th</w:t>
      </w:r>
      <w:r w:rsidR="00080AD8" w:rsidRPr="0008166C">
        <w:rPr>
          <w:rFonts w:ascii="Times New Roman" w:hAnsi="Times New Roman"/>
        </w:rPr>
        <w:t>ese provisions contemplate</w:t>
      </w:r>
      <w:r w:rsidR="006D307C" w:rsidRPr="0008166C">
        <w:rPr>
          <w:rFonts w:ascii="Times New Roman" w:hAnsi="Times New Roman"/>
        </w:rPr>
        <w:t>s</w:t>
      </w:r>
      <w:r w:rsidR="00080AD8" w:rsidRPr="0008166C">
        <w:rPr>
          <w:rFonts w:ascii="Times New Roman" w:hAnsi="Times New Roman"/>
        </w:rPr>
        <w:t xml:space="preserve"> a comparison between</w:t>
      </w:r>
      <w:r w:rsidR="00771F6E" w:rsidRPr="0008166C">
        <w:rPr>
          <w:rFonts w:ascii="Times New Roman" w:hAnsi="Times New Roman"/>
        </w:rPr>
        <w:t xml:space="preserve"> sponsors of </w:t>
      </w:r>
      <w:r w:rsidR="00080AD8" w:rsidRPr="0008166C">
        <w:rPr>
          <w:rFonts w:ascii="Times New Roman" w:hAnsi="Times New Roman"/>
        </w:rPr>
        <w:t>proceedings with a view to determining which is likely to afford the greatest measure of relief to</w:t>
      </w:r>
      <w:r w:rsidR="00CB510B" w:rsidRPr="0008166C">
        <w:rPr>
          <w:rFonts w:ascii="Times New Roman" w:hAnsi="Times New Roman"/>
        </w:rPr>
        <w:t xml:space="preserve"> those on whose behalf the proceedings are brought</w:t>
      </w:r>
      <w:r w:rsidR="00080AD8" w:rsidRPr="0008166C">
        <w:rPr>
          <w:rFonts w:ascii="Times New Roman" w:hAnsi="Times New Roman"/>
        </w:rPr>
        <w:t>.</w:t>
      </w:r>
      <w:r w:rsidR="00782A42" w:rsidRPr="0008166C">
        <w:rPr>
          <w:rFonts w:ascii="Times New Roman" w:hAnsi="Times New Roman"/>
        </w:rPr>
        <w:t xml:space="preserve"> That </w:t>
      </w:r>
      <w:r w:rsidR="00DB2020" w:rsidRPr="0008166C">
        <w:rPr>
          <w:rFonts w:ascii="Times New Roman" w:hAnsi="Times New Roman"/>
        </w:rPr>
        <w:t>this is so is</w:t>
      </w:r>
      <w:r w:rsidR="003539E3" w:rsidRPr="0008166C">
        <w:rPr>
          <w:rFonts w:ascii="Times New Roman" w:hAnsi="Times New Roman"/>
        </w:rPr>
        <w:t xml:space="preserve"> hardly surprising</w:t>
      </w:r>
      <w:r w:rsidR="00782A42" w:rsidRPr="0008166C">
        <w:rPr>
          <w:rFonts w:ascii="Times New Roman" w:hAnsi="Times New Roman"/>
        </w:rPr>
        <w:t>, given that the focus of these provisions</w:t>
      </w:r>
      <w:r w:rsidR="00DB2020" w:rsidRPr="0008166C">
        <w:rPr>
          <w:rFonts w:ascii="Times New Roman" w:hAnsi="Times New Roman"/>
        </w:rPr>
        <w:t xml:space="preserve"> of the CPA is</w:t>
      </w:r>
      <w:r w:rsidR="003E5876" w:rsidRPr="0008166C">
        <w:rPr>
          <w:rFonts w:ascii="Times New Roman" w:hAnsi="Times New Roman"/>
        </w:rPr>
        <w:t xml:space="preserve">, consistently with the context in which they appear, </w:t>
      </w:r>
      <w:r w:rsidR="00782A42" w:rsidRPr="0008166C">
        <w:rPr>
          <w:rFonts w:ascii="Times New Roman" w:hAnsi="Times New Roman"/>
        </w:rPr>
        <w:t xml:space="preserve">upon the steps that need to be taken to achieve justice </w:t>
      </w:r>
      <w:r w:rsidR="00E867BB" w:rsidRPr="0008166C">
        <w:rPr>
          <w:rFonts w:ascii="Times New Roman" w:hAnsi="Times New Roman"/>
        </w:rPr>
        <w:t xml:space="preserve">quickly and cheaply </w:t>
      </w:r>
      <w:r w:rsidR="00782A42" w:rsidRPr="0008166C">
        <w:rPr>
          <w:rFonts w:ascii="Times New Roman" w:hAnsi="Times New Roman"/>
        </w:rPr>
        <w:t>between plaintiffs and defendant</w:t>
      </w:r>
      <w:r w:rsidR="00A9082B" w:rsidRPr="0008166C">
        <w:rPr>
          <w:rFonts w:ascii="Times New Roman" w:hAnsi="Times New Roman"/>
        </w:rPr>
        <w:t>s</w:t>
      </w:r>
      <w:r w:rsidR="00DA0EAD" w:rsidRPr="0008166C">
        <w:rPr>
          <w:rFonts w:ascii="Times New Roman" w:hAnsi="Times New Roman"/>
        </w:rPr>
        <w:t>, and not upon the respective strengths and weaknesses of the candidates for the sponsorship of the proceedings on the plaintiffs' side of the record</w:t>
      </w:r>
      <w:r w:rsidR="00E867BB" w:rsidRPr="0008166C">
        <w:rPr>
          <w:rFonts w:ascii="Times New Roman" w:hAnsi="Times New Roman"/>
        </w:rPr>
        <w:t>.</w:t>
      </w:r>
    </w:p>
    <w:p w14:paraId="248A3EF4" w14:textId="77777777" w:rsidR="005636A8" w:rsidRPr="0008166C" w:rsidRDefault="005636A8" w:rsidP="0008166C">
      <w:pPr>
        <w:pStyle w:val="HeadingL2"/>
        <w:spacing w:after="260" w:line="280" w:lineRule="exact"/>
        <w:ind w:right="0"/>
        <w:jc w:val="both"/>
        <w:rPr>
          <w:rFonts w:ascii="Times New Roman" w:hAnsi="Times New Roman"/>
        </w:rPr>
      </w:pPr>
      <w:r w:rsidRPr="0008166C">
        <w:rPr>
          <w:rFonts w:ascii="Times New Roman" w:hAnsi="Times New Roman"/>
        </w:rPr>
        <w:t>Representative proceedings</w:t>
      </w:r>
    </w:p>
    <w:p w14:paraId="40C4B120" w14:textId="71C55556" w:rsidR="001F42E9" w:rsidRPr="0008166C" w:rsidRDefault="005636A8" w:rsidP="0008166C">
      <w:pPr>
        <w:pStyle w:val="FixListStyle"/>
        <w:spacing w:after="260" w:line="280" w:lineRule="exact"/>
        <w:ind w:right="0"/>
        <w:jc w:val="both"/>
        <w:rPr>
          <w:rFonts w:ascii="Times New Roman" w:hAnsi="Times New Roman"/>
        </w:rPr>
      </w:pPr>
      <w:r w:rsidRPr="0008166C">
        <w:rPr>
          <w:rFonts w:ascii="Times New Roman" w:hAnsi="Times New Roman"/>
        </w:rPr>
        <w:tab/>
      </w:r>
      <w:bookmarkStart w:id="4" w:name="_Ref55365954"/>
      <w:r w:rsidRPr="0008166C">
        <w:rPr>
          <w:rFonts w:ascii="Times New Roman" w:hAnsi="Times New Roman"/>
        </w:rPr>
        <w:t>Part 10 of the CPA permits</w:t>
      </w:r>
      <w:r w:rsidR="009B573C" w:rsidRPr="0008166C">
        <w:rPr>
          <w:rFonts w:ascii="Times New Roman" w:hAnsi="Times New Roman"/>
        </w:rPr>
        <w:t>,</w:t>
      </w:r>
      <w:r w:rsidRPr="0008166C">
        <w:rPr>
          <w:rFonts w:ascii="Times New Roman" w:hAnsi="Times New Roman"/>
        </w:rPr>
        <w:t xml:space="preserve"> and regulates the conduct of</w:t>
      </w:r>
      <w:r w:rsidR="009B573C" w:rsidRPr="0008166C">
        <w:rPr>
          <w:rFonts w:ascii="Times New Roman" w:hAnsi="Times New Roman"/>
        </w:rPr>
        <w:t>,</w:t>
      </w:r>
      <w:r w:rsidRPr="0008166C">
        <w:rPr>
          <w:rFonts w:ascii="Times New Roman" w:hAnsi="Times New Roman"/>
        </w:rPr>
        <w:t xml:space="preserve"> representative proceedings </w:t>
      </w:r>
      <w:r w:rsidR="00D41C7C" w:rsidRPr="0008166C">
        <w:rPr>
          <w:rFonts w:ascii="Times New Roman" w:hAnsi="Times New Roman"/>
        </w:rPr>
        <w:t xml:space="preserve">in </w:t>
      </w:r>
      <w:r w:rsidRPr="0008166C">
        <w:rPr>
          <w:rFonts w:ascii="Times New Roman" w:hAnsi="Times New Roman"/>
        </w:rPr>
        <w:t xml:space="preserve">the Supreme Court. </w:t>
      </w:r>
      <w:r w:rsidR="00736517" w:rsidRPr="0008166C">
        <w:rPr>
          <w:rFonts w:ascii="Times New Roman" w:hAnsi="Times New Roman"/>
        </w:rPr>
        <w:t>Part</w:t>
      </w:r>
      <w:r w:rsidRPr="0008166C">
        <w:rPr>
          <w:rFonts w:ascii="Times New Roman" w:hAnsi="Times New Roman"/>
        </w:rPr>
        <w:t xml:space="preserve"> IVA of the </w:t>
      </w:r>
      <w:r w:rsidRPr="0008166C">
        <w:rPr>
          <w:rFonts w:ascii="Times New Roman" w:hAnsi="Times New Roman"/>
          <w:i/>
        </w:rPr>
        <w:t xml:space="preserve">Federal Court of Australia Act 1976 </w:t>
      </w:r>
      <w:r w:rsidRPr="0008166C">
        <w:rPr>
          <w:rFonts w:ascii="Times New Roman" w:hAnsi="Times New Roman"/>
        </w:rPr>
        <w:t>(Cth) (</w:t>
      </w:r>
      <w:r w:rsidR="0008050C" w:rsidRPr="0008166C">
        <w:rPr>
          <w:rFonts w:ascii="Times New Roman" w:hAnsi="Times New Roman"/>
        </w:rPr>
        <w:t>"</w:t>
      </w:r>
      <w:r w:rsidR="00687594" w:rsidRPr="0008166C">
        <w:rPr>
          <w:rFonts w:ascii="Times New Roman" w:hAnsi="Times New Roman"/>
        </w:rPr>
        <w:t xml:space="preserve">the </w:t>
      </w:r>
      <w:r w:rsidRPr="0008166C">
        <w:rPr>
          <w:rFonts w:ascii="Times New Roman" w:hAnsi="Times New Roman"/>
        </w:rPr>
        <w:t>FCA")</w:t>
      </w:r>
      <w:r w:rsidR="00736517" w:rsidRPr="0008166C">
        <w:rPr>
          <w:rFonts w:ascii="Times New Roman" w:hAnsi="Times New Roman"/>
        </w:rPr>
        <w:t xml:space="preserve"> is its federal analogue</w:t>
      </w:r>
      <w:r w:rsidRPr="0008166C">
        <w:rPr>
          <w:rFonts w:ascii="Times New Roman" w:hAnsi="Times New Roman"/>
        </w:rPr>
        <w:t>.</w:t>
      </w:r>
      <w:bookmarkEnd w:id="4"/>
      <w:r w:rsidRPr="0008166C">
        <w:rPr>
          <w:rFonts w:ascii="Times New Roman" w:hAnsi="Times New Roman"/>
        </w:rPr>
        <w:t xml:space="preserve"> </w:t>
      </w:r>
      <w:r w:rsidR="00AA371E" w:rsidRPr="0008166C">
        <w:rPr>
          <w:rFonts w:ascii="Times New Roman" w:hAnsi="Times New Roman"/>
        </w:rPr>
        <w:t xml:space="preserve">The material provisions of Pt 10 of the CPA appear in a context concerned with the resolution of proceedings between </w:t>
      </w:r>
      <w:r w:rsidR="00D11434" w:rsidRPr="0008166C">
        <w:rPr>
          <w:rFonts w:ascii="Times New Roman" w:hAnsi="Times New Roman"/>
        </w:rPr>
        <w:t>plaintiffs and defendant</w:t>
      </w:r>
      <w:r w:rsidR="00AA371E" w:rsidRPr="0008166C">
        <w:rPr>
          <w:rFonts w:ascii="Times New Roman" w:hAnsi="Times New Roman"/>
        </w:rPr>
        <w:t xml:space="preserve">. </w:t>
      </w:r>
      <w:r w:rsidR="00D46271" w:rsidRPr="0008166C">
        <w:rPr>
          <w:rFonts w:ascii="Times New Roman" w:hAnsi="Times New Roman"/>
        </w:rPr>
        <w:t>A</w:t>
      </w:r>
      <w:r w:rsidR="0009509E" w:rsidRPr="0008166C">
        <w:rPr>
          <w:rFonts w:ascii="Times New Roman" w:hAnsi="Times New Roman"/>
        </w:rPr>
        <w:t xml:space="preserve"> </w:t>
      </w:r>
      <w:r w:rsidR="000E7043" w:rsidRPr="0008166C">
        <w:rPr>
          <w:rFonts w:ascii="Times New Roman" w:hAnsi="Times New Roman"/>
        </w:rPr>
        <w:t>selection of the best candidate as sponsor of group members'</w:t>
      </w:r>
      <w:r w:rsidR="00C95BA9" w:rsidRPr="0008166C">
        <w:rPr>
          <w:rFonts w:ascii="Times New Roman" w:hAnsi="Times New Roman"/>
        </w:rPr>
        <w:t xml:space="preserve"> </w:t>
      </w:r>
      <w:r w:rsidR="0009509E" w:rsidRPr="0008166C">
        <w:rPr>
          <w:rFonts w:ascii="Times New Roman" w:hAnsi="Times New Roman"/>
        </w:rPr>
        <w:t xml:space="preserve">claims against the defendant is not within </w:t>
      </w:r>
      <w:r w:rsidR="00C95BA9" w:rsidRPr="0008166C">
        <w:rPr>
          <w:rFonts w:ascii="Times New Roman" w:hAnsi="Times New Roman"/>
        </w:rPr>
        <w:t xml:space="preserve">the </w:t>
      </w:r>
      <w:r w:rsidR="0009509E" w:rsidRPr="0008166C">
        <w:rPr>
          <w:rFonts w:ascii="Times New Roman" w:hAnsi="Times New Roman"/>
        </w:rPr>
        <w:t>contemplation</w:t>
      </w:r>
      <w:r w:rsidR="00D46271" w:rsidRPr="0008166C">
        <w:rPr>
          <w:rFonts w:ascii="Times New Roman" w:hAnsi="Times New Roman"/>
        </w:rPr>
        <w:t xml:space="preserve"> of </w:t>
      </w:r>
      <w:r w:rsidR="000602C1" w:rsidRPr="0008166C">
        <w:rPr>
          <w:rFonts w:ascii="Times New Roman" w:hAnsi="Times New Roman"/>
        </w:rPr>
        <w:t>Pt 10</w:t>
      </w:r>
      <w:r w:rsidR="003E5876" w:rsidRPr="0008166C">
        <w:rPr>
          <w:rFonts w:ascii="Times New Roman" w:hAnsi="Times New Roman"/>
        </w:rPr>
        <w:t>.</w:t>
      </w:r>
      <w:r w:rsidR="00387263" w:rsidRPr="0008166C">
        <w:rPr>
          <w:rFonts w:ascii="Times New Roman" w:hAnsi="Times New Roman"/>
        </w:rPr>
        <w:t xml:space="preserve"> </w:t>
      </w:r>
      <w:r w:rsidR="005A0B72" w:rsidRPr="0008166C">
        <w:rPr>
          <w:rFonts w:ascii="Times New Roman" w:hAnsi="Times New Roman"/>
        </w:rPr>
        <w:t xml:space="preserve">Part 10 of the CPA contains no provision that </w:t>
      </w:r>
      <w:r w:rsidR="00F22924" w:rsidRPr="0008166C">
        <w:rPr>
          <w:rFonts w:ascii="Times New Roman" w:hAnsi="Times New Roman"/>
        </w:rPr>
        <w:t xml:space="preserve">purports to </w:t>
      </w:r>
      <w:r w:rsidR="005A0B72" w:rsidRPr="0008166C">
        <w:rPr>
          <w:rFonts w:ascii="Times New Roman" w:hAnsi="Times New Roman"/>
        </w:rPr>
        <w:t xml:space="preserve">enlist the </w:t>
      </w:r>
      <w:r w:rsidR="00E91FC1" w:rsidRPr="0008166C">
        <w:rPr>
          <w:rFonts w:ascii="Times New Roman" w:hAnsi="Times New Roman"/>
        </w:rPr>
        <w:t xml:space="preserve">Supreme </w:t>
      </w:r>
      <w:r w:rsidR="005A0B72" w:rsidRPr="0008166C">
        <w:rPr>
          <w:rFonts w:ascii="Times New Roman" w:hAnsi="Times New Roman"/>
        </w:rPr>
        <w:t>Court in the performance of that function</w:t>
      </w:r>
      <w:r w:rsidR="00AC245D" w:rsidRPr="0008166C">
        <w:rPr>
          <w:rFonts w:ascii="Times New Roman" w:hAnsi="Times New Roman"/>
        </w:rPr>
        <w:t>, much less does it contain any guide to</w:t>
      </w:r>
      <w:r w:rsidR="005A0B72" w:rsidRPr="0008166C">
        <w:rPr>
          <w:rFonts w:ascii="Times New Roman" w:hAnsi="Times New Roman"/>
        </w:rPr>
        <w:t xml:space="preserve"> the </w:t>
      </w:r>
      <w:r w:rsidR="00E91FC1" w:rsidRPr="0008166C">
        <w:rPr>
          <w:rFonts w:ascii="Times New Roman" w:hAnsi="Times New Roman"/>
        </w:rPr>
        <w:t>Supreme Court</w:t>
      </w:r>
      <w:r w:rsidR="005A0B72" w:rsidRPr="0008166C">
        <w:rPr>
          <w:rFonts w:ascii="Times New Roman" w:hAnsi="Times New Roman"/>
        </w:rPr>
        <w:t xml:space="preserve"> in relation to the</w:t>
      </w:r>
      <w:r w:rsidR="00E97C4F" w:rsidRPr="0008166C">
        <w:rPr>
          <w:rFonts w:ascii="Times New Roman" w:hAnsi="Times New Roman"/>
        </w:rPr>
        <w:t xml:space="preserve"> performance of that function</w:t>
      </w:r>
      <w:r w:rsidR="005A0B72" w:rsidRPr="0008166C">
        <w:rPr>
          <w:rFonts w:ascii="Times New Roman" w:hAnsi="Times New Roman"/>
        </w:rPr>
        <w:t xml:space="preserve">. It is not necessary for present purposes to determine whether such a role is </w:t>
      </w:r>
      <w:r w:rsidR="00983D9A" w:rsidRPr="0008166C">
        <w:rPr>
          <w:rFonts w:ascii="Times New Roman" w:hAnsi="Times New Roman"/>
        </w:rPr>
        <w:t xml:space="preserve">so </w:t>
      </w:r>
      <w:r w:rsidR="005A0B72" w:rsidRPr="0008166C">
        <w:rPr>
          <w:rFonts w:ascii="Times New Roman" w:hAnsi="Times New Roman"/>
        </w:rPr>
        <w:t xml:space="preserve">inimical to the judicial function that </w:t>
      </w:r>
      <w:r w:rsidR="006F0967" w:rsidRPr="0008166C">
        <w:rPr>
          <w:rFonts w:ascii="Times New Roman" w:hAnsi="Times New Roman"/>
        </w:rPr>
        <w:t xml:space="preserve">a Ch III </w:t>
      </w:r>
      <w:r w:rsidR="0008050C" w:rsidRPr="0008166C">
        <w:rPr>
          <w:rFonts w:ascii="Times New Roman" w:hAnsi="Times New Roman"/>
        </w:rPr>
        <w:t>c</w:t>
      </w:r>
      <w:r w:rsidR="006F0967" w:rsidRPr="0008166C">
        <w:rPr>
          <w:rFonts w:ascii="Times New Roman" w:hAnsi="Times New Roman"/>
        </w:rPr>
        <w:t>ourt</w:t>
      </w:r>
      <w:r w:rsidR="00525AA8" w:rsidRPr="0008166C">
        <w:rPr>
          <w:rFonts w:ascii="Times New Roman" w:hAnsi="Times New Roman"/>
        </w:rPr>
        <w:t xml:space="preserve"> </w:t>
      </w:r>
      <w:r w:rsidR="005A0B72" w:rsidRPr="0008166C">
        <w:rPr>
          <w:rFonts w:ascii="Times New Roman" w:hAnsi="Times New Roman"/>
        </w:rPr>
        <w:t xml:space="preserve">might </w:t>
      </w:r>
      <w:r w:rsidR="00ED4126" w:rsidRPr="0008166C">
        <w:rPr>
          <w:rFonts w:ascii="Times New Roman" w:hAnsi="Times New Roman"/>
        </w:rPr>
        <w:t>not</w:t>
      </w:r>
      <w:r w:rsidR="00AF09A7" w:rsidRPr="0008166C">
        <w:rPr>
          <w:rFonts w:ascii="Times New Roman" w:hAnsi="Times New Roman"/>
        </w:rPr>
        <w:t xml:space="preserve"> be</w:t>
      </w:r>
      <w:r w:rsidR="005A0B72" w:rsidRPr="0008166C">
        <w:rPr>
          <w:rFonts w:ascii="Times New Roman" w:hAnsi="Times New Roman"/>
        </w:rPr>
        <w:t xml:space="preserve"> tasked with such a role by the legislature</w:t>
      </w:r>
      <w:r w:rsidR="003E5876" w:rsidRPr="0008166C">
        <w:rPr>
          <w:rFonts w:ascii="Times New Roman" w:hAnsi="Times New Roman"/>
        </w:rPr>
        <w:t>. I</w:t>
      </w:r>
      <w:r w:rsidR="005A0B72" w:rsidRPr="0008166C">
        <w:rPr>
          <w:rFonts w:ascii="Times New Roman" w:hAnsi="Times New Roman"/>
        </w:rPr>
        <w:t xml:space="preserve">t is sufficient to </w:t>
      </w:r>
      <w:r w:rsidR="00ED4126" w:rsidRPr="0008166C">
        <w:rPr>
          <w:rFonts w:ascii="Times New Roman" w:hAnsi="Times New Roman"/>
        </w:rPr>
        <w:t xml:space="preserve">say </w:t>
      </w:r>
      <w:r w:rsidR="005A0B72" w:rsidRPr="0008166C">
        <w:rPr>
          <w:rFonts w:ascii="Times New Roman" w:hAnsi="Times New Roman"/>
        </w:rPr>
        <w:t>that the task</w:t>
      </w:r>
      <w:r w:rsidR="00ED4126" w:rsidRPr="0008166C">
        <w:rPr>
          <w:rFonts w:ascii="Times New Roman" w:hAnsi="Times New Roman"/>
        </w:rPr>
        <w:t>s</w:t>
      </w:r>
      <w:r w:rsidR="005A0B72" w:rsidRPr="0008166C">
        <w:rPr>
          <w:rFonts w:ascii="Times New Roman" w:hAnsi="Times New Roman"/>
        </w:rPr>
        <w:t xml:space="preserve"> contemplated by Pt 10 of the CPA</w:t>
      </w:r>
      <w:r w:rsidR="005A0B72" w:rsidRPr="0008166C">
        <w:rPr>
          <w:rStyle w:val="FootnoteReference"/>
          <w:rFonts w:ascii="Times New Roman" w:hAnsi="Times New Roman"/>
          <w:sz w:val="24"/>
        </w:rPr>
        <w:footnoteReference w:id="25"/>
      </w:r>
      <w:r w:rsidR="005A0B72" w:rsidRPr="0008166C">
        <w:rPr>
          <w:rFonts w:ascii="Times New Roman" w:hAnsi="Times New Roman"/>
        </w:rPr>
        <w:t xml:space="preserve"> </w:t>
      </w:r>
      <w:r w:rsidR="003E5876" w:rsidRPr="0008166C">
        <w:rPr>
          <w:rFonts w:ascii="Times New Roman" w:hAnsi="Times New Roman"/>
        </w:rPr>
        <w:t xml:space="preserve">do not include, as </w:t>
      </w:r>
      <w:r w:rsidR="008F52AA" w:rsidRPr="0008166C">
        <w:rPr>
          <w:rFonts w:ascii="Times New Roman" w:hAnsi="Times New Roman"/>
        </w:rPr>
        <w:t xml:space="preserve">one of the </w:t>
      </w:r>
      <w:r w:rsidR="005A0B72" w:rsidRPr="0008166C">
        <w:rPr>
          <w:rFonts w:ascii="Times New Roman" w:hAnsi="Times New Roman"/>
        </w:rPr>
        <w:t>function</w:t>
      </w:r>
      <w:r w:rsidR="008F52AA" w:rsidRPr="0008166C">
        <w:rPr>
          <w:rFonts w:ascii="Times New Roman" w:hAnsi="Times New Roman"/>
        </w:rPr>
        <w:t>s</w:t>
      </w:r>
      <w:r w:rsidR="005A0B72" w:rsidRPr="0008166C">
        <w:rPr>
          <w:rFonts w:ascii="Times New Roman" w:hAnsi="Times New Roman"/>
        </w:rPr>
        <w:t xml:space="preserve"> of the </w:t>
      </w:r>
      <w:r w:rsidR="00C31497" w:rsidRPr="0008166C">
        <w:rPr>
          <w:rFonts w:ascii="Times New Roman" w:hAnsi="Times New Roman"/>
        </w:rPr>
        <w:t>Supreme Court</w:t>
      </w:r>
      <w:r w:rsidR="008F52AA" w:rsidRPr="0008166C">
        <w:rPr>
          <w:rFonts w:ascii="Times New Roman" w:hAnsi="Times New Roman"/>
        </w:rPr>
        <w:t xml:space="preserve"> under that Part</w:t>
      </w:r>
      <w:r w:rsidR="003E5876" w:rsidRPr="0008166C">
        <w:rPr>
          <w:rFonts w:ascii="Times New Roman" w:hAnsi="Times New Roman"/>
        </w:rPr>
        <w:t xml:space="preserve">, the selection of the sponsor most likely to enhance the recovery of those on the plaintiffs' side of the record. </w:t>
      </w:r>
    </w:p>
    <w:p w14:paraId="55F4C098" w14:textId="63C4E621" w:rsidR="008C3BC6" w:rsidRPr="0008166C" w:rsidRDefault="001F42E9"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5636A8" w:rsidRPr="0008166C">
        <w:rPr>
          <w:rFonts w:ascii="Times New Roman" w:hAnsi="Times New Roman"/>
        </w:rPr>
        <w:t xml:space="preserve">Section 157(1) provides that where seven or more persons have claims against the same person, the claims are in respect of the same or similar circumstances and the claims give rise to a substantial common question of law or fact, proceedings may be commenced by one or more of those persons as representing some or all of them. Section 158(1) provides that a person has a </w:t>
      </w:r>
      <w:r w:rsidR="005636A8" w:rsidRPr="0008166C">
        <w:rPr>
          <w:rFonts w:ascii="Times New Roman" w:hAnsi="Times New Roman"/>
        </w:rPr>
        <w:lastRenderedPageBreak/>
        <w:t>sufficient interest to commence such proceedings if the person has standing to commence proceedings on their own behalf.</w:t>
      </w:r>
      <w:r w:rsidR="008C3BC6" w:rsidRPr="0008166C">
        <w:rPr>
          <w:rFonts w:ascii="Times New Roman" w:hAnsi="Times New Roman"/>
        </w:rPr>
        <w:t xml:space="preserve"> </w:t>
      </w:r>
    </w:p>
    <w:p w14:paraId="50177EC8" w14:textId="1B939E33" w:rsidR="005636A8" w:rsidRPr="0008166C" w:rsidRDefault="001F42E9"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5636A8" w:rsidRPr="0008166C">
        <w:rPr>
          <w:rFonts w:ascii="Times New Roman" w:hAnsi="Times New Roman"/>
        </w:rPr>
        <w:t>Section 159(1) provides that the consent of a person to be a group member, being a person on whose behalf representative proceedings have been commenced</w:t>
      </w:r>
      <w:r w:rsidR="005636A8" w:rsidRPr="0008166C">
        <w:rPr>
          <w:rStyle w:val="FootnoteReference"/>
          <w:rFonts w:ascii="Times New Roman" w:hAnsi="Times New Roman"/>
          <w:sz w:val="24"/>
        </w:rPr>
        <w:footnoteReference w:id="26"/>
      </w:r>
      <w:r w:rsidR="005636A8" w:rsidRPr="0008166C">
        <w:rPr>
          <w:rFonts w:ascii="Times New Roman" w:hAnsi="Times New Roman"/>
        </w:rPr>
        <w:t>, is not required. Section 162 provides that a group member may opt out of the representative proceedings before the date fixed for opting out by the Supreme Court.</w:t>
      </w:r>
    </w:p>
    <w:p w14:paraId="3067ADB4" w14:textId="77777777" w:rsidR="005636A8" w:rsidRPr="0008166C" w:rsidRDefault="005636A8" w:rsidP="0008166C">
      <w:pPr>
        <w:pStyle w:val="FixListStyle"/>
        <w:spacing w:after="260" w:line="280" w:lineRule="exact"/>
        <w:ind w:right="0"/>
        <w:jc w:val="both"/>
        <w:rPr>
          <w:rFonts w:ascii="Times New Roman" w:hAnsi="Times New Roman"/>
        </w:rPr>
      </w:pPr>
      <w:r w:rsidRPr="0008166C">
        <w:rPr>
          <w:rFonts w:ascii="Times New Roman" w:hAnsi="Times New Roman"/>
        </w:rPr>
        <w:tab/>
        <w:t>Section 171(1) provides that:</w:t>
      </w:r>
    </w:p>
    <w:p w14:paraId="5DCA83C7" w14:textId="77777777" w:rsidR="0008166C" w:rsidRDefault="00216F39" w:rsidP="0008166C">
      <w:pPr>
        <w:pStyle w:val="leftright"/>
        <w:spacing w:before="0" w:after="260" w:line="280" w:lineRule="exact"/>
        <w:ind w:right="0"/>
        <w:jc w:val="both"/>
        <w:rPr>
          <w:rFonts w:ascii="Times New Roman" w:hAnsi="Times New Roman"/>
        </w:rPr>
      </w:pPr>
      <w:r w:rsidRPr="0008166C">
        <w:rPr>
          <w:rFonts w:ascii="Times New Roman" w:hAnsi="Times New Roman"/>
        </w:rPr>
        <w:t>"</w:t>
      </w:r>
      <w:r w:rsidR="005636A8" w:rsidRPr="0008166C">
        <w:rPr>
          <w:rFonts w:ascii="Times New Roman" w:hAnsi="Times New Roman"/>
        </w:rPr>
        <w:t>If, on application by a group member, it appears to the Court that a representative party is not able adequately to represent the interests of the group members, the Court may substitute another group member as representative party and make such other orders as it thinks fit.</w:t>
      </w:r>
      <w:r w:rsidRPr="0008166C">
        <w:rPr>
          <w:rFonts w:ascii="Times New Roman" w:hAnsi="Times New Roman"/>
        </w:rPr>
        <w:t>"</w:t>
      </w:r>
    </w:p>
    <w:p w14:paraId="230BE4DF" w14:textId="0EBF591E" w:rsidR="00890035" w:rsidRPr="0008166C" w:rsidRDefault="00FD4132"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CF63D7" w:rsidRPr="0008166C">
        <w:rPr>
          <w:rFonts w:ascii="Times New Roman" w:hAnsi="Times New Roman"/>
        </w:rPr>
        <w:t xml:space="preserve">Importantly, </w:t>
      </w:r>
      <w:r w:rsidR="00D72BB3" w:rsidRPr="0008166C">
        <w:rPr>
          <w:rFonts w:ascii="Times New Roman" w:hAnsi="Times New Roman"/>
        </w:rPr>
        <w:t xml:space="preserve">s 171(1) is the only provision in Pt 10 of the CPA </w:t>
      </w:r>
      <w:r w:rsidR="0040571F" w:rsidRPr="0008166C">
        <w:rPr>
          <w:rFonts w:ascii="Times New Roman" w:hAnsi="Times New Roman"/>
        </w:rPr>
        <w:t xml:space="preserve">that contemplates intervention by the </w:t>
      </w:r>
      <w:r w:rsidR="008D7306" w:rsidRPr="0008166C">
        <w:rPr>
          <w:rFonts w:ascii="Times New Roman" w:hAnsi="Times New Roman"/>
        </w:rPr>
        <w:t>Supreme C</w:t>
      </w:r>
      <w:r w:rsidR="0040571F" w:rsidRPr="0008166C">
        <w:rPr>
          <w:rFonts w:ascii="Times New Roman" w:hAnsi="Times New Roman"/>
        </w:rPr>
        <w:t xml:space="preserve">ourt to alter the manner in which a proceeding is constituted on the plaintiffs' side of the record. </w:t>
      </w:r>
      <w:r w:rsidR="00C46049" w:rsidRPr="0008166C">
        <w:rPr>
          <w:rFonts w:ascii="Times New Roman" w:hAnsi="Times New Roman"/>
        </w:rPr>
        <w:t xml:space="preserve">It is </w:t>
      </w:r>
      <w:r w:rsidR="00D72BB3" w:rsidRPr="0008166C">
        <w:rPr>
          <w:rFonts w:ascii="Times New Roman" w:hAnsi="Times New Roman"/>
        </w:rPr>
        <w:t>addressed to the concern that representation of group members by a representative plaintiff may be "inadequate".</w:t>
      </w:r>
      <w:r w:rsidR="00B75C8D" w:rsidRPr="0008166C">
        <w:rPr>
          <w:rFonts w:ascii="Times New Roman" w:hAnsi="Times New Roman"/>
        </w:rPr>
        <w:t xml:space="preserve"> </w:t>
      </w:r>
      <w:r w:rsidR="005D2BAA" w:rsidRPr="0008166C">
        <w:rPr>
          <w:rFonts w:ascii="Times New Roman" w:hAnsi="Times New Roman"/>
        </w:rPr>
        <w:t>As a matter of the ordinary meaning of language</w:t>
      </w:r>
      <w:r w:rsidR="00795820" w:rsidRPr="0008166C">
        <w:rPr>
          <w:rFonts w:ascii="Times New Roman" w:hAnsi="Times New Roman"/>
        </w:rPr>
        <w:t>,</w:t>
      </w:r>
      <w:r w:rsidR="005D2BAA" w:rsidRPr="0008166C">
        <w:rPr>
          <w:rFonts w:ascii="Times New Roman" w:hAnsi="Times New Roman"/>
        </w:rPr>
        <w:t xml:space="preserve"> s 171</w:t>
      </w:r>
      <w:r w:rsidR="003348D5" w:rsidRPr="0008166C">
        <w:rPr>
          <w:rFonts w:ascii="Times New Roman" w:hAnsi="Times New Roman"/>
        </w:rPr>
        <w:t xml:space="preserve"> presents a binary</w:t>
      </w:r>
      <w:r w:rsidR="008C54E5" w:rsidRPr="0008166C">
        <w:rPr>
          <w:rFonts w:ascii="Times New Roman" w:hAnsi="Times New Roman"/>
        </w:rPr>
        <w:t xml:space="preserve"> </w:t>
      </w:r>
      <w:r w:rsidR="00795820" w:rsidRPr="0008166C">
        <w:rPr>
          <w:rFonts w:ascii="Times New Roman" w:hAnsi="Times New Roman"/>
        </w:rPr>
        <w:t>question</w:t>
      </w:r>
      <w:r w:rsidR="003348D5" w:rsidRPr="0008166C">
        <w:rPr>
          <w:rFonts w:ascii="Times New Roman" w:hAnsi="Times New Roman"/>
        </w:rPr>
        <w:t xml:space="preserve">: </w:t>
      </w:r>
      <w:r w:rsidR="008C54E5" w:rsidRPr="0008166C">
        <w:rPr>
          <w:rFonts w:ascii="Times New Roman" w:hAnsi="Times New Roman"/>
        </w:rPr>
        <w:t xml:space="preserve">is </w:t>
      </w:r>
      <w:r w:rsidR="005D2BAA" w:rsidRPr="0008166C">
        <w:rPr>
          <w:rFonts w:ascii="Times New Roman" w:hAnsi="Times New Roman"/>
        </w:rPr>
        <w:t xml:space="preserve">a representative plaintiff </w:t>
      </w:r>
      <w:r w:rsidR="003E5876" w:rsidRPr="0008166C">
        <w:rPr>
          <w:rFonts w:ascii="Times New Roman" w:hAnsi="Times New Roman"/>
        </w:rPr>
        <w:t>able adequately to represent the interests of group members or i</w:t>
      </w:r>
      <w:r w:rsidR="00FF7FB7" w:rsidRPr="0008166C">
        <w:rPr>
          <w:rFonts w:ascii="Times New Roman" w:hAnsi="Times New Roman"/>
        </w:rPr>
        <w:t>s it</w:t>
      </w:r>
      <w:r w:rsidR="003E5876" w:rsidRPr="0008166C">
        <w:rPr>
          <w:rFonts w:ascii="Times New Roman" w:hAnsi="Times New Roman"/>
        </w:rPr>
        <w:t xml:space="preserve"> </w:t>
      </w:r>
      <w:r w:rsidR="005D2BAA" w:rsidRPr="0008166C">
        <w:rPr>
          <w:rFonts w:ascii="Times New Roman" w:hAnsi="Times New Roman"/>
        </w:rPr>
        <w:t>not</w:t>
      </w:r>
      <w:r w:rsidR="009B54C0" w:rsidRPr="0008166C">
        <w:rPr>
          <w:rFonts w:ascii="Times New Roman" w:hAnsi="Times New Roman"/>
        </w:rPr>
        <w:t>?</w:t>
      </w:r>
      <w:r w:rsidR="00E06962" w:rsidRPr="0008166C">
        <w:rPr>
          <w:rFonts w:ascii="Times New Roman" w:hAnsi="Times New Roman"/>
        </w:rPr>
        <w:t xml:space="preserve"> </w:t>
      </w:r>
      <w:r w:rsidR="009B54C0" w:rsidRPr="0008166C">
        <w:rPr>
          <w:rFonts w:ascii="Times New Roman" w:hAnsi="Times New Roman"/>
        </w:rPr>
        <w:t>S</w:t>
      </w:r>
      <w:r w:rsidR="005D2BAA" w:rsidRPr="0008166C">
        <w:rPr>
          <w:rFonts w:ascii="Times New Roman" w:hAnsi="Times New Roman"/>
        </w:rPr>
        <w:t>ection</w:t>
      </w:r>
      <w:r w:rsidR="009B54C0" w:rsidRPr="0008166C">
        <w:rPr>
          <w:rFonts w:ascii="Times New Roman" w:hAnsi="Times New Roman"/>
        </w:rPr>
        <w:t> 171</w:t>
      </w:r>
      <w:r w:rsidR="005D2BAA" w:rsidRPr="0008166C">
        <w:rPr>
          <w:rFonts w:ascii="Times New Roman" w:hAnsi="Times New Roman"/>
        </w:rPr>
        <w:t xml:space="preserve"> does not contemplate an inquiry as to whether more </w:t>
      </w:r>
      <w:r w:rsidR="002D1D87" w:rsidRPr="0008166C">
        <w:rPr>
          <w:rFonts w:ascii="Times New Roman" w:hAnsi="Times New Roman"/>
        </w:rPr>
        <w:t xml:space="preserve">effective </w:t>
      </w:r>
      <w:r w:rsidR="005D2BAA" w:rsidRPr="0008166C">
        <w:rPr>
          <w:rFonts w:ascii="Times New Roman" w:hAnsi="Times New Roman"/>
        </w:rPr>
        <w:t xml:space="preserve">representation </w:t>
      </w:r>
      <w:r w:rsidR="002D1D87" w:rsidRPr="0008166C">
        <w:rPr>
          <w:rFonts w:ascii="Times New Roman" w:hAnsi="Times New Roman"/>
        </w:rPr>
        <w:t xml:space="preserve">may be </w:t>
      </w:r>
      <w:r w:rsidR="005D2BAA" w:rsidRPr="0008166C">
        <w:rPr>
          <w:rFonts w:ascii="Times New Roman" w:hAnsi="Times New Roman"/>
        </w:rPr>
        <w:t xml:space="preserve">available to group members </w:t>
      </w:r>
      <w:r w:rsidR="00E06962" w:rsidRPr="0008166C">
        <w:rPr>
          <w:rFonts w:ascii="Times New Roman" w:hAnsi="Times New Roman"/>
        </w:rPr>
        <w:t xml:space="preserve">by some other </w:t>
      </w:r>
      <w:r w:rsidR="002C2E96" w:rsidRPr="0008166C">
        <w:rPr>
          <w:rFonts w:ascii="Times New Roman" w:hAnsi="Times New Roman"/>
        </w:rPr>
        <w:t>representative plaintiff by reason of that person's association with a different sponsor</w:t>
      </w:r>
      <w:r w:rsidR="005D2BAA" w:rsidRPr="0008166C">
        <w:rPr>
          <w:rFonts w:ascii="Times New Roman" w:hAnsi="Times New Roman"/>
        </w:rPr>
        <w:t>.</w:t>
      </w:r>
      <w:r w:rsidR="003E5876" w:rsidRPr="0008166C">
        <w:rPr>
          <w:rFonts w:ascii="Times New Roman" w:hAnsi="Times New Roman"/>
        </w:rPr>
        <w:t xml:space="preserve"> </w:t>
      </w:r>
      <w:r w:rsidR="00890035" w:rsidRPr="0008166C">
        <w:rPr>
          <w:rFonts w:ascii="Times New Roman" w:hAnsi="Times New Roman"/>
        </w:rPr>
        <w:t xml:space="preserve">In </w:t>
      </w:r>
      <w:r w:rsidR="00890035" w:rsidRPr="0008166C">
        <w:rPr>
          <w:rFonts w:ascii="Times New Roman" w:hAnsi="Times New Roman"/>
          <w:i/>
        </w:rPr>
        <w:t>Mobil Oil Australia Pty Ltd v Victoria</w:t>
      </w:r>
      <w:r w:rsidR="00890035" w:rsidRPr="0008166C">
        <w:rPr>
          <w:rStyle w:val="FootnoteReference"/>
          <w:rFonts w:ascii="Times New Roman" w:hAnsi="Times New Roman"/>
          <w:sz w:val="24"/>
        </w:rPr>
        <w:footnoteReference w:id="27"/>
      </w:r>
      <w:r w:rsidR="00890035" w:rsidRPr="0008166C">
        <w:rPr>
          <w:rFonts w:ascii="Times New Roman" w:hAnsi="Times New Roman"/>
        </w:rPr>
        <w:t>, in the course of summarising the features of the Victorian equivalent of Pt 10, Gleeson CJ stated in reference to the equivalent to s 171 that:</w:t>
      </w:r>
    </w:p>
    <w:p w14:paraId="23943935" w14:textId="77777777" w:rsidR="0008166C" w:rsidRDefault="00890035" w:rsidP="0008166C">
      <w:pPr>
        <w:pStyle w:val="LeftrightafterHC"/>
        <w:spacing w:before="0" w:after="260" w:line="280" w:lineRule="exact"/>
        <w:ind w:right="0"/>
        <w:jc w:val="both"/>
        <w:rPr>
          <w:rFonts w:ascii="Times New Roman" w:hAnsi="Times New Roman"/>
        </w:rPr>
      </w:pPr>
      <w:r w:rsidRPr="0008166C">
        <w:rPr>
          <w:rFonts w:ascii="Times New Roman" w:hAnsi="Times New Roman"/>
        </w:rPr>
        <w:t>"The Court has power to substitute another group member for the plaintiff if it appears that the plaintiff is not able adequately to represent the interests of the group members. This is not a mechanism for the plaintiff to be replaced on the application of group members who disagree with the way the case is being run."</w:t>
      </w:r>
    </w:p>
    <w:p w14:paraId="423E375D" w14:textId="3D593D5F" w:rsidR="009E108A" w:rsidRPr="0008166C" w:rsidRDefault="00890035"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075B2A" w:rsidRPr="0008166C">
        <w:rPr>
          <w:rFonts w:ascii="Times New Roman" w:hAnsi="Times New Roman"/>
        </w:rPr>
        <w:t>The text of s</w:t>
      </w:r>
      <w:r w:rsidR="009E108A" w:rsidRPr="0008166C">
        <w:rPr>
          <w:rFonts w:ascii="Times New Roman" w:hAnsi="Times New Roman"/>
        </w:rPr>
        <w:t xml:space="preserve"> 171 </w:t>
      </w:r>
      <w:r w:rsidR="007D3E42" w:rsidRPr="0008166C">
        <w:rPr>
          <w:rFonts w:ascii="Times New Roman" w:hAnsi="Times New Roman"/>
        </w:rPr>
        <w:t xml:space="preserve">does not </w:t>
      </w:r>
      <w:r w:rsidR="009E108A" w:rsidRPr="0008166C">
        <w:rPr>
          <w:rFonts w:ascii="Times New Roman" w:hAnsi="Times New Roman"/>
        </w:rPr>
        <w:t>contemplate a contest between</w:t>
      </w:r>
      <w:r w:rsidR="003269AE" w:rsidRPr="0008166C">
        <w:rPr>
          <w:rFonts w:ascii="Times New Roman" w:hAnsi="Times New Roman"/>
        </w:rPr>
        <w:t xml:space="preserve"> the would</w:t>
      </w:r>
      <w:r w:rsidR="00104F28" w:rsidRPr="0008166C">
        <w:rPr>
          <w:rFonts w:ascii="Times New Roman" w:hAnsi="Times New Roman"/>
        </w:rPr>
        <w:noBreakHyphen/>
        <w:t>be sponsors of representative proceedings</w:t>
      </w:r>
      <w:r w:rsidR="009E108A" w:rsidRPr="0008166C">
        <w:rPr>
          <w:rFonts w:ascii="Times New Roman" w:hAnsi="Times New Roman"/>
        </w:rPr>
        <w:t xml:space="preserve">. </w:t>
      </w:r>
      <w:r w:rsidR="00A12CCA" w:rsidRPr="0008166C">
        <w:rPr>
          <w:rFonts w:ascii="Times New Roman" w:hAnsi="Times New Roman"/>
        </w:rPr>
        <w:t>T</w:t>
      </w:r>
      <w:r w:rsidR="00D51C2E" w:rsidRPr="0008166C">
        <w:rPr>
          <w:rFonts w:ascii="Times New Roman" w:hAnsi="Times New Roman"/>
        </w:rPr>
        <w:t>he</w:t>
      </w:r>
      <w:r w:rsidR="009E108A" w:rsidRPr="0008166C">
        <w:rPr>
          <w:rFonts w:ascii="Times New Roman" w:hAnsi="Times New Roman"/>
        </w:rPr>
        <w:t xml:space="preserve"> context </w:t>
      </w:r>
      <w:r w:rsidR="00D51C2E" w:rsidRPr="0008166C">
        <w:rPr>
          <w:rFonts w:ascii="Times New Roman" w:hAnsi="Times New Roman"/>
        </w:rPr>
        <w:t>in which s 171 appears</w:t>
      </w:r>
      <w:r w:rsidR="00694A22" w:rsidRPr="0008166C">
        <w:rPr>
          <w:rFonts w:ascii="Times New Roman" w:hAnsi="Times New Roman"/>
        </w:rPr>
        <w:t xml:space="preserve"> </w:t>
      </w:r>
      <w:r w:rsidR="009E108A" w:rsidRPr="0008166C">
        <w:rPr>
          <w:rFonts w:ascii="Times New Roman" w:hAnsi="Times New Roman"/>
        </w:rPr>
        <w:t xml:space="preserve">is concerned with the doing of justice between the plaintiffs and the defendant. Whether one sponsor might be likely to secure a greater level of recovery than another because it is more experienced or better resourced or more </w:t>
      </w:r>
      <w:r w:rsidR="007C3841" w:rsidRPr="0008166C">
        <w:rPr>
          <w:rFonts w:ascii="Times New Roman" w:hAnsi="Times New Roman"/>
        </w:rPr>
        <w:t xml:space="preserve">highly </w:t>
      </w:r>
      <w:r w:rsidR="009E108A" w:rsidRPr="0008166C">
        <w:rPr>
          <w:rFonts w:ascii="Times New Roman" w:hAnsi="Times New Roman"/>
        </w:rPr>
        <w:lastRenderedPageBreak/>
        <w:t xml:space="preserve">incentivised </w:t>
      </w:r>
      <w:r w:rsidR="007C3841" w:rsidRPr="0008166C">
        <w:rPr>
          <w:rFonts w:ascii="Times New Roman" w:hAnsi="Times New Roman"/>
        </w:rPr>
        <w:t xml:space="preserve">financially </w:t>
      </w:r>
      <w:r w:rsidR="009E108A" w:rsidRPr="0008166C">
        <w:rPr>
          <w:rFonts w:ascii="Times New Roman" w:hAnsi="Times New Roman"/>
        </w:rPr>
        <w:t>is no doubt a matter of lively interest to those on the plaintiffs</w:t>
      </w:r>
      <w:r w:rsidR="00B43070" w:rsidRPr="0008166C">
        <w:rPr>
          <w:rFonts w:ascii="Times New Roman" w:hAnsi="Times New Roman"/>
        </w:rPr>
        <w:t>'</w:t>
      </w:r>
      <w:r w:rsidR="009E108A" w:rsidRPr="0008166C">
        <w:rPr>
          <w:rFonts w:ascii="Times New Roman" w:hAnsi="Times New Roman"/>
        </w:rPr>
        <w:t xml:space="preserve"> side of the record</w:t>
      </w:r>
      <w:r w:rsidR="0088184C" w:rsidRPr="0008166C">
        <w:rPr>
          <w:rFonts w:ascii="Times New Roman" w:hAnsi="Times New Roman"/>
        </w:rPr>
        <w:t>; b</w:t>
      </w:r>
      <w:r w:rsidR="009E108A" w:rsidRPr="0008166C">
        <w:rPr>
          <w:rFonts w:ascii="Times New Roman" w:hAnsi="Times New Roman"/>
        </w:rPr>
        <w:t xml:space="preserve">ut </w:t>
      </w:r>
      <w:r w:rsidR="0088184C" w:rsidRPr="0008166C">
        <w:rPr>
          <w:rFonts w:ascii="Times New Roman" w:hAnsi="Times New Roman"/>
        </w:rPr>
        <w:t xml:space="preserve">it </w:t>
      </w:r>
      <w:r w:rsidR="009E108A" w:rsidRPr="0008166C">
        <w:rPr>
          <w:rFonts w:ascii="Times New Roman" w:hAnsi="Times New Roman"/>
        </w:rPr>
        <w:t xml:space="preserve">has nothing to do with the doing of justice between the plaintiffs and the defendant according to their respective merits in </w:t>
      </w:r>
      <w:r w:rsidR="00694A22" w:rsidRPr="0008166C">
        <w:rPr>
          <w:rFonts w:ascii="Times New Roman" w:hAnsi="Times New Roman"/>
        </w:rPr>
        <w:t xml:space="preserve">relation to </w:t>
      </w:r>
      <w:r w:rsidR="009E108A" w:rsidRPr="0008166C">
        <w:rPr>
          <w:rFonts w:ascii="Times New Roman" w:hAnsi="Times New Roman"/>
        </w:rPr>
        <w:t>the dispute</w:t>
      </w:r>
      <w:r w:rsidR="00694A22" w:rsidRPr="0008166C">
        <w:rPr>
          <w:rFonts w:ascii="Times New Roman" w:hAnsi="Times New Roman"/>
        </w:rPr>
        <w:t xml:space="preserve"> to be resolved by the </w:t>
      </w:r>
      <w:r w:rsidR="00FB7769" w:rsidRPr="0008166C">
        <w:rPr>
          <w:rFonts w:ascii="Times New Roman" w:hAnsi="Times New Roman"/>
        </w:rPr>
        <w:t>Supreme C</w:t>
      </w:r>
      <w:r w:rsidR="00694A22" w:rsidRPr="0008166C">
        <w:rPr>
          <w:rFonts w:ascii="Times New Roman" w:hAnsi="Times New Roman"/>
        </w:rPr>
        <w:t>ourt</w:t>
      </w:r>
      <w:r w:rsidR="009E108A" w:rsidRPr="0008166C">
        <w:rPr>
          <w:rFonts w:ascii="Times New Roman" w:hAnsi="Times New Roman"/>
        </w:rPr>
        <w:t>.</w:t>
      </w:r>
    </w:p>
    <w:p w14:paraId="607A9D80" w14:textId="748A7DAC" w:rsidR="003E5876" w:rsidRPr="0008166C" w:rsidRDefault="009E108A"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694A22" w:rsidRPr="0008166C">
        <w:rPr>
          <w:rFonts w:ascii="Times New Roman" w:hAnsi="Times New Roman"/>
        </w:rPr>
        <w:t>It is noteworthy that, even</w:t>
      </w:r>
      <w:r w:rsidR="002005D1" w:rsidRPr="0008166C">
        <w:rPr>
          <w:rFonts w:ascii="Times New Roman" w:hAnsi="Times New Roman"/>
        </w:rPr>
        <w:t xml:space="preserve"> on the argument advanced </w:t>
      </w:r>
      <w:r w:rsidR="00AC6CD2" w:rsidRPr="0008166C">
        <w:rPr>
          <w:rFonts w:ascii="Times New Roman" w:hAnsi="Times New Roman"/>
        </w:rPr>
        <w:t>by</w:t>
      </w:r>
      <w:r w:rsidR="00C50418" w:rsidRPr="0008166C">
        <w:rPr>
          <w:rFonts w:ascii="Times New Roman" w:hAnsi="Times New Roman"/>
        </w:rPr>
        <w:t xml:space="preserve"> </w:t>
      </w:r>
      <w:proofErr w:type="spellStart"/>
      <w:r w:rsidR="00C50418" w:rsidRPr="0008166C">
        <w:rPr>
          <w:rFonts w:ascii="Times New Roman" w:hAnsi="Times New Roman"/>
        </w:rPr>
        <w:t>Komlotex</w:t>
      </w:r>
      <w:proofErr w:type="spellEnd"/>
      <w:r w:rsidR="00AC6CD2" w:rsidRPr="0008166C">
        <w:rPr>
          <w:rFonts w:ascii="Times New Roman" w:hAnsi="Times New Roman"/>
        </w:rPr>
        <w:t xml:space="preserve"> and </w:t>
      </w:r>
      <w:proofErr w:type="spellStart"/>
      <w:r w:rsidR="009F12CA" w:rsidRPr="0008166C">
        <w:rPr>
          <w:rFonts w:ascii="Times New Roman" w:hAnsi="Times New Roman"/>
        </w:rPr>
        <w:t>Fernbrook</w:t>
      </w:r>
      <w:proofErr w:type="spellEnd"/>
      <w:r w:rsidR="002005D1" w:rsidRPr="0008166C">
        <w:rPr>
          <w:rFonts w:ascii="Times New Roman" w:hAnsi="Times New Roman"/>
        </w:rPr>
        <w:t xml:space="preserve">, it was not said that s 171 provided a "remedy" for a person in the position of </w:t>
      </w:r>
      <w:proofErr w:type="spellStart"/>
      <w:r w:rsidR="002005D1" w:rsidRPr="0008166C">
        <w:rPr>
          <w:rFonts w:ascii="Times New Roman" w:hAnsi="Times New Roman"/>
        </w:rPr>
        <w:t>Komlotex</w:t>
      </w:r>
      <w:proofErr w:type="spellEnd"/>
      <w:r w:rsidR="009F12CA" w:rsidRPr="0008166C">
        <w:rPr>
          <w:rFonts w:ascii="Times New Roman" w:hAnsi="Times New Roman"/>
        </w:rPr>
        <w:t xml:space="preserve"> or </w:t>
      </w:r>
      <w:proofErr w:type="spellStart"/>
      <w:r w:rsidR="009F12CA" w:rsidRPr="0008166C">
        <w:rPr>
          <w:rFonts w:ascii="Times New Roman" w:hAnsi="Times New Roman"/>
        </w:rPr>
        <w:t>Fernbrook</w:t>
      </w:r>
      <w:proofErr w:type="spellEnd"/>
      <w:r w:rsidR="002005D1" w:rsidRPr="0008166C">
        <w:rPr>
          <w:rFonts w:ascii="Times New Roman" w:hAnsi="Times New Roman"/>
        </w:rPr>
        <w:t xml:space="preserve">. </w:t>
      </w:r>
      <w:proofErr w:type="spellStart"/>
      <w:r w:rsidR="003E5876" w:rsidRPr="0008166C">
        <w:rPr>
          <w:rFonts w:ascii="Times New Roman" w:hAnsi="Times New Roman"/>
        </w:rPr>
        <w:t>Komlotex</w:t>
      </w:r>
      <w:proofErr w:type="spellEnd"/>
      <w:r w:rsidR="003E5876" w:rsidRPr="0008166C">
        <w:rPr>
          <w:rFonts w:ascii="Times New Roman" w:hAnsi="Times New Roman"/>
        </w:rPr>
        <w:t xml:space="preserve"> and </w:t>
      </w:r>
      <w:proofErr w:type="spellStart"/>
      <w:r w:rsidR="003E5876" w:rsidRPr="0008166C">
        <w:rPr>
          <w:rFonts w:ascii="Times New Roman" w:hAnsi="Times New Roman"/>
        </w:rPr>
        <w:t>Fernbrook</w:t>
      </w:r>
      <w:proofErr w:type="spellEnd"/>
      <w:r w:rsidR="003E5876" w:rsidRPr="0008166C">
        <w:rPr>
          <w:rFonts w:ascii="Times New Roman" w:hAnsi="Times New Roman"/>
        </w:rPr>
        <w:t xml:space="preserve"> accepted, and indeed argued, that the power to replace a representative plaintiff under that provision is limited to cases where the plaintiff ceases to have sufficient interest in the dispute to bring a claim or is otherwise incapable</w:t>
      </w:r>
      <w:r w:rsidR="00CC7F7A" w:rsidRPr="0008166C">
        <w:rPr>
          <w:rFonts w:ascii="Times New Roman" w:hAnsi="Times New Roman"/>
        </w:rPr>
        <w:t xml:space="preserve"> of performing</w:t>
      </w:r>
      <w:r w:rsidR="003E5876" w:rsidRPr="0008166C">
        <w:rPr>
          <w:rFonts w:ascii="Times New Roman" w:hAnsi="Times New Roman"/>
        </w:rPr>
        <w:t xml:space="preserve"> or refuses to perform the role of representative plaintiff</w:t>
      </w:r>
      <w:r w:rsidR="00C91642" w:rsidRPr="0008166C">
        <w:rPr>
          <w:rStyle w:val="FootnoteReference"/>
          <w:rFonts w:ascii="Times New Roman" w:hAnsi="Times New Roman"/>
          <w:sz w:val="24"/>
        </w:rPr>
        <w:footnoteReference w:id="28"/>
      </w:r>
      <w:r w:rsidR="00FF667F" w:rsidRPr="0008166C">
        <w:rPr>
          <w:rFonts w:ascii="Times New Roman" w:hAnsi="Times New Roman"/>
        </w:rPr>
        <w:t>; the power</w:t>
      </w:r>
      <w:r w:rsidR="003E5876" w:rsidRPr="0008166C">
        <w:rPr>
          <w:rFonts w:ascii="Times New Roman" w:hAnsi="Times New Roman"/>
        </w:rPr>
        <w:t xml:space="preserve"> does not extend to cases where </w:t>
      </w:r>
      <w:r w:rsidR="002005D1" w:rsidRPr="0008166C">
        <w:rPr>
          <w:rFonts w:ascii="Times New Roman" w:hAnsi="Times New Roman"/>
        </w:rPr>
        <w:t xml:space="preserve">another </w:t>
      </w:r>
      <w:r w:rsidR="003E5876" w:rsidRPr="0008166C">
        <w:rPr>
          <w:rFonts w:ascii="Times New Roman" w:hAnsi="Times New Roman"/>
        </w:rPr>
        <w:t xml:space="preserve">proceeding </w:t>
      </w:r>
      <w:r w:rsidR="002005D1" w:rsidRPr="0008166C">
        <w:rPr>
          <w:rFonts w:ascii="Times New Roman" w:hAnsi="Times New Roman"/>
        </w:rPr>
        <w:t xml:space="preserve">is </w:t>
      </w:r>
      <w:r w:rsidR="003E5876" w:rsidRPr="0008166C">
        <w:rPr>
          <w:rFonts w:ascii="Times New Roman" w:hAnsi="Times New Roman"/>
        </w:rPr>
        <w:t xml:space="preserve">simply "better" or </w:t>
      </w:r>
      <w:r w:rsidR="002005D1" w:rsidRPr="0008166C">
        <w:rPr>
          <w:rFonts w:ascii="Times New Roman" w:hAnsi="Times New Roman"/>
        </w:rPr>
        <w:t xml:space="preserve">where </w:t>
      </w:r>
      <w:r w:rsidR="003E5876" w:rsidRPr="0008166C">
        <w:rPr>
          <w:rFonts w:ascii="Times New Roman" w:hAnsi="Times New Roman"/>
        </w:rPr>
        <w:t>group members disagree with the way the proceeding is being run.</w:t>
      </w:r>
      <w:r w:rsidR="00B21D33" w:rsidRPr="0008166C">
        <w:rPr>
          <w:rFonts w:ascii="Times New Roman" w:hAnsi="Times New Roman"/>
        </w:rPr>
        <w:t xml:space="preserve"> </w:t>
      </w:r>
    </w:p>
    <w:p w14:paraId="100DC411" w14:textId="00756586" w:rsidR="0058537E" w:rsidRPr="0008166C" w:rsidRDefault="003E5876" w:rsidP="0008166C">
      <w:pPr>
        <w:pStyle w:val="FixListStyle"/>
        <w:spacing w:after="260" w:line="280" w:lineRule="exact"/>
        <w:ind w:right="0"/>
        <w:jc w:val="both"/>
        <w:rPr>
          <w:rFonts w:ascii="Times New Roman" w:hAnsi="Times New Roman"/>
        </w:rPr>
      </w:pPr>
      <w:r w:rsidRPr="0008166C">
        <w:rPr>
          <w:rFonts w:ascii="Times New Roman" w:hAnsi="Times New Roman"/>
        </w:rPr>
        <w:tab/>
      </w:r>
      <w:bookmarkStart w:id="5" w:name="_Ref55365956"/>
      <w:r w:rsidR="00D913CA" w:rsidRPr="0008166C">
        <w:rPr>
          <w:rFonts w:ascii="Times New Roman" w:hAnsi="Times New Roman"/>
        </w:rPr>
        <w:t>Section 183 permits the Supreme Court to make any order, of its own motion or on application by a party or group member, in a representative proceeding it "thinks appropriate or necessary to ensure that justice is done in the proceedings".</w:t>
      </w:r>
      <w:bookmarkEnd w:id="5"/>
      <w:r w:rsidR="00D913CA" w:rsidRPr="0008166C">
        <w:rPr>
          <w:rFonts w:ascii="Times New Roman" w:hAnsi="Times New Roman"/>
        </w:rPr>
        <w:t xml:space="preserve"> </w:t>
      </w:r>
      <w:r w:rsidR="00CA4866" w:rsidRPr="0008166C">
        <w:rPr>
          <w:rFonts w:ascii="Times New Roman" w:hAnsi="Times New Roman"/>
        </w:rPr>
        <w:t xml:space="preserve">Once again, it </w:t>
      </w:r>
      <w:r w:rsidR="00D913CA" w:rsidRPr="0008166C">
        <w:rPr>
          <w:rFonts w:ascii="Times New Roman" w:hAnsi="Times New Roman"/>
        </w:rPr>
        <w:t xml:space="preserve">is important to appreciate that this provision is concerned with the doing of justice as between the parties </w:t>
      </w:r>
      <w:r w:rsidR="00D1108A" w:rsidRPr="0008166C">
        <w:rPr>
          <w:rFonts w:ascii="Times New Roman" w:hAnsi="Times New Roman"/>
        </w:rPr>
        <w:t>on either side of the record</w:t>
      </w:r>
      <w:r w:rsidR="00314732" w:rsidRPr="0008166C">
        <w:rPr>
          <w:rStyle w:val="FootnoteReference"/>
          <w:rFonts w:ascii="Times New Roman" w:hAnsi="Times New Roman"/>
          <w:sz w:val="24"/>
        </w:rPr>
        <w:footnoteReference w:id="29"/>
      </w:r>
      <w:r w:rsidR="00D913CA" w:rsidRPr="0008166C">
        <w:rPr>
          <w:rFonts w:ascii="Times New Roman" w:hAnsi="Times New Roman"/>
        </w:rPr>
        <w:t xml:space="preserve">. </w:t>
      </w:r>
      <w:r w:rsidR="00DC4D8A" w:rsidRPr="0008166C">
        <w:rPr>
          <w:rFonts w:ascii="Times New Roman" w:hAnsi="Times New Roman"/>
        </w:rPr>
        <w:t>W</w:t>
      </w:r>
      <w:r w:rsidR="00EF0811" w:rsidRPr="0008166C">
        <w:rPr>
          <w:rFonts w:ascii="Times New Roman" w:hAnsi="Times New Roman"/>
        </w:rPr>
        <w:t xml:space="preserve">hether </w:t>
      </w:r>
      <w:r w:rsidR="00DC4D8A" w:rsidRPr="0008166C">
        <w:rPr>
          <w:rFonts w:ascii="Times New Roman" w:hAnsi="Times New Roman"/>
        </w:rPr>
        <w:t xml:space="preserve">those on </w:t>
      </w:r>
      <w:r w:rsidR="00EF0811" w:rsidRPr="0008166C">
        <w:rPr>
          <w:rFonts w:ascii="Times New Roman" w:hAnsi="Times New Roman"/>
        </w:rPr>
        <w:t>the plaintiffs</w:t>
      </w:r>
      <w:r w:rsidR="00DC4D8A" w:rsidRPr="0008166C">
        <w:rPr>
          <w:rFonts w:ascii="Times New Roman" w:hAnsi="Times New Roman"/>
        </w:rPr>
        <w:t>' side of the record</w:t>
      </w:r>
      <w:r w:rsidR="00EF0811" w:rsidRPr="0008166C">
        <w:rPr>
          <w:rFonts w:ascii="Times New Roman" w:hAnsi="Times New Roman"/>
        </w:rPr>
        <w:t xml:space="preserve"> might be better served by proceedings sponsored by another funder</w:t>
      </w:r>
      <w:r w:rsidR="00750F39" w:rsidRPr="0008166C">
        <w:rPr>
          <w:rFonts w:ascii="Times New Roman" w:hAnsi="Times New Roman"/>
        </w:rPr>
        <w:t xml:space="preserve"> is not a question as to whether "justice is done in the proceedings</w:t>
      </w:r>
      <w:r w:rsidR="00C01819" w:rsidRPr="0008166C">
        <w:rPr>
          <w:rFonts w:ascii="Times New Roman" w:hAnsi="Times New Roman"/>
        </w:rPr>
        <w:t>"</w:t>
      </w:r>
      <w:r w:rsidR="00750F39" w:rsidRPr="0008166C">
        <w:rPr>
          <w:rFonts w:ascii="Times New Roman" w:hAnsi="Times New Roman"/>
        </w:rPr>
        <w:t xml:space="preserve"> as between </w:t>
      </w:r>
      <w:r w:rsidR="002F0601" w:rsidRPr="0008166C">
        <w:rPr>
          <w:rFonts w:ascii="Times New Roman" w:hAnsi="Times New Roman"/>
        </w:rPr>
        <w:t xml:space="preserve">the </w:t>
      </w:r>
      <w:r w:rsidR="00750F39" w:rsidRPr="0008166C">
        <w:rPr>
          <w:rFonts w:ascii="Times New Roman" w:hAnsi="Times New Roman"/>
        </w:rPr>
        <w:t>plaintiffs and</w:t>
      </w:r>
      <w:r w:rsidR="002F0601" w:rsidRPr="0008166C">
        <w:rPr>
          <w:rFonts w:ascii="Times New Roman" w:hAnsi="Times New Roman"/>
        </w:rPr>
        <w:t xml:space="preserve"> the</w:t>
      </w:r>
      <w:r w:rsidR="00750F39" w:rsidRPr="0008166C">
        <w:rPr>
          <w:rFonts w:ascii="Times New Roman" w:hAnsi="Times New Roman"/>
        </w:rPr>
        <w:t xml:space="preserve"> defendant</w:t>
      </w:r>
      <w:r w:rsidR="00FF2923" w:rsidRPr="0008166C">
        <w:rPr>
          <w:rFonts w:ascii="Times New Roman" w:hAnsi="Times New Roman"/>
        </w:rPr>
        <w:t>.</w:t>
      </w:r>
      <w:r w:rsidR="005D0066" w:rsidRPr="0008166C">
        <w:rPr>
          <w:rFonts w:ascii="Times New Roman" w:hAnsi="Times New Roman"/>
        </w:rPr>
        <w:t xml:space="preserve"> The observations of the plurality in </w:t>
      </w:r>
      <w:r w:rsidR="0058537E" w:rsidRPr="0008166C">
        <w:rPr>
          <w:rFonts w:ascii="Times New Roman" w:hAnsi="Times New Roman"/>
          <w:i/>
        </w:rPr>
        <w:t xml:space="preserve">BMW </w:t>
      </w:r>
      <w:r w:rsidR="00A04CAF" w:rsidRPr="0008166C">
        <w:rPr>
          <w:rFonts w:ascii="Times New Roman" w:hAnsi="Times New Roman"/>
          <w:i/>
        </w:rPr>
        <w:t xml:space="preserve">Australia Ltd </w:t>
      </w:r>
      <w:r w:rsidR="0058537E" w:rsidRPr="0008166C">
        <w:rPr>
          <w:rFonts w:ascii="Times New Roman" w:hAnsi="Times New Roman"/>
          <w:i/>
        </w:rPr>
        <w:t>v Brewster</w:t>
      </w:r>
      <w:r w:rsidR="0058537E" w:rsidRPr="0008166C">
        <w:rPr>
          <w:rStyle w:val="FootnoteReference"/>
          <w:rFonts w:ascii="Times New Roman" w:hAnsi="Times New Roman"/>
          <w:sz w:val="24"/>
        </w:rPr>
        <w:footnoteReference w:id="30"/>
      </w:r>
      <w:r w:rsidR="00C8658C" w:rsidRPr="0008166C">
        <w:rPr>
          <w:rFonts w:ascii="Times New Roman" w:hAnsi="Times New Roman"/>
        </w:rPr>
        <w:t xml:space="preserve"> are applicable here</w:t>
      </w:r>
      <w:r w:rsidR="00FE7348" w:rsidRPr="0008166C">
        <w:rPr>
          <w:rFonts w:ascii="Times New Roman" w:hAnsi="Times New Roman"/>
        </w:rPr>
        <w:t>:</w:t>
      </w:r>
    </w:p>
    <w:p w14:paraId="2A6F9F27" w14:textId="77777777" w:rsidR="0008166C" w:rsidRDefault="0058537E" w:rsidP="0008166C">
      <w:pPr>
        <w:pStyle w:val="leftright"/>
        <w:spacing w:before="0" w:after="260" w:line="280" w:lineRule="exact"/>
        <w:ind w:right="0"/>
        <w:jc w:val="both"/>
        <w:rPr>
          <w:rFonts w:ascii="Times New Roman" w:hAnsi="Times New Roman"/>
        </w:rPr>
      </w:pPr>
      <w:r w:rsidRPr="0008166C">
        <w:rPr>
          <w:rFonts w:ascii="Times New Roman" w:hAnsi="Times New Roman"/>
        </w:rPr>
        <w:tab/>
        <w:t>"It is reasonably to be expected that legislation intended to enlist the court in a task of this kind would make specific provision in that regard. That it has not done so is itself some contextual indication that the power to make such an order is not to be discerned in 'gap‑filling' provisions such as</w:t>
      </w:r>
      <w:r w:rsidR="00965748" w:rsidRPr="0008166C">
        <w:rPr>
          <w:rFonts w:ascii="Times New Roman" w:hAnsi="Times New Roman"/>
        </w:rPr>
        <w:t xml:space="preserve"> s 33ZF [of the FCA]</w:t>
      </w:r>
      <w:r w:rsidRPr="0008166C">
        <w:rPr>
          <w:rFonts w:ascii="Times New Roman" w:hAnsi="Times New Roman"/>
        </w:rPr>
        <w:t xml:space="preserve"> or s 183</w:t>
      </w:r>
      <w:r w:rsidR="00355F4A" w:rsidRPr="0008166C">
        <w:rPr>
          <w:rFonts w:ascii="Times New Roman" w:hAnsi="Times New Roman"/>
        </w:rPr>
        <w:t xml:space="preserve"> [of the CPA]</w:t>
      </w:r>
      <w:r w:rsidRPr="0008166C">
        <w:rPr>
          <w:rFonts w:ascii="Times New Roman" w:hAnsi="Times New Roman"/>
        </w:rPr>
        <w:t>."</w:t>
      </w:r>
      <w:r w:rsidR="00F143B3" w:rsidRPr="0008166C">
        <w:rPr>
          <w:rFonts w:ascii="Times New Roman" w:hAnsi="Times New Roman"/>
        </w:rPr>
        <w:t xml:space="preserve"> </w:t>
      </w:r>
      <w:r w:rsidR="00355F4A" w:rsidRPr="0008166C">
        <w:rPr>
          <w:rFonts w:ascii="Times New Roman" w:hAnsi="Times New Roman"/>
        </w:rPr>
        <w:t>(</w:t>
      </w:r>
      <w:r w:rsidR="002F0AA8" w:rsidRPr="0008166C">
        <w:rPr>
          <w:rFonts w:ascii="Times New Roman" w:hAnsi="Times New Roman"/>
        </w:rPr>
        <w:t>footnote</w:t>
      </w:r>
      <w:r w:rsidR="00355F4A" w:rsidRPr="0008166C">
        <w:rPr>
          <w:rFonts w:ascii="Times New Roman" w:hAnsi="Times New Roman"/>
        </w:rPr>
        <w:t xml:space="preserve"> omitte</w:t>
      </w:r>
      <w:r w:rsidR="00F143B3" w:rsidRPr="0008166C">
        <w:rPr>
          <w:rFonts w:ascii="Times New Roman" w:hAnsi="Times New Roman"/>
        </w:rPr>
        <w:t>d)</w:t>
      </w:r>
    </w:p>
    <w:p w14:paraId="664E6A79" w14:textId="649104BC" w:rsidR="00351DCE" w:rsidRPr="0008166C" w:rsidRDefault="00351DCE" w:rsidP="0008166C">
      <w:pPr>
        <w:pStyle w:val="FixListStyle"/>
        <w:spacing w:after="260" w:line="280" w:lineRule="exact"/>
        <w:ind w:right="0"/>
        <w:jc w:val="both"/>
        <w:rPr>
          <w:rFonts w:ascii="Times New Roman" w:hAnsi="Times New Roman"/>
        </w:rPr>
      </w:pPr>
      <w:r w:rsidRPr="0008166C">
        <w:rPr>
          <w:rFonts w:ascii="Times New Roman" w:hAnsi="Times New Roman"/>
        </w:rPr>
        <w:tab/>
        <w:t>It may readily</w:t>
      </w:r>
      <w:r w:rsidR="00A74DF1" w:rsidRPr="0008166C">
        <w:rPr>
          <w:rFonts w:ascii="Times New Roman" w:hAnsi="Times New Roman"/>
        </w:rPr>
        <w:t xml:space="preserve"> be acknowledged that the power conferred on the</w:t>
      </w:r>
      <w:r w:rsidR="00CF0546" w:rsidRPr="0008166C">
        <w:rPr>
          <w:rFonts w:ascii="Times New Roman" w:hAnsi="Times New Roman"/>
        </w:rPr>
        <w:t xml:space="preserve"> Supreme</w:t>
      </w:r>
      <w:r w:rsidR="00A74DF1" w:rsidRPr="0008166C">
        <w:rPr>
          <w:rFonts w:ascii="Times New Roman" w:hAnsi="Times New Roman"/>
        </w:rPr>
        <w:t xml:space="preserve"> </w:t>
      </w:r>
      <w:r w:rsidR="00CF0546" w:rsidRPr="0008166C">
        <w:rPr>
          <w:rFonts w:ascii="Times New Roman" w:hAnsi="Times New Roman"/>
        </w:rPr>
        <w:t>C</w:t>
      </w:r>
      <w:r w:rsidR="00A74DF1" w:rsidRPr="0008166C">
        <w:rPr>
          <w:rFonts w:ascii="Times New Roman" w:hAnsi="Times New Roman"/>
        </w:rPr>
        <w:t xml:space="preserve">ourt by s 183 is wide, but as the </w:t>
      </w:r>
      <w:r w:rsidR="00A74DF1" w:rsidRPr="0008166C">
        <w:rPr>
          <w:rFonts w:ascii="Times New Roman" w:hAnsi="Times New Roman"/>
          <w:iCs/>
        </w:rPr>
        <w:t>plurality</w:t>
      </w:r>
      <w:r w:rsidR="00A74DF1" w:rsidRPr="0008166C">
        <w:rPr>
          <w:rFonts w:ascii="Times New Roman" w:hAnsi="Times New Roman"/>
          <w:i/>
          <w:iCs/>
        </w:rPr>
        <w:t xml:space="preserve"> </w:t>
      </w:r>
      <w:r w:rsidR="00A74DF1" w:rsidRPr="0008166C">
        <w:rPr>
          <w:rFonts w:ascii="Times New Roman" w:hAnsi="Times New Roman"/>
        </w:rPr>
        <w:t xml:space="preserve">observed in </w:t>
      </w:r>
      <w:r w:rsidR="00A74DF1" w:rsidRPr="0008166C">
        <w:rPr>
          <w:rFonts w:ascii="Times New Roman" w:hAnsi="Times New Roman"/>
          <w:i/>
          <w:iCs/>
        </w:rPr>
        <w:t>BMW</w:t>
      </w:r>
      <w:r w:rsidR="00D4209C" w:rsidRPr="0008166C">
        <w:rPr>
          <w:rFonts w:ascii="Times New Roman" w:hAnsi="Times New Roman"/>
          <w:i/>
          <w:iCs/>
        </w:rPr>
        <w:t xml:space="preserve"> Australia Ltd</w:t>
      </w:r>
      <w:r w:rsidR="00A74DF1" w:rsidRPr="0008166C">
        <w:rPr>
          <w:rFonts w:ascii="Times New Roman" w:hAnsi="Times New Roman"/>
          <w:i/>
          <w:iCs/>
        </w:rPr>
        <w:t xml:space="preserve"> </w:t>
      </w:r>
      <w:r w:rsidR="00241E6D" w:rsidRPr="0008166C">
        <w:rPr>
          <w:rFonts w:ascii="Times New Roman" w:hAnsi="Times New Roman"/>
          <w:i/>
          <w:iCs/>
        </w:rPr>
        <w:t xml:space="preserve">v </w:t>
      </w:r>
      <w:r w:rsidR="00241E6D" w:rsidRPr="0008166C">
        <w:rPr>
          <w:rFonts w:ascii="Times New Roman" w:hAnsi="Times New Roman"/>
          <w:i/>
          <w:iCs/>
        </w:rPr>
        <w:lastRenderedPageBreak/>
        <w:t>Brewster</w:t>
      </w:r>
      <w:r w:rsidR="006978B3" w:rsidRPr="0008166C">
        <w:rPr>
          <w:rFonts w:ascii="Times New Roman" w:hAnsi="Times New Roman"/>
        </w:rPr>
        <w:t>, s 183 is a "supplementary or gap</w:t>
      </w:r>
      <w:r w:rsidR="006978B3" w:rsidRPr="0008166C">
        <w:rPr>
          <w:rFonts w:ascii="Times New Roman" w:hAnsi="Times New Roman"/>
        </w:rPr>
        <w:noBreakHyphen/>
        <w:t>filling provisio</w:t>
      </w:r>
      <w:r w:rsidR="00D47DA9" w:rsidRPr="0008166C">
        <w:rPr>
          <w:rFonts w:ascii="Times New Roman" w:hAnsi="Times New Roman"/>
        </w:rPr>
        <w:t>n"</w:t>
      </w:r>
      <w:r w:rsidR="00D47DA9" w:rsidRPr="0008166C">
        <w:rPr>
          <w:rStyle w:val="FootnoteReference"/>
          <w:rFonts w:ascii="Times New Roman" w:hAnsi="Times New Roman"/>
          <w:sz w:val="24"/>
        </w:rPr>
        <w:footnoteReference w:id="31"/>
      </w:r>
      <w:r w:rsidR="002D09FF" w:rsidRPr="0008166C">
        <w:rPr>
          <w:rFonts w:ascii="Times New Roman" w:hAnsi="Times New Roman"/>
        </w:rPr>
        <w:t xml:space="preserve"> which does not authorise the </w:t>
      </w:r>
      <w:r w:rsidR="000F7705" w:rsidRPr="0008166C">
        <w:rPr>
          <w:rFonts w:ascii="Times New Roman" w:hAnsi="Times New Roman"/>
        </w:rPr>
        <w:t>C</w:t>
      </w:r>
      <w:r w:rsidR="002D09FF" w:rsidRPr="0008166C">
        <w:rPr>
          <w:rFonts w:ascii="Times New Roman" w:hAnsi="Times New Roman"/>
        </w:rPr>
        <w:t>ourt to rewrite Pt 10 of the CPA in order to pursue objectives outside the scope of the provisions</w:t>
      </w:r>
      <w:r w:rsidR="00CD780E" w:rsidRPr="0008166C">
        <w:rPr>
          <w:rStyle w:val="FootnoteReference"/>
          <w:rFonts w:ascii="Times New Roman" w:hAnsi="Times New Roman"/>
          <w:sz w:val="24"/>
        </w:rPr>
        <w:footnoteReference w:id="32"/>
      </w:r>
      <w:r w:rsidR="00CD780E" w:rsidRPr="0008166C">
        <w:rPr>
          <w:rFonts w:ascii="Times New Roman" w:hAnsi="Times New Roman"/>
        </w:rPr>
        <w:t>.</w:t>
      </w:r>
      <w:r w:rsidR="008433A0" w:rsidRPr="0008166C">
        <w:rPr>
          <w:rFonts w:ascii="Times New Roman" w:hAnsi="Times New Roman"/>
        </w:rPr>
        <w:t xml:space="preserve"> The selection of the best sponsor for representative proceedings is a matter quite outside the concerns of Pt</w:t>
      </w:r>
      <w:r w:rsidR="00A913D1" w:rsidRPr="0008166C">
        <w:rPr>
          <w:rFonts w:ascii="Times New Roman" w:hAnsi="Times New Roman"/>
        </w:rPr>
        <w:t xml:space="preserve"> 10 in general and </w:t>
      </w:r>
      <w:r w:rsidR="00377490" w:rsidRPr="0008166C">
        <w:rPr>
          <w:rFonts w:ascii="Times New Roman" w:hAnsi="Times New Roman"/>
        </w:rPr>
        <w:t xml:space="preserve">of </w:t>
      </w:r>
      <w:r w:rsidR="00A913D1" w:rsidRPr="0008166C">
        <w:rPr>
          <w:rFonts w:ascii="Times New Roman" w:hAnsi="Times New Roman"/>
        </w:rPr>
        <w:t xml:space="preserve">s 183 in particular. </w:t>
      </w:r>
      <w:r w:rsidR="007E2ACD" w:rsidRPr="0008166C">
        <w:rPr>
          <w:rFonts w:ascii="Times New Roman" w:hAnsi="Times New Roman"/>
        </w:rPr>
        <w:t xml:space="preserve">In this regard, it </w:t>
      </w:r>
      <w:r w:rsidR="00A913D1" w:rsidRPr="0008166C">
        <w:rPr>
          <w:rFonts w:ascii="Times New Roman" w:hAnsi="Times New Roman"/>
        </w:rPr>
        <w:t xml:space="preserve">is readily apparent that the CPA does not follow the </w:t>
      </w:r>
      <w:r w:rsidR="000F7705" w:rsidRPr="0008166C">
        <w:rPr>
          <w:rFonts w:ascii="Times New Roman" w:hAnsi="Times New Roman"/>
        </w:rPr>
        <w:t xml:space="preserve">United States </w:t>
      </w:r>
      <w:r w:rsidR="00A913D1" w:rsidRPr="0008166C">
        <w:rPr>
          <w:rFonts w:ascii="Times New Roman" w:hAnsi="Times New Roman"/>
        </w:rPr>
        <w:t>model</w:t>
      </w:r>
      <w:r w:rsidR="000F7705" w:rsidRPr="0008166C">
        <w:rPr>
          <w:rFonts w:ascii="Times New Roman" w:hAnsi="Times New Roman"/>
        </w:rPr>
        <w:t>,</w:t>
      </w:r>
      <w:r w:rsidR="00A913D1" w:rsidRPr="0008166C">
        <w:rPr>
          <w:rFonts w:ascii="Times New Roman" w:hAnsi="Times New Roman"/>
        </w:rPr>
        <w:t xml:space="preserve"> which does address that concern.</w:t>
      </w:r>
    </w:p>
    <w:p w14:paraId="3632C19B" w14:textId="0178966E" w:rsidR="00664320" w:rsidRPr="0008166C" w:rsidRDefault="0086291F" w:rsidP="0008166C">
      <w:pPr>
        <w:pStyle w:val="HeadingL2"/>
        <w:spacing w:after="260" w:line="280" w:lineRule="exact"/>
        <w:ind w:right="0"/>
        <w:jc w:val="both"/>
        <w:rPr>
          <w:rFonts w:ascii="Times New Roman" w:hAnsi="Times New Roman"/>
        </w:rPr>
      </w:pPr>
      <w:bookmarkStart w:id="6" w:name="_Ref55455569"/>
      <w:r w:rsidRPr="0008166C">
        <w:rPr>
          <w:rFonts w:ascii="Times New Roman" w:hAnsi="Times New Roman"/>
        </w:rPr>
        <w:t>Carriage motions and the CPA</w:t>
      </w:r>
    </w:p>
    <w:p w14:paraId="4B2B8716" w14:textId="28124B50" w:rsidR="00A80EB4" w:rsidRPr="0008166C" w:rsidRDefault="008F5282"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7E2ACD" w:rsidRPr="0008166C">
        <w:rPr>
          <w:rFonts w:ascii="Times New Roman" w:hAnsi="Times New Roman"/>
        </w:rPr>
        <w:t>T</w:t>
      </w:r>
      <w:r w:rsidR="0058537E" w:rsidRPr="0008166C">
        <w:rPr>
          <w:rFonts w:ascii="Times New Roman" w:hAnsi="Times New Roman"/>
        </w:rPr>
        <w:t>he "multi</w:t>
      </w:r>
      <w:r w:rsidR="00B254F8" w:rsidRPr="0008166C">
        <w:rPr>
          <w:rFonts w:ascii="Times New Roman" w:hAnsi="Times New Roman"/>
        </w:rPr>
        <w:noBreakHyphen/>
      </w:r>
      <w:r w:rsidR="0058537E" w:rsidRPr="0008166C">
        <w:rPr>
          <w:rFonts w:ascii="Times New Roman" w:hAnsi="Times New Roman"/>
        </w:rPr>
        <w:t xml:space="preserve">factorial analysis" applied by the primary judge is appropriate </w:t>
      </w:r>
      <w:r w:rsidR="00A517EB" w:rsidRPr="0008166C">
        <w:rPr>
          <w:rFonts w:ascii="Times New Roman" w:hAnsi="Times New Roman"/>
        </w:rPr>
        <w:t xml:space="preserve">to </w:t>
      </w:r>
      <w:r w:rsidR="0058537E" w:rsidRPr="0008166C">
        <w:rPr>
          <w:rFonts w:ascii="Times New Roman" w:hAnsi="Times New Roman"/>
        </w:rPr>
        <w:t>"carriage" and "certification" motions under United States law</w:t>
      </w:r>
      <w:r w:rsidR="0058537E" w:rsidRPr="0008166C">
        <w:rPr>
          <w:rStyle w:val="FootnoteReference"/>
          <w:rFonts w:ascii="Times New Roman" w:hAnsi="Times New Roman"/>
          <w:sz w:val="24"/>
        </w:rPr>
        <w:footnoteReference w:id="33"/>
      </w:r>
      <w:r w:rsidR="00547AC7" w:rsidRPr="0008166C">
        <w:rPr>
          <w:rFonts w:ascii="Times New Roman" w:hAnsi="Times New Roman"/>
        </w:rPr>
        <w:t>.</w:t>
      </w:r>
      <w:r w:rsidR="001425D1" w:rsidRPr="0008166C">
        <w:rPr>
          <w:rFonts w:ascii="Times New Roman" w:hAnsi="Times New Roman"/>
        </w:rPr>
        <w:t xml:space="preserve"> </w:t>
      </w:r>
      <w:r w:rsidR="00547AC7" w:rsidRPr="0008166C">
        <w:rPr>
          <w:rFonts w:ascii="Times New Roman" w:hAnsi="Times New Roman"/>
        </w:rPr>
        <w:t>The difference between the provisions of the CPA and United States law pertaining to "carriage" and "certification" motions, from which the "multi</w:t>
      </w:r>
      <w:r w:rsidR="00547AC7" w:rsidRPr="0008166C">
        <w:rPr>
          <w:rFonts w:ascii="Times New Roman" w:hAnsi="Times New Roman"/>
        </w:rPr>
        <w:noBreakHyphen/>
        <w:t>factorial analysis" applied by the primary judge was drawn, is instructive</w:t>
      </w:r>
      <w:r w:rsidR="001425D1" w:rsidRPr="0008166C">
        <w:rPr>
          <w:rFonts w:ascii="Times New Roman" w:hAnsi="Times New Roman"/>
        </w:rPr>
        <w:t xml:space="preserve">. </w:t>
      </w:r>
      <w:r w:rsidR="00A3075B" w:rsidRPr="0008166C">
        <w:rPr>
          <w:rFonts w:ascii="Times New Roman" w:hAnsi="Times New Roman"/>
        </w:rPr>
        <w:t xml:space="preserve">Carriage </w:t>
      </w:r>
      <w:r w:rsidR="0058537E" w:rsidRPr="0008166C">
        <w:rPr>
          <w:rFonts w:ascii="Times New Roman" w:hAnsi="Times New Roman"/>
        </w:rPr>
        <w:t xml:space="preserve">motions </w:t>
      </w:r>
      <w:r w:rsidR="00A3075B" w:rsidRPr="0008166C">
        <w:rPr>
          <w:rFonts w:ascii="Times New Roman" w:hAnsi="Times New Roman"/>
        </w:rPr>
        <w:t xml:space="preserve">are </w:t>
      </w:r>
      <w:r w:rsidR="0058537E" w:rsidRPr="0008166C">
        <w:rPr>
          <w:rFonts w:ascii="Times New Roman" w:hAnsi="Times New Roman"/>
        </w:rPr>
        <w:t xml:space="preserve">heard by United States courts under statutory provisions regulating the </w:t>
      </w:r>
      <w:r w:rsidR="006362E2" w:rsidRPr="0008166C">
        <w:rPr>
          <w:rFonts w:ascii="Times New Roman" w:hAnsi="Times New Roman"/>
        </w:rPr>
        <w:t xml:space="preserve">choice of persons to be tasked with the </w:t>
      </w:r>
      <w:r w:rsidR="0058537E" w:rsidRPr="0008166C">
        <w:rPr>
          <w:rFonts w:ascii="Times New Roman" w:hAnsi="Times New Roman"/>
        </w:rPr>
        <w:t xml:space="preserve">commencement </w:t>
      </w:r>
      <w:r w:rsidR="006362E2" w:rsidRPr="0008166C">
        <w:rPr>
          <w:rFonts w:ascii="Times New Roman" w:hAnsi="Times New Roman"/>
        </w:rPr>
        <w:t xml:space="preserve">and prosecution of </w:t>
      </w:r>
      <w:r w:rsidR="0058537E" w:rsidRPr="0008166C">
        <w:rPr>
          <w:rFonts w:ascii="Times New Roman" w:hAnsi="Times New Roman"/>
        </w:rPr>
        <w:t>representative proceedings</w:t>
      </w:r>
      <w:r w:rsidR="0058537E" w:rsidRPr="0008166C">
        <w:rPr>
          <w:rStyle w:val="FootnoteReference"/>
          <w:rFonts w:ascii="Times New Roman" w:hAnsi="Times New Roman"/>
          <w:sz w:val="24"/>
        </w:rPr>
        <w:footnoteReference w:id="34"/>
      </w:r>
      <w:r w:rsidR="0058537E" w:rsidRPr="0008166C">
        <w:rPr>
          <w:rFonts w:ascii="Times New Roman" w:hAnsi="Times New Roman"/>
        </w:rPr>
        <w:t xml:space="preserve">. </w:t>
      </w:r>
      <w:r w:rsidR="00206574" w:rsidRPr="0008166C">
        <w:rPr>
          <w:rFonts w:ascii="Times New Roman" w:hAnsi="Times New Roman"/>
        </w:rPr>
        <w:t xml:space="preserve">In </w:t>
      </w:r>
      <w:r w:rsidR="00A3075B" w:rsidRPr="0008166C">
        <w:rPr>
          <w:rFonts w:ascii="Times New Roman" w:hAnsi="Times New Roman"/>
        </w:rPr>
        <w:t>particular,</w:t>
      </w:r>
      <w:r w:rsidR="00880AB0" w:rsidRPr="0008166C">
        <w:rPr>
          <w:rFonts w:ascii="Times New Roman" w:hAnsi="Times New Roman"/>
        </w:rPr>
        <w:t xml:space="preserve"> in the United States,</w:t>
      </w:r>
      <w:r w:rsidR="00A3075B" w:rsidRPr="0008166C">
        <w:rPr>
          <w:rFonts w:ascii="Times New Roman" w:hAnsi="Times New Roman"/>
        </w:rPr>
        <w:t xml:space="preserve"> </w:t>
      </w:r>
      <w:r w:rsidR="00206574" w:rsidRPr="0008166C">
        <w:rPr>
          <w:rFonts w:ascii="Times New Roman" w:hAnsi="Times New Roman"/>
        </w:rPr>
        <w:t xml:space="preserve">the </w:t>
      </w:r>
      <w:r w:rsidR="00206574" w:rsidRPr="0008166C">
        <w:rPr>
          <w:rFonts w:ascii="Times New Roman" w:hAnsi="Times New Roman"/>
          <w:i/>
          <w:iCs/>
        </w:rPr>
        <w:t>Federal Rules of Civil Procedure</w:t>
      </w:r>
      <w:r w:rsidR="00206574" w:rsidRPr="0008166C">
        <w:rPr>
          <w:rFonts w:ascii="Times New Roman" w:hAnsi="Times New Roman"/>
        </w:rPr>
        <w:t xml:space="preserve"> provide </w:t>
      </w:r>
      <w:r w:rsidR="00F0512C" w:rsidRPr="0008166C">
        <w:rPr>
          <w:rFonts w:ascii="Times New Roman" w:hAnsi="Times New Roman"/>
        </w:rPr>
        <w:t xml:space="preserve">by </w:t>
      </w:r>
      <w:r w:rsidR="00206574" w:rsidRPr="0008166C">
        <w:rPr>
          <w:rFonts w:ascii="Times New Roman" w:hAnsi="Times New Roman"/>
        </w:rPr>
        <w:t xml:space="preserve">r 23(g) </w:t>
      </w:r>
      <w:r w:rsidRPr="0008166C">
        <w:rPr>
          <w:rFonts w:ascii="Times New Roman" w:hAnsi="Times New Roman"/>
        </w:rPr>
        <w:t xml:space="preserve">that </w:t>
      </w:r>
      <w:r w:rsidR="00206574" w:rsidRPr="0008166C">
        <w:rPr>
          <w:rFonts w:ascii="Times New Roman" w:hAnsi="Times New Roman"/>
        </w:rPr>
        <w:t xml:space="preserve">the </w:t>
      </w:r>
      <w:r w:rsidR="00AA77CF" w:rsidRPr="0008166C">
        <w:rPr>
          <w:rFonts w:ascii="Times New Roman" w:hAnsi="Times New Roman"/>
        </w:rPr>
        <w:t>c</w:t>
      </w:r>
      <w:r w:rsidR="00206574" w:rsidRPr="0008166C">
        <w:rPr>
          <w:rFonts w:ascii="Times New Roman" w:hAnsi="Times New Roman"/>
        </w:rPr>
        <w:t xml:space="preserve">ourt </w:t>
      </w:r>
      <w:r w:rsidRPr="0008166C">
        <w:rPr>
          <w:rFonts w:ascii="Times New Roman" w:hAnsi="Times New Roman"/>
        </w:rPr>
        <w:t xml:space="preserve">must </w:t>
      </w:r>
      <w:r w:rsidR="00206574" w:rsidRPr="0008166C">
        <w:rPr>
          <w:rFonts w:ascii="Times New Roman" w:hAnsi="Times New Roman"/>
        </w:rPr>
        <w:t xml:space="preserve">"appoint class counsel" </w:t>
      </w:r>
      <w:r w:rsidR="00E009D9" w:rsidRPr="0008166C">
        <w:rPr>
          <w:rFonts w:ascii="Times New Roman" w:hAnsi="Times New Roman"/>
        </w:rPr>
        <w:t xml:space="preserve">to control the </w:t>
      </w:r>
      <w:r w:rsidR="001702BC" w:rsidRPr="0008166C">
        <w:rPr>
          <w:rFonts w:ascii="Times New Roman" w:hAnsi="Times New Roman"/>
        </w:rPr>
        <w:t>prospective</w:t>
      </w:r>
      <w:r w:rsidR="00E009D9" w:rsidRPr="0008166C">
        <w:rPr>
          <w:rFonts w:ascii="Times New Roman" w:hAnsi="Times New Roman"/>
        </w:rPr>
        <w:t xml:space="preserve"> proceeding on the plaintiffs' side of the record. </w:t>
      </w:r>
      <w:r w:rsidR="00CE0E28" w:rsidRPr="0008166C">
        <w:rPr>
          <w:rFonts w:ascii="Times New Roman" w:hAnsi="Times New Roman"/>
        </w:rPr>
        <w:t>Rule 2</w:t>
      </w:r>
      <w:r w:rsidR="003D3811" w:rsidRPr="0008166C">
        <w:rPr>
          <w:rFonts w:ascii="Times New Roman" w:hAnsi="Times New Roman"/>
        </w:rPr>
        <w:t>3(g)(2)</w:t>
      </w:r>
      <w:r w:rsidR="00DC3A35" w:rsidRPr="0008166C">
        <w:rPr>
          <w:rFonts w:ascii="Times New Roman" w:hAnsi="Times New Roman"/>
        </w:rPr>
        <w:t xml:space="preserve"> </w:t>
      </w:r>
      <w:r w:rsidR="00206574" w:rsidRPr="0008166C">
        <w:rPr>
          <w:rFonts w:ascii="Times New Roman" w:hAnsi="Times New Roman"/>
        </w:rPr>
        <w:t>specifies that "</w:t>
      </w:r>
      <w:r w:rsidR="00AA77CF" w:rsidRPr="0008166C">
        <w:rPr>
          <w:rFonts w:ascii="Times New Roman" w:hAnsi="Times New Roman"/>
        </w:rPr>
        <w:t>[</w:t>
      </w:r>
      <w:r w:rsidR="00206574" w:rsidRPr="0008166C">
        <w:rPr>
          <w:rFonts w:ascii="Times New Roman" w:hAnsi="Times New Roman"/>
        </w:rPr>
        <w:t>w</w:t>
      </w:r>
      <w:r w:rsidR="00AA77CF" w:rsidRPr="0008166C">
        <w:rPr>
          <w:rFonts w:ascii="Times New Roman" w:hAnsi="Times New Roman"/>
        </w:rPr>
        <w:t>]</w:t>
      </w:r>
      <w:r w:rsidR="00206574" w:rsidRPr="0008166C">
        <w:rPr>
          <w:rFonts w:ascii="Times New Roman" w:hAnsi="Times New Roman"/>
        </w:rPr>
        <w:t xml:space="preserve">hen one applicant seeks appointment as class counsel, the court may appoint that applicant only if the applicant is adequate under </w:t>
      </w:r>
      <w:r w:rsidR="00AA77CF" w:rsidRPr="0008166C">
        <w:rPr>
          <w:rFonts w:ascii="Times New Roman" w:hAnsi="Times New Roman"/>
        </w:rPr>
        <w:t>R</w:t>
      </w:r>
      <w:r w:rsidR="00D55F59" w:rsidRPr="0008166C">
        <w:rPr>
          <w:rFonts w:ascii="Times New Roman" w:hAnsi="Times New Roman"/>
        </w:rPr>
        <w:t>ule</w:t>
      </w:r>
      <w:r w:rsidR="00206574" w:rsidRPr="0008166C">
        <w:rPr>
          <w:rFonts w:ascii="Times New Roman" w:hAnsi="Times New Roman"/>
        </w:rPr>
        <w:t> 23(g)(1) and (4)</w:t>
      </w:r>
      <w:r w:rsidR="0070784D" w:rsidRPr="0008166C">
        <w:rPr>
          <w:rFonts w:ascii="Times New Roman" w:hAnsi="Times New Roman"/>
        </w:rPr>
        <w:t>"</w:t>
      </w:r>
      <w:r w:rsidR="005D38A5" w:rsidRPr="0008166C">
        <w:rPr>
          <w:rFonts w:ascii="Times New Roman" w:hAnsi="Times New Roman"/>
        </w:rPr>
        <w:t>,</w:t>
      </w:r>
      <w:r w:rsidR="008F1F71" w:rsidRPr="0008166C">
        <w:rPr>
          <w:rFonts w:ascii="Times New Roman" w:hAnsi="Times New Roman"/>
        </w:rPr>
        <w:t xml:space="preserve"> before </w:t>
      </w:r>
      <w:r w:rsidR="00A80EB4" w:rsidRPr="0008166C">
        <w:rPr>
          <w:rFonts w:ascii="Times New Roman" w:hAnsi="Times New Roman"/>
        </w:rPr>
        <w:t xml:space="preserve">providing that </w:t>
      </w:r>
      <w:r w:rsidR="00C4418E" w:rsidRPr="0008166C">
        <w:rPr>
          <w:rFonts w:ascii="Times New Roman" w:hAnsi="Times New Roman"/>
        </w:rPr>
        <w:t>"</w:t>
      </w:r>
      <w:r w:rsidR="005D38A5" w:rsidRPr="0008166C">
        <w:rPr>
          <w:rFonts w:ascii="Times New Roman" w:hAnsi="Times New Roman"/>
        </w:rPr>
        <w:t>[</w:t>
      </w:r>
      <w:proofErr w:type="spellStart"/>
      <w:r w:rsidR="005D38A5" w:rsidRPr="0008166C">
        <w:rPr>
          <w:rFonts w:ascii="Times New Roman" w:hAnsi="Times New Roman"/>
        </w:rPr>
        <w:t>i</w:t>
      </w:r>
      <w:proofErr w:type="spellEnd"/>
      <w:r w:rsidR="005D38A5" w:rsidRPr="0008166C">
        <w:rPr>
          <w:rFonts w:ascii="Times New Roman" w:hAnsi="Times New Roman"/>
        </w:rPr>
        <w:t>]</w:t>
      </w:r>
      <w:r w:rsidR="00206574" w:rsidRPr="0008166C">
        <w:rPr>
          <w:rFonts w:ascii="Times New Roman" w:hAnsi="Times New Roman"/>
        </w:rPr>
        <w:t>f more than one adequate applicant seeks appointment, the court must appoint the applicant best able to represent the interests of the class"</w:t>
      </w:r>
      <w:r w:rsidR="00640EDE" w:rsidRPr="0008166C">
        <w:rPr>
          <w:rFonts w:ascii="Times New Roman" w:hAnsi="Times New Roman"/>
        </w:rPr>
        <w:t>.</w:t>
      </w:r>
      <w:r w:rsidR="00206574" w:rsidRPr="0008166C">
        <w:rPr>
          <w:rFonts w:ascii="Times New Roman" w:hAnsi="Times New Roman"/>
        </w:rPr>
        <w:t xml:space="preserve"> </w:t>
      </w:r>
    </w:p>
    <w:p w14:paraId="5029015D" w14:textId="09A7E827" w:rsidR="000020B8" w:rsidRPr="0008166C" w:rsidRDefault="00A80EB4" w:rsidP="0008166C">
      <w:pPr>
        <w:pStyle w:val="FixListStyle"/>
        <w:spacing w:after="260" w:line="280" w:lineRule="exact"/>
        <w:ind w:right="0"/>
        <w:jc w:val="both"/>
        <w:rPr>
          <w:rFonts w:ascii="Times New Roman" w:hAnsi="Times New Roman"/>
        </w:rPr>
      </w:pPr>
      <w:r w:rsidRPr="0008166C">
        <w:rPr>
          <w:rFonts w:ascii="Times New Roman" w:hAnsi="Times New Roman"/>
        </w:rPr>
        <w:tab/>
        <w:t>Rules </w:t>
      </w:r>
      <w:r w:rsidR="001C034F" w:rsidRPr="0008166C">
        <w:rPr>
          <w:rFonts w:ascii="Times New Roman" w:hAnsi="Times New Roman"/>
        </w:rPr>
        <w:t>23(g)</w:t>
      </w:r>
      <w:r w:rsidR="007A2C05" w:rsidRPr="0008166C">
        <w:rPr>
          <w:rFonts w:ascii="Times New Roman" w:hAnsi="Times New Roman"/>
        </w:rPr>
        <w:t xml:space="preserve">(1) and </w:t>
      </w:r>
      <w:r w:rsidR="00D55F59" w:rsidRPr="0008166C">
        <w:rPr>
          <w:rFonts w:ascii="Times New Roman" w:hAnsi="Times New Roman"/>
        </w:rPr>
        <w:t>23(g)</w:t>
      </w:r>
      <w:r w:rsidR="007A2C05" w:rsidRPr="0008166C">
        <w:rPr>
          <w:rFonts w:ascii="Times New Roman" w:hAnsi="Times New Roman"/>
        </w:rPr>
        <w:t>(2) provide:</w:t>
      </w:r>
    </w:p>
    <w:p w14:paraId="4C7CF4F3" w14:textId="46199CB8" w:rsidR="00E71FA1" w:rsidRPr="0008166C" w:rsidRDefault="00E71FA1" w:rsidP="0008166C">
      <w:pPr>
        <w:pStyle w:val="LeftrightafterHC"/>
        <w:spacing w:before="0" w:after="260" w:line="280" w:lineRule="exact"/>
        <w:ind w:right="0"/>
        <w:jc w:val="both"/>
        <w:rPr>
          <w:rFonts w:ascii="Times New Roman" w:hAnsi="Times New Roman"/>
        </w:rPr>
      </w:pPr>
      <w:r w:rsidRPr="0008166C">
        <w:rPr>
          <w:rFonts w:ascii="Times New Roman" w:hAnsi="Times New Roman"/>
        </w:rPr>
        <w:t>"(g)</w:t>
      </w:r>
      <w:r w:rsidR="00B84054" w:rsidRPr="0008166C">
        <w:rPr>
          <w:rFonts w:ascii="Times New Roman" w:hAnsi="Times New Roman"/>
        </w:rPr>
        <w:tab/>
      </w:r>
      <w:r w:rsidRPr="0008166C">
        <w:rPr>
          <w:rFonts w:ascii="Times New Roman" w:hAnsi="Times New Roman"/>
        </w:rPr>
        <w:t>Class Counsel</w:t>
      </w:r>
    </w:p>
    <w:p w14:paraId="02325020" w14:textId="77777777" w:rsidR="00003525" w:rsidRPr="0008166C" w:rsidRDefault="00E71FA1" w:rsidP="0008166C">
      <w:pPr>
        <w:pStyle w:val="LRIndent"/>
        <w:spacing w:before="0" w:after="260" w:line="280" w:lineRule="exact"/>
        <w:ind w:left="1418" w:right="0" w:firstLine="0"/>
        <w:jc w:val="both"/>
        <w:rPr>
          <w:rFonts w:ascii="Times New Roman" w:hAnsi="Times New Roman"/>
        </w:rPr>
      </w:pPr>
      <w:r w:rsidRPr="0008166C">
        <w:rPr>
          <w:rFonts w:ascii="Times New Roman" w:hAnsi="Times New Roman"/>
        </w:rPr>
        <w:t>(1)</w:t>
      </w:r>
      <w:r w:rsidR="0011291A" w:rsidRPr="0008166C">
        <w:rPr>
          <w:rFonts w:ascii="Times New Roman" w:hAnsi="Times New Roman"/>
        </w:rPr>
        <w:tab/>
      </w:r>
      <w:r w:rsidRPr="0008166C">
        <w:rPr>
          <w:rFonts w:ascii="Times New Roman" w:hAnsi="Times New Roman"/>
          <w:i/>
          <w:iCs/>
        </w:rPr>
        <w:t>Appointing Class Counsel</w:t>
      </w:r>
      <w:r w:rsidR="001325F8" w:rsidRPr="0008166C">
        <w:rPr>
          <w:rFonts w:ascii="Times New Roman" w:hAnsi="Times New Roman"/>
        </w:rPr>
        <w:t>.</w:t>
      </w:r>
      <w:r w:rsidRPr="0008166C">
        <w:rPr>
          <w:rFonts w:ascii="Times New Roman" w:hAnsi="Times New Roman"/>
        </w:rPr>
        <w:t xml:space="preserve"> Unless a statute provides otherwise, a court that certifies a class must appoint class counsel. In appointing class counsel, the court:</w:t>
      </w:r>
    </w:p>
    <w:p w14:paraId="16B5173D" w14:textId="77777777" w:rsidR="009F3F0E" w:rsidRPr="0008166C" w:rsidRDefault="009F3F0E" w:rsidP="0008166C">
      <w:pPr>
        <w:pStyle w:val="LRIndent"/>
        <w:spacing w:before="0" w:after="260" w:line="280" w:lineRule="exact"/>
        <w:ind w:right="0"/>
        <w:jc w:val="both"/>
        <w:rPr>
          <w:rFonts w:ascii="Times New Roman" w:hAnsi="Times New Roman"/>
        </w:rPr>
      </w:pPr>
      <w:r w:rsidRPr="0008166C">
        <w:rPr>
          <w:rFonts w:ascii="Times New Roman" w:hAnsi="Times New Roman"/>
        </w:rPr>
        <w:tab/>
      </w:r>
      <w:r w:rsidR="00E71FA1" w:rsidRPr="0008166C">
        <w:rPr>
          <w:rFonts w:ascii="Times New Roman" w:hAnsi="Times New Roman"/>
        </w:rPr>
        <w:t>(A)</w:t>
      </w:r>
      <w:r w:rsidRPr="0008166C">
        <w:rPr>
          <w:rFonts w:ascii="Times New Roman" w:hAnsi="Times New Roman"/>
        </w:rPr>
        <w:tab/>
      </w:r>
      <w:r w:rsidR="00E71FA1" w:rsidRPr="0008166C">
        <w:rPr>
          <w:rFonts w:ascii="Times New Roman" w:hAnsi="Times New Roman"/>
        </w:rPr>
        <w:t>must consider:</w:t>
      </w:r>
    </w:p>
    <w:p w14:paraId="4EAB28BA" w14:textId="77777777" w:rsidR="0022154E" w:rsidRPr="0008166C" w:rsidRDefault="009F3F0E" w:rsidP="0008166C">
      <w:pPr>
        <w:pStyle w:val="LRIndent"/>
        <w:spacing w:before="0" w:after="260" w:line="280" w:lineRule="exact"/>
        <w:ind w:left="2880" w:right="0" w:hanging="1440"/>
        <w:jc w:val="both"/>
        <w:rPr>
          <w:rFonts w:ascii="Times New Roman" w:hAnsi="Times New Roman"/>
        </w:rPr>
      </w:pPr>
      <w:r w:rsidRPr="0008166C">
        <w:rPr>
          <w:rFonts w:ascii="Times New Roman" w:hAnsi="Times New Roman"/>
        </w:rPr>
        <w:lastRenderedPageBreak/>
        <w:tab/>
      </w:r>
      <w:r w:rsidR="00E71FA1" w:rsidRPr="0008166C">
        <w:rPr>
          <w:rFonts w:ascii="Times New Roman" w:hAnsi="Times New Roman"/>
        </w:rPr>
        <w:t>(</w:t>
      </w:r>
      <w:proofErr w:type="spellStart"/>
      <w:r w:rsidR="00E71FA1" w:rsidRPr="0008166C">
        <w:rPr>
          <w:rFonts w:ascii="Times New Roman" w:hAnsi="Times New Roman"/>
        </w:rPr>
        <w:t>i</w:t>
      </w:r>
      <w:proofErr w:type="spellEnd"/>
      <w:r w:rsidR="00E71FA1" w:rsidRPr="0008166C">
        <w:rPr>
          <w:rFonts w:ascii="Times New Roman" w:hAnsi="Times New Roman"/>
        </w:rPr>
        <w:t>)</w:t>
      </w:r>
      <w:r w:rsidR="0022154E" w:rsidRPr="0008166C">
        <w:rPr>
          <w:rFonts w:ascii="Times New Roman" w:hAnsi="Times New Roman"/>
        </w:rPr>
        <w:tab/>
      </w:r>
      <w:r w:rsidR="00E71FA1" w:rsidRPr="0008166C">
        <w:rPr>
          <w:rFonts w:ascii="Times New Roman" w:hAnsi="Times New Roman"/>
        </w:rPr>
        <w:t>the work counsel has done in identifying or investigating potential claims in the action;</w:t>
      </w:r>
    </w:p>
    <w:p w14:paraId="3E2C78B4" w14:textId="577DAFD9" w:rsidR="005454E3" w:rsidRPr="0008166C" w:rsidRDefault="0022154E" w:rsidP="0008166C">
      <w:pPr>
        <w:pStyle w:val="LRIndent"/>
        <w:spacing w:before="0" w:after="260" w:line="280" w:lineRule="exact"/>
        <w:ind w:left="2880" w:right="0" w:hanging="1440"/>
        <w:jc w:val="both"/>
        <w:rPr>
          <w:rFonts w:ascii="Times New Roman" w:hAnsi="Times New Roman"/>
        </w:rPr>
      </w:pPr>
      <w:r w:rsidRPr="0008166C">
        <w:rPr>
          <w:rFonts w:ascii="Times New Roman" w:hAnsi="Times New Roman"/>
        </w:rPr>
        <w:tab/>
      </w:r>
      <w:r w:rsidR="00E71FA1" w:rsidRPr="0008166C">
        <w:rPr>
          <w:rFonts w:ascii="Times New Roman" w:hAnsi="Times New Roman"/>
        </w:rPr>
        <w:t>(ii)</w:t>
      </w:r>
      <w:r w:rsidRPr="0008166C">
        <w:rPr>
          <w:rFonts w:ascii="Times New Roman" w:hAnsi="Times New Roman"/>
        </w:rPr>
        <w:tab/>
      </w:r>
      <w:r w:rsidR="00E71FA1" w:rsidRPr="0008166C">
        <w:rPr>
          <w:rFonts w:ascii="Times New Roman" w:hAnsi="Times New Roman"/>
        </w:rPr>
        <w:t>counsel</w:t>
      </w:r>
      <w:r w:rsidR="00BC75DC" w:rsidRPr="0008166C">
        <w:rPr>
          <w:rFonts w:ascii="Times New Roman" w:hAnsi="Times New Roman"/>
        </w:rPr>
        <w:t>'</w:t>
      </w:r>
      <w:r w:rsidR="00E71FA1" w:rsidRPr="0008166C">
        <w:rPr>
          <w:rFonts w:ascii="Times New Roman" w:hAnsi="Times New Roman"/>
        </w:rPr>
        <w:t>s experience in handling class actions, other complex litigation, and the types of claims asserted in the action;</w:t>
      </w:r>
    </w:p>
    <w:p w14:paraId="2CCCE6DD" w14:textId="0BCFF1E6" w:rsidR="005454E3" w:rsidRPr="0008166C" w:rsidRDefault="005454E3" w:rsidP="0008166C">
      <w:pPr>
        <w:pStyle w:val="LRIndent"/>
        <w:spacing w:before="0" w:after="260" w:line="280" w:lineRule="exact"/>
        <w:ind w:left="2880" w:right="0" w:hanging="1440"/>
        <w:jc w:val="both"/>
        <w:rPr>
          <w:rFonts w:ascii="Times New Roman" w:hAnsi="Times New Roman"/>
        </w:rPr>
      </w:pPr>
      <w:r w:rsidRPr="0008166C">
        <w:rPr>
          <w:rFonts w:ascii="Times New Roman" w:hAnsi="Times New Roman"/>
        </w:rPr>
        <w:tab/>
      </w:r>
      <w:r w:rsidR="00E71FA1" w:rsidRPr="0008166C">
        <w:rPr>
          <w:rFonts w:ascii="Times New Roman" w:hAnsi="Times New Roman"/>
        </w:rPr>
        <w:t>(iii)</w:t>
      </w:r>
      <w:r w:rsidRPr="0008166C">
        <w:rPr>
          <w:rFonts w:ascii="Times New Roman" w:hAnsi="Times New Roman"/>
        </w:rPr>
        <w:tab/>
      </w:r>
      <w:r w:rsidR="00E71FA1" w:rsidRPr="0008166C">
        <w:rPr>
          <w:rFonts w:ascii="Times New Roman" w:hAnsi="Times New Roman"/>
        </w:rPr>
        <w:t>counsel</w:t>
      </w:r>
      <w:r w:rsidR="00BC75DC" w:rsidRPr="0008166C">
        <w:rPr>
          <w:rFonts w:ascii="Times New Roman" w:hAnsi="Times New Roman"/>
        </w:rPr>
        <w:t>'</w:t>
      </w:r>
      <w:r w:rsidR="00E71FA1" w:rsidRPr="0008166C">
        <w:rPr>
          <w:rFonts w:ascii="Times New Roman" w:hAnsi="Times New Roman"/>
        </w:rPr>
        <w:t>s knowledge of the applicable law; and</w:t>
      </w:r>
    </w:p>
    <w:p w14:paraId="67E7CAFC" w14:textId="77777777" w:rsidR="00716088" w:rsidRPr="0008166C" w:rsidRDefault="005454E3" w:rsidP="0008166C">
      <w:pPr>
        <w:pStyle w:val="LRIndent"/>
        <w:spacing w:before="0" w:after="260" w:line="280" w:lineRule="exact"/>
        <w:ind w:left="2880" w:right="0" w:hanging="1440"/>
        <w:jc w:val="both"/>
        <w:rPr>
          <w:rFonts w:ascii="Times New Roman" w:hAnsi="Times New Roman"/>
        </w:rPr>
      </w:pPr>
      <w:r w:rsidRPr="0008166C">
        <w:rPr>
          <w:rFonts w:ascii="Times New Roman" w:hAnsi="Times New Roman"/>
        </w:rPr>
        <w:tab/>
      </w:r>
      <w:r w:rsidR="00E71FA1" w:rsidRPr="0008166C">
        <w:rPr>
          <w:rFonts w:ascii="Times New Roman" w:hAnsi="Times New Roman"/>
        </w:rPr>
        <w:t>(iv)</w:t>
      </w:r>
      <w:r w:rsidRPr="0008166C">
        <w:rPr>
          <w:rFonts w:ascii="Times New Roman" w:hAnsi="Times New Roman"/>
        </w:rPr>
        <w:tab/>
      </w:r>
      <w:r w:rsidR="00E71FA1" w:rsidRPr="0008166C">
        <w:rPr>
          <w:rFonts w:ascii="Times New Roman" w:hAnsi="Times New Roman"/>
        </w:rPr>
        <w:t>the resources that counsel will commit to representing the class;</w:t>
      </w:r>
    </w:p>
    <w:p w14:paraId="40137798" w14:textId="437FC4C5" w:rsidR="00BC0A21" w:rsidRPr="0008166C" w:rsidRDefault="00716088" w:rsidP="0008166C">
      <w:pPr>
        <w:pStyle w:val="LRIndent"/>
        <w:spacing w:before="0" w:after="260" w:line="280" w:lineRule="exact"/>
        <w:ind w:left="2127" w:right="0" w:hanging="687"/>
        <w:jc w:val="both"/>
        <w:rPr>
          <w:rFonts w:ascii="Times New Roman" w:hAnsi="Times New Roman"/>
        </w:rPr>
      </w:pPr>
      <w:r w:rsidRPr="0008166C">
        <w:rPr>
          <w:rFonts w:ascii="Times New Roman" w:hAnsi="Times New Roman"/>
        </w:rPr>
        <w:tab/>
      </w:r>
      <w:r w:rsidR="00E71FA1" w:rsidRPr="0008166C">
        <w:rPr>
          <w:rFonts w:ascii="Times New Roman" w:hAnsi="Times New Roman"/>
        </w:rPr>
        <w:t>(B)</w:t>
      </w:r>
      <w:r w:rsidR="00C8251E" w:rsidRPr="0008166C">
        <w:rPr>
          <w:rFonts w:ascii="Times New Roman" w:hAnsi="Times New Roman"/>
        </w:rPr>
        <w:tab/>
      </w:r>
      <w:r w:rsidR="00E71FA1" w:rsidRPr="0008166C">
        <w:rPr>
          <w:rFonts w:ascii="Times New Roman" w:hAnsi="Times New Roman"/>
        </w:rPr>
        <w:t>may consider any other matter pertinent to counsel</w:t>
      </w:r>
      <w:r w:rsidR="00BC75DC" w:rsidRPr="0008166C">
        <w:rPr>
          <w:rFonts w:ascii="Times New Roman" w:hAnsi="Times New Roman"/>
        </w:rPr>
        <w:t>'</w:t>
      </w:r>
      <w:r w:rsidR="00E71FA1" w:rsidRPr="0008166C">
        <w:rPr>
          <w:rFonts w:ascii="Times New Roman" w:hAnsi="Times New Roman"/>
        </w:rPr>
        <w:t>s ability to fairly and adequately represent the interests of the class;</w:t>
      </w:r>
    </w:p>
    <w:p w14:paraId="035D1890" w14:textId="17AC8698" w:rsidR="00BC0A21" w:rsidRPr="0008166C" w:rsidRDefault="00BC0A21" w:rsidP="0008166C">
      <w:pPr>
        <w:pStyle w:val="LRIndent"/>
        <w:spacing w:before="0" w:after="260" w:line="280" w:lineRule="exact"/>
        <w:ind w:left="2127" w:right="0" w:hanging="687"/>
        <w:jc w:val="both"/>
        <w:rPr>
          <w:rFonts w:ascii="Times New Roman" w:hAnsi="Times New Roman"/>
        </w:rPr>
      </w:pPr>
      <w:r w:rsidRPr="0008166C">
        <w:rPr>
          <w:rFonts w:ascii="Times New Roman" w:hAnsi="Times New Roman"/>
        </w:rPr>
        <w:tab/>
      </w:r>
      <w:r w:rsidR="00E71FA1" w:rsidRPr="0008166C">
        <w:rPr>
          <w:rFonts w:ascii="Times New Roman" w:hAnsi="Times New Roman"/>
        </w:rPr>
        <w:t>(C)</w:t>
      </w:r>
      <w:r w:rsidRPr="0008166C">
        <w:rPr>
          <w:rFonts w:ascii="Times New Roman" w:hAnsi="Times New Roman"/>
        </w:rPr>
        <w:tab/>
      </w:r>
      <w:r w:rsidR="00E71FA1" w:rsidRPr="0008166C">
        <w:rPr>
          <w:rFonts w:ascii="Times New Roman" w:hAnsi="Times New Roman"/>
        </w:rPr>
        <w:t>may order potential class counsel to provide information on any subject pertinent to the appointment and to propose terms for attorney</w:t>
      </w:r>
      <w:r w:rsidR="00BC75DC" w:rsidRPr="0008166C">
        <w:rPr>
          <w:rFonts w:ascii="Times New Roman" w:hAnsi="Times New Roman"/>
        </w:rPr>
        <w:t>'</w:t>
      </w:r>
      <w:r w:rsidR="00E71FA1" w:rsidRPr="0008166C">
        <w:rPr>
          <w:rFonts w:ascii="Times New Roman" w:hAnsi="Times New Roman"/>
        </w:rPr>
        <w:t xml:space="preserve">s fees and </w:t>
      </w:r>
      <w:proofErr w:type="spellStart"/>
      <w:r w:rsidR="00E71FA1" w:rsidRPr="0008166C">
        <w:rPr>
          <w:rFonts w:ascii="Times New Roman" w:hAnsi="Times New Roman"/>
        </w:rPr>
        <w:t>nontaxable</w:t>
      </w:r>
      <w:proofErr w:type="spellEnd"/>
      <w:r w:rsidR="00E71FA1" w:rsidRPr="0008166C">
        <w:rPr>
          <w:rFonts w:ascii="Times New Roman" w:hAnsi="Times New Roman"/>
        </w:rPr>
        <w:t xml:space="preserve"> costs;</w:t>
      </w:r>
    </w:p>
    <w:p w14:paraId="40712022" w14:textId="50B44491" w:rsidR="004C5350" w:rsidRPr="0008166C" w:rsidRDefault="00BC0A21" w:rsidP="0008166C">
      <w:pPr>
        <w:pStyle w:val="LRIndent"/>
        <w:spacing w:before="0" w:after="260" w:line="280" w:lineRule="exact"/>
        <w:ind w:left="2127" w:right="0" w:hanging="687"/>
        <w:jc w:val="both"/>
        <w:rPr>
          <w:rFonts w:ascii="Times New Roman" w:hAnsi="Times New Roman"/>
        </w:rPr>
      </w:pPr>
      <w:r w:rsidRPr="0008166C">
        <w:rPr>
          <w:rFonts w:ascii="Times New Roman" w:hAnsi="Times New Roman"/>
        </w:rPr>
        <w:tab/>
      </w:r>
      <w:r w:rsidR="00E71FA1" w:rsidRPr="0008166C">
        <w:rPr>
          <w:rFonts w:ascii="Times New Roman" w:hAnsi="Times New Roman"/>
        </w:rPr>
        <w:t>(D)</w:t>
      </w:r>
      <w:r w:rsidRPr="0008166C">
        <w:rPr>
          <w:rFonts w:ascii="Times New Roman" w:hAnsi="Times New Roman"/>
        </w:rPr>
        <w:tab/>
      </w:r>
      <w:r w:rsidR="00E71FA1" w:rsidRPr="0008166C">
        <w:rPr>
          <w:rFonts w:ascii="Times New Roman" w:hAnsi="Times New Roman"/>
        </w:rPr>
        <w:t>may include in the appointing order provisions about the award of attorney</w:t>
      </w:r>
      <w:r w:rsidR="00BC75DC" w:rsidRPr="0008166C">
        <w:rPr>
          <w:rFonts w:ascii="Times New Roman" w:hAnsi="Times New Roman"/>
        </w:rPr>
        <w:t>'</w:t>
      </w:r>
      <w:r w:rsidR="00E71FA1" w:rsidRPr="0008166C">
        <w:rPr>
          <w:rFonts w:ascii="Times New Roman" w:hAnsi="Times New Roman"/>
        </w:rPr>
        <w:t xml:space="preserve">s fees or </w:t>
      </w:r>
      <w:proofErr w:type="spellStart"/>
      <w:r w:rsidR="00E71FA1" w:rsidRPr="0008166C">
        <w:rPr>
          <w:rFonts w:ascii="Times New Roman" w:hAnsi="Times New Roman"/>
        </w:rPr>
        <w:t>nontaxable</w:t>
      </w:r>
      <w:proofErr w:type="spellEnd"/>
      <w:r w:rsidR="00E71FA1" w:rsidRPr="0008166C">
        <w:rPr>
          <w:rFonts w:ascii="Times New Roman" w:hAnsi="Times New Roman"/>
        </w:rPr>
        <w:t xml:space="preserve"> costs under Rule 23(h); and</w:t>
      </w:r>
    </w:p>
    <w:p w14:paraId="6A664B8A" w14:textId="73F00BAF" w:rsidR="00E71FA1" w:rsidRPr="0008166C" w:rsidRDefault="004C5350" w:rsidP="0008166C">
      <w:pPr>
        <w:pStyle w:val="LRIndent"/>
        <w:spacing w:before="0" w:after="260" w:line="280" w:lineRule="exact"/>
        <w:ind w:left="2127" w:right="0" w:hanging="687"/>
        <w:jc w:val="both"/>
        <w:rPr>
          <w:rFonts w:ascii="Times New Roman" w:hAnsi="Times New Roman"/>
        </w:rPr>
      </w:pPr>
      <w:r w:rsidRPr="0008166C">
        <w:rPr>
          <w:rFonts w:ascii="Times New Roman" w:hAnsi="Times New Roman"/>
        </w:rPr>
        <w:tab/>
      </w:r>
      <w:r w:rsidR="00E71FA1" w:rsidRPr="0008166C">
        <w:rPr>
          <w:rFonts w:ascii="Times New Roman" w:hAnsi="Times New Roman"/>
        </w:rPr>
        <w:t>(E)</w:t>
      </w:r>
      <w:r w:rsidRPr="0008166C">
        <w:rPr>
          <w:rFonts w:ascii="Times New Roman" w:hAnsi="Times New Roman"/>
        </w:rPr>
        <w:tab/>
      </w:r>
      <w:r w:rsidR="00E71FA1" w:rsidRPr="0008166C">
        <w:rPr>
          <w:rFonts w:ascii="Times New Roman" w:hAnsi="Times New Roman"/>
        </w:rPr>
        <w:t>may make further orders in connection with the appointment.</w:t>
      </w:r>
    </w:p>
    <w:p w14:paraId="3E2F11D6" w14:textId="77777777" w:rsidR="0008166C" w:rsidRDefault="00E71FA1" w:rsidP="0008166C">
      <w:pPr>
        <w:pStyle w:val="LRIndent"/>
        <w:spacing w:before="0" w:after="260" w:line="280" w:lineRule="exact"/>
        <w:ind w:left="1418" w:right="0" w:firstLine="0"/>
        <w:jc w:val="both"/>
        <w:rPr>
          <w:rFonts w:ascii="Times New Roman" w:hAnsi="Times New Roman"/>
        </w:rPr>
      </w:pPr>
      <w:r w:rsidRPr="0008166C">
        <w:rPr>
          <w:rFonts w:ascii="Times New Roman" w:hAnsi="Times New Roman"/>
        </w:rPr>
        <w:t>(2)</w:t>
      </w:r>
      <w:r w:rsidR="004C5350" w:rsidRPr="0008166C">
        <w:rPr>
          <w:rFonts w:ascii="Times New Roman" w:hAnsi="Times New Roman"/>
        </w:rPr>
        <w:tab/>
      </w:r>
      <w:r w:rsidRPr="0008166C">
        <w:rPr>
          <w:rFonts w:ascii="Times New Roman" w:hAnsi="Times New Roman"/>
          <w:i/>
          <w:iCs/>
        </w:rPr>
        <w:t>Standard for Appointing Class Counsel</w:t>
      </w:r>
      <w:r w:rsidRPr="0008166C">
        <w:rPr>
          <w:rFonts w:ascii="Times New Roman" w:hAnsi="Times New Roman"/>
        </w:rPr>
        <w:t>. When one applicant seeks appointment as class counsel, the court may appoint that applicant only if the applicant is adequate under Rule 23(g)(1) and (4). If more than one adequate applicant seeks appointment, the court must appoint the applicant best able to represent the interests of the class.</w:t>
      </w:r>
      <w:r w:rsidR="00BC75DC" w:rsidRPr="0008166C">
        <w:rPr>
          <w:rFonts w:ascii="Times New Roman" w:hAnsi="Times New Roman"/>
        </w:rPr>
        <w:t>"</w:t>
      </w:r>
    </w:p>
    <w:p w14:paraId="3C4DF9AC" w14:textId="2060D744" w:rsidR="00A517EB" w:rsidRPr="0008166C" w:rsidRDefault="000020B8"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2E16AD" w:rsidRPr="0008166C">
        <w:rPr>
          <w:rFonts w:ascii="Times New Roman" w:hAnsi="Times New Roman"/>
        </w:rPr>
        <w:t>These provisions stand</w:t>
      </w:r>
      <w:r w:rsidR="0058537E" w:rsidRPr="0008166C">
        <w:rPr>
          <w:rFonts w:ascii="Times New Roman" w:hAnsi="Times New Roman"/>
        </w:rPr>
        <w:t xml:space="preserve"> in stark contrast </w:t>
      </w:r>
      <w:r w:rsidR="0053241E" w:rsidRPr="0008166C">
        <w:rPr>
          <w:rFonts w:ascii="Times New Roman" w:hAnsi="Times New Roman"/>
        </w:rPr>
        <w:t>to</w:t>
      </w:r>
      <w:r w:rsidR="0058537E" w:rsidRPr="0008166C">
        <w:rPr>
          <w:rFonts w:ascii="Times New Roman" w:hAnsi="Times New Roman"/>
        </w:rPr>
        <w:t xml:space="preserve"> Pt 10 of the CPA. </w:t>
      </w:r>
      <w:r w:rsidR="00C02EC1" w:rsidRPr="0008166C">
        <w:rPr>
          <w:rFonts w:ascii="Times New Roman" w:hAnsi="Times New Roman"/>
        </w:rPr>
        <w:t>It is telling that</w:t>
      </w:r>
      <w:r w:rsidR="000F510A" w:rsidRPr="0008166C">
        <w:rPr>
          <w:rFonts w:ascii="Times New Roman" w:hAnsi="Times New Roman"/>
        </w:rPr>
        <w:t>, when the CPA was enacted,</w:t>
      </w:r>
      <w:r w:rsidR="00C02EC1" w:rsidRPr="0008166C">
        <w:rPr>
          <w:rFonts w:ascii="Times New Roman" w:hAnsi="Times New Roman"/>
        </w:rPr>
        <w:t xml:space="preserve"> the</w:t>
      </w:r>
      <w:r w:rsidR="00A517EB" w:rsidRPr="0008166C">
        <w:rPr>
          <w:rFonts w:ascii="Times New Roman" w:hAnsi="Times New Roman"/>
        </w:rPr>
        <w:t xml:space="preserve"> Parliament of New South Wales had before it the example of </w:t>
      </w:r>
      <w:r w:rsidR="00BC75DC" w:rsidRPr="0008166C">
        <w:rPr>
          <w:rFonts w:ascii="Times New Roman" w:hAnsi="Times New Roman"/>
        </w:rPr>
        <w:t xml:space="preserve">the </w:t>
      </w:r>
      <w:r w:rsidR="00A517EB" w:rsidRPr="0008166C">
        <w:rPr>
          <w:rFonts w:ascii="Times New Roman" w:hAnsi="Times New Roman"/>
        </w:rPr>
        <w:t>legislative regime that operates in the United States to facilitate the determination by the courts of the competition between would</w:t>
      </w:r>
      <w:r w:rsidR="00A517EB" w:rsidRPr="0008166C">
        <w:rPr>
          <w:rFonts w:ascii="Times New Roman" w:hAnsi="Times New Roman"/>
        </w:rPr>
        <w:noBreakHyphen/>
        <w:t xml:space="preserve">be </w:t>
      </w:r>
      <w:r w:rsidR="00A92952" w:rsidRPr="0008166C">
        <w:rPr>
          <w:rFonts w:ascii="Times New Roman" w:hAnsi="Times New Roman"/>
        </w:rPr>
        <w:t xml:space="preserve">sponsors of </w:t>
      </w:r>
      <w:r w:rsidR="00A517EB" w:rsidRPr="0008166C">
        <w:rPr>
          <w:rFonts w:ascii="Times New Roman" w:hAnsi="Times New Roman"/>
        </w:rPr>
        <w:t>class actions</w:t>
      </w:r>
      <w:r w:rsidR="00A92952" w:rsidRPr="0008166C">
        <w:rPr>
          <w:rFonts w:ascii="Times New Roman" w:hAnsi="Times New Roman"/>
        </w:rPr>
        <w:t>, but did not adopt that example</w:t>
      </w:r>
      <w:r w:rsidR="002E16AD" w:rsidRPr="0008166C">
        <w:rPr>
          <w:rFonts w:ascii="Times New Roman" w:hAnsi="Times New Roman"/>
        </w:rPr>
        <w:t xml:space="preserve"> or any relevant aspect of it.</w:t>
      </w:r>
    </w:p>
    <w:p w14:paraId="25662171" w14:textId="6487055B" w:rsidR="0025530B" w:rsidRPr="0008166C" w:rsidRDefault="0053241E"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A517EB" w:rsidRPr="0008166C">
        <w:rPr>
          <w:rFonts w:ascii="Times New Roman" w:hAnsi="Times New Roman"/>
        </w:rPr>
        <w:t xml:space="preserve">A </w:t>
      </w:r>
      <w:r w:rsidR="00365C5C" w:rsidRPr="0008166C">
        <w:rPr>
          <w:rFonts w:ascii="Times New Roman" w:hAnsi="Times New Roman"/>
        </w:rPr>
        <w:t>"</w:t>
      </w:r>
      <w:r w:rsidR="0058537E" w:rsidRPr="0008166C">
        <w:rPr>
          <w:rFonts w:ascii="Times New Roman" w:hAnsi="Times New Roman"/>
        </w:rPr>
        <w:t>multi</w:t>
      </w:r>
      <w:r w:rsidR="0058537E" w:rsidRPr="0008166C">
        <w:rPr>
          <w:rFonts w:ascii="Times New Roman" w:hAnsi="Times New Roman"/>
        </w:rPr>
        <w:noBreakHyphen/>
        <w:t>factorial analysis</w:t>
      </w:r>
      <w:r w:rsidR="00365C5C" w:rsidRPr="0008166C">
        <w:rPr>
          <w:rFonts w:ascii="Times New Roman" w:hAnsi="Times New Roman"/>
        </w:rPr>
        <w:t>"</w:t>
      </w:r>
      <w:r w:rsidR="0058537E" w:rsidRPr="0008166C">
        <w:rPr>
          <w:rFonts w:ascii="Times New Roman" w:hAnsi="Times New Roman"/>
        </w:rPr>
        <w:t xml:space="preserve"> </w:t>
      </w:r>
      <w:r w:rsidR="000F3D2A" w:rsidRPr="0008166C">
        <w:rPr>
          <w:rFonts w:ascii="Times New Roman" w:hAnsi="Times New Roman"/>
        </w:rPr>
        <w:t xml:space="preserve">of the kind </w:t>
      </w:r>
      <w:r w:rsidR="0058537E" w:rsidRPr="0008166C">
        <w:rPr>
          <w:rFonts w:ascii="Times New Roman" w:hAnsi="Times New Roman"/>
        </w:rPr>
        <w:t>conducted under</w:t>
      </w:r>
      <w:r w:rsidR="002777ED" w:rsidRPr="0008166C">
        <w:rPr>
          <w:rFonts w:ascii="Times New Roman" w:hAnsi="Times New Roman"/>
        </w:rPr>
        <w:t xml:space="preserve"> a carriage motion</w:t>
      </w:r>
      <w:r w:rsidR="0058537E" w:rsidRPr="0008166C">
        <w:rPr>
          <w:rFonts w:ascii="Times New Roman" w:hAnsi="Times New Roman"/>
        </w:rPr>
        <w:t xml:space="preserve"> is</w:t>
      </w:r>
      <w:r w:rsidR="00C06A28" w:rsidRPr="0008166C">
        <w:rPr>
          <w:rFonts w:ascii="Times New Roman" w:hAnsi="Times New Roman"/>
        </w:rPr>
        <w:t xml:space="preserve"> </w:t>
      </w:r>
      <w:r w:rsidR="00514B07" w:rsidRPr="0008166C">
        <w:rPr>
          <w:rFonts w:ascii="Times New Roman" w:hAnsi="Times New Roman"/>
        </w:rPr>
        <w:t xml:space="preserve">addressed to the interests of </w:t>
      </w:r>
      <w:r w:rsidR="00A92952" w:rsidRPr="0008166C">
        <w:rPr>
          <w:rFonts w:ascii="Times New Roman" w:hAnsi="Times New Roman"/>
        </w:rPr>
        <w:t>those on</w:t>
      </w:r>
      <w:r w:rsidR="00514B07" w:rsidRPr="0008166C">
        <w:rPr>
          <w:rFonts w:ascii="Times New Roman" w:hAnsi="Times New Roman"/>
        </w:rPr>
        <w:t xml:space="preserve"> </w:t>
      </w:r>
      <w:r w:rsidR="00A517EB" w:rsidRPr="0008166C">
        <w:rPr>
          <w:rFonts w:ascii="Times New Roman" w:hAnsi="Times New Roman"/>
        </w:rPr>
        <w:t xml:space="preserve">the plaintiffs' </w:t>
      </w:r>
      <w:r w:rsidR="00514B07" w:rsidRPr="0008166C">
        <w:rPr>
          <w:rFonts w:ascii="Times New Roman" w:hAnsi="Times New Roman"/>
        </w:rPr>
        <w:t>side of the record</w:t>
      </w:r>
      <w:r w:rsidR="00570482" w:rsidRPr="0008166C">
        <w:rPr>
          <w:rFonts w:ascii="Times New Roman" w:hAnsi="Times New Roman"/>
        </w:rPr>
        <w:t>.</w:t>
      </w:r>
      <w:bookmarkEnd w:id="6"/>
      <w:r w:rsidR="007E5AF1" w:rsidRPr="0008166C">
        <w:rPr>
          <w:rFonts w:ascii="Times New Roman" w:hAnsi="Times New Roman"/>
        </w:rPr>
        <w:t xml:space="preserve"> </w:t>
      </w:r>
      <w:r w:rsidR="002777ED" w:rsidRPr="0008166C">
        <w:rPr>
          <w:rFonts w:ascii="Times New Roman" w:hAnsi="Times New Roman"/>
        </w:rPr>
        <w:t xml:space="preserve">So </w:t>
      </w:r>
      <w:r w:rsidR="002E16AD" w:rsidRPr="0008166C">
        <w:rPr>
          <w:rFonts w:ascii="Times New Roman" w:hAnsi="Times New Roman"/>
        </w:rPr>
        <w:t xml:space="preserve">was </w:t>
      </w:r>
      <w:r w:rsidR="002777ED" w:rsidRPr="0008166C">
        <w:rPr>
          <w:rFonts w:ascii="Times New Roman" w:hAnsi="Times New Roman"/>
        </w:rPr>
        <w:t>t</w:t>
      </w:r>
      <w:r w:rsidR="0025530B" w:rsidRPr="0008166C">
        <w:rPr>
          <w:rFonts w:ascii="Times New Roman" w:hAnsi="Times New Roman"/>
        </w:rPr>
        <w:t xml:space="preserve">he </w:t>
      </w:r>
      <w:r w:rsidR="00365C5C" w:rsidRPr="0008166C">
        <w:rPr>
          <w:rFonts w:ascii="Times New Roman" w:hAnsi="Times New Roman"/>
        </w:rPr>
        <w:t>"</w:t>
      </w:r>
      <w:r w:rsidR="0025530B" w:rsidRPr="0008166C">
        <w:rPr>
          <w:rFonts w:ascii="Times New Roman" w:hAnsi="Times New Roman"/>
        </w:rPr>
        <w:t>multi</w:t>
      </w:r>
      <w:r w:rsidR="0025530B" w:rsidRPr="0008166C">
        <w:rPr>
          <w:rFonts w:ascii="Times New Roman" w:hAnsi="Times New Roman"/>
        </w:rPr>
        <w:noBreakHyphen/>
        <w:t xml:space="preserve">factorial </w:t>
      </w:r>
      <w:r w:rsidR="00365C5C" w:rsidRPr="0008166C">
        <w:rPr>
          <w:rFonts w:ascii="Times New Roman" w:hAnsi="Times New Roman"/>
        </w:rPr>
        <w:t>analysis"</w:t>
      </w:r>
      <w:r w:rsidR="0025530B" w:rsidRPr="0008166C">
        <w:rPr>
          <w:rFonts w:ascii="Times New Roman" w:hAnsi="Times New Roman"/>
        </w:rPr>
        <w:t xml:space="preserve"> applied by the courts below</w:t>
      </w:r>
      <w:r w:rsidR="002E16AD" w:rsidRPr="0008166C">
        <w:rPr>
          <w:rFonts w:ascii="Times New Roman" w:hAnsi="Times New Roman"/>
        </w:rPr>
        <w:t xml:space="preserve">. Their analysis </w:t>
      </w:r>
      <w:r w:rsidR="002777ED" w:rsidRPr="0008166C">
        <w:rPr>
          <w:rFonts w:ascii="Times New Roman" w:hAnsi="Times New Roman"/>
        </w:rPr>
        <w:t>was</w:t>
      </w:r>
      <w:r w:rsidR="0025530B" w:rsidRPr="0008166C">
        <w:rPr>
          <w:rFonts w:ascii="Times New Roman" w:hAnsi="Times New Roman"/>
        </w:rPr>
        <w:t xml:space="preserve"> not directed to "the just, quick and cheap" </w:t>
      </w:r>
      <w:r w:rsidR="00D27CBB" w:rsidRPr="0008166C">
        <w:rPr>
          <w:rFonts w:ascii="Times New Roman" w:hAnsi="Times New Roman"/>
        </w:rPr>
        <w:t>resolution</w:t>
      </w:r>
      <w:r w:rsidR="0025530B" w:rsidRPr="0008166C">
        <w:rPr>
          <w:rFonts w:ascii="Times New Roman" w:hAnsi="Times New Roman"/>
        </w:rPr>
        <w:t xml:space="preserve"> of proceedings between parties to litigation as contemplated by s 56 of the CPA</w:t>
      </w:r>
      <w:r w:rsidR="003424CD" w:rsidRPr="0008166C">
        <w:rPr>
          <w:rFonts w:ascii="Times New Roman" w:hAnsi="Times New Roman"/>
        </w:rPr>
        <w:t xml:space="preserve"> or to ensuring that justice is done </w:t>
      </w:r>
      <w:r w:rsidR="003424CD" w:rsidRPr="0008166C">
        <w:rPr>
          <w:rFonts w:ascii="Times New Roman" w:hAnsi="Times New Roman"/>
        </w:rPr>
        <w:lastRenderedPageBreak/>
        <w:t>in them as contemplated by s 183</w:t>
      </w:r>
      <w:r w:rsidR="0080358D" w:rsidRPr="0008166C">
        <w:rPr>
          <w:rFonts w:ascii="Times New Roman" w:hAnsi="Times New Roman"/>
        </w:rPr>
        <w:t xml:space="preserve">. </w:t>
      </w:r>
      <w:r w:rsidR="0025530B" w:rsidRPr="0008166C">
        <w:rPr>
          <w:rFonts w:ascii="Times New Roman" w:hAnsi="Times New Roman"/>
        </w:rPr>
        <w:t>The</w:t>
      </w:r>
      <w:r w:rsidR="008F7A45" w:rsidRPr="0008166C">
        <w:rPr>
          <w:rFonts w:ascii="Times New Roman" w:hAnsi="Times New Roman"/>
        </w:rPr>
        <w:t xml:space="preserve"> stay</w:t>
      </w:r>
      <w:r w:rsidR="0025530B" w:rsidRPr="0008166C">
        <w:rPr>
          <w:rFonts w:ascii="Times New Roman" w:hAnsi="Times New Roman"/>
        </w:rPr>
        <w:t xml:space="preserve"> order</w:t>
      </w:r>
      <w:r w:rsidR="00FF62B2" w:rsidRPr="0008166C">
        <w:rPr>
          <w:rFonts w:ascii="Times New Roman" w:hAnsi="Times New Roman"/>
        </w:rPr>
        <w:t xml:space="preserve"> made</w:t>
      </w:r>
      <w:r w:rsidR="0025530B" w:rsidRPr="0008166C">
        <w:rPr>
          <w:rFonts w:ascii="Times New Roman" w:hAnsi="Times New Roman"/>
        </w:rPr>
        <w:t xml:space="preserve"> by the primary judge </w:t>
      </w:r>
      <w:r w:rsidR="00A07CCC" w:rsidRPr="0008166C">
        <w:rPr>
          <w:rFonts w:ascii="Times New Roman" w:hAnsi="Times New Roman"/>
        </w:rPr>
        <w:t>did not involve the doing of justice in the proceedings, and nor was it</w:t>
      </w:r>
      <w:r w:rsidR="0025530B" w:rsidRPr="0008166C">
        <w:rPr>
          <w:rFonts w:ascii="Times New Roman" w:hAnsi="Times New Roman"/>
        </w:rPr>
        <w:t xml:space="preserve"> a</w:t>
      </w:r>
      <w:r w:rsidR="008F7A45" w:rsidRPr="0008166C">
        <w:rPr>
          <w:rFonts w:ascii="Times New Roman" w:hAnsi="Times New Roman"/>
        </w:rPr>
        <w:t xml:space="preserve"> step</w:t>
      </w:r>
      <w:r w:rsidR="0025530B" w:rsidRPr="0008166C">
        <w:rPr>
          <w:rFonts w:ascii="Times New Roman" w:hAnsi="Times New Roman"/>
        </w:rPr>
        <w:t xml:space="preserve"> towards a just</w:t>
      </w:r>
      <w:r w:rsidR="00737F07" w:rsidRPr="0008166C">
        <w:rPr>
          <w:rFonts w:ascii="Times New Roman" w:hAnsi="Times New Roman"/>
        </w:rPr>
        <w:t>, quick and cheap</w:t>
      </w:r>
      <w:r w:rsidR="0025530B" w:rsidRPr="0008166C">
        <w:rPr>
          <w:rFonts w:ascii="Times New Roman" w:hAnsi="Times New Roman"/>
        </w:rPr>
        <w:t xml:space="preserve"> conclusion</w:t>
      </w:r>
      <w:r w:rsidR="00B764B0" w:rsidRPr="0008166C">
        <w:rPr>
          <w:rFonts w:ascii="Times New Roman" w:hAnsi="Times New Roman"/>
        </w:rPr>
        <w:t>,</w:t>
      </w:r>
      <w:r w:rsidR="0098637A" w:rsidRPr="0008166C">
        <w:rPr>
          <w:rFonts w:ascii="Times New Roman" w:hAnsi="Times New Roman"/>
        </w:rPr>
        <w:t xml:space="preserve"> </w:t>
      </w:r>
      <w:r w:rsidR="0025530B" w:rsidRPr="0008166C">
        <w:rPr>
          <w:rFonts w:ascii="Times New Roman" w:hAnsi="Times New Roman"/>
        </w:rPr>
        <w:t>as between plaintiffs and defendant</w:t>
      </w:r>
      <w:r w:rsidR="0098637A" w:rsidRPr="0008166C">
        <w:rPr>
          <w:rFonts w:ascii="Times New Roman" w:hAnsi="Times New Roman"/>
        </w:rPr>
        <w:t xml:space="preserve">. Rather it </w:t>
      </w:r>
      <w:r w:rsidR="0025530B" w:rsidRPr="0008166C">
        <w:rPr>
          <w:rFonts w:ascii="Times New Roman" w:hAnsi="Times New Roman"/>
        </w:rPr>
        <w:t>was an order the purpose and effect of which was to allow a</w:t>
      </w:r>
      <w:r w:rsidR="0067642E" w:rsidRPr="0008166C">
        <w:rPr>
          <w:rFonts w:ascii="Times New Roman" w:hAnsi="Times New Roman"/>
        </w:rPr>
        <w:t xml:space="preserve"> different</w:t>
      </w:r>
      <w:r w:rsidR="0025530B" w:rsidRPr="0008166C">
        <w:rPr>
          <w:rFonts w:ascii="Times New Roman" w:hAnsi="Times New Roman"/>
        </w:rPr>
        <w:t xml:space="preserve"> proceeding </w:t>
      </w:r>
      <w:r w:rsidR="007E5AF1" w:rsidRPr="0008166C">
        <w:rPr>
          <w:rFonts w:ascii="Times New Roman" w:hAnsi="Times New Roman"/>
        </w:rPr>
        <w:t xml:space="preserve">under </w:t>
      </w:r>
      <w:r w:rsidR="0088100A" w:rsidRPr="0008166C">
        <w:rPr>
          <w:rFonts w:ascii="Times New Roman" w:hAnsi="Times New Roman"/>
        </w:rPr>
        <w:t xml:space="preserve">the control of a </w:t>
      </w:r>
      <w:r w:rsidR="00165D5C" w:rsidRPr="0008166C">
        <w:rPr>
          <w:rFonts w:ascii="Times New Roman" w:hAnsi="Times New Roman"/>
        </w:rPr>
        <w:t>different</w:t>
      </w:r>
      <w:r w:rsidR="0088100A" w:rsidRPr="0008166C">
        <w:rPr>
          <w:rFonts w:ascii="Times New Roman" w:hAnsi="Times New Roman"/>
        </w:rPr>
        <w:t xml:space="preserve"> sponsor</w:t>
      </w:r>
      <w:r w:rsidR="0025530B" w:rsidRPr="0008166C">
        <w:rPr>
          <w:rFonts w:ascii="Times New Roman" w:hAnsi="Times New Roman"/>
        </w:rPr>
        <w:t xml:space="preserve"> to go forward on the basis that </w:t>
      </w:r>
      <w:r w:rsidR="00FD6FFA" w:rsidRPr="0008166C">
        <w:rPr>
          <w:rFonts w:ascii="Times New Roman" w:hAnsi="Times New Roman"/>
        </w:rPr>
        <w:t xml:space="preserve">control by </w:t>
      </w:r>
      <w:r w:rsidR="00284949" w:rsidRPr="0008166C">
        <w:rPr>
          <w:rFonts w:ascii="Times New Roman" w:hAnsi="Times New Roman"/>
        </w:rPr>
        <w:t xml:space="preserve">that </w:t>
      </w:r>
      <w:r w:rsidR="00FD6FFA" w:rsidRPr="0008166C">
        <w:rPr>
          <w:rFonts w:ascii="Times New Roman" w:hAnsi="Times New Roman"/>
        </w:rPr>
        <w:t xml:space="preserve">sponsor </w:t>
      </w:r>
      <w:r w:rsidR="002603F7" w:rsidRPr="0008166C">
        <w:rPr>
          <w:rFonts w:ascii="Times New Roman" w:hAnsi="Times New Roman"/>
        </w:rPr>
        <w:t>might</w:t>
      </w:r>
      <w:r w:rsidR="0025530B" w:rsidRPr="0008166C">
        <w:rPr>
          <w:rFonts w:ascii="Times New Roman" w:hAnsi="Times New Roman"/>
        </w:rPr>
        <w:t xml:space="preserve"> produce </w:t>
      </w:r>
      <w:r w:rsidR="002603F7" w:rsidRPr="0008166C">
        <w:rPr>
          <w:rFonts w:ascii="Times New Roman" w:hAnsi="Times New Roman"/>
        </w:rPr>
        <w:t>the best</w:t>
      </w:r>
      <w:r w:rsidR="0025530B" w:rsidRPr="0008166C">
        <w:rPr>
          <w:rFonts w:ascii="Times New Roman" w:hAnsi="Times New Roman"/>
        </w:rPr>
        <w:t xml:space="preserve"> recovery </w:t>
      </w:r>
      <w:r w:rsidR="00CC17EE" w:rsidRPr="0008166C">
        <w:rPr>
          <w:rFonts w:ascii="Times New Roman" w:hAnsi="Times New Roman"/>
        </w:rPr>
        <w:t>for</w:t>
      </w:r>
      <w:r w:rsidR="0025530B" w:rsidRPr="0008166C">
        <w:rPr>
          <w:rFonts w:ascii="Times New Roman" w:hAnsi="Times New Roman"/>
        </w:rPr>
        <w:t xml:space="preserve"> group members. </w:t>
      </w:r>
      <w:r w:rsidR="008F309F" w:rsidRPr="0008166C">
        <w:rPr>
          <w:rFonts w:ascii="Times New Roman" w:hAnsi="Times New Roman"/>
        </w:rPr>
        <w:t xml:space="preserve">It is </w:t>
      </w:r>
      <w:r w:rsidR="00CC17EE" w:rsidRPr="0008166C">
        <w:rPr>
          <w:rFonts w:ascii="Times New Roman" w:hAnsi="Times New Roman"/>
        </w:rPr>
        <w:t>some indication</w:t>
      </w:r>
      <w:r w:rsidR="008F309F" w:rsidRPr="0008166C">
        <w:rPr>
          <w:rFonts w:ascii="Times New Roman" w:hAnsi="Times New Roman"/>
        </w:rPr>
        <w:t xml:space="preserve"> of the alien quality of the process that t</w:t>
      </w:r>
      <w:r w:rsidR="0025530B" w:rsidRPr="0008166C">
        <w:rPr>
          <w:rFonts w:ascii="Times New Roman" w:hAnsi="Times New Roman"/>
        </w:rPr>
        <w:t xml:space="preserve">he </w:t>
      </w:r>
      <w:r w:rsidR="00E202EF" w:rsidRPr="0008166C">
        <w:rPr>
          <w:rFonts w:ascii="Times New Roman" w:hAnsi="Times New Roman"/>
        </w:rPr>
        <w:t xml:space="preserve">basis of the </w:t>
      </w:r>
      <w:r w:rsidR="00CD1A61" w:rsidRPr="0008166C">
        <w:rPr>
          <w:rFonts w:ascii="Times New Roman" w:hAnsi="Times New Roman"/>
        </w:rPr>
        <w:t xml:space="preserve">decision </w:t>
      </w:r>
      <w:r w:rsidR="00E202EF" w:rsidRPr="0008166C">
        <w:rPr>
          <w:rFonts w:ascii="Times New Roman" w:hAnsi="Times New Roman"/>
        </w:rPr>
        <w:t xml:space="preserve">was </w:t>
      </w:r>
      <w:r w:rsidR="00CC17EE" w:rsidRPr="0008166C">
        <w:rPr>
          <w:rFonts w:ascii="Times New Roman" w:hAnsi="Times New Roman"/>
        </w:rPr>
        <w:t>a prediction</w:t>
      </w:r>
      <w:r w:rsidR="0025530B" w:rsidRPr="0008166C">
        <w:rPr>
          <w:rFonts w:ascii="Times New Roman" w:hAnsi="Times New Roman"/>
        </w:rPr>
        <w:t xml:space="preserve"> </w:t>
      </w:r>
      <w:r w:rsidR="00CD1A61" w:rsidRPr="0008166C">
        <w:rPr>
          <w:rFonts w:ascii="Times New Roman" w:hAnsi="Times New Roman"/>
        </w:rPr>
        <w:t xml:space="preserve">by </w:t>
      </w:r>
      <w:r w:rsidR="008E1AF4" w:rsidRPr="0008166C">
        <w:rPr>
          <w:rFonts w:ascii="Times New Roman" w:hAnsi="Times New Roman"/>
        </w:rPr>
        <w:t xml:space="preserve">the </w:t>
      </w:r>
      <w:r w:rsidR="00831487" w:rsidRPr="0008166C">
        <w:rPr>
          <w:rFonts w:ascii="Times New Roman" w:hAnsi="Times New Roman"/>
        </w:rPr>
        <w:t>Supreme C</w:t>
      </w:r>
      <w:r w:rsidR="008E1AF4" w:rsidRPr="0008166C">
        <w:rPr>
          <w:rFonts w:ascii="Times New Roman" w:hAnsi="Times New Roman"/>
        </w:rPr>
        <w:t>ourt</w:t>
      </w:r>
      <w:r w:rsidR="00D32513" w:rsidRPr="0008166C">
        <w:rPr>
          <w:rFonts w:ascii="Times New Roman" w:hAnsi="Times New Roman"/>
        </w:rPr>
        <w:t xml:space="preserve">, which is </w:t>
      </w:r>
      <w:r w:rsidR="0091588F" w:rsidRPr="0008166C">
        <w:rPr>
          <w:rFonts w:ascii="Times New Roman" w:hAnsi="Times New Roman"/>
        </w:rPr>
        <w:t xml:space="preserve">obliged </w:t>
      </w:r>
      <w:r w:rsidR="005E4394" w:rsidRPr="0008166C">
        <w:rPr>
          <w:rFonts w:ascii="Times New Roman" w:hAnsi="Times New Roman"/>
        </w:rPr>
        <w:t xml:space="preserve">ultimately </w:t>
      </w:r>
      <w:r w:rsidR="0091588F" w:rsidRPr="0008166C">
        <w:rPr>
          <w:rFonts w:ascii="Times New Roman" w:hAnsi="Times New Roman"/>
        </w:rPr>
        <w:t>to decide the case</w:t>
      </w:r>
      <w:r w:rsidR="00D32513" w:rsidRPr="0008166C">
        <w:rPr>
          <w:rFonts w:ascii="Times New Roman" w:hAnsi="Times New Roman"/>
        </w:rPr>
        <w:t>,</w:t>
      </w:r>
      <w:r w:rsidR="0091588F" w:rsidRPr="0008166C">
        <w:rPr>
          <w:rFonts w:ascii="Times New Roman" w:hAnsi="Times New Roman"/>
        </w:rPr>
        <w:t xml:space="preserve"> </w:t>
      </w:r>
      <w:r w:rsidR="005E4394" w:rsidRPr="0008166C">
        <w:rPr>
          <w:rFonts w:ascii="Times New Roman" w:hAnsi="Times New Roman"/>
        </w:rPr>
        <w:t>that</w:t>
      </w:r>
      <w:r w:rsidR="0091588F" w:rsidRPr="0008166C">
        <w:rPr>
          <w:rFonts w:ascii="Times New Roman" w:hAnsi="Times New Roman"/>
        </w:rPr>
        <w:t xml:space="preserve"> the worst possible</w:t>
      </w:r>
      <w:r w:rsidR="0025530B" w:rsidRPr="0008166C">
        <w:rPr>
          <w:rFonts w:ascii="Times New Roman" w:hAnsi="Times New Roman"/>
        </w:rPr>
        <w:t xml:space="preserve"> outcome for the defendant</w:t>
      </w:r>
      <w:r w:rsidR="005E4394" w:rsidRPr="0008166C">
        <w:rPr>
          <w:rFonts w:ascii="Times New Roman" w:hAnsi="Times New Roman"/>
        </w:rPr>
        <w:t xml:space="preserve"> would be achieved by the </w:t>
      </w:r>
      <w:r w:rsidR="00831487" w:rsidRPr="0008166C">
        <w:rPr>
          <w:rFonts w:ascii="Times New Roman" w:hAnsi="Times New Roman"/>
        </w:rPr>
        <w:t>C</w:t>
      </w:r>
      <w:r w:rsidR="005E4394" w:rsidRPr="0008166C">
        <w:rPr>
          <w:rFonts w:ascii="Times New Roman" w:hAnsi="Times New Roman"/>
        </w:rPr>
        <w:t>ourt's preferred sponsor</w:t>
      </w:r>
      <w:r w:rsidR="00017489" w:rsidRPr="0008166C">
        <w:rPr>
          <w:rFonts w:ascii="Times New Roman" w:hAnsi="Times New Roman"/>
        </w:rPr>
        <w:t xml:space="preserve">. </w:t>
      </w:r>
    </w:p>
    <w:p w14:paraId="39971F67" w14:textId="5C452F33" w:rsidR="00FD240B" w:rsidRPr="0008166C" w:rsidRDefault="00B3236D" w:rsidP="0008166C">
      <w:pPr>
        <w:pStyle w:val="HeadingL1"/>
        <w:spacing w:after="260" w:line="280" w:lineRule="exact"/>
        <w:ind w:right="0"/>
        <w:jc w:val="both"/>
        <w:rPr>
          <w:rFonts w:ascii="Times New Roman" w:hAnsi="Times New Roman"/>
        </w:rPr>
      </w:pPr>
      <w:r w:rsidRPr="0008166C">
        <w:rPr>
          <w:rFonts w:ascii="Times New Roman" w:hAnsi="Times New Roman"/>
        </w:rPr>
        <w:t>The inherent jurisdiction</w:t>
      </w:r>
    </w:p>
    <w:p w14:paraId="759C73AD" w14:textId="7810921B" w:rsidR="00FD240B" w:rsidRPr="0008166C" w:rsidRDefault="00FD240B" w:rsidP="0008166C">
      <w:pPr>
        <w:pStyle w:val="FixListStyle"/>
        <w:spacing w:after="260" w:line="280" w:lineRule="exact"/>
        <w:ind w:right="0"/>
        <w:jc w:val="both"/>
        <w:rPr>
          <w:rFonts w:ascii="Times New Roman" w:hAnsi="Times New Roman"/>
        </w:rPr>
      </w:pPr>
      <w:r w:rsidRPr="0008166C">
        <w:rPr>
          <w:rFonts w:ascii="Times New Roman" w:hAnsi="Times New Roman"/>
        </w:rPr>
        <w:tab/>
      </w:r>
      <w:proofErr w:type="spellStart"/>
      <w:r w:rsidR="006865FE" w:rsidRPr="0008166C">
        <w:rPr>
          <w:rFonts w:ascii="Times New Roman" w:hAnsi="Times New Roman"/>
        </w:rPr>
        <w:t>Komlotex</w:t>
      </w:r>
      <w:proofErr w:type="spellEnd"/>
      <w:r w:rsidR="006865FE" w:rsidRPr="0008166C">
        <w:rPr>
          <w:rFonts w:ascii="Times New Roman" w:hAnsi="Times New Roman"/>
        </w:rPr>
        <w:t xml:space="preserve"> and </w:t>
      </w:r>
      <w:proofErr w:type="spellStart"/>
      <w:r w:rsidR="006865FE" w:rsidRPr="0008166C">
        <w:rPr>
          <w:rFonts w:ascii="Times New Roman" w:hAnsi="Times New Roman"/>
        </w:rPr>
        <w:t>Fernbrook</w:t>
      </w:r>
      <w:proofErr w:type="spellEnd"/>
      <w:r w:rsidR="006865FE" w:rsidRPr="0008166C">
        <w:rPr>
          <w:rFonts w:ascii="Times New Roman" w:hAnsi="Times New Roman"/>
        </w:rPr>
        <w:t xml:space="preserve"> submitted that </w:t>
      </w:r>
      <w:r w:rsidR="006865FE" w:rsidRPr="0008166C">
        <w:rPr>
          <w:rFonts w:ascii="Times New Roman" w:hAnsi="Times New Roman"/>
          <w:i/>
        </w:rPr>
        <w:t>McHenry</w:t>
      </w:r>
      <w:r w:rsidR="000A3A69" w:rsidRPr="0008166C">
        <w:rPr>
          <w:rFonts w:ascii="Times New Roman" w:hAnsi="Times New Roman"/>
          <w:i/>
        </w:rPr>
        <w:t> </w:t>
      </w:r>
      <w:r w:rsidR="006865FE" w:rsidRPr="0008166C">
        <w:rPr>
          <w:rFonts w:ascii="Times New Roman" w:hAnsi="Times New Roman"/>
          <w:i/>
        </w:rPr>
        <w:t xml:space="preserve">v Lewis </w:t>
      </w:r>
      <w:r w:rsidR="006865FE" w:rsidRPr="0008166C">
        <w:rPr>
          <w:rFonts w:ascii="Times New Roman" w:hAnsi="Times New Roman"/>
        </w:rPr>
        <w:t>contemplates that, as</w:t>
      </w:r>
      <w:r w:rsidR="001272A2" w:rsidRPr="0008166C">
        <w:rPr>
          <w:rFonts w:ascii="Times New Roman" w:hAnsi="Times New Roman"/>
        </w:rPr>
        <w:t xml:space="preserve"> </w:t>
      </w:r>
      <w:r w:rsidR="006865FE" w:rsidRPr="0008166C">
        <w:rPr>
          <w:rFonts w:ascii="Times New Roman" w:hAnsi="Times New Roman"/>
        </w:rPr>
        <w:t>Bell P held</w:t>
      </w:r>
      <w:r w:rsidR="006865FE" w:rsidRPr="0008166C">
        <w:rPr>
          <w:rStyle w:val="FootnoteReference"/>
          <w:rFonts w:ascii="Times New Roman" w:hAnsi="Times New Roman"/>
          <w:sz w:val="24"/>
        </w:rPr>
        <w:footnoteReference w:id="35"/>
      </w:r>
      <w:r w:rsidR="006865FE" w:rsidRPr="0008166C">
        <w:rPr>
          <w:rFonts w:ascii="Times New Roman" w:hAnsi="Times New Roman"/>
        </w:rPr>
        <w:t xml:space="preserve">, </w:t>
      </w:r>
      <w:r w:rsidR="005C5C71" w:rsidRPr="0008166C">
        <w:rPr>
          <w:rFonts w:ascii="Times New Roman" w:hAnsi="Times New Roman"/>
        </w:rPr>
        <w:t xml:space="preserve">the powers conferred by the CPA or </w:t>
      </w:r>
      <w:r w:rsidR="006865FE" w:rsidRPr="0008166C">
        <w:rPr>
          <w:rFonts w:ascii="Times New Roman" w:hAnsi="Times New Roman"/>
        </w:rPr>
        <w:t>the</w:t>
      </w:r>
      <w:r w:rsidR="00831487" w:rsidRPr="0008166C">
        <w:rPr>
          <w:rFonts w:ascii="Times New Roman" w:hAnsi="Times New Roman"/>
        </w:rPr>
        <w:t xml:space="preserve"> Supreme</w:t>
      </w:r>
      <w:r w:rsidR="006865FE" w:rsidRPr="0008166C">
        <w:rPr>
          <w:rFonts w:ascii="Times New Roman" w:hAnsi="Times New Roman"/>
        </w:rPr>
        <w:t xml:space="preserve"> Court's inherent power to stay proceedings might be exercised by reference to matters of the kind set out in </w:t>
      </w:r>
      <w:proofErr w:type="spellStart"/>
      <w:r w:rsidR="006865FE" w:rsidRPr="0008166C">
        <w:rPr>
          <w:rFonts w:ascii="Times New Roman" w:hAnsi="Times New Roman"/>
          <w:i/>
        </w:rPr>
        <w:t>GetSwift</w:t>
      </w:r>
      <w:proofErr w:type="spellEnd"/>
      <w:r w:rsidR="006865FE" w:rsidRPr="0008166C">
        <w:rPr>
          <w:rFonts w:ascii="Times New Roman" w:hAnsi="Times New Roman"/>
          <w:i/>
        </w:rPr>
        <w:t xml:space="preserve"> </w:t>
      </w:r>
      <w:r w:rsidR="006865FE" w:rsidRPr="0008166C">
        <w:rPr>
          <w:rFonts w:ascii="Times New Roman" w:hAnsi="Times New Roman"/>
        </w:rPr>
        <w:t xml:space="preserve">as opposed to "traditional stay jurisprudence". </w:t>
      </w:r>
      <w:r w:rsidR="00403DEE" w:rsidRPr="0008166C">
        <w:rPr>
          <w:rFonts w:ascii="Times New Roman" w:hAnsi="Times New Roman"/>
        </w:rPr>
        <w:t>But c</w:t>
      </w:r>
      <w:r w:rsidRPr="0008166C">
        <w:rPr>
          <w:rFonts w:ascii="Times New Roman" w:hAnsi="Times New Roman"/>
        </w:rPr>
        <w:t>ontrary to the view of Bell P, the approach was not justified by</w:t>
      </w:r>
      <w:r w:rsidR="00CD3D53" w:rsidRPr="0008166C">
        <w:rPr>
          <w:rFonts w:ascii="Times New Roman" w:hAnsi="Times New Roman"/>
        </w:rPr>
        <w:t xml:space="preserve"> the principles stated in</w:t>
      </w:r>
      <w:r w:rsidRPr="0008166C">
        <w:rPr>
          <w:rFonts w:ascii="Times New Roman" w:hAnsi="Times New Roman"/>
        </w:rPr>
        <w:t xml:space="preserve"> </w:t>
      </w:r>
      <w:r w:rsidRPr="0008166C">
        <w:rPr>
          <w:rFonts w:ascii="Times New Roman" w:hAnsi="Times New Roman"/>
          <w:i/>
          <w:iCs/>
        </w:rPr>
        <w:t>McHenry</w:t>
      </w:r>
      <w:r w:rsidR="00881A70" w:rsidRPr="0008166C">
        <w:rPr>
          <w:rFonts w:ascii="Times New Roman" w:hAnsi="Times New Roman"/>
          <w:i/>
          <w:iCs/>
        </w:rPr>
        <w:t xml:space="preserve"> </w:t>
      </w:r>
      <w:r w:rsidRPr="0008166C">
        <w:rPr>
          <w:rFonts w:ascii="Times New Roman" w:hAnsi="Times New Roman"/>
          <w:i/>
          <w:iCs/>
        </w:rPr>
        <w:t>v</w:t>
      </w:r>
      <w:r w:rsidR="00881A70" w:rsidRPr="0008166C">
        <w:rPr>
          <w:rFonts w:ascii="Times New Roman" w:hAnsi="Times New Roman"/>
          <w:i/>
          <w:iCs/>
        </w:rPr>
        <w:t xml:space="preserve"> </w:t>
      </w:r>
      <w:r w:rsidRPr="0008166C">
        <w:rPr>
          <w:rFonts w:ascii="Times New Roman" w:hAnsi="Times New Roman"/>
          <w:i/>
          <w:iCs/>
        </w:rPr>
        <w:t>Lewis</w:t>
      </w:r>
      <w:r w:rsidRPr="0008166C">
        <w:rPr>
          <w:rFonts w:ascii="Times New Roman" w:hAnsi="Times New Roman"/>
        </w:rPr>
        <w:t xml:space="preserve">. </w:t>
      </w:r>
    </w:p>
    <w:p w14:paraId="0E0EBC12" w14:textId="1B80B2EA" w:rsidR="00FD240B" w:rsidRPr="0008166C" w:rsidRDefault="00FD240B" w:rsidP="0008166C">
      <w:pPr>
        <w:pStyle w:val="FixListStyle"/>
        <w:spacing w:after="260" w:line="280" w:lineRule="exact"/>
        <w:ind w:right="0"/>
        <w:jc w:val="both"/>
        <w:rPr>
          <w:rFonts w:ascii="Times New Roman" w:hAnsi="Times New Roman"/>
        </w:rPr>
      </w:pPr>
      <w:r w:rsidRPr="0008166C">
        <w:rPr>
          <w:rFonts w:ascii="Times New Roman" w:hAnsi="Times New Roman"/>
        </w:rPr>
        <w:tab/>
        <w:t xml:space="preserve">In </w:t>
      </w:r>
      <w:r w:rsidRPr="0008166C">
        <w:rPr>
          <w:rFonts w:ascii="Times New Roman" w:hAnsi="Times New Roman"/>
          <w:i/>
          <w:iCs/>
        </w:rPr>
        <w:t>McHenry v Lewis</w:t>
      </w:r>
      <w:r w:rsidRPr="0008166C">
        <w:rPr>
          <w:rStyle w:val="FootnoteReference"/>
          <w:rFonts w:ascii="Times New Roman" w:hAnsi="Times New Roman"/>
          <w:iCs/>
          <w:sz w:val="24"/>
        </w:rPr>
        <w:footnoteReference w:id="36"/>
      </w:r>
      <w:r w:rsidRPr="0008166C">
        <w:rPr>
          <w:rFonts w:ascii="Times New Roman" w:hAnsi="Times New Roman"/>
        </w:rPr>
        <w:t xml:space="preserve">, </w:t>
      </w:r>
      <w:proofErr w:type="spellStart"/>
      <w:r w:rsidRPr="0008166C">
        <w:rPr>
          <w:rFonts w:ascii="Times New Roman" w:hAnsi="Times New Roman"/>
        </w:rPr>
        <w:t>Jessel</w:t>
      </w:r>
      <w:proofErr w:type="spellEnd"/>
      <w:r w:rsidRPr="0008166C">
        <w:rPr>
          <w:rFonts w:ascii="Times New Roman" w:hAnsi="Times New Roman"/>
        </w:rPr>
        <w:t> MR said:</w:t>
      </w:r>
    </w:p>
    <w:p w14:paraId="45090518" w14:textId="77777777" w:rsidR="0008166C" w:rsidRDefault="00FD240B" w:rsidP="0008166C">
      <w:pPr>
        <w:pStyle w:val="LeftrightafterHC"/>
        <w:spacing w:before="0" w:after="260" w:line="280" w:lineRule="exact"/>
        <w:ind w:right="0"/>
        <w:jc w:val="both"/>
        <w:rPr>
          <w:rFonts w:ascii="Times New Roman" w:hAnsi="Times New Roman"/>
        </w:rPr>
      </w:pPr>
      <w:r w:rsidRPr="0008166C">
        <w:rPr>
          <w:rFonts w:ascii="Times New Roman" w:hAnsi="Times New Roman"/>
        </w:rPr>
        <w:t xml:space="preserve">"In this country, where ... two actions are </w:t>
      </w:r>
      <w:r w:rsidR="00831487" w:rsidRPr="0008166C">
        <w:rPr>
          <w:rFonts w:ascii="Times New Roman" w:hAnsi="Times New Roman"/>
        </w:rPr>
        <w:t>[</w:t>
      </w:r>
      <w:r w:rsidR="009958EA" w:rsidRPr="0008166C">
        <w:rPr>
          <w:rFonts w:ascii="Times New Roman" w:hAnsi="Times New Roman"/>
        </w:rPr>
        <w:t>brought</w:t>
      </w:r>
      <w:r w:rsidR="00831487" w:rsidRPr="0008166C">
        <w:rPr>
          <w:rFonts w:ascii="Times New Roman" w:hAnsi="Times New Roman"/>
        </w:rPr>
        <w:t>]</w:t>
      </w:r>
      <w:r w:rsidR="009958EA" w:rsidRPr="0008166C">
        <w:rPr>
          <w:rFonts w:ascii="Times New Roman" w:hAnsi="Times New Roman"/>
        </w:rPr>
        <w:t xml:space="preserve"> </w:t>
      </w:r>
      <w:r w:rsidRPr="0008166C">
        <w:rPr>
          <w:rFonts w:ascii="Times New Roman" w:hAnsi="Times New Roman"/>
        </w:rPr>
        <w:t xml:space="preserve">by the same [plaintiff] in Courts governed by the same procedure, and where the judgments are followed by the same remedies, it is </w:t>
      </w:r>
      <w:proofErr w:type="spellStart"/>
      <w:r w:rsidRPr="0008166C">
        <w:rPr>
          <w:rFonts w:ascii="Times New Roman" w:hAnsi="Times New Roman"/>
          <w:i/>
          <w:iCs/>
        </w:rPr>
        <w:t>prim</w:t>
      </w:r>
      <w:r w:rsidR="002522AF" w:rsidRPr="0008166C">
        <w:rPr>
          <w:rFonts w:ascii="Times New Roman" w:hAnsi="Times New Roman"/>
          <w:i/>
          <w:iCs/>
        </w:rPr>
        <w:t>â</w:t>
      </w:r>
      <w:proofErr w:type="spellEnd"/>
      <w:r w:rsidRPr="0008166C">
        <w:rPr>
          <w:rFonts w:ascii="Times New Roman" w:hAnsi="Times New Roman"/>
          <w:i/>
          <w:iCs/>
        </w:rPr>
        <w:t xml:space="preserve"> facie </w:t>
      </w:r>
      <w:r w:rsidRPr="0008166C">
        <w:rPr>
          <w:rFonts w:ascii="Times New Roman" w:hAnsi="Times New Roman"/>
        </w:rPr>
        <w:t xml:space="preserve">vexatious to bring two actions where one will do." </w:t>
      </w:r>
    </w:p>
    <w:p w14:paraId="594A4155" w14:textId="12EA63F2" w:rsidR="00FD240B" w:rsidRPr="0008166C" w:rsidRDefault="00886F50"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FD240B" w:rsidRPr="0008166C">
        <w:rPr>
          <w:rFonts w:ascii="Times New Roman" w:hAnsi="Times New Roman"/>
        </w:rPr>
        <w:t>His</w:t>
      </w:r>
      <w:r w:rsidR="00A22A26" w:rsidRPr="0008166C">
        <w:rPr>
          <w:rFonts w:ascii="Times New Roman" w:hAnsi="Times New Roman"/>
        </w:rPr>
        <w:t> </w:t>
      </w:r>
      <w:r w:rsidR="00FD240B" w:rsidRPr="0008166C">
        <w:rPr>
          <w:rFonts w:ascii="Times New Roman" w:hAnsi="Times New Roman"/>
        </w:rPr>
        <w:t>Lordship recognised that this prima facie</w:t>
      </w:r>
      <w:r w:rsidR="00FD240B" w:rsidRPr="0008166C">
        <w:rPr>
          <w:rFonts w:ascii="Times New Roman" w:hAnsi="Times New Roman"/>
          <w:i/>
          <w:iCs/>
        </w:rPr>
        <w:t xml:space="preserve"> </w:t>
      </w:r>
      <w:r w:rsidR="00FD240B" w:rsidRPr="0008166C">
        <w:rPr>
          <w:rFonts w:ascii="Times New Roman" w:hAnsi="Times New Roman"/>
        </w:rPr>
        <w:t>position may be displaced, and went on to speak of the well</w:t>
      </w:r>
      <w:r w:rsidR="00FD240B" w:rsidRPr="0008166C">
        <w:rPr>
          <w:rFonts w:ascii="Times New Roman" w:hAnsi="Times New Roman"/>
        </w:rPr>
        <w:noBreakHyphen/>
        <w:t>settled "course of the Court" in the exercise of the power to stop all but one of several actions brought by representative plaintiffs</w:t>
      </w:r>
      <w:r w:rsidR="009958EA" w:rsidRPr="0008166C">
        <w:rPr>
          <w:rStyle w:val="FootnoteReference"/>
          <w:rFonts w:ascii="Times New Roman" w:hAnsi="Times New Roman"/>
          <w:sz w:val="24"/>
        </w:rPr>
        <w:footnoteReference w:id="37"/>
      </w:r>
      <w:r w:rsidR="00FD240B" w:rsidRPr="0008166C">
        <w:rPr>
          <w:rFonts w:ascii="Times New Roman" w:hAnsi="Times New Roman"/>
        </w:rPr>
        <w:t>:</w:t>
      </w:r>
    </w:p>
    <w:p w14:paraId="512D68B4" w14:textId="77777777" w:rsidR="0008166C" w:rsidRDefault="00FD240B" w:rsidP="0008166C">
      <w:pPr>
        <w:pStyle w:val="LeftrightafterHC"/>
        <w:spacing w:before="0" w:after="260" w:line="280" w:lineRule="exact"/>
        <w:ind w:right="0"/>
        <w:jc w:val="both"/>
        <w:rPr>
          <w:rFonts w:ascii="Times New Roman" w:hAnsi="Times New Roman"/>
        </w:rPr>
      </w:pPr>
      <w:r w:rsidRPr="0008166C">
        <w:rPr>
          <w:rFonts w:ascii="Times New Roman" w:hAnsi="Times New Roman"/>
        </w:rPr>
        <w:t>"The defendants take out a summons to stay the actions which have</w:t>
      </w:r>
      <w:r w:rsidR="00F351DF" w:rsidRPr="0008166C">
        <w:rPr>
          <w:rFonts w:ascii="Times New Roman" w:hAnsi="Times New Roman"/>
        </w:rPr>
        <w:t xml:space="preserve"> been</w:t>
      </w:r>
      <w:r w:rsidRPr="0008166C">
        <w:rPr>
          <w:rFonts w:ascii="Times New Roman" w:hAnsi="Times New Roman"/>
        </w:rPr>
        <w:t xml:space="preserve"> previously transferred of course to the same Judge or Court, and then the Court decides which of the actions is to go on as a test action, and which are to be stayed. You cannot tell until you have all the plaintiffs before you the right course to be taken. The first action may be a collusive action, one action may embrace further relief than another, one action may be better </w:t>
      </w:r>
      <w:r w:rsidRPr="0008166C">
        <w:rPr>
          <w:rFonts w:ascii="Times New Roman" w:hAnsi="Times New Roman"/>
        </w:rPr>
        <w:lastRenderedPageBreak/>
        <w:t>framed than another to raise the questions in dispute, one action may be more perfect as to parties than another, in one action the plaintiff may be a solvent person, and able to answer costs, and in the other the plaintiff may be a pauper. Various considerations may arise, and until you get the whole of the actions before the Court the Court cannot decide which is to be allowed to proceed, or on what terms. It sometimes happens that we allow one action to proceed for one purpose and another for another purpose</w:t>
      </w:r>
      <w:r w:rsidR="00F351DF" w:rsidRPr="0008166C">
        <w:rPr>
          <w:rFonts w:ascii="Times New Roman" w:hAnsi="Times New Roman"/>
        </w:rPr>
        <w:t xml:space="preserve"> – </w:t>
      </w:r>
      <w:r w:rsidRPr="0008166C">
        <w:rPr>
          <w:rFonts w:ascii="Times New Roman" w:hAnsi="Times New Roman"/>
        </w:rPr>
        <w:t>that is that we excise from one action so much of the relief as can properly be attributed to an earlier plaintiff, and allow the second or third action to go on for the additional relief; but all that can only be discussed in the presence of all parties.</w:t>
      </w:r>
      <w:r w:rsidR="00C47830" w:rsidRPr="0008166C">
        <w:rPr>
          <w:rFonts w:ascii="Times New Roman" w:hAnsi="Times New Roman"/>
        </w:rPr>
        <w:t>"</w:t>
      </w:r>
    </w:p>
    <w:p w14:paraId="53E27036" w14:textId="72B6281A" w:rsidR="00821242" w:rsidRPr="0008166C" w:rsidRDefault="00821242" w:rsidP="0008166C">
      <w:pPr>
        <w:pStyle w:val="FixListStyle"/>
        <w:spacing w:after="260" w:line="280" w:lineRule="exact"/>
        <w:ind w:right="0"/>
        <w:jc w:val="both"/>
        <w:rPr>
          <w:rFonts w:ascii="Times New Roman" w:hAnsi="Times New Roman"/>
        </w:rPr>
      </w:pPr>
      <w:r w:rsidRPr="0008166C">
        <w:rPr>
          <w:rFonts w:ascii="Times New Roman" w:hAnsi="Times New Roman"/>
        </w:rPr>
        <w:tab/>
        <w:t xml:space="preserve">The considerations mentioned by </w:t>
      </w:r>
      <w:proofErr w:type="spellStart"/>
      <w:r w:rsidRPr="0008166C">
        <w:rPr>
          <w:rFonts w:ascii="Times New Roman" w:hAnsi="Times New Roman"/>
        </w:rPr>
        <w:t>Jessel</w:t>
      </w:r>
      <w:proofErr w:type="spellEnd"/>
      <w:r w:rsidRPr="0008166C">
        <w:rPr>
          <w:rFonts w:ascii="Times New Roman" w:hAnsi="Times New Roman"/>
        </w:rPr>
        <w:t> MR relate to whether any of the proceedings against the defendant enjoys a juridical advantage over the others</w:t>
      </w:r>
      <w:r w:rsidR="00626352" w:rsidRPr="0008166C">
        <w:rPr>
          <w:rFonts w:ascii="Times New Roman" w:hAnsi="Times New Roman"/>
        </w:rPr>
        <w:t>. So</w:t>
      </w:r>
      <w:r w:rsidRPr="0008166C">
        <w:rPr>
          <w:rFonts w:ascii="Times New Roman" w:hAnsi="Times New Roman"/>
        </w:rPr>
        <w:t>, for example,</w:t>
      </w:r>
      <w:r w:rsidR="00605979" w:rsidRPr="0008166C">
        <w:rPr>
          <w:rFonts w:ascii="Times New Roman" w:hAnsi="Times New Roman"/>
        </w:rPr>
        <w:t xml:space="preserve"> an action by</w:t>
      </w:r>
      <w:r w:rsidRPr="0008166C">
        <w:rPr>
          <w:rFonts w:ascii="Times New Roman" w:hAnsi="Times New Roman"/>
        </w:rPr>
        <w:t xml:space="preserve"> a plaintiff</w:t>
      </w:r>
      <w:r w:rsidR="00605979" w:rsidRPr="0008166C">
        <w:rPr>
          <w:rFonts w:ascii="Times New Roman" w:hAnsi="Times New Roman"/>
        </w:rPr>
        <w:t xml:space="preserve"> who</w:t>
      </w:r>
      <w:r w:rsidRPr="0008166C">
        <w:rPr>
          <w:rFonts w:ascii="Times New Roman" w:hAnsi="Times New Roman"/>
        </w:rPr>
        <w:t xml:space="preserve"> is unable to provide security for costs</w:t>
      </w:r>
      <w:r w:rsidR="00605979" w:rsidRPr="0008166C">
        <w:rPr>
          <w:rFonts w:ascii="Times New Roman" w:hAnsi="Times New Roman"/>
        </w:rPr>
        <w:t xml:space="preserve"> may be stayed even though it was brought first in time</w:t>
      </w:r>
      <w:r w:rsidRPr="0008166C">
        <w:rPr>
          <w:rFonts w:ascii="Times New Roman" w:hAnsi="Times New Roman"/>
        </w:rPr>
        <w:t xml:space="preserve">. </w:t>
      </w:r>
      <w:r w:rsidR="00AC7932" w:rsidRPr="0008166C">
        <w:rPr>
          <w:rFonts w:ascii="Times New Roman" w:hAnsi="Times New Roman"/>
        </w:rPr>
        <w:t xml:space="preserve">None of these </w:t>
      </w:r>
      <w:r w:rsidRPr="0008166C">
        <w:rPr>
          <w:rFonts w:ascii="Times New Roman" w:hAnsi="Times New Roman"/>
        </w:rPr>
        <w:t>considerations</w:t>
      </w:r>
      <w:r w:rsidR="00AC7932" w:rsidRPr="0008166C">
        <w:rPr>
          <w:rFonts w:ascii="Times New Roman" w:hAnsi="Times New Roman"/>
        </w:rPr>
        <w:t xml:space="preserve"> mentioned by </w:t>
      </w:r>
      <w:proofErr w:type="spellStart"/>
      <w:r w:rsidR="00AC7932" w:rsidRPr="0008166C">
        <w:rPr>
          <w:rFonts w:ascii="Times New Roman" w:hAnsi="Times New Roman"/>
        </w:rPr>
        <w:t>Jessel</w:t>
      </w:r>
      <w:proofErr w:type="spellEnd"/>
      <w:r w:rsidR="00AC7932" w:rsidRPr="0008166C">
        <w:rPr>
          <w:rFonts w:ascii="Times New Roman" w:hAnsi="Times New Roman"/>
        </w:rPr>
        <w:t> MR</w:t>
      </w:r>
      <w:r w:rsidRPr="0008166C">
        <w:rPr>
          <w:rFonts w:ascii="Times New Roman" w:hAnsi="Times New Roman"/>
        </w:rPr>
        <w:t xml:space="preserve"> are concerned with whether one proceeding should be preferred over another upon an assessment of which promoter is likely to produce the best outcome for group members.</w:t>
      </w:r>
      <w:r w:rsidR="00C47830" w:rsidRPr="0008166C">
        <w:rPr>
          <w:rFonts w:ascii="Times New Roman" w:hAnsi="Times New Roman"/>
        </w:rPr>
        <w:t xml:space="preserve"> Rather, the</w:t>
      </w:r>
      <w:r w:rsidR="0026461F" w:rsidRPr="0008166C">
        <w:rPr>
          <w:rFonts w:ascii="Times New Roman" w:hAnsi="Times New Roman"/>
        </w:rPr>
        <w:t xml:space="preserve"> considerations mentioned by </w:t>
      </w:r>
      <w:proofErr w:type="spellStart"/>
      <w:r w:rsidR="0026461F" w:rsidRPr="0008166C">
        <w:rPr>
          <w:rFonts w:ascii="Times New Roman" w:hAnsi="Times New Roman"/>
        </w:rPr>
        <w:t>Jessel</w:t>
      </w:r>
      <w:proofErr w:type="spellEnd"/>
      <w:r w:rsidR="0026461F" w:rsidRPr="0008166C">
        <w:rPr>
          <w:rFonts w:ascii="Times New Roman" w:hAnsi="Times New Roman"/>
        </w:rPr>
        <w:t> MR</w:t>
      </w:r>
      <w:r w:rsidR="00C47830" w:rsidRPr="0008166C">
        <w:rPr>
          <w:rFonts w:ascii="Times New Roman" w:hAnsi="Times New Roman"/>
        </w:rPr>
        <w:t xml:space="preserve"> are entirely consistent with "traditional stay jurisprudence</w:t>
      </w:r>
      <w:r w:rsidR="003848B7" w:rsidRPr="0008166C">
        <w:rPr>
          <w:rFonts w:ascii="Times New Roman" w:hAnsi="Times New Roman"/>
        </w:rPr>
        <w:t>".</w:t>
      </w:r>
    </w:p>
    <w:p w14:paraId="1A8250D9" w14:textId="3878D1FE" w:rsidR="00AA1BCC" w:rsidRPr="0008166C" w:rsidRDefault="00AA1BCC" w:rsidP="0008166C">
      <w:pPr>
        <w:pStyle w:val="FixListStyle"/>
        <w:spacing w:after="260" w:line="280" w:lineRule="exact"/>
        <w:ind w:right="0"/>
        <w:jc w:val="both"/>
        <w:rPr>
          <w:rFonts w:ascii="Times New Roman" w:hAnsi="Times New Roman"/>
        </w:rPr>
      </w:pPr>
      <w:r w:rsidRPr="0008166C">
        <w:rPr>
          <w:rFonts w:ascii="Times New Roman" w:hAnsi="Times New Roman"/>
        </w:rPr>
        <w:tab/>
      </w:r>
      <w:bookmarkStart w:id="7" w:name="_Ref55453439"/>
      <w:r w:rsidRPr="0008166C">
        <w:rPr>
          <w:rFonts w:ascii="Times New Roman" w:hAnsi="Times New Roman"/>
        </w:rPr>
        <w:t xml:space="preserve">In </w:t>
      </w:r>
      <w:proofErr w:type="spellStart"/>
      <w:r w:rsidRPr="0008166C">
        <w:rPr>
          <w:rFonts w:ascii="Times New Roman" w:hAnsi="Times New Roman"/>
          <w:i/>
          <w:iCs/>
        </w:rPr>
        <w:t>Voth</w:t>
      </w:r>
      <w:proofErr w:type="spellEnd"/>
      <w:r w:rsidR="00941A98" w:rsidRPr="0008166C">
        <w:rPr>
          <w:rFonts w:ascii="Times New Roman" w:hAnsi="Times New Roman"/>
          <w:i/>
          <w:iCs/>
        </w:rPr>
        <w:t xml:space="preserve"> v Manildra Flour Mills Pty Ltd</w:t>
      </w:r>
      <w:r w:rsidRPr="0008166C">
        <w:rPr>
          <w:rStyle w:val="FootnoteReference"/>
          <w:rFonts w:ascii="Times New Roman" w:hAnsi="Times New Roman"/>
          <w:sz w:val="24"/>
        </w:rPr>
        <w:footnoteReference w:id="38"/>
      </w:r>
      <w:r w:rsidRPr="0008166C">
        <w:rPr>
          <w:rFonts w:ascii="Times New Roman" w:hAnsi="Times New Roman"/>
        </w:rPr>
        <w:t xml:space="preserve">, Mason CJ, Deane, Dawson and Gaudron JJ said that "a plaintiff who has regularly invoked the jurisdiction of a court has a prima facie right to insist upon its exercise". Their Honours went on to identify the general principle empowering a court to dismiss or stay proceedings which are vexatious and to say that the "rationale for the exercise of </w:t>
      </w:r>
      <w:r w:rsidR="00117E0E" w:rsidRPr="0008166C">
        <w:rPr>
          <w:rFonts w:ascii="Times New Roman" w:hAnsi="Times New Roman"/>
        </w:rPr>
        <w:t>the</w:t>
      </w:r>
      <w:r w:rsidRPr="0008166C">
        <w:rPr>
          <w:rFonts w:ascii="Times New Roman" w:hAnsi="Times New Roman"/>
        </w:rPr>
        <w:t xml:space="preserve"> power to stay is the avoidance of injustice between parties in the particular case"</w:t>
      </w:r>
      <w:r w:rsidR="0038706D" w:rsidRPr="0008166C">
        <w:rPr>
          <w:rStyle w:val="FootnoteReference"/>
          <w:rFonts w:ascii="Times New Roman" w:hAnsi="Times New Roman"/>
          <w:sz w:val="24"/>
        </w:rPr>
        <w:footnoteReference w:id="39"/>
      </w:r>
      <w:r w:rsidRPr="0008166C">
        <w:rPr>
          <w:rFonts w:ascii="Times New Roman" w:hAnsi="Times New Roman"/>
        </w:rPr>
        <w:t>.</w:t>
      </w:r>
    </w:p>
    <w:p w14:paraId="146441CB" w14:textId="6DA0395B" w:rsidR="00AA1BCC" w:rsidRPr="0008166C" w:rsidRDefault="00AA1BCC" w:rsidP="0008166C">
      <w:pPr>
        <w:pStyle w:val="FixListStyle"/>
        <w:spacing w:after="260" w:line="280" w:lineRule="exact"/>
        <w:ind w:right="0"/>
        <w:jc w:val="both"/>
        <w:rPr>
          <w:rFonts w:ascii="Times New Roman" w:hAnsi="Times New Roman"/>
        </w:rPr>
      </w:pPr>
      <w:r w:rsidRPr="0008166C">
        <w:rPr>
          <w:rFonts w:ascii="Times New Roman" w:hAnsi="Times New Roman"/>
        </w:rPr>
        <w:tab/>
        <w:t xml:space="preserve">In </w:t>
      </w:r>
      <w:r w:rsidRPr="0008166C">
        <w:rPr>
          <w:rFonts w:ascii="Times New Roman" w:hAnsi="Times New Roman"/>
          <w:i/>
        </w:rPr>
        <w:t>Moore v Inglis</w:t>
      </w:r>
      <w:r w:rsidRPr="0008166C">
        <w:rPr>
          <w:rStyle w:val="FootnoteReference"/>
          <w:rFonts w:ascii="Times New Roman" w:hAnsi="Times New Roman"/>
          <w:sz w:val="24"/>
        </w:rPr>
        <w:footnoteReference w:id="40"/>
      </w:r>
      <w:r w:rsidRPr="0008166C">
        <w:rPr>
          <w:rFonts w:ascii="Times New Roman" w:hAnsi="Times New Roman"/>
        </w:rPr>
        <w:t xml:space="preserve">, Mason J </w:t>
      </w:r>
      <w:r w:rsidR="00726582" w:rsidRPr="0008166C">
        <w:rPr>
          <w:rFonts w:ascii="Times New Roman" w:hAnsi="Times New Roman"/>
        </w:rPr>
        <w:t xml:space="preserve">approved the statement of Lord Esher MR in </w:t>
      </w:r>
      <w:r w:rsidR="00730137" w:rsidRPr="0008166C">
        <w:rPr>
          <w:rFonts w:ascii="Times New Roman" w:hAnsi="Times New Roman"/>
          <w:i/>
          <w:iCs/>
        </w:rPr>
        <w:t xml:space="preserve">The </w:t>
      </w:r>
      <w:proofErr w:type="spellStart"/>
      <w:r w:rsidR="00730137" w:rsidRPr="0008166C">
        <w:rPr>
          <w:rFonts w:ascii="Times New Roman" w:hAnsi="Times New Roman"/>
          <w:i/>
          <w:iCs/>
        </w:rPr>
        <w:t>Christiansborg</w:t>
      </w:r>
      <w:proofErr w:type="spellEnd"/>
      <w:r w:rsidR="00730137" w:rsidRPr="0008166C">
        <w:rPr>
          <w:rStyle w:val="FootnoteReference"/>
          <w:rFonts w:ascii="Times New Roman" w:hAnsi="Times New Roman"/>
          <w:iCs/>
          <w:sz w:val="24"/>
        </w:rPr>
        <w:footnoteReference w:id="41"/>
      </w:r>
      <w:r w:rsidRPr="0008166C">
        <w:rPr>
          <w:rFonts w:ascii="Times New Roman" w:hAnsi="Times New Roman"/>
        </w:rPr>
        <w:t xml:space="preserve"> that where an action is </w:t>
      </w:r>
      <w:r w:rsidRPr="0008166C">
        <w:rPr>
          <w:rFonts w:ascii="Times New Roman" w:hAnsi="Times New Roman"/>
          <w:iCs/>
        </w:rPr>
        <w:t>prima facie</w:t>
      </w:r>
      <w:r w:rsidRPr="0008166C">
        <w:rPr>
          <w:rFonts w:ascii="Times New Roman" w:hAnsi="Times New Roman"/>
        </w:rPr>
        <w:t xml:space="preserve"> vexatious "it would lie on the party who brings the second action to [show] that it was not so". </w:t>
      </w:r>
      <w:r w:rsidR="00A419EC" w:rsidRPr="0008166C">
        <w:rPr>
          <w:rFonts w:ascii="Times New Roman" w:hAnsi="Times New Roman"/>
        </w:rPr>
        <w:t xml:space="preserve">As explained in </w:t>
      </w:r>
      <w:proofErr w:type="spellStart"/>
      <w:r w:rsidR="00A419EC" w:rsidRPr="0008166C">
        <w:rPr>
          <w:rFonts w:ascii="Times New Roman" w:hAnsi="Times New Roman"/>
          <w:i/>
          <w:iCs/>
        </w:rPr>
        <w:t>Voth</w:t>
      </w:r>
      <w:proofErr w:type="spellEnd"/>
      <w:r w:rsidR="00A419EC" w:rsidRPr="0008166C">
        <w:rPr>
          <w:rFonts w:ascii="Times New Roman" w:hAnsi="Times New Roman"/>
        </w:rPr>
        <w:t>, that</w:t>
      </w:r>
      <w:r w:rsidRPr="0008166C">
        <w:rPr>
          <w:rFonts w:ascii="Times New Roman" w:hAnsi="Times New Roman"/>
        </w:rPr>
        <w:t xml:space="preserve"> may be done by showing that the secon</w:t>
      </w:r>
      <w:r w:rsidR="0022438A" w:rsidRPr="0008166C">
        <w:rPr>
          <w:rFonts w:ascii="Times New Roman" w:hAnsi="Times New Roman"/>
        </w:rPr>
        <w:t>d</w:t>
      </w:r>
      <w:r w:rsidRPr="0008166C">
        <w:rPr>
          <w:rFonts w:ascii="Times New Roman" w:hAnsi="Times New Roman"/>
        </w:rPr>
        <w:t xml:space="preserve"> action offers some </w:t>
      </w:r>
      <w:r w:rsidRPr="0008166C">
        <w:rPr>
          <w:rFonts w:ascii="Times New Roman" w:hAnsi="Times New Roman"/>
        </w:rPr>
        <w:lastRenderedPageBreak/>
        <w:t xml:space="preserve">"legitimate </w:t>
      </w:r>
      <w:r w:rsidR="0022438A" w:rsidRPr="0008166C">
        <w:rPr>
          <w:rFonts w:ascii="Times New Roman" w:hAnsi="Times New Roman"/>
        </w:rPr>
        <w:t xml:space="preserve">... </w:t>
      </w:r>
      <w:r w:rsidRPr="0008166C">
        <w:rPr>
          <w:rFonts w:ascii="Times New Roman" w:hAnsi="Times New Roman"/>
        </w:rPr>
        <w:t>juridical advantage" over the first</w:t>
      </w:r>
      <w:r w:rsidRPr="0008166C">
        <w:rPr>
          <w:rStyle w:val="FootnoteReference"/>
          <w:rFonts w:ascii="Times New Roman" w:hAnsi="Times New Roman"/>
          <w:sz w:val="24"/>
        </w:rPr>
        <w:footnoteReference w:id="42"/>
      </w:r>
      <w:r w:rsidRPr="0008166C">
        <w:rPr>
          <w:rFonts w:ascii="Times New Roman" w:hAnsi="Times New Roman"/>
        </w:rPr>
        <w:t>.</w:t>
      </w:r>
      <w:r w:rsidRPr="0008166C">
        <w:rPr>
          <w:rFonts w:ascii="Times New Roman" w:hAnsi="Times New Roman"/>
          <w:iCs/>
        </w:rPr>
        <w:t xml:space="preserve"> </w:t>
      </w:r>
      <w:r w:rsidRPr="0008166C">
        <w:rPr>
          <w:rFonts w:ascii="Times New Roman" w:hAnsi="Times New Roman"/>
        </w:rPr>
        <w:t xml:space="preserve">By "legitimate juridical advantages", one refers to the advantages arising from the processes and remedies available in the courts. In </w:t>
      </w:r>
      <w:proofErr w:type="spellStart"/>
      <w:r w:rsidRPr="0008166C">
        <w:rPr>
          <w:rFonts w:ascii="Times New Roman" w:hAnsi="Times New Roman"/>
          <w:i/>
          <w:iCs/>
        </w:rPr>
        <w:t>Spiliada</w:t>
      </w:r>
      <w:proofErr w:type="spellEnd"/>
      <w:r w:rsidRPr="0008166C">
        <w:rPr>
          <w:rFonts w:ascii="Times New Roman" w:hAnsi="Times New Roman"/>
          <w:i/>
          <w:iCs/>
        </w:rPr>
        <w:t xml:space="preserve"> Maritime Corporation v </w:t>
      </w:r>
      <w:proofErr w:type="spellStart"/>
      <w:r w:rsidRPr="0008166C">
        <w:rPr>
          <w:rFonts w:ascii="Times New Roman" w:hAnsi="Times New Roman"/>
          <w:i/>
          <w:iCs/>
        </w:rPr>
        <w:t>Cansulex</w:t>
      </w:r>
      <w:proofErr w:type="spellEnd"/>
      <w:r w:rsidRPr="0008166C">
        <w:rPr>
          <w:rFonts w:ascii="Times New Roman" w:hAnsi="Times New Roman"/>
          <w:i/>
          <w:iCs/>
        </w:rPr>
        <w:t xml:space="preserve"> Ltd</w:t>
      </w:r>
      <w:r w:rsidRPr="0008166C">
        <w:rPr>
          <w:rStyle w:val="FootnoteReference"/>
          <w:rFonts w:ascii="Times New Roman" w:hAnsi="Times New Roman"/>
          <w:iCs/>
          <w:sz w:val="24"/>
        </w:rPr>
        <w:footnoteReference w:id="43"/>
      </w:r>
      <w:r w:rsidRPr="0008166C">
        <w:rPr>
          <w:rFonts w:ascii="Times New Roman" w:hAnsi="Times New Roman"/>
        </w:rPr>
        <w:t>,</w:t>
      </w:r>
      <w:r w:rsidRPr="0008166C">
        <w:rPr>
          <w:rFonts w:ascii="Times New Roman" w:hAnsi="Times New Roman"/>
          <w:i/>
          <w:iCs/>
        </w:rPr>
        <w:t xml:space="preserve"> </w:t>
      </w:r>
      <w:r w:rsidRPr="0008166C">
        <w:rPr>
          <w:rFonts w:ascii="Times New Roman" w:hAnsi="Times New Roman"/>
        </w:rPr>
        <w:t>Lord Goff</w:t>
      </w:r>
      <w:r w:rsidR="00210562" w:rsidRPr="0008166C">
        <w:rPr>
          <w:rFonts w:ascii="Times New Roman" w:hAnsi="Times New Roman"/>
        </w:rPr>
        <w:t xml:space="preserve"> of </w:t>
      </w:r>
      <w:r w:rsidR="001853D3" w:rsidRPr="0008166C">
        <w:rPr>
          <w:rFonts w:ascii="Times New Roman" w:hAnsi="Times New Roman"/>
        </w:rPr>
        <w:t>Chieveley</w:t>
      </w:r>
      <w:r w:rsidR="001853D3" w:rsidRPr="0008166C" w:rsidDel="001853D3">
        <w:rPr>
          <w:rFonts w:ascii="Times New Roman" w:hAnsi="Times New Roman"/>
        </w:rPr>
        <w:t xml:space="preserve"> </w:t>
      </w:r>
      <w:r w:rsidRPr="0008166C">
        <w:rPr>
          <w:rFonts w:ascii="Times New Roman" w:hAnsi="Times New Roman"/>
        </w:rPr>
        <w:t>instanced as examples of such advantage cases where "damages [are] awarded on a higher scale; a more complete procedure of discovery [is available]; a power to award interest [is available]; [or] a more generous limitation period [applies]". Lord Goff qualified the relevance of such factors with the statement that "the underlying principle requires that regard must be had to the interests of all the parties and the ends of justice"</w:t>
      </w:r>
      <w:r w:rsidRPr="0008166C">
        <w:rPr>
          <w:rStyle w:val="FootnoteReference"/>
          <w:rFonts w:ascii="Times New Roman" w:hAnsi="Times New Roman"/>
          <w:sz w:val="24"/>
        </w:rPr>
        <w:footnoteReference w:id="44"/>
      </w:r>
      <w:r w:rsidRPr="0008166C">
        <w:rPr>
          <w:rFonts w:ascii="Times New Roman" w:hAnsi="Times New Roman"/>
        </w:rPr>
        <w:t>.</w:t>
      </w:r>
      <w:bookmarkEnd w:id="7"/>
    </w:p>
    <w:p w14:paraId="0B624C4A" w14:textId="2FC9F0B7" w:rsidR="00B439CF" w:rsidRPr="0008166C" w:rsidRDefault="00190D46" w:rsidP="0008166C">
      <w:pPr>
        <w:pStyle w:val="FixListStyle"/>
        <w:spacing w:after="260" w:line="280" w:lineRule="exact"/>
        <w:ind w:right="0"/>
        <w:jc w:val="both"/>
        <w:rPr>
          <w:rFonts w:ascii="Times New Roman" w:hAnsi="Times New Roman"/>
        </w:rPr>
      </w:pPr>
      <w:bookmarkStart w:id="8" w:name="_Ref55420094"/>
      <w:r w:rsidRPr="0008166C">
        <w:rPr>
          <w:rFonts w:ascii="Times New Roman" w:hAnsi="Times New Roman"/>
        </w:rPr>
        <w:tab/>
        <w:t>The stay and cross</w:t>
      </w:r>
      <w:r w:rsidRPr="0008166C">
        <w:rPr>
          <w:rFonts w:ascii="Times New Roman" w:hAnsi="Times New Roman"/>
        </w:rPr>
        <w:noBreakHyphen/>
        <w:t xml:space="preserve">stay applications </w:t>
      </w:r>
      <w:r w:rsidR="00576667" w:rsidRPr="0008166C">
        <w:rPr>
          <w:rFonts w:ascii="Times New Roman" w:hAnsi="Times New Roman"/>
        </w:rPr>
        <w:t xml:space="preserve">in the present case </w:t>
      </w:r>
      <w:r w:rsidRPr="0008166C">
        <w:rPr>
          <w:rFonts w:ascii="Times New Roman" w:hAnsi="Times New Roman"/>
        </w:rPr>
        <w:t>ought to have been determined, not by the "multi</w:t>
      </w:r>
      <w:r w:rsidRPr="0008166C">
        <w:rPr>
          <w:rFonts w:ascii="Times New Roman" w:hAnsi="Times New Roman"/>
        </w:rPr>
        <w:noBreakHyphen/>
        <w:t xml:space="preserve">factorial analysis", but by reference to the principle that it is prima facie vexatious to commence an action if an action is already pending in respect of the same controversy in which the same relief is available. </w:t>
      </w:r>
      <w:bookmarkEnd w:id="8"/>
      <w:r w:rsidRPr="0008166C">
        <w:rPr>
          <w:rFonts w:ascii="Times New Roman" w:hAnsi="Times New Roman"/>
        </w:rPr>
        <w:t>This position may be displaced by some juridical advantage in the later</w:t>
      </w:r>
      <w:r w:rsidR="00D64241" w:rsidRPr="0008166C">
        <w:rPr>
          <w:rFonts w:ascii="Times New Roman" w:hAnsi="Times New Roman"/>
        </w:rPr>
        <w:t>-</w:t>
      </w:r>
      <w:r w:rsidRPr="0008166C">
        <w:rPr>
          <w:rFonts w:ascii="Times New Roman" w:hAnsi="Times New Roman"/>
        </w:rPr>
        <w:t>in</w:t>
      </w:r>
      <w:r w:rsidR="00D64241" w:rsidRPr="0008166C">
        <w:rPr>
          <w:rFonts w:ascii="Times New Roman" w:hAnsi="Times New Roman"/>
        </w:rPr>
        <w:t>-</w:t>
      </w:r>
      <w:r w:rsidRPr="0008166C">
        <w:rPr>
          <w:rFonts w:ascii="Times New Roman" w:hAnsi="Times New Roman"/>
        </w:rPr>
        <w:t>time proceeding.</w:t>
      </w:r>
      <w:r w:rsidR="00B439CF" w:rsidRPr="0008166C">
        <w:rPr>
          <w:rFonts w:ascii="Times New Roman" w:hAnsi="Times New Roman"/>
        </w:rPr>
        <w:t xml:space="preserve"> If the proceeding first</w:t>
      </w:r>
      <w:r w:rsidR="00D64241" w:rsidRPr="0008166C">
        <w:rPr>
          <w:rFonts w:ascii="Times New Roman" w:hAnsi="Times New Roman"/>
        </w:rPr>
        <w:t xml:space="preserve"> </w:t>
      </w:r>
      <w:r w:rsidR="00B439CF" w:rsidRPr="0008166C">
        <w:rPr>
          <w:rFonts w:ascii="Times New Roman" w:hAnsi="Times New Roman"/>
        </w:rPr>
        <w:t>in</w:t>
      </w:r>
      <w:r w:rsidR="00D64241" w:rsidRPr="0008166C">
        <w:rPr>
          <w:rFonts w:ascii="Times New Roman" w:hAnsi="Times New Roman"/>
        </w:rPr>
        <w:t xml:space="preserve"> </w:t>
      </w:r>
      <w:r w:rsidR="00B439CF" w:rsidRPr="0008166C">
        <w:rPr>
          <w:rFonts w:ascii="Times New Roman" w:hAnsi="Times New Roman"/>
        </w:rPr>
        <w:t xml:space="preserve">time is deficient in any </w:t>
      </w:r>
      <w:r w:rsidR="00740CFC" w:rsidRPr="0008166C">
        <w:rPr>
          <w:rFonts w:ascii="Times New Roman" w:hAnsi="Times New Roman"/>
        </w:rPr>
        <w:t xml:space="preserve">of the </w:t>
      </w:r>
      <w:r w:rsidR="00B439CF" w:rsidRPr="0008166C">
        <w:rPr>
          <w:rFonts w:ascii="Times New Roman" w:hAnsi="Times New Roman"/>
        </w:rPr>
        <w:t xml:space="preserve">respects noted by </w:t>
      </w:r>
      <w:proofErr w:type="spellStart"/>
      <w:r w:rsidR="00B439CF" w:rsidRPr="0008166C">
        <w:rPr>
          <w:rFonts w:ascii="Times New Roman" w:hAnsi="Times New Roman"/>
        </w:rPr>
        <w:t>Jessel</w:t>
      </w:r>
      <w:proofErr w:type="spellEnd"/>
      <w:r w:rsidR="00B439CF" w:rsidRPr="0008166C">
        <w:rPr>
          <w:rFonts w:ascii="Times New Roman" w:hAnsi="Times New Roman"/>
        </w:rPr>
        <w:t xml:space="preserve"> MR in </w:t>
      </w:r>
      <w:r w:rsidR="00B439CF" w:rsidRPr="0008166C">
        <w:rPr>
          <w:rFonts w:ascii="Times New Roman" w:hAnsi="Times New Roman"/>
          <w:i/>
          <w:iCs/>
        </w:rPr>
        <w:t>McHenry v Lewis</w:t>
      </w:r>
      <w:r w:rsidR="00B439CF" w:rsidRPr="0008166C">
        <w:rPr>
          <w:rFonts w:ascii="Times New Roman" w:hAnsi="Times New Roman"/>
        </w:rPr>
        <w:t>, then it will be stayed in deference to the later</w:t>
      </w:r>
      <w:r w:rsidR="00B44698" w:rsidRPr="0008166C">
        <w:rPr>
          <w:rFonts w:ascii="Times New Roman" w:hAnsi="Times New Roman"/>
        </w:rPr>
        <w:t>-</w:t>
      </w:r>
      <w:r w:rsidR="00B439CF" w:rsidRPr="0008166C">
        <w:rPr>
          <w:rFonts w:ascii="Times New Roman" w:hAnsi="Times New Roman"/>
        </w:rPr>
        <w:t>in</w:t>
      </w:r>
      <w:r w:rsidR="00B44698" w:rsidRPr="0008166C">
        <w:rPr>
          <w:rFonts w:ascii="Times New Roman" w:hAnsi="Times New Roman"/>
        </w:rPr>
        <w:t>-</w:t>
      </w:r>
      <w:r w:rsidR="00B439CF" w:rsidRPr="0008166C">
        <w:rPr>
          <w:rFonts w:ascii="Times New Roman" w:hAnsi="Times New Roman"/>
        </w:rPr>
        <w:t xml:space="preserve">time proceeding. </w:t>
      </w:r>
    </w:p>
    <w:p w14:paraId="47788F4A" w14:textId="20988252" w:rsidR="00181946" w:rsidRPr="0008166C" w:rsidRDefault="00181946"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9B686F" w:rsidRPr="0008166C">
        <w:rPr>
          <w:rFonts w:ascii="Times New Roman" w:hAnsi="Times New Roman"/>
        </w:rPr>
        <w:t>The conclusion t</w:t>
      </w:r>
      <w:r w:rsidRPr="0008166C">
        <w:rPr>
          <w:rFonts w:ascii="Times New Roman" w:hAnsi="Times New Roman"/>
        </w:rPr>
        <w:t xml:space="preserve">hat </w:t>
      </w:r>
      <w:r w:rsidR="00B57925" w:rsidRPr="0008166C">
        <w:rPr>
          <w:rFonts w:ascii="Times New Roman" w:hAnsi="Times New Roman"/>
        </w:rPr>
        <w:t xml:space="preserve">it was no part of the </w:t>
      </w:r>
      <w:r w:rsidRPr="0008166C">
        <w:rPr>
          <w:rFonts w:ascii="Times New Roman" w:hAnsi="Times New Roman"/>
        </w:rPr>
        <w:t xml:space="preserve">inherent jurisdiction to make a </w:t>
      </w:r>
      <w:r w:rsidR="00F90D21" w:rsidRPr="0008166C">
        <w:rPr>
          <w:rFonts w:ascii="Times New Roman" w:hAnsi="Times New Roman"/>
        </w:rPr>
        <w:t>selection</w:t>
      </w:r>
      <w:r w:rsidRPr="0008166C">
        <w:rPr>
          <w:rFonts w:ascii="Times New Roman" w:hAnsi="Times New Roman"/>
        </w:rPr>
        <w:t xml:space="preserve"> between the representative plaintiffs and </w:t>
      </w:r>
      <w:r w:rsidR="003E00F6" w:rsidRPr="0008166C">
        <w:rPr>
          <w:rFonts w:ascii="Times New Roman" w:hAnsi="Times New Roman"/>
        </w:rPr>
        <w:t xml:space="preserve">their </w:t>
      </w:r>
      <w:r w:rsidRPr="0008166C">
        <w:rPr>
          <w:rFonts w:ascii="Times New Roman" w:hAnsi="Times New Roman"/>
        </w:rPr>
        <w:t>sponsors by way of the "multi</w:t>
      </w:r>
      <w:r w:rsidRPr="0008166C">
        <w:rPr>
          <w:rFonts w:ascii="Times New Roman" w:hAnsi="Times New Roman"/>
        </w:rPr>
        <w:noBreakHyphen/>
        <w:t xml:space="preserve">factorial analysis" is reinforced by reference to the </w:t>
      </w:r>
      <w:r w:rsidR="009B686F" w:rsidRPr="0008166C">
        <w:rPr>
          <w:rFonts w:ascii="Times New Roman" w:hAnsi="Times New Roman"/>
        </w:rPr>
        <w:t>recognised</w:t>
      </w:r>
      <w:r w:rsidR="00380FC7" w:rsidRPr="0008166C">
        <w:rPr>
          <w:rFonts w:ascii="Times New Roman" w:hAnsi="Times New Roman"/>
        </w:rPr>
        <w:t xml:space="preserve"> limits on the procedure</w:t>
      </w:r>
      <w:r w:rsidRPr="0008166C">
        <w:rPr>
          <w:rFonts w:ascii="Times New Roman" w:hAnsi="Times New Roman"/>
        </w:rPr>
        <w:t xml:space="preserve"> whereby trustees are able to seek guidance from a court of equity in relation to the proper discharge of their trust</w:t>
      </w:r>
      <w:r w:rsidRPr="0008166C">
        <w:rPr>
          <w:rStyle w:val="FootnoteReference"/>
          <w:rFonts w:ascii="Times New Roman" w:hAnsi="Times New Roman"/>
          <w:sz w:val="24"/>
        </w:rPr>
        <w:footnoteReference w:id="45"/>
      </w:r>
      <w:r w:rsidRPr="0008166C">
        <w:rPr>
          <w:rFonts w:ascii="Times New Roman" w:hAnsi="Times New Roman"/>
        </w:rPr>
        <w:t>. If the representative plaintiffs in each of the proceedings had sought such guidance from the Supreme Court, those applications would not have been entertained. That would not have been because of any difficulty in ascribing to a representative plaintiff obligations to group members of a fiduciary character; nor would the problem have been that, historically, the courts of equity never resolved competing claims to engage in what were, until relatively recently, the torts of champerty or maintenance. Rather, a court of equity, presented with a request for guidance by the representative plaintiffs in the representative proceedings here in question, would not have acceded to a request to endorse one sponsor over another</w:t>
      </w:r>
      <w:r w:rsidR="004C4587" w:rsidRPr="0008166C">
        <w:rPr>
          <w:rFonts w:ascii="Times New Roman" w:hAnsi="Times New Roman"/>
        </w:rPr>
        <w:t xml:space="preserve">. Absent legislative </w:t>
      </w:r>
      <w:r w:rsidR="004C4587" w:rsidRPr="0008166C">
        <w:rPr>
          <w:rFonts w:ascii="Times New Roman" w:hAnsi="Times New Roman"/>
        </w:rPr>
        <w:lastRenderedPageBreak/>
        <w:t xml:space="preserve">direction, </w:t>
      </w:r>
      <w:r w:rsidR="00380FC7" w:rsidRPr="0008166C">
        <w:rPr>
          <w:rFonts w:ascii="Times New Roman" w:hAnsi="Times New Roman"/>
        </w:rPr>
        <w:t>the courts do not provide such endorsements</w:t>
      </w:r>
      <w:r w:rsidR="004C4587" w:rsidRPr="0008166C">
        <w:rPr>
          <w:rFonts w:ascii="Times New Roman" w:hAnsi="Times New Roman"/>
        </w:rPr>
        <w:t>, nor do they give such guidance</w:t>
      </w:r>
      <w:r w:rsidR="00380FC7" w:rsidRPr="0008166C">
        <w:rPr>
          <w:rFonts w:ascii="Times New Roman" w:hAnsi="Times New Roman"/>
        </w:rPr>
        <w:t xml:space="preserve"> to potential litigants</w:t>
      </w:r>
      <w:r w:rsidRPr="0008166C">
        <w:rPr>
          <w:rFonts w:ascii="Times New Roman" w:hAnsi="Times New Roman"/>
        </w:rPr>
        <w:t xml:space="preserve">. </w:t>
      </w:r>
    </w:p>
    <w:p w14:paraId="290E7D96" w14:textId="5CAAC545" w:rsidR="00181946" w:rsidRPr="0008166C" w:rsidRDefault="00181946" w:rsidP="0008166C">
      <w:pPr>
        <w:pStyle w:val="FixListStyle"/>
        <w:spacing w:after="260" w:line="280" w:lineRule="exact"/>
        <w:ind w:right="0"/>
        <w:jc w:val="both"/>
        <w:rPr>
          <w:rFonts w:ascii="Times New Roman" w:hAnsi="Times New Roman"/>
        </w:rPr>
      </w:pPr>
      <w:r w:rsidRPr="0008166C">
        <w:rPr>
          <w:rFonts w:ascii="Times New Roman" w:hAnsi="Times New Roman"/>
        </w:rPr>
        <w:tab/>
        <w:t>The form of direction usually given upon an application by a trustee for the advice of a court of equity is that the trustee is justified in taking or abstaining from legal action. The court does not direct that the trustee "should" or "must" take or defend an action</w:t>
      </w:r>
      <w:r w:rsidRPr="0008166C">
        <w:rPr>
          <w:rStyle w:val="FootnoteReference"/>
          <w:rFonts w:ascii="Times New Roman" w:hAnsi="Times New Roman"/>
          <w:sz w:val="24"/>
        </w:rPr>
        <w:footnoteReference w:id="46"/>
      </w:r>
      <w:r w:rsidRPr="0008166C">
        <w:rPr>
          <w:rFonts w:ascii="Times New Roman" w:hAnsi="Times New Roman"/>
        </w:rPr>
        <w:t xml:space="preserve">. Quite apart from the practical difficulties involved in performing such an exercise at the outset of proceedings, it is no part of the jurisdiction of a court of equity to offer encouragement (or discouragement) to those who seek to submit their claims against others to the independent and impartial determination of </w:t>
      </w:r>
      <w:r w:rsidR="00931503" w:rsidRPr="0008166C">
        <w:rPr>
          <w:rFonts w:ascii="Times New Roman" w:hAnsi="Times New Roman"/>
        </w:rPr>
        <w:t xml:space="preserve">a </w:t>
      </w:r>
      <w:r w:rsidRPr="0008166C">
        <w:rPr>
          <w:rFonts w:ascii="Times New Roman" w:hAnsi="Times New Roman"/>
        </w:rPr>
        <w:t xml:space="preserve">court. </w:t>
      </w:r>
      <w:r w:rsidR="00931503" w:rsidRPr="0008166C">
        <w:rPr>
          <w:rFonts w:ascii="Times New Roman" w:hAnsi="Times New Roman"/>
        </w:rPr>
        <w:t>A</w:t>
      </w:r>
      <w:r w:rsidRPr="0008166C">
        <w:rPr>
          <w:rFonts w:ascii="Times New Roman" w:hAnsi="Times New Roman"/>
        </w:rPr>
        <w:t xml:space="preserve"> court does not make a reputational investment in the outcome of the proceeding; it has never been accepted </w:t>
      </w:r>
      <w:r w:rsidR="00020CA4" w:rsidRPr="0008166C">
        <w:rPr>
          <w:rFonts w:ascii="Times New Roman" w:hAnsi="Times New Roman"/>
        </w:rPr>
        <w:t xml:space="preserve">as an aspect of the inherent jurisdiction </w:t>
      </w:r>
      <w:r w:rsidRPr="0008166C">
        <w:rPr>
          <w:rFonts w:ascii="Times New Roman" w:hAnsi="Times New Roman"/>
        </w:rPr>
        <w:t xml:space="preserve">that </w:t>
      </w:r>
      <w:r w:rsidR="003E6AB5" w:rsidRPr="0008166C">
        <w:rPr>
          <w:rFonts w:ascii="Times New Roman" w:hAnsi="Times New Roman"/>
        </w:rPr>
        <w:t>a</w:t>
      </w:r>
      <w:r w:rsidRPr="0008166C">
        <w:rPr>
          <w:rFonts w:ascii="Times New Roman" w:hAnsi="Times New Roman"/>
        </w:rPr>
        <w:t xml:space="preserve"> court should take on a role </w:t>
      </w:r>
      <w:r w:rsidR="00020CA4" w:rsidRPr="0008166C">
        <w:rPr>
          <w:rFonts w:ascii="Times New Roman" w:hAnsi="Times New Roman"/>
        </w:rPr>
        <w:t xml:space="preserve">indistinguishable from </w:t>
      </w:r>
      <w:r w:rsidRPr="0008166C">
        <w:rPr>
          <w:rFonts w:ascii="Times New Roman" w:hAnsi="Times New Roman"/>
        </w:rPr>
        <w:t xml:space="preserve">that of counsel advising </w:t>
      </w:r>
      <w:r w:rsidR="00101115" w:rsidRPr="0008166C">
        <w:rPr>
          <w:rFonts w:ascii="Times New Roman" w:hAnsi="Times New Roman"/>
        </w:rPr>
        <w:t>a</w:t>
      </w:r>
      <w:r w:rsidRPr="0008166C">
        <w:rPr>
          <w:rFonts w:ascii="Times New Roman" w:hAnsi="Times New Roman"/>
        </w:rPr>
        <w:t xml:space="preserve"> trustee</w:t>
      </w:r>
      <w:r w:rsidRPr="0008166C">
        <w:rPr>
          <w:rStyle w:val="FootnoteReference"/>
          <w:rFonts w:ascii="Times New Roman" w:hAnsi="Times New Roman"/>
          <w:sz w:val="24"/>
        </w:rPr>
        <w:footnoteReference w:id="47"/>
      </w:r>
      <w:r w:rsidRPr="0008166C">
        <w:rPr>
          <w:rFonts w:ascii="Times New Roman" w:hAnsi="Times New Roman"/>
        </w:rPr>
        <w:t>.</w:t>
      </w:r>
    </w:p>
    <w:p w14:paraId="499A1DE7" w14:textId="44FB5C34" w:rsidR="00905310" w:rsidRPr="0008166C" w:rsidRDefault="00FD240B" w:rsidP="0008166C">
      <w:pPr>
        <w:pStyle w:val="FixListStyle"/>
        <w:spacing w:after="260" w:line="280" w:lineRule="exact"/>
        <w:ind w:right="0"/>
        <w:jc w:val="both"/>
        <w:rPr>
          <w:rFonts w:ascii="Times New Roman" w:hAnsi="Times New Roman"/>
        </w:rPr>
      </w:pPr>
      <w:r w:rsidRPr="0008166C">
        <w:rPr>
          <w:rFonts w:ascii="Times New Roman" w:hAnsi="Times New Roman"/>
        </w:rPr>
        <w:tab/>
      </w:r>
      <w:proofErr w:type="spellStart"/>
      <w:r w:rsidR="008758DA" w:rsidRPr="0008166C">
        <w:rPr>
          <w:rFonts w:ascii="Times New Roman" w:hAnsi="Times New Roman"/>
        </w:rPr>
        <w:t>Komlotex</w:t>
      </w:r>
      <w:proofErr w:type="spellEnd"/>
      <w:r w:rsidR="008758DA" w:rsidRPr="0008166C">
        <w:rPr>
          <w:rFonts w:ascii="Times New Roman" w:hAnsi="Times New Roman"/>
        </w:rPr>
        <w:t xml:space="preserve"> and </w:t>
      </w:r>
      <w:proofErr w:type="spellStart"/>
      <w:r w:rsidR="008758DA" w:rsidRPr="0008166C">
        <w:rPr>
          <w:rFonts w:ascii="Times New Roman" w:hAnsi="Times New Roman"/>
        </w:rPr>
        <w:t>Fernbrook</w:t>
      </w:r>
      <w:proofErr w:type="spellEnd"/>
      <w:r w:rsidR="008758DA" w:rsidRPr="0008166C">
        <w:rPr>
          <w:rFonts w:ascii="Times New Roman" w:hAnsi="Times New Roman"/>
        </w:rPr>
        <w:t xml:space="preserve"> argued that the first-in-time presumption </w:t>
      </w:r>
      <w:r w:rsidR="008D38D5" w:rsidRPr="0008166C">
        <w:rPr>
          <w:rFonts w:ascii="Times New Roman" w:hAnsi="Times New Roman"/>
        </w:rPr>
        <w:t>of "traditional stay jurisprudence"</w:t>
      </w:r>
      <w:r w:rsidR="008758DA" w:rsidRPr="0008166C">
        <w:rPr>
          <w:rFonts w:ascii="Times New Roman" w:hAnsi="Times New Roman"/>
        </w:rPr>
        <w:t xml:space="preserve"> would encourage a "race to the courthouse" and </w:t>
      </w:r>
      <w:r w:rsidR="003D0A9C" w:rsidRPr="0008166C">
        <w:rPr>
          <w:rFonts w:ascii="Times New Roman" w:hAnsi="Times New Roman"/>
        </w:rPr>
        <w:t xml:space="preserve">inadequate </w:t>
      </w:r>
      <w:r w:rsidR="008758DA" w:rsidRPr="0008166C">
        <w:rPr>
          <w:rFonts w:ascii="Times New Roman" w:hAnsi="Times New Roman"/>
        </w:rPr>
        <w:t>preparation.</w:t>
      </w:r>
      <w:r w:rsidR="00531190" w:rsidRPr="0008166C">
        <w:rPr>
          <w:rFonts w:ascii="Times New Roman" w:hAnsi="Times New Roman"/>
        </w:rPr>
        <w:t xml:space="preserve"> </w:t>
      </w:r>
      <w:r w:rsidR="003D0A9C" w:rsidRPr="0008166C">
        <w:rPr>
          <w:rFonts w:ascii="Times New Roman" w:hAnsi="Times New Roman"/>
        </w:rPr>
        <w:t xml:space="preserve">It was also said that </w:t>
      </w:r>
      <w:r w:rsidR="008758DA" w:rsidRPr="0008166C">
        <w:rPr>
          <w:rFonts w:ascii="Times New Roman" w:hAnsi="Times New Roman"/>
        </w:rPr>
        <w:t xml:space="preserve">it would encourage overly broad framing of claims to avoid the identity of "complete relief" in competing proceedings. These </w:t>
      </w:r>
      <w:r w:rsidR="00120EB6" w:rsidRPr="0008166C">
        <w:rPr>
          <w:rFonts w:ascii="Times New Roman" w:hAnsi="Times New Roman"/>
        </w:rPr>
        <w:t>outcomes</w:t>
      </w:r>
      <w:r w:rsidR="008758DA" w:rsidRPr="0008166C">
        <w:rPr>
          <w:rFonts w:ascii="Times New Roman" w:hAnsi="Times New Roman"/>
        </w:rPr>
        <w:t xml:space="preserve"> were said to run contrary to </w:t>
      </w:r>
      <w:r w:rsidR="00120EB6" w:rsidRPr="0008166C">
        <w:rPr>
          <w:rFonts w:ascii="Times New Roman" w:hAnsi="Times New Roman"/>
        </w:rPr>
        <w:t xml:space="preserve">the "overriding purpose" </w:t>
      </w:r>
      <w:r w:rsidR="00C576DA" w:rsidRPr="0008166C">
        <w:rPr>
          <w:rFonts w:ascii="Times New Roman" w:hAnsi="Times New Roman"/>
        </w:rPr>
        <w:t xml:space="preserve">in </w:t>
      </w:r>
      <w:r w:rsidR="008758DA" w:rsidRPr="0008166C">
        <w:rPr>
          <w:rFonts w:ascii="Times New Roman" w:hAnsi="Times New Roman"/>
        </w:rPr>
        <w:t xml:space="preserve">s 56 </w:t>
      </w:r>
      <w:r w:rsidR="002C55C1" w:rsidRPr="0008166C">
        <w:rPr>
          <w:rFonts w:ascii="Times New Roman" w:hAnsi="Times New Roman"/>
        </w:rPr>
        <w:t>of the CPA</w:t>
      </w:r>
      <w:r w:rsidR="008758DA" w:rsidRPr="0008166C">
        <w:rPr>
          <w:rFonts w:ascii="Times New Roman" w:hAnsi="Times New Roman"/>
        </w:rPr>
        <w:t>.</w:t>
      </w:r>
      <w:r w:rsidR="00531190" w:rsidRPr="0008166C">
        <w:rPr>
          <w:rFonts w:ascii="Times New Roman" w:hAnsi="Times New Roman"/>
        </w:rPr>
        <w:t xml:space="preserve"> </w:t>
      </w:r>
      <w:r w:rsidR="002071F7" w:rsidRPr="0008166C">
        <w:rPr>
          <w:rFonts w:ascii="Times New Roman" w:hAnsi="Times New Roman"/>
        </w:rPr>
        <w:t>Similarly, t</w:t>
      </w:r>
      <w:r w:rsidR="00905310" w:rsidRPr="0008166C">
        <w:rPr>
          <w:rFonts w:ascii="Times New Roman" w:hAnsi="Times New Roman"/>
        </w:rPr>
        <w:t>he primary judge noted</w:t>
      </w:r>
      <w:r w:rsidR="00905310" w:rsidRPr="0008166C">
        <w:rPr>
          <w:rStyle w:val="FootnoteReference"/>
          <w:rFonts w:ascii="Times New Roman" w:hAnsi="Times New Roman"/>
          <w:sz w:val="24"/>
        </w:rPr>
        <w:footnoteReference w:id="48"/>
      </w:r>
      <w:r w:rsidR="00905310" w:rsidRPr="0008166C">
        <w:rPr>
          <w:rFonts w:ascii="Times New Roman" w:hAnsi="Times New Roman"/>
        </w:rPr>
        <w:t xml:space="preserve"> the concern expressed</w:t>
      </w:r>
      <w:r w:rsidR="000526D2" w:rsidRPr="0008166C">
        <w:rPr>
          <w:rFonts w:ascii="Times New Roman" w:hAnsi="Times New Roman"/>
        </w:rPr>
        <w:t xml:space="preserve"> by the Full Court</w:t>
      </w:r>
      <w:r w:rsidR="00905310" w:rsidRPr="0008166C">
        <w:rPr>
          <w:rFonts w:ascii="Times New Roman" w:hAnsi="Times New Roman"/>
        </w:rPr>
        <w:t xml:space="preserve"> in </w:t>
      </w:r>
      <w:proofErr w:type="spellStart"/>
      <w:r w:rsidR="00905310" w:rsidRPr="0008166C">
        <w:rPr>
          <w:rFonts w:ascii="Times New Roman" w:hAnsi="Times New Roman"/>
          <w:i/>
          <w:iCs/>
        </w:rPr>
        <w:t>GetSwift</w:t>
      </w:r>
      <w:proofErr w:type="spellEnd"/>
      <w:r w:rsidR="00905310" w:rsidRPr="0008166C">
        <w:rPr>
          <w:rFonts w:ascii="Times New Roman" w:hAnsi="Times New Roman"/>
          <w:i/>
          <w:iCs/>
        </w:rPr>
        <w:t xml:space="preserve"> </w:t>
      </w:r>
      <w:r w:rsidR="00905310" w:rsidRPr="0008166C">
        <w:rPr>
          <w:rFonts w:ascii="Times New Roman" w:hAnsi="Times New Roman"/>
        </w:rPr>
        <w:t>that</w:t>
      </w:r>
      <w:r w:rsidR="00BD77F8" w:rsidRPr="0008166C">
        <w:rPr>
          <w:rStyle w:val="FootnoteReference"/>
          <w:rFonts w:ascii="Times New Roman" w:hAnsi="Times New Roman"/>
          <w:sz w:val="24"/>
        </w:rPr>
        <w:footnoteReference w:id="49"/>
      </w:r>
      <w:r w:rsidR="00905310" w:rsidRPr="0008166C">
        <w:rPr>
          <w:rFonts w:ascii="Times New Roman" w:hAnsi="Times New Roman"/>
        </w:rPr>
        <w:t xml:space="preserve">: </w:t>
      </w:r>
    </w:p>
    <w:p w14:paraId="4EA4562B" w14:textId="77777777" w:rsidR="0008166C" w:rsidRDefault="00905310" w:rsidP="0008166C">
      <w:pPr>
        <w:pStyle w:val="leftright"/>
        <w:spacing w:before="0" w:after="260" w:line="280" w:lineRule="exact"/>
        <w:ind w:right="0"/>
        <w:jc w:val="both"/>
        <w:rPr>
          <w:rFonts w:ascii="Times New Roman" w:hAnsi="Times New Roman"/>
        </w:rPr>
      </w:pPr>
      <w:r w:rsidRPr="0008166C">
        <w:rPr>
          <w:rFonts w:ascii="Times New Roman" w:hAnsi="Times New Roman"/>
        </w:rPr>
        <w:t xml:space="preserve">"The Court must strongly discourage a rush to the Court in large and complex class proceedings, carrying as it does the consequent risks of insufficient due diligence and the commencement of unmeritorious, or at least weak, cases. Unless the hasty filing of such cases is effectively discouraged even those solicitors or funders who wish to take an appropriately cautious approach are likely to be dragged into the same practice. That is so because the first action filed is likely to obtain a </w:t>
      </w:r>
      <w:r w:rsidR="00A239FE" w:rsidRPr="0008166C">
        <w:rPr>
          <w:rFonts w:ascii="Times New Roman" w:hAnsi="Times New Roman"/>
        </w:rPr>
        <w:t>'</w:t>
      </w:r>
      <w:r w:rsidRPr="0008166C">
        <w:rPr>
          <w:rFonts w:ascii="Times New Roman" w:hAnsi="Times New Roman"/>
        </w:rPr>
        <w:t>first mover</w:t>
      </w:r>
      <w:r w:rsidR="00A239FE" w:rsidRPr="0008166C">
        <w:rPr>
          <w:rFonts w:ascii="Times New Roman" w:hAnsi="Times New Roman"/>
        </w:rPr>
        <w:t>'</w:t>
      </w:r>
      <w:r w:rsidRPr="0008166C">
        <w:rPr>
          <w:rFonts w:ascii="Times New Roman" w:hAnsi="Times New Roman"/>
        </w:rPr>
        <w:t xml:space="preserve"> advantage in terms of book building and, once one action is filed, other solicitors or funders are pressed to speedily follow or they may not be included in the mix when the Court considers the competing proceedings."</w:t>
      </w:r>
    </w:p>
    <w:p w14:paraId="3CB6E190" w14:textId="6A07F73A" w:rsidR="00905310" w:rsidRPr="0008166C" w:rsidRDefault="00905310" w:rsidP="0008166C">
      <w:pPr>
        <w:pStyle w:val="FixListStyle"/>
        <w:spacing w:after="260" w:line="280" w:lineRule="exact"/>
        <w:ind w:right="0"/>
        <w:jc w:val="both"/>
        <w:rPr>
          <w:rFonts w:ascii="Times New Roman" w:hAnsi="Times New Roman"/>
        </w:rPr>
      </w:pPr>
      <w:r w:rsidRPr="0008166C">
        <w:rPr>
          <w:rFonts w:ascii="Times New Roman" w:hAnsi="Times New Roman"/>
        </w:rPr>
        <w:lastRenderedPageBreak/>
        <w:tab/>
      </w:r>
      <w:r w:rsidR="00E32340" w:rsidRPr="0008166C">
        <w:rPr>
          <w:rFonts w:ascii="Times New Roman" w:hAnsi="Times New Roman"/>
        </w:rPr>
        <w:t>In truth,</w:t>
      </w:r>
      <w:r w:rsidRPr="0008166C">
        <w:rPr>
          <w:rFonts w:ascii="Times New Roman" w:hAnsi="Times New Roman"/>
        </w:rPr>
        <w:t xml:space="preserve"> concern as to the unseemliness of a "race to the courthouse" </w:t>
      </w:r>
      <w:r w:rsidR="008449F6" w:rsidRPr="0008166C">
        <w:rPr>
          <w:rFonts w:ascii="Times New Roman" w:hAnsi="Times New Roman"/>
        </w:rPr>
        <w:t>is</w:t>
      </w:r>
      <w:r w:rsidRPr="0008166C">
        <w:rPr>
          <w:rFonts w:ascii="Times New Roman" w:hAnsi="Times New Roman"/>
        </w:rPr>
        <w:t xml:space="preserve"> an irrelevant distraction. </w:t>
      </w:r>
      <w:r w:rsidR="00DE6FB9" w:rsidRPr="0008166C">
        <w:rPr>
          <w:rFonts w:ascii="Times New Roman" w:hAnsi="Times New Roman"/>
        </w:rPr>
        <w:t>In this case</w:t>
      </w:r>
      <w:r w:rsidR="00F70C22" w:rsidRPr="0008166C">
        <w:rPr>
          <w:rFonts w:ascii="Times New Roman" w:hAnsi="Times New Roman"/>
        </w:rPr>
        <w:t>,</w:t>
      </w:r>
      <w:r w:rsidR="00DE6FB9" w:rsidRPr="0008166C">
        <w:rPr>
          <w:rFonts w:ascii="Times New Roman" w:hAnsi="Times New Roman"/>
        </w:rPr>
        <w:t xml:space="preserve"> </w:t>
      </w:r>
      <w:r w:rsidRPr="0008166C">
        <w:rPr>
          <w:rFonts w:ascii="Times New Roman" w:hAnsi="Times New Roman"/>
        </w:rPr>
        <w:t>the proceedings brought by Ms </w:t>
      </w:r>
      <w:proofErr w:type="spellStart"/>
      <w:r w:rsidRPr="0008166C">
        <w:rPr>
          <w:rFonts w:ascii="Times New Roman" w:hAnsi="Times New Roman"/>
        </w:rPr>
        <w:t>Wigmans</w:t>
      </w:r>
      <w:proofErr w:type="spellEnd"/>
      <w:r w:rsidRPr="0008166C">
        <w:rPr>
          <w:rFonts w:ascii="Times New Roman" w:hAnsi="Times New Roman"/>
        </w:rPr>
        <w:t xml:space="preserve"> </w:t>
      </w:r>
      <w:r w:rsidR="004C563F" w:rsidRPr="0008166C">
        <w:rPr>
          <w:rFonts w:ascii="Times New Roman" w:hAnsi="Times New Roman"/>
        </w:rPr>
        <w:t xml:space="preserve">did not exhibit </w:t>
      </w:r>
      <w:r w:rsidR="00044182" w:rsidRPr="0008166C">
        <w:rPr>
          <w:rFonts w:ascii="Times New Roman" w:hAnsi="Times New Roman"/>
        </w:rPr>
        <w:t xml:space="preserve">any </w:t>
      </w:r>
      <w:r w:rsidRPr="0008166C">
        <w:rPr>
          <w:rFonts w:ascii="Times New Roman" w:hAnsi="Times New Roman"/>
        </w:rPr>
        <w:t xml:space="preserve">juridical </w:t>
      </w:r>
      <w:r w:rsidR="004C563F" w:rsidRPr="0008166C">
        <w:rPr>
          <w:rFonts w:ascii="Times New Roman" w:hAnsi="Times New Roman"/>
        </w:rPr>
        <w:t xml:space="preserve">deficiency or </w:t>
      </w:r>
      <w:r w:rsidRPr="0008166C">
        <w:rPr>
          <w:rFonts w:ascii="Times New Roman" w:hAnsi="Times New Roman"/>
        </w:rPr>
        <w:t xml:space="preserve">disadvantage in </w:t>
      </w:r>
      <w:r w:rsidR="00044182" w:rsidRPr="0008166C">
        <w:rPr>
          <w:rFonts w:ascii="Times New Roman" w:hAnsi="Times New Roman"/>
        </w:rPr>
        <w:t xml:space="preserve">comparison with </w:t>
      </w:r>
      <w:r w:rsidRPr="0008166C">
        <w:rPr>
          <w:rFonts w:ascii="Times New Roman" w:hAnsi="Times New Roman"/>
        </w:rPr>
        <w:t>the competing proceedings</w:t>
      </w:r>
      <w:r w:rsidR="008758DA" w:rsidRPr="0008166C">
        <w:rPr>
          <w:rFonts w:ascii="Times New Roman" w:hAnsi="Times New Roman"/>
        </w:rPr>
        <w:t xml:space="preserve">, whether </w:t>
      </w:r>
      <w:r w:rsidRPr="0008166C">
        <w:rPr>
          <w:rFonts w:ascii="Times New Roman" w:hAnsi="Times New Roman"/>
        </w:rPr>
        <w:t>because of the haste with which her proceedings were commen</w:t>
      </w:r>
      <w:r w:rsidR="001A38B8" w:rsidRPr="0008166C">
        <w:rPr>
          <w:rFonts w:ascii="Times New Roman" w:hAnsi="Times New Roman"/>
        </w:rPr>
        <w:t>c</w:t>
      </w:r>
      <w:r w:rsidRPr="0008166C">
        <w:rPr>
          <w:rFonts w:ascii="Times New Roman" w:hAnsi="Times New Roman"/>
        </w:rPr>
        <w:t>ed</w:t>
      </w:r>
      <w:r w:rsidR="004E48B9" w:rsidRPr="0008166C">
        <w:rPr>
          <w:rFonts w:ascii="Times New Roman" w:hAnsi="Times New Roman"/>
        </w:rPr>
        <w:t xml:space="preserve"> or otherwise</w:t>
      </w:r>
      <w:r w:rsidRPr="0008166C">
        <w:rPr>
          <w:rFonts w:ascii="Times New Roman" w:hAnsi="Times New Roman"/>
        </w:rPr>
        <w:t xml:space="preserve">. </w:t>
      </w:r>
      <w:r w:rsidR="004F5B4A" w:rsidRPr="0008166C">
        <w:rPr>
          <w:rFonts w:ascii="Times New Roman" w:hAnsi="Times New Roman"/>
        </w:rPr>
        <w:t xml:space="preserve">More generally, </w:t>
      </w:r>
      <w:r w:rsidR="00B10AAA" w:rsidRPr="0008166C">
        <w:rPr>
          <w:rFonts w:ascii="Times New Roman" w:hAnsi="Times New Roman"/>
        </w:rPr>
        <w:t>it is ironic that the alacrity with which Ms </w:t>
      </w:r>
      <w:proofErr w:type="spellStart"/>
      <w:r w:rsidR="00B10AAA" w:rsidRPr="0008166C">
        <w:rPr>
          <w:rFonts w:ascii="Times New Roman" w:hAnsi="Times New Roman"/>
        </w:rPr>
        <w:t>Wigmans</w:t>
      </w:r>
      <w:proofErr w:type="spellEnd"/>
      <w:r w:rsidR="00B10AAA" w:rsidRPr="0008166C">
        <w:rPr>
          <w:rFonts w:ascii="Times New Roman" w:hAnsi="Times New Roman"/>
        </w:rPr>
        <w:t xml:space="preserve">' </w:t>
      </w:r>
      <w:r w:rsidR="00830E05" w:rsidRPr="0008166C">
        <w:rPr>
          <w:rFonts w:ascii="Times New Roman" w:hAnsi="Times New Roman"/>
        </w:rPr>
        <w:t>proceedings were brought should be thought to be a matter of criticism, given the terms of s 56 of the CPA.</w:t>
      </w:r>
      <w:r w:rsidRPr="0008166C">
        <w:rPr>
          <w:rFonts w:ascii="Times New Roman" w:hAnsi="Times New Roman"/>
        </w:rPr>
        <w:t xml:space="preserve"> </w:t>
      </w:r>
      <w:r w:rsidR="005D37EF" w:rsidRPr="0008166C">
        <w:rPr>
          <w:rFonts w:ascii="Times New Roman" w:hAnsi="Times New Roman"/>
        </w:rPr>
        <w:t>Mindful</w:t>
      </w:r>
      <w:r w:rsidR="007120FD" w:rsidRPr="0008166C">
        <w:rPr>
          <w:rFonts w:ascii="Times New Roman" w:hAnsi="Times New Roman"/>
        </w:rPr>
        <w:t xml:space="preserve"> that s 56 of the CPA regards speed in litigation</w:t>
      </w:r>
      <w:r w:rsidR="005B68B3" w:rsidRPr="0008166C">
        <w:rPr>
          <w:rFonts w:ascii="Times New Roman" w:hAnsi="Times New Roman"/>
        </w:rPr>
        <w:t xml:space="preserve"> as a positive virtue</w:t>
      </w:r>
      <w:r w:rsidR="007120FD" w:rsidRPr="0008166C">
        <w:rPr>
          <w:rFonts w:ascii="Times New Roman" w:hAnsi="Times New Roman"/>
        </w:rPr>
        <w:t xml:space="preserve">, it </w:t>
      </w:r>
      <w:r w:rsidRPr="0008166C">
        <w:rPr>
          <w:rFonts w:ascii="Times New Roman" w:hAnsi="Times New Roman"/>
        </w:rPr>
        <w:t>seem</w:t>
      </w:r>
      <w:r w:rsidR="007F14F9" w:rsidRPr="0008166C">
        <w:rPr>
          <w:rFonts w:ascii="Times New Roman" w:hAnsi="Times New Roman"/>
        </w:rPr>
        <w:t>s</w:t>
      </w:r>
      <w:r w:rsidRPr="0008166C">
        <w:rPr>
          <w:rFonts w:ascii="Times New Roman" w:hAnsi="Times New Roman"/>
        </w:rPr>
        <w:t xml:space="preserve"> distinctly odd to regard the winning of the "race to the courthouse" as a</w:t>
      </w:r>
      <w:r w:rsidR="00324D87" w:rsidRPr="0008166C">
        <w:rPr>
          <w:rFonts w:ascii="Times New Roman" w:hAnsi="Times New Roman"/>
        </w:rPr>
        <w:t xml:space="preserve"> negative</w:t>
      </w:r>
      <w:r w:rsidR="003A293D" w:rsidRPr="0008166C">
        <w:rPr>
          <w:rFonts w:ascii="Times New Roman" w:hAnsi="Times New Roman"/>
        </w:rPr>
        <w:t xml:space="preserve"> factor in a case where no</w:t>
      </w:r>
      <w:r w:rsidRPr="0008166C">
        <w:rPr>
          <w:rFonts w:ascii="Times New Roman" w:hAnsi="Times New Roman"/>
        </w:rPr>
        <w:t xml:space="preserve"> </w:t>
      </w:r>
      <w:r w:rsidR="005D519B" w:rsidRPr="0008166C">
        <w:rPr>
          <w:rFonts w:ascii="Times New Roman" w:hAnsi="Times New Roman"/>
        </w:rPr>
        <w:t xml:space="preserve">specific </w:t>
      </w:r>
      <w:r w:rsidRPr="0008166C">
        <w:rPr>
          <w:rFonts w:ascii="Times New Roman" w:hAnsi="Times New Roman"/>
        </w:rPr>
        <w:t xml:space="preserve">criticism can be made of the proceedings that have </w:t>
      </w:r>
      <w:r w:rsidR="005D519B" w:rsidRPr="0008166C">
        <w:rPr>
          <w:rFonts w:ascii="Times New Roman" w:hAnsi="Times New Roman"/>
        </w:rPr>
        <w:t xml:space="preserve">actually </w:t>
      </w:r>
      <w:r w:rsidRPr="0008166C">
        <w:rPr>
          <w:rFonts w:ascii="Times New Roman" w:hAnsi="Times New Roman"/>
        </w:rPr>
        <w:t>been brought by</w:t>
      </w:r>
      <w:r w:rsidR="00694B38" w:rsidRPr="0008166C">
        <w:rPr>
          <w:rFonts w:ascii="Times New Roman" w:hAnsi="Times New Roman"/>
        </w:rPr>
        <w:t xml:space="preserve"> the winner.</w:t>
      </w:r>
      <w:r w:rsidRPr="0008166C">
        <w:rPr>
          <w:rFonts w:ascii="Times New Roman" w:hAnsi="Times New Roman"/>
        </w:rPr>
        <w:t xml:space="preserve"> </w:t>
      </w:r>
      <w:r w:rsidR="00E57153" w:rsidRPr="0008166C">
        <w:rPr>
          <w:rFonts w:ascii="Times New Roman" w:hAnsi="Times New Roman"/>
        </w:rPr>
        <w:t>The inconsistency is troubling. Further, to object to the alacrity with which otherwise unobjectionable proceedings are commenced under the aegis of one sponsor, while accepting responsibility for choosing between competing would</w:t>
      </w:r>
      <w:r w:rsidR="00E57153" w:rsidRPr="0008166C">
        <w:rPr>
          <w:rFonts w:ascii="Times New Roman" w:hAnsi="Times New Roman"/>
        </w:rPr>
        <w:noBreakHyphen/>
        <w:t xml:space="preserve">be sponsors </w:t>
      </w:r>
      <w:r w:rsidR="005634AF" w:rsidRPr="0008166C">
        <w:rPr>
          <w:rFonts w:ascii="Times New Roman" w:hAnsi="Times New Roman"/>
        </w:rPr>
        <w:t>in terms of their likely efficiency and efficacy</w:t>
      </w:r>
      <w:r w:rsidR="00A239FE" w:rsidRPr="0008166C">
        <w:rPr>
          <w:rFonts w:ascii="Times New Roman" w:hAnsi="Times New Roman"/>
        </w:rPr>
        <w:t>,</w:t>
      </w:r>
      <w:r w:rsidR="005634AF" w:rsidRPr="0008166C">
        <w:rPr>
          <w:rFonts w:ascii="Times New Roman" w:hAnsi="Times New Roman"/>
        </w:rPr>
        <w:t xml:space="preserve"> is </w:t>
      </w:r>
      <w:r w:rsidRPr="0008166C">
        <w:rPr>
          <w:rFonts w:ascii="Times New Roman" w:hAnsi="Times New Roman"/>
        </w:rPr>
        <w:t xml:space="preserve">to </w:t>
      </w:r>
      <w:r w:rsidR="00A239FE" w:rsidRPr="0008166C">
        <w:rPr>
          <w:rFonts w:ascii="Times New Roman" w:hAnsi="Times New Roman"/>
        </w:rPr>
        <w:t>"</w:t>
      </w:r>
      <w:r w:rsidRPr="0008166C">
        <w:rPr>
          <w:rFonts w:ascii="Times New Roman" w:hAnsi="Times New Roman"/>
        </w:rPr>
        <w:t xml:space="preserve">strain </w:t>
      </w:r>
      <w:r w:rsidR="005D37EF" w:rsidRPr="0008166C">
        <w:rPr>
          <w:rFonts w:ascii="Times New Roman" w:hAnsi="Times New Roman"/>
        </w:rPr>
        <w:t>[out]</w:t>
      </w:r>
      <w:r w:rsidRPr="0008166C">
        <w:rPr>
          <w:rFonts w:ascii="Times New Roman" w:hAnsi="Times New Roman"/>
        </w:rPr>
        <w:t xml:space="preserve"> a gnat, </w:t>
      </w:r>
      <w:r w:rsidR="00173FCB" w:rsidRPr="0008166C">
        <w:rPr>
          <w:rFonts w:ascii="Times New Roman" w:hAnsi="Times New Roman"/>
        </w:rPr>
        <w:t>and</w:t>
      </w:r>
      <w:r w:rsidRPr="0008166C">
        <w:rPr>
          <w:rFonts w:ascii="Times New Roman" w:hAnsi="Times New Roman"/>
        </w:rPr>
        <w:t xml:space="preserve"> swallow a camel"</w:t>
      </w:r>
      <w:r w:rsidRPr="0008166C">
        <w:rPr>
          <w:rStyle w:val="FootnoteReference"/>
          <w:rFonts w:ascii="Times New Roman" w:hAnsi="Times New Roman"/>
          <w:sz w:val="24"/>
        </w:rPr>
        <w:footnoteReference w:id="50"/>
      </w:r>
      <w:r w:rsidRPr="0008166C">
        <w:rPr>
          <w:rFonts w:ascii="Times New Roman" w:hAnsi="Times New Roman"/>
        </w:rPr>
        <w:t>.</w:t>
      </w:r>
    </w:p>
    <w:p w14:paraId="6ECFC632" w14:textId="19491858" w:rsidR="00D8390D" w:rsidRPr="0008166C" w:rsidRDefault="00D8390D" w:rsidP="0008166C">
      <w:pPr>
        <w:pStyle w:val="FixListStyle"/>
        <w:spacing w:after="260" w:line="280" w:lineRule="exact"/>
        <w:ind w:right="0"/>
        <w:jc w:val="both"/>
        <w:rPr>
          <w:rFonts w:ascii="Times New Roman" w:hAnsi="Times New Roman"/>
        </w:rPr>
      </w:pPr>
      <w:r w:rsidRPr="0008166C">
        <w:rPr>
          <w:rFonts w:ascii="Times New Roman" w:hAnsi="Times New Roman"/>
        </w:rPr>
        <w:tab/>
      </w:r>
      <w:proofErr w:type="spellStart"/>
      <w:r w:rsidRPr="0008166C">
        <w:rPr>
          <w:rFonts w:ascii="Times New Roman" w:hAnsi="Times New Roman"/>
        </w:rPr>
        <w:t>Komlotex</w:t>
      </w:r>
      <w:proofErr w:type="spellEnd"/>
      <w:r w:rsidRPr="0008166C">
        <w:rPr>
          <w:rFonts w:ascii="Times New Roman" w:hAnsi="Times New Roman"/>
        </w:rPr>
        <w:t xml:space="preserve"> </w:t>
      </w:r>
      <w:r w:rsidR="00CE1816" w:rsidRPr="0008166C">
        <w:rPr>
          <w:rFonts w:ascii="Times New Roman" w:hAnsi="Times New Roman"/>
        </w:rPr>
        <w:t xml:space="preserve">and </w:t>
      </w:r>
      <w:proofErr w:type="spellStart"/>
      <w:r w:rsidR="00CE1816" w:rsidRPr="0008166C">
        <w:rPr>
          <w:rFonts w:ascii="Times New Roman" w:hAnsi="Times New Roman"/>
        </w:rPr>
        <w:t>Fernbrook</w:t>
      </w:r>
      <w:proofErr w:type="spellEnd"/>
      <w:r w:rsidR="00CE1816" w:rsidRPr="0008166C">
        <w:rPr>
          <w:rFonts w:ascii="Times New Roman" w:hAnsi="Times New Roman"/>
        </w:rPr>
        <w:t xml:space="preserve"> were</w:t>
      </w:r>
      <w:r w:rsidRPr="0008166C">
        <w:rPr>
          <w:rFonts w:ascii="Times New Roman" w:hAnsi="Times New Roman"/>
        </w:rPr>
        <w:t xml:space="preserve"> unable to establish that</w:t>
      </w:r>
      <w:r w:rsidR="00175391" w:rsidRPr="0008166C">
        <w:rPr>
          <w:rFonts w:ascii="Times New Roman" w:hAnsi="Times New Roman"/>
        </w:rPr>
        <w:t xml:space="preserve"> their</w:t>
      </w:r>
      <w:r w:rsidRPr="0008166C">
        <w:rPr>
          <w:rFonts w:ascii="Times New Roman" w:hAnsi="Times New Roman"/>
        </w:rPr>
        <w:t xml:space="preserve"> later</w:t>
      </w:r>
      <w:r w:rsidR="00295D8B" w:rsidRPr="0008166C">
        <w:rPr>
          <w:rFonts w:ascii="Times New Roman" w:hAnsi="Times New Roman"/>
        </w:rPr>
        <w:noBreakHyphen/>
      </w:r>
      <w:r w:rsidRPr="0008166C">
        <w:rPr>
          <w:rFonts w:ascii="Times New Roman" w:hAnsi="Times New Roman"/>
        </w:rPr>
        <w:t>in</w:t>
      </w:r>
      <w:r w:rsidR="00295D8B" w:rsidRPr="0008166C">
        <w:rPr>
          <w:rFonts w:ascii="Times New Roman" w:hAnsi="Times New Roman"/>
        </w:rPr>
        <w:noBreakHyphen/>
      </w:r>
      <w:r w:rsidRPr="0008166C">
        <w:rPr>
          <w:rFonts w:ascii="Times New Roman" w:hAnsi="Times New Roman"/>
        </w:rPr>
        <w:t>time proceeding</w:t>
      </w:r>
      <w:r w:rsidR="00175391" w:rsidRPr="0008166C">
        <w:rPr>
          <w:rFonts w:ascii="Times New Roman" w:hAnsi="Times New Roman"/>
        </w:rPr>
        <w:t>s</w:t>
      </w:r>
      <w:r w:rsidRPr="0008166C">
        <w:rPr>
          <w:rFonts w:ascii="Times New Roman" w:hAnsi="Times New Roman"/>
        </w:rPr>
        <w:t xml:space="preserve"> offered any legitimate juridical advantage over Ms </w:t>
      </w:r>
      <w:proofErr w:type="spellStart"/>
      <w:r w:rsidRPr="0008166C">
        <w:rPr>
          <w:rFonts w:ascii="Times New Roman" w:hAnsi="Times New Roman"/>
        </w:rPr>
        <w:t>Wigmans</w:t>
      </w:r>
      <w:proofErr w:type="spellEnd"/>
      <w:r w:rsidRPr="0008166C">
        <w:rPr>
          <w:rFonts w:ascii="Times New Roman" w:hAnsi="Times New Roman"/>
        </w:rPr>
        <w:t>' proceedings. On that footing</w:t>
      </w:r>
      <w:r w:rsidR="00AB65D9" w:rsidRPr="0008166C">
        <w:rPr>
          <w:rFonts w:ascii="Times New Roman" w:hAnsi="Times New Roman"/>
        </w:rPr>
        <w:t>,</w:t>
      </w:r>
      <w:r w:rsidRPr="0008166C">
        <w:rPr>
          <w:rFonts w:ascii="Times New Roman" w:hAnsi="Times New Roman"/>
        </w:rPr>
        <w:t xml:space="preserve"> </w:t>
      </w:r>
      <w:proofErr w:type="spellStart"/>
      <w:r w:rsidR="004B0FE9" w:rsidRPr="0008166C">
        <w:rPr>
          <w:rFonts w:ascii="Times New Roman" w:hAnsi="Times New Roman"/>
        </w:rPr>
        <w:t>Komlotex</w:t>
      </w:r>
      <w:proofErr w:type="spellEnd"/>
      <w:r w:rsidR="004B0FE9" w:rsidRPr="0008166C">
        <w:rPr>
          <w:rFonts w:ascii="Times New Roman" w:hAnsi="Times New Roman"/>
        </w:rPr>
        <w:t xml:space="preserve"> and </w:t>
      </w:r>
      <w:proofErr w:type="spellStart"/>
      <w:r w:rsidR="004B0FE9" w:rsidRPr="0008166C">
        <w:rPr>
          <w:rFonts w:ascii="Times New Roman" w:hAnsi="Times New Roman"/>
        </w:rPr>
        <w:t>Fernbrook</w:t>
      </w:r>
      <w:proofErr w:type="spellEnd"/>
      <w:r w:rsidR="004B0FE9" w:rsidRPr="0008166C">
        <w:rPr>
          <w:rFonts w:ascii="Times New Roman" w:hAnsi="Times New Roman"/>
        </w:rPr>
        <w:t xml:space="preserve"> were</w:t>
      </w:r>
      <w:r w:rsidRPr="0008166C">
        <w:rPr>
          <w:rFonts w:ascii="Times New Roman" w:hAnsi="Times New Roman"/>
        </w:rPr>
        <w:t xml:space="preserve"> unable to establish that </w:t>
      </w:r>
      <w:r w:rsidR="00B72659" w:rsidRPr="0008166C">
        <w:rPr>
          <w:rFonts w:ascii="Times New Roman" w:hAnsi="Times New Roman"/>
        </w:rPr>
        <w:t>their</w:t>
      </w:r>
      <w:r w:rsidRPr="0008166C">
        <w:rPr>
          <w:rFonts w:ascii="Times New Roman" w:hAnsi="Times New Roman"/>
        </w:rPr>
        <w:t xml:space="preserve"> later proceedings w</w:t>
      </w:r>
      <w:r w:rsidR="00891589" w:rsidRPr="0008166C">
        <w:rPr>
          <w:rFonts w:ascii="Times New Roman" w:hAnsi="Times New Roman"/>
        </w:rPr>
        <w:t>ere</w:t>
      </w:r>
      <w:r w:rsidRPr="0008166C">
        <w:rPr>
          <w:rFonts w:ascii="Times New Roman" w:hAnsi="Times New Roman"/>
        </w:rPr>
        <w:t xml:space="preserve"> not vexatious. </w:t>
      </w:r>
      <w:r w:rsidR="00891589" w:rsidRPr="0008166C">
        <w:rPr>
          <w:rFonts w:ascii="Times New Roman" w:hAnsi="Times New Roman"/>
        </w:rPr>
        <w:t xml:space="preserve">The </w:t>
      </w:r>
      <w:proofErr w:type="spellStart"/>
      <w:r w:rsidR="00891589" w:rsidRPr="0008166C">
        <w:rPr>
          <w:rFonts w:ascii="Times New Roman" w:hAnsi="Times New Roman"/>
        </w:rPr>
        <w:t>Komlotex</w:t>
      </w:r>
      <w:proofErr w:type="spellEnd"/>
      <w:r w:rsidR="00891589" w:rsidRPr="0008166C">
        <w:rPr>
          <w:rFonts w:ascii="Times New Roman" w:hAnsi="Times New Roman"/>
        </w:rPr>
        <w:t>/</w:t>
      </w:r>
      <w:proofErr w:type="spellStart"/>
      <w:r w:rsidR="00891589" w:rsidRPr="0008166C">
        <w:rPr>
          <w:rFonts w:ascii="Times New Roman" w:hAnsi="Times New Roman"/>
        </w:rPr>
        <w:t>Fernbrook</w:t>
      </w:r>
      <w:proofErr w:type="spellEnd"/>
      <w:r w:rsidR="00891589" w:rsidRPr="0008166C">
        <w:rPr>
          <w:rFonts w:ascii="Times New Roman" w:hAnsi="Times New Roman"/>
        </w:rPr>
        <w:t xml:space="preserve"> proceedings should therefore have been stayed.</w:t>
      </w:r>
    </w:p>
    <w:p w14:paraId="5C6E0EA9" w14:textId="4C8DEB26" w:rsidR="00BC4238" w:rsidRPr="0008166C" w:rsidRDefault="00BC4238" w:rsidP="0008166C">
      <w:pPr>
        <w:pStyle w:val="HeadingL1"/>
        <w:spacing w:after="260" w:line="280" w:lineRule="exact"/>
        <w:ind w:right="0"/>
        <w:jc w:val="both"/>
        <w:rPr>
          <w:rFonts w:ascii="Times New Roman" w:hAnsi="Times New Roman"/>
        </w:rPr>
      </w:pPr>
      <w:r w:rsidRPr="0008166C">
        <w:rPr>
          <w:rFonts w:ascii="Times New Roman" w:hAnsi="Times New Roman"/>
        </w:rPr>
        <w:t>Orders</w:t>
      </w:r>
    </w:p>
    <w:p w14:paraId="4FD4E554" w14:textId="2E492D72" w:rsidR="00BC4238" w:rsidRPr="0008166C" w:rsidRDefault="00C8113E" w:rsidP="0008166C">
      <w:pPr>
        <w:pStyle w:val="FixListStyle"/>
        <w:spacing w:after="260" w:line="280" w:lineRule="exact"/>
        <w:ind w:right="0"/>
        <w:jc w:val="both"/>
        <w:rPr>
          <w:rFonts w:ascii="Times New Roman" w:hAnsi="Times New Roman"/>
        </w:rPr>
      </w:pPr>
      <w:r w:rsidRPr="0008166C">
        <w:rPr>
          <w:rFonts w:ascii="Times New Roman" w:hAnsi="Times New Roman"/>
        </w:rPr>
        <w:tab/>
      </w:r>
      <w:r w:rsidR="003A7F13" w:rsidRPr="0008166C">
        <w:rPr>
          <w:rFonts w:ascii="Times New Roman" w:hAnsi="Times New Roman"/>
        </w:rPr>
        <w:t>The appeal should be allowed. Orders 2 to 4 of the Court of Appeal should be set aside and</w:t>
      </w:r>
      <w:r w:rsidR="00235242" w:rsidRPr="0008166C">
        <w:rPr>
          <w:rFonts w:ascii="Times New Roman" w:hAnsi="Times New Roman"/>
        </w:rPr>
        <w:t>,</w:t>
      </w:r>
      <w:r w:rsidR="003A7F13" w:rsidRPr="0008166C">
        <w:rPr>
          <w:rFonts w:ascii="Times New Roman" w:hAnsi="Times New Roman"/>
        </w:rPr>
        <w:t xml:space="preserve"> in their place, it should be ordered</w:t>
      </w:r>
      <w:r w:rsidR="00433BF1" w:rsidRPr="0008166C">
        <w:rPr>
          <w:rFonts w:ascii="Times New Roman" w:hAnsi="Times New Roman"/>
        </w:rPr>
        <w:t xml:space="preserve"> that</w:t>
      </w:r>
      <w:r w:rsidR="003A7F13" w:rsidRPr="0008166C">
        <w:rPr>
          <w:rFonts w:ascii="Times New Roman" w:hAnsi="Times New Roman"/>
        </w:rPr>
        <w:t>:</w:t>
      </w:r>
    </w:p>
    <w:p w14:paraId="4026B4D4" w14:textId="5312E5D7" w:rsidR="00BA71F1" w:rsidRPr="0008166C" w:rsidRDefault="00BA71F1" w:rsidP="0008166C">
      <w:pPr>
        <w:pStyle w:val="NormalBody"/>
        <w:spacing w:after="260" w:line="280" w:lineRule="exact"/>
        <w:ind w:left="720" w:right="0" w:hanging="720"/>
        <w:jc w:val="both"/>
        <w:rPr>
          <w:rFonts w:ascii="Times New Roman" w:hAnsi="Times New Roman"/>
        </w:rPr>
      </w:pPr>
      <w:r w:rsidRPr="0008166C">
        <w:rPr>
          <w:rFonts w:ascii="Times New Roman" w:hAnsi="Times New Roman"/>
        </w:rPr>
        <w:t>(</w:t>
      </w:r>
      <w:r w:rsidR="00433BF1" w:rsidRPr="0008166C">
        <w:rPr>
          <w:rFonts w:ascii="Times New Roman" w:hAnsi="Times New Roman"/>
        </w:rPr>
        <w:t>1</w:t>
      </w:r>
      <w:r w:rsidRPr="0008166C">
        <w:rPr>
          <w:rFonts w:ascii="Times New Roman" w:hAnsi="Times New Roman"/>
        </w:rPr>
        <w:t>)</w:t>
      </w:r>
      <w:r w:rsidRPr="0008166C">
        <w:rPr>
          <w:rFonts w:ascii="Times New Roman" w:hAnsi="Times New Roman"/>
        </w:rPr>
        <w:tab/>
      </w:r>
      <w:r w:rsidR="008A46EC" w:rsidRPr="0008166C">
        <w:rPr>
          <w:rFonts w:ascii="Times New Roman" w:hAnsi="Times New Roman"/>
        </w:rPr>
        <w:t>L</w:t>
      </w:r>
      <w:r w:rsidRPr="0008166C">
        <w:rPr>
          <w:rFonts w:ascii="Times New Roman" w:hAnsi="Times New Roman"/>
        </w:rPr>
        <w:t xml:space="preserve">eave to appeal </w:t>
      </w:r>
      <w:r w:rsidR="008A46EC" w:rsidRPr="0008166C">
        <w:rPr>
          <w:rFonts w:ascii="Times New Roman" w:hAnsi="Times New Roman"/>
        </w:rPr>
        <w:t xml:space="preserve">be granted </w:t>
      </w:r>
      <w:r w:rsidRPr="0008166C">
        <w:rPr>
          <w:rFonts w:ascii="Times New Roman" w:hAnsi="Times New Roman"/>
        </w:rPr>
        <w:t>in respect of grounds</w:t>
      </w:r>
      <w:r w:rsidR="00A22A26" w:rsidRPr="0008166C">
        <w:rPr>
          <w:rFonts w:ascii="Times New Roman" w:hAnsi="Times New Roman"/>
        </w:rPr>
        <w:t> </w:t>
      </w:r>
      <w:r w:rsidRPr="0008166C">
        <w:rPr>
          <w:rFonts w:ascii="Times New Roman" w:hAnsi="Times New Roman"/>
        </w:rPr>
        <w:t>2 and 3(a)</w:t>
      </w:r>
      <w:r w:rsidR="007E6C2A" w:rsidRPr="0008166C">
        <w:rPr>
          <w:rFonts w:ascii="Times New Roman" w:hAnsi="Times New Roman"/>
        </w:rPr>
        <w:t xml:space="preserve"> and (b) of the draft notice of appeal</w:t>
      </w:r>
      <w:r w:rsidR="00F35520" w:rsidRPr="0008166C">
        <w:rPr>
          <w:rFonts w:ascii="Times New Roman" w:hAnsi="Times New Roman"/>
        </w:rPr>
        <w:t>.</w:t>
      </w:r>
    </w:p>
    <w:p w14:paraId="0B826641" w14:textId="1D3870B4" w:rsidR="007E6C2A" w:rsidRPr="0008166C" w:rsidRDefault="007E6C2A" w:rsidP="0008166C">
      <w:pPr>
        <w:pStyle w:val="NormalBody"/>
        <w:spacing w:after="260" w:line="280" w:lineRule="exact"/>
        <w:ind w:left="720" w:right="0" w:hanging="720"/>
        <w:jc w:val="both"/>
        <w:rPr>
          <w:rFonts w:ascii="Times New Roman" w:hAnsi="Times New Roman"/>
        </w:rPr>
      </w:pPr>
      <w:r w:rsidRPr="0008166C">
        <w:rPr>
          <w:rFonts w:ascii="Times New Roman" w:hAnsi="Times New Roman"/>
        </w:rPr>
        <w:t>(</w:t>
      </w:r>
      <w:r w:rsidR="00433BF1" w:rsidRPr="0008166C">
        <w:rPr>
          <w:rFonts w:ascii="Times New Roman" w:hAnsi="Times New Roman"/>
        </w:rPr>
        <w:t>2</w:t>
      </w:r>
      <w:r w:rsidRPr="0008166C">
        <w:rPr>
          <w:rFonts w:ascii="Times New Roman" w:hAnsi="Times New Roman"/>
        </w:rPr>
        <w:t>)</w:t>
      </w:r>
      <w:r w:rsidRPr="0008166C">
        <w:rPr>
          <w:rFonts w:ascii="Times New Roman" w:hAnsi="Times New Roman"/>
        </w:rPr>
        <w:tab/>
      </w:r>
      <w:r w:rsidR="00F35520" w:rsidRPr="0008166C">
        <w:rPr>
          <w:rFonts w:ascii="Times New Roman" w:hAnsi="Times New Roman"/>
        </w:rPr>
        <w:t>T</w:t>
      </w:r>
      <w:r w:rsidRPr="0008166C">
        <w:rPr>
          <w:rFonts w:ascii="Times New Roman" w:hAnsi="Times New Roman"/>
        </w:rPr>
        <w:t>he appeal be allowed</w:t>
      </w:r>
      <w:r w:rsidR="00F35520" w:rsidRPr="0008166C">
        <w:rPr>
          <w:rFonts w:ascii="Times New Roman" w:hAnsi="Times New Roman"/>
        </w:rPr>
        <w:t>.</w:t>
      </w:r>
    </w:p>
    <w:p w14:paraId="49C78634" w14:textId="3F9ACEF0" w:rsidR="007E6C2A" w:rsidRPr="0008166C" w:rsidRDefault="007E6C2A" w:rsidP="0008166C">
      <w:pPr>
        <w:pStyle w:val="NormalBody"/>
        <w:spacing w:after="260" w:line="280" w:lineRule="exact"/>
        <w:ind w:left="720" w:right="0" w:hanging="720"/>
        <w:jc w:val="both"/>
        <w:rPr>
          <w:rFonts w:ascii="Times New Roman" w:hAnsi="Times New Roman"/>
        </w:rPr>
      </w:pPr>
      <w:r w:rsidRPr="0008166C">
        <w:rPr>
          <w:rFonts w:ascii="Times New Roman" w:hAnsi="Times New Roman"/>
        </w:rPr>
        <w:t>(</w:t>
      </w:r>
      <w:r w:rsidR="00433BF1" w:rsidRPr="0008166C">
        <w:rPr>
          <w:rFonts w:ascii="Times New Roman" w:hAnsi="Times New Roman"/>
        </w:rPr>
        <w:t>3</w:t>
      </w:r>
      <w:r w:rsidRPr="0008166C">
        <w:rPr>
          <w:rFonts w:ascii="Times New Roman" w:hAnsi="Times New Roman"/>
        </w:rPr>
        <w:t>)</w:t>
      </w:r>
      <w:r w:rsidRPr="0008166C">
        <w:rPr>
          <w:rFonts w:ascii="Times New Roman" w:hAnsi="Times New Roman"/>
        </w:rPr>
        <w:tab/>
      </w:r>
      <w:r w:rsidR="00F35520" w:rsidRPr="0008166C">
        <w:rPr>
          <w:rFonts w:ascii="Times New Roman" w:hAnsi="Times New Roman"/>
        </w:rPr>
        <w:t>O</w:t>
      </w:r>
      <w:r w:rsidRPr="0008166C">
        <w:rPr>
          <w:rFonts w:ascii="Times New Roman" w:hAnsi="Times New Roman"/>
        </w:rPr>
        <w:t>rder</w:t>
      </w:r>
      <w:r w:rsidR="00A22A26" w:rsidRPr="0008166C">
        <w:rPr>
          <w:rFonts w:ascii="Times New Roman" w:hAnsi="Times New Roman"/>
        </w:rPr>
        <w:t> </w:t>
      </w:r>
      <w:r w:rsidRPr="0008166C">
        <w:rPr>
          <w:rFonts w:ascii="Times New Roman" w:hAnsi="Times New Roman"/>
        </w:rPr>
        <w:t>6(</w:t>
      </w:r>
      <w:proofErr w:type="spellStart"/>
      <w:r w:rsidR="00433BF1" w:rsidRPr="0008166C">
        <w:rPr>
          <w:rFonts w:ascii="Times New Roman" w:hAnsi="Times New Roman"/>
        </w:rPr>
        <w:t>i</w:t>
      </w:r>
      <w:proofErr w:type="spellEnd"/>
      <w:r w:rsidR="00995BD8" w:rsidRPr="0008166C">
        <w:rPr>
          <w:rFonts w:ascii="Times New Roman" w:hAnsi="Times New Roman"/>
        </w:rPr>
        <w:t xml:space="preserve">) of the orders made by the </w:t>
      </w:r>
      <w:r w:rsidR="008A46EC" w:rsidRPr="0008166C">
        <w:rPr>
          <w:rFonts w:ascii="Times New Roman" w:hAnsi="Times New Roman"/>
        </w:rPr>
        <w:t xml:space="preserve">primary judge </w:t>
      </w:r>
      <w:r w:rsidR="00995BD8" w:rsidRPr="0008166C">
        <w:rPr>
          <w:rFonts w:ascii="Times New Roman" w:hAnsi="Times New Roman"/>
        </w:rPr>
        <w:t>be set aside</w:t>
      </w:r>
      <w:r w:rsidR="008A46EC" w:rsidRPr="0008166C">
        <w:rPr>
          <w:rFonts w:ascii="Times New Roman" w:hAnsi="Times New Roman"/>
        </w:rPr>
        <w:t xml:space="preserve"> and in </w:t>
      </w:r>
      <w:r w:rsidR="004C0409" w:rsidRPr="0008166C">
        <w:rPr>
          <w:rFonts w:ascii="Times New Roman" w:hAnsi="Times New Roman"/>
        </w:rPr>
        <w:t>its</w:t>
      </w:r>
      <w:r w:rsidR="008A46EC" w:rsidRPr="0008166C">
        <w:rPr>
          <w:rFonts w:ascii="Times New Roman" w:hAnsi="Times New Roman"/>
        </w:rPr>
        <w:t xml:space="preserve"> place order that:</w:t>
      </w:r>
    </w:p>
    <w:p w14:paraId="19827AE2" w14:textId="2182764A" w:rsidR="00995BD8" w:rsidRPr="0008166C" w:rsidRDefault="00C93A6E" w:rsidP="0008166C">
      <w:pPr>
        <w:pStyle w:val="NormalBody"/>
        <w:spacing w:after="260" w:line="280" w:lineRule="exact"/>
        <w:ind w:left="1440" w:right="0" w:hanging="720"/>
        <w:jc w:val="both"/>
        <w:rPr>
          <w:rFonts w:ascii="Times New Roman" w:hAnsi="Times New Roman"/>
        </w:rPr>
      </w:pPr>
      <w:r w:rsidRPr="0008166C">
        <w:rPr>
          <w:rFonts w:ascii="Times New Roman" w:hAnsi="Times New Roman"/>
        </w:rPr>
        <w:t>(a</w:t>
      </w:r>
      <w:r w:rsidR="00995BD8" w:rsidRPr="0008166C">
        <w:rPr>
          <w:rFonts w:ascii="Times New Roman" w:hAnsi="Times New Roman"/>
        </w:rPr>
        <w:t>)</w:t>
      </w:r>
      <w:r w:rsidR="00995BD8" w:rsidRPr="0008166C">
        <w:rPr>
          <w:rFonts w:ascii="Times New Roman" w:hAnsi="Times New Roman"/>
        </w:rPr>
        <w:tab/>
      </w:r>
      <w:r w:rsidRPr="0008166C">
        <w:rPr>
          <w:rFonts w:ascii="Times New Roman" w:hAnsi="Times New Roman"/>
        </w:rPr>
        <w:t>t</w:t>
      </w:r>
      <w:r w:rsidR="00995BD8" w:rsidRPr="0008166C">
        <w:rPr>
          <w:rFonts w:ascii="Times New Roman" w:hAnsi="Times New Roman"/>
        </w:rPr>
        <w:t>he consolidated proceeding comprising 2018/310118 (</w:t>
      </w:r>
      <w:proofErr w:type="spellStart"/>
      <w:r w:rsidR="000612F7" w:rsidRPr="0008166C">
        <w:rPr>
          <w:rFonts w:ascii="Times New Roman" w:hAnsi="Times New Roman"/>
        </w:rPr>
        <w:t>Komlotex</w:t>
      </w:r>
      <w:proofErr w:type="spellEnd"/>
      <w:r w:rsidR="000612F7" w:rsidRPr="0008166C">
        <w:rPr>
          <w:rFonts w:ascii="Times New Roman" w:hAnsi="Times New Roman"/>
        </w:rPr>
        <w:t xml:space="preserve"> Pty Ltd v AMP Lim</w:t>
      </w:r>
      <w:r w:rsidR="00E66135" w:rsidRPr="0008166C">
        <w:rPr>
          <w:rFonts w:ascii="Times New Roman" w:hAnsi="Times New Roman"/>
        </w:rPr>
        <w:t>i</w:t>
      </w:r>
      <w:r w:rsidR="000612F7" w:rsidRPr="0008166C">
        <w:rPr>
          <w:rFonts w:ascii="Times New Roman" w:hAnsi="Times New Roman"/>
        </w:rPr>
        <w:t>ted) and 2018</w:t>
      </w:r>
      <w:r w:rsidR="00E66135" w:rsidRPr="0008166C">
        <w:rPr>
          <w:rFonts w:ascii="Times New Roman" w:hAnsi="Times New Roman"/>
        </w:rPr>
        <w:t>/309329 (</w:t>
      </w:r>
      <w:proofErr w:type="spellStart"/>
      <w:r w:rsidR="00E66135" w:rsidRPr="0008166C">
        <w:rPr>
          <w:rFonts w:ascii="Times New Roman" w:hAnsi="Times New Roman"/>
        </w:rPr>
        <w:t>Fernbrook</w:t>
      </w:r>
      <w:proofErr w:type="spellEnd"/>
      <w:r w:rsidR="00E66135" w:rsidRPr="0008166C">
        <w:rPr>
          <w:rFonts w:ascii="Times New Roman" w:hAnsi="Times New Roman"/>
        </w:rPr>
        <w:t xml:space="preserve"> (Aust) Investments Pty Ltd</w:t>
      </w:r>
      <w:r w:rsidR="000E0433" w:rsidRPr="0008166C">
        <w:rPr>
          <w:rFonts w:ascii="Times New Roman" w:hAnsi="Times New Roman"/>
        </w:rPr>
        <w:t xml:space="preserve"> v AMP </w:t>
      </w:r>
      <w:r w:rsidR="00732340" w:rsidRPr="0008166C">
        <w:rPr>
          <w:rFonts w:ascii="Times New Roman" w:hAnsi="Times New Roman"/>
        </w:rPr>
        <w:t>Limited) be permanently stayed</w:t>
      </w:r>
      <w:r w:rsidRPr="0008166C">
        <w:rPr>
          <w:rFonts w:ascii="Times New Roman" w:hAnsi="Times New Roman"/>
        </w:rPr>
        <w:t>; and</w:t>
      </w:r>
    </w:p>
    <w:p w14:paraId="35B953DD" w14:textId="260DFA2C" w:rsidR="00732340" w:rsidRPr="0008166C" w:rsidRDefault="00732340" w:rsidP="0008166C">
      <w:pPr>
        <w:pStyle w:val="NormalBody"/>
        <w:spacing w:after="260" w:line="280" w:lineRule="exact"/>
        <w:ind w:left="1440" w:right="0" w:hanging="720"/>
        <w:jc w:val="both"/>
        <w:rPr>
          <w:rFonts w:ascii="Times New Roman" w:hAnsi="Times New Roman"/>
        </w:rPr>
      </w:pPr>
      <w:r w:rsidRPr="0008166C">
        <w:rPr>
          <w:rFonts w:ascii="Times New Roman" w:hAnsi="Times New Roman"/>
        </w:rPr>
        <w:t>(</w:t>
      </w:r>
      <w:r w:rsidR="00C93A6E" w:rsidRPr="0008166C">
        <w:rPr>
          <w:rFonts w:ascii="Times New Roman" w:hAnsi="Times New Roman"/>
        </w:rPr>
        <w:t>b</w:t>
      </w:r>
      <w:r w:rsidRPr="0008166C">
        <w:rPr>
          <w:rFonts w:ascii="Times New Roman" w:hAnsi="Times New Roman"/>
        </w:rPr>
        <w:t>)</w:t>
      </w:r>
      <w:r w:rsidRPr="0008166C">
        <w:rPr>
          <w:rFonts w:ascii="Times New Roman" w:hAnsi="Times New Roman"/>
        </w:rPr>
        <w:tab/>
        <w:t xml:space="preserve">Ms </w:t>
      </w:r>
      <w:proofErr w:type="spellStart"/>
      <w:r w:rsidRPr="0008166C">
        <w:rPr>
          <w:rFonts w:ascii="Times New Roman" w:hAnsi="Times New Roman"/>
        </w:rPr>
        <w:t>Wigmans</w:t>
      </w:r>
      <w:proofErr w:type="spellEnd"/>
      <w:r w:rsidR="006E4432" w:rsidRPr="0008166C">
        <w:rPr>
          <w:rFonts w:ascii="Times New Roman" w:hAnsi="Times New Roman"/>
        </w:rPr>
        <w:t>'</w:t>
      </w:r>
      <w:r w:rsidRPr="0008166C">
        <w:rPr>
          <w:rFonts w:ascii="Times New Roman" w:hAnsi="Times New Roman"/>
        </w:rPr>
        <w:t xml:space="preserve"> costs of the hearing on 6 and 7 December 2018 before the primary judge be costs in the proceedings below</w:t>
      </w:r>
      <w:r w:rsidR="00354F89" w:rsidRPr="0008166C">
        <w:rPr>
          <w:rFonts w:ascii="Times New Roman" w:hAnsi="Times New Roman"/>
        </w:rPr>
        <w:t>.</w:t>
      </w:r>
    </w:p>
    <w:p w14:paraId="59459B74" w14:textId="2B40A486" w:rsidR="00934F92" w:rsidRPr="0008166C" w:rsidRDefault="00732340" w:rsidP="0008166C">
      <w:pPr>
        <w:pStyle w:val="NormalBody"/>
        <w:spacing w:after="260" w:line="280" w:lineRule="exact"/>
        <w:ind w:left="720" w:right="0" w:hanging="720"/>
        <w:jc w:val="both"/>
        <w:rPr>
          <w:rFonts w:ascii="Times New Roman" w:hAnsi="Times New Roman"/>
        </w:rPr>
      </w:pPr>
      <w:r w:rsidRPr="0008166C">
        <w:rPr>
          <w:rFonts w:ascii="Times New Roman" w:hAnsi="Times New Roman"/>
        </w:rPr>
        <w:lastRenderedPageBreak/>
        <w:t>(</w:t>
      </w:r>
      <w:r w:rsidR="00C93A6E" w:rsidRPr="0008166C">
        <w:rPr>
          <w:rFonts w:ascii="Times New Roman" w:hAnsi="Times New Roman"/>
        </w:rPr>
        <w:t>4</w:t>
      </w:r>
      <w:r w:rsidRPr="0008166C">
        <w:rPr>
          <w:rFonts w:ascii="Times New Roman" w:hAnsi="Times New Roman"/>
        </w:rPr>
        <w:t>)</w:t>
      </w:r>
      <w:r w:rsidRPr="0008166C">
        <w:rPr>
          <w:rFonts w:ascii="Times New Roman" w:hAnsi="Times New Roman"/>
        </w:rPr>
        <w:tab/>
      </w:r>
      <w:proofErr w:type="spellStart"/>
      <w:r w:rsidRPr="0008166C">
        <w:rPr>
          <w:rFonts w:ascii="Times New Roman" w:hAnsi="Times New Roman"/>
        </w:rPr>
        <w:t>Komlotex</w:t>
      </w:r>
      <w:proofErr w:type="spellEnd"/>
      <w:r w:rsidRPr="0008166C">
        <w:rPr>
          <w:rFonts w:ascii="Times New Roman" w:hAnsi="Times New Roman"/>
        </w:rPr>
        <w:t xml:space="preserve"> Pty Ltd and </w:t>
      </w:r>
      <w:proofErr w:type="spellStart"/>
      <w:r w:rsidRPr="0008166C">
        <w:rPr>
          <w:rFonts w:ascii="Times New Roman" w:hAnsi="Times New Roman"/>
        </w:rPr>
        <w:t>Fer</w:t>
      </w:r>
      <w:r w:rsidR="006E4432" w:rsidRPr="0008166C">
        <w:rPr>
          <w:rFonts w:ascii="Times New Roman" w:hAnsi="Times New Roman"/>
        </w:rPr>
        <w:t>n</w:t>
      </w:r>
      <w:r w:rsidRPr="0008166C">
        <w:rPr>
          <w:rFonts w:ascii="Times New Roman" w:hAnsi="Times New Roman"/>
        </w:rPr>
        <w:t>brook</w:t>
      </w:r>
      <w:proofErr w:type="spellEnd"/>
      <w:r w:rsidRPr="0008166C">
        <w:rPr>
          <w:rFonts w:ascii="Times New Roman" w:hAnsi="Times New Roman"/>
        </w:rPr>
        <w:t xml:space="preserve"> </w:t>
      </w:r>
      <w:r w:rsidR="001A116A" w:rsidRPr="0008166C">
        <w:rPr>
          <w:rFonts w:ascii="Times New Roman" w:hAnsi="Times New Roman"/>
        </w:rPr>
        <w:t>(Aust) Investments Pty Ltd pay Ms</w:t>
      </w:r>
      <w:r w:rsidR="00037DCE" w:rsidRPr="0008166C">
        <w:rPr>
          <w:rFonts w:ascii="Times New Roman" w:hAnsi="Times New Roman"/>
        </w:rPr>
        <w:t> </w:t>
      </w:r>
      <w:proofErr w:type="spellStart"/>
      <w:r w:rsidR="001A116A" w:rsidRPr="0008166C">
        <w:rPr>
          <w:rFonts w:ascii="Times New Roman" w:hAnsi="Times New Roman"/>
        </w:rPr>
        <w:t>Wigmans</w:t>
      </w:r>
      <w:proofErr w:type="spellEnd"/>
      <w:r w:rsidR="001A116A" w:rsidRPr="0008166C">
        <w:rPr>
          <w:rFonts w:ascii="Times New Roman" w:hAnsi="Times New Roman"/>
        </w:rPr>
        <w:t>' costs of the application for leave to appeal and the appeal</w:t>
      </w:r>
      <w:r w:rsidR="00D020D8" w:rsidRPr="0008166C">
        <w:rPr>
          <w:rFonts w:ascii="Times New Roman" w:hAnsi="Times New Roman"/>
        </w:rPr>
        <w:t xml:space="preserve">. </w:t>
      </w:r>
    </w:p>
    <w:p w14:paraId="1488AFFF" w14:textId="77777777" w:rsidR="0008166C" w:rsidRDefault="007E4752" w:rsidP="0008166C">
      <w:pPr>
        <w:pStyle w:val="FixListStyle"/>
        <w:spacing w:after="260" w:line="280" w:lineRule="exact"/>
        <w:ind w:right="0"/>
        <w:jc w:val="both"/>
        <w:rPr>
          <w:rFonts w:ascii="Times New Roman" w:hAnsi="Times New Roman"/>
        </w:rPr>
      </w:pPr>
      <w:r w:rsidRPr="0008166C">
        <w:rPr>
          <w:rFonts w:ascii="Times New Roman" w:hAnsi="Times New Roman"/>
        </w:rPr>
        <w:tab/>
      </w:r>
      <w:proofErr w:type="spellStart"/>
      <w:r w:rsidR="00D020D8" w:rsidRPr="0008166C">
        <w:rPr>
          <w:rFonts w:ascii="Times New Roman" w:hAnsi="Times New Roman"/>
        </w:rPr>
        <w:t>Komlotex</w:t>
      </w:r>
      <w:proofErr w:type="spellEnd"/>
      <w:r w:rsidR="00D020D8" w:rsidRPr="0008166C">
        <w:rPr>
          <w:rFonts w:ascii="Times New Roman" w:hAnsi="Times New Roman"/>
        </w:rPr>
        <w:t xml:space="preserve"> Pty </w:t>
      </w:r>
      <w:r w:rsidR="00E8489A" w:rsidRPr="0008166C">
        <w:rPr>
          <w:rFonts w:ascii="Times New Roman" w:hAnsi="Times New Roman"/>
        </w:rPr>
        <w:t>L</w:t>
      </w:r>
      <w:r w:rsidR="00D020D8" w:rsidRPr="0008166C">
        <w:rPr>
          <w:rFonts w:ascii="Times New Roman" w:hAnsi="Times New Roman"/>
        </w:rPr>
        <w:t xml:space="preserve">td and </w:t>
      </w:r>
      <w:proofErr w:type="spellStart"/>
      <w:r w:rsidR="00D020D8" w:rsidRPr="0008166C">
        <w:rPr>
          <w:rFonts w:ascii="Times New Roman" w:hAnsi="Times New Roman"/>
        </w:rPr>
        <w:t>Fernbrook</w:t>
      </w:r>
      <w:proofErr w:type="spellEnd"/>
      <w:r w:rsidR="00D020D8" w:rsidRPr="0008166C">
        <w:rPr>
          <w:rFonts w:ascii="Times New Roman" w:hAnsi="Times New Roman"/>
        </w:rPr>
        <w:t xml:space="preserve"> (Aust) Investments Pty Ltd should pay Ms </w:t>
      </w:r>
      <w:proofErr w:type="spellStart"/>
      <w:r w:rsidR="00D020D8" w:rsidRPr="0008166C">
        <w:rPr>
          <w:rFonts w:ascii="Times New Roman" w:hAnsi="Times New Roman"/>
        </w:rPr>
        <w:t>Wigmans</w:t>
      </w:r>
      <w:proofErr w:type="spellEnd"/>
      <w:r w:rsidR="00D020D8" w:rsidRPr="0008166C">
        <w:rPr>
          <w:rFonts w:ascii="Times New Roman" w:hAnsi="Times New Roman"/>
        </w:rPr>
        <w:t>' costs of the appeal to this Court.</w:t>
      </w:r>
      <w:r w:rsidR="000800F0" w:rsidRPr="0008166C">
        <w:rPr>
          <w:rFonts w:ascii="Times New Roman" w:hAnsi="Times New Roman"/>
        </w:rPr>
        <w:t xml:space="preserve"> There should be no order as to the costs of AMP Limited in this Court.</w:t>
      </w:r>
    </w:p>
    <w:p w14:paraId="316B3936" w14:textId="77777777" w:rsidR="009A3DE4" w:rsidRDefault="009A3DE4" w:rsidP="0008166C">
      <w:pPr>
        <w:spacing w:after="260" w:line="280" w:lineRule="exact"/>
        <w:ind w:right="0"/>
        <w:jc w:val="both"/>
        <w:rPr>
          <w:rFonts w:ascii="Times New Roman" w:hAnsi="Times New Roman"/>
        </w:rPr>
      </w:pPr>
    </w:p>
    <w:p w14:paraId="72D88401" w14:textId="77777777" w:rsidR="009A3DE4" w:rsidRDefault="009A3DE4" w:rsidP="0008166C">
      <w:pPr>
        <w:spacing w:after="260" w:line="280" w:lineRule="exact"/>
        <w:ind w:right="0"/>
        <w:jc w:val="both"/>
        <w:rPr>
          <w:rFonts w:ascii="Times New Roman" w:hAnsi="Times New Roman"/>
        </w:rPr>
        <w:sectPr w:rsidR="009A3DE4" w:rsidSect="0020454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2681F8E" w14:textId="77777777" w:rsidR="009A3DE4" w:rsidRPr="00CD2B08" w:rsidRDefault="009A3DE4" w:rsidP="009A3DE4">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D2B08">
        <w:rPr>
          <w:rFonts w:ascii="Times New Roman" w:hAnsi="Times New Roman"/>
        </w:rPr>
        <w:lastRenderedPageBreak/>
        <w:t xml:space="preserve">GAGELER, GORDON AND EDELMAN JJ.   This appeal concerns </w:t>
      </w:r>
      <w:r w:rsidRPr="00CD2B08" w:rsidDel="000E75F9">
        <w:rPr>
          <w:rFonts w:ascii="Times New Roman" w:hAnsi="Times New Roman"/>
        </w:rPr>
        <w:t>the manner in which</w:t>
      </w:r>
      <w:r w:rsidRPr="00CD2B08">
        <w:rPr>
          <w:rFonts w:ascii="Times New Roman" w:hAnsi="Times New Roman"/>
        </w:rPr>
        <w:t xml:space="preserve"> a court should respond to competing applications to stay one or more open class representative proceedings commenced under Pt 10 of the </w:t>
      </w:r>
      <w:r w:rsidRPr="00CD2B08">
        <w:rPr>
          <w:rFonts w:ascii="Times New Roman" w:hAnsi="Times New Roman"/>
          <w:i/>
        </w:rPr>
        <w:t>Civil Procedure Act 2005</w:t>
      </w:r>
      <w:r w:rsidRPr="00CD2B08">
        <w:rPr>
          <w:rFonts w:ascii="Times New Roman" w:hAnsi="Times New Roman"/>
        </w:rPr>
        <w:t xml:space="preserve"> (NSW) ("</w:t>
      </w:r>
      <w:r w:rsidRPr="00CD2B08" w:rsidDel="00D8705C">
        <w:rPr>
          <w:rFonts w:ascii="Times New Roman" w:hAnsi="Times New Roman"/>
        </w:rPr>
        <w:t xml:space="preserve">the </w:t>
      </w:r>
      <w:r w:rsidRPr="00CD2B08">
        <w:rPr>
          <w:rFonts w:ascii="Times New Roman" w:hAnsi="Times New Roman"/>
        </w:rPr>
        <w:t>CPA")</w:t>
      </w:r>
      <w:r w:rsidRPr="00CD2B08">
        <w:rPr>
          <w:rStyle w:val="FootnoteReference"/>
          <w:rFonts w:ascii="Times New Roman" w:hAnsi="Times New Roman"/>
          <w:sz w:val="24"/>
        </w:rPr>
        <w:footnoteReference w:id="51"/>
      </w:r>
      <w:r w:rsidRPr="00CD2B08">
        <w:rPr>
          <w:rFonts w:ascii="Times New Roman" w:hAnsi="Times New Roman"/>
        </w:rPr>
        <w:t xml:space="preserve"> in relation to the same controversy. </w:t>
      </w:r>
    </w:p>
    <w:p w14:paraId="0F8F4542"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As will be explained, adopting the language of Bell P in the decision under appeal, there can be no "one size fits all" approach. There is no rule or presumption that the representative proceeding commenced first in time should prevail. In matters involving competing open class representative proceedings with several firms of solicitors and different funding models, where the interests of the defendant are not differentially affected, it is necessary for the court to determine which proceeding going ahead would be in the best interests of group members. The factors that might be relevant cannot be exhaustively listed and will vary from case to case. </w:t>
      </w:r>
    </w:p>
    <w:p w14:paraId="0660B113"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In this matter, the primary judge's exercise of the power to stay proceedings did not miscarry. The appeal should be dismissed.</w:t>
      </w:r>
    </w:p>
    <w:p w14:paraId="4675CCF1" w14:textId="77777777" w:rsidR="009A3DE4" w:rsidRPr="00CD2B08" w:rsidRDefault="009A3DE4" w:rsidP="00CD2B08">
      <w:pPr>
        <w:pStyle w:val="HeadingL1"/>
        <w:spacing w:after="260" w:line="280" w:lineRule="exact"/>
        <w:ind w:right="0"/>
        <w:jc w:val="both"/>
        <w:rPr>
          <w:rFonts w:ascii="Times New Roman" w:hAnsi="Times New Roman"/>
        </w:rPr>
      </w:pPr>
      <w:r w:rsidRPr="00CD2B08">
        <w:rPr>
          <w:rFonts w:ascii="Times New Roman" w:hAnsi="Times New Roman"/>
        </w:rPr>
        <w:t>Facts</w:t>
      </w:r>
    </w:p>
    <w:p w14:paraId="30440561"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Evidence given by executives of AMP Limited ("AMP") at the Royal Commission into Misconduct in the Banking, Superannuation and Financial Services Industry on 16 and 17 April 2018 gave rise to allegations that AMP failed to disclose to the market that it had deliberately charged its customers fees for ongoing financial services that</w:t>
      </w:r>
      <w:r w:rsidRPr="00CD2B08" w:rsidDel="0047672B">
        <w:rPr>
          <w:rFonts w:ascii="Times New Roman" w:hAnsi="Times New Roman"/>
        </w:rPr>
        <w:t xml:space="preserve"> </w:t>
      </w:r>
      <w:r w:rsidRPr="00CD2B08">
        <w:rPr>
          <w:rFonts w:ascii="Times New Roman" w:hAnsi="Times New Roman"/>
        </w:rPr>
        <w:t>were not provided. The evidence also gave rise to allegations that AMP misled the Australian Securities and Investments Commission as to the nature and extent of that conduct over an extended period, and improperly inflated the price of its shares. It was alleged that this conduct contravened the continuous disclosure obligations</w:t>
      </w:r>
      <w:r w:rsidRPr="00CD2B08">
        <w:rPr>
          <w:rStyle w:val="FootnoteReference"/>
          <w:rFonts w:ascii="Times New Roman" w:hAnsi="Times New Roman"/>
          <w:sz w:val="24"/>
        </w:rPr>
        <w:footnoteReference w:id="52"/>
      </w:r>
      <w:r w:rsidRPr="00CD2B08">
        <w:rPr>
          <w:rFonts w:ascii="Times New Roman" w:hAnsi="Times New Roman"/>
        </w:rPr>
        <w:t xml:space="preserve">, the statutory prohibitions on </w:t>
      </w:r>
      <w:r w:rsidRPr="00CD2B08">
        <w:rPr>
          <w:rFonts w:ascii="Times New Roman" w:hAnsi="Times New Roman"/>
        </w:rPr>
        <w:lastRenderedPageBreak/>
        <w:t>misleading and deceptive conduct</w:t>
      </w:r>
      <w:r w:rsidRPr="00CD2B08">
        <w:rPr>
          <w:rStyle w:val="FootnoteReference"/>
          <w:rFonts w:ascii="Times New Roman" w:hAnsi="Times New Roman"/>
          <w:sz w:val="24"/>
        </w:rPr>
        <w:footnoteReference w:id="53"/>
      </w:r>
      <w:r w:rsidRPr="00CD2B08">
        <w:rPr>
          <w:rFonts w:ascii="Times New Roman" w:hAnsi="Times New Roman"/>
        </w:rPr>
        <w:t xml:space="preserve"> and the statutory prohibitions on unconscionable conduct</w:t>
      </w:r>
      <w:r w:rsidRPr="00CD2B08">
        <w:rPr>
          <w:rStyle w:val="FootnoteReference"/>
          <w:rFonts w:ascii="Times New Roman" w:hAnsi="Times New Roman"/>
          <w:sz w:val="24"/>
        </w:rPr>
        <w:footnoteReference w:id="54"/>
      </w:r>
      <w:r w:rsidRPr="00CD2B08">
        <w:rPr>
          <w:rFonts w:ascii="Times New Roman" w:hAnsi="Times New Roman"/>
        </w:rPr>
        <w:t>.</w:t>
      </w:r>
    </w:p>
    <w:p w14:paraId="3C8F2D2F"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In relation to these allegations, five open class representative actions were commenced against AMP within five weeks of each other. The</w:t>
      </w:r>
      <w:r w:rsidRPr="00CD2B08">
        <w:rPr>
          <w:rFonts w:ascii="Times New Roman" w:hAnsi="Times New Roman"/>
          <w:sz w:val="24"/>
        </w:rPr>
        <w:t> </w:t>
      </w:r>
      <w:r w:rsidRPr="00CD2B08">
        <w:rPr>
          <w:rFonts w:ascii="Times New Roman" w:hAnsi="Times New Roman"/>
        </w:rPr>
        <w:t>first proceeding was commenced in the Supreme Court of New South Wales on 9 May 2018 by Ms </w:t>
      </w:r>
      <w:proofErr w:type="spellStart"/>
      <w:r w:rsidRPr="00CD2B08">
        <w:rPr>
          <w:rFonts w:ascii="Times New Roman" w:hAnsi="Times New Roman"/>
        </w:rPr>
        <w:t>Wigmans</w:t>
      </w:r>
      <w:proofErr w:type="spellEnd"/>
      <w:r w:rsidRPr="00CD2B08">
        <w:rPr>
          <w:rFonts w:ascii="Times New Roman" w:hAnsi="Times New Roman"/>
        </w:rPr>
        <w:t xml:space="preserve"> (represented by Quinn Emanuel). The second proceeding was commenced in the Victorian Registry of the Federal Court of Australia also on 9 May 2018, but about seven hours after the </w:t>
      </w:r>
      <w:proofErr w:type="spellStart"/>
      <w:r w:rsidRPr="00CD2B08">
        <w:rPr>
          <w:rFonts w:ascii="Times New Roman" w:hAnsi="Times New Roman"/>
        </w:rPr>
        <w:t>Wigmans</w:t>
      </w:r>
      <w:proofErr w:type="spellEnd"/>
      <w:r w:rsidRPr="00CD2B08">
        <w:rPr>
          <w:rFonts w:ascii="Times New Roman" w:hAnsi="Times New Roman"/>
        </w:rPr>
        <w:t xml:space="preserve"> proceeding, by </w:t>
      </w:r>
      <w:proofErr w:type="spellStart"/>
      <w:r w:rsidRPr="00CD2B08">
        <w:rPr>
          <w:rFonts w:ascii="Times New Roman" w:hAnsi="Times New Roman"/>
        </w:rPr>
        <w:t>Wileypark</w:t>
      </w:r>
      <w:proofErr w:type="spellEnd"/>
      <w:r w:rsidRPr="00CD2B08">
        <w:rPr>
          <w:rFonts w:ascii="Times New Roman" w:hAnsi="Times New Roman"/>
        </w:rPr>
        <w:t xml:space="preserve"> Pty Ltd ("</w:t>
      </w:r>
      <w:proofErr w:type="spellStart"/>
      <w:r w:rsidRPr="00CD2B08">
        <w:rPr>
          <w:rFonts w:ascii="Times New Roman" w:hAnsi="Times New Roman"/>
        </w:rPr>
        <w:t>Wileypark</w:t>
      </w:r>
      <w:proofErr w:type="spellEnd"/>
      <w:r w:rsidRPr="00CD2B08">
        <w:rPr>
          <w:rFonts w:ascii="Times New Roman" w:hAnsi="Times New Roman"/>
        </w:rPr>
        <w:t xml:space="preserve">") (represented by Phi Finney McDonald). The third proceeding was commenced in the New South Wales Registry of the Federal Court on 25 May 2018 by Mr Georgiou (represented by Shine Lawyers). The fourth proceeding was commenced in the Victorian Registry of the Federal Court on 6 June 2018 by </w:t>
      </w:r>
      <w:proofErr w:type="spellStart"/>
      <w:r w:rsidRPr="00CD2B08">
        <w:rPr>
          <w:rFonts w:ascii="Times New Roman" w:hAnsi="Times New Roman"/>
        </w:rPr>
        <w:t>Fernbrook</w:t>
      </w:r>
      <w:proofErr w:type="spellEnd"/>
      <w:r w:rsidRPr="00CD2B08">
        <w:rPr>
          <w:rFonts w:ascii="Times New Roman" w:hAnsi="Times New Roman"/>
        </w:rPr>
        <w:t xml:space="preserve"> (Aust) Investments Pty Ltd ("</w:t>
      </w:r>
      <w:proofErr w:type="spellStart"/>
      <w:r w:rsidRPr="00CD2B08">
        <w:rPr>
          <w:rFonts w:ascii="Times New Roman" w:hAnsi="Times New Roman"/>
        </w:rPr>
        <w:t>Fernbrook</w:t>
      </w:r>
      <w:proofErr w:type="spellEnd"/>
      <w:r w:rsidRPr="00CD2B08">
        <w:rPr>
          <w:rFonts w:ascii="Times New Roman" w:hAnsi="Times New Roman"/>
        </w:rPr>
        <w:t xml:space="preserve">") (represented by Slater &amp; Gordon). And the fifth proceeding was commenced in the Victorian Registry of the Federal Court on 7 June 2018 by </w:t>
      </w:r>
      <w:proofErr w:type="spellStart"/>
      <w:r w:rsidRPr="00CD2B08">
        <w:rPr>
          <w:rFonts w:ascii="Times New Roman" w:hAnsi="Times New Roman"/>
        </w:rPr>
        <w:t>Komlotex</w:t>
      </w:r>
      <w:proofErr w:type="spellEnd"/>
      <w:r w:rsidRPr="00CD2B08">
        <w:rPr>
          <w:rFonts w:ascii="Times New Roman" w:hAnsi="Times New Roman"/>
        </w:rPr>
        <w:t xml:space="preserve"> Pty Ltd ("</w:t>
      </w:r>
      <w:proofErr w:type="spellStart"/>
      <w:r w:rsidRPr="00CD2B08">
        <w:rPr>
          <w:rFonts w:ascii="Times New Roman" w:hAnsi="Times New Roman"/>
        </w:rPr>
        <w:t>Komlotex</w:t>
      </w:r>
      <w:proofErr w:type="spellEnd"/>
      <w:r w:rsidRPr="00CD2B08">
        <w:rPr>
          <w:rFonts w:ascii="Times New Roman" w:hAnsi="Times New Roman"/>
        </w:rPr>
        <w:t xml:space="preserve">") (represented by Maurice Blackburn). </w:t>
      </w:r>
    </w:p>
    <w:p w14:paraId="5BC540D6"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There is considerable overlap between the claims made in the various proceedings, although they are not identical. There are differences in the relevant claim periods and, arguably, in the factual allegations made. There are also some differences in the causes of action brought: the inclusion of an unconscionable conduct claim in the </w:t>
      </w:r>
      <w:proofErr w:type="spellStart"/>
      <w:r w:rsidRPr="00CD2B08">
        <w:rPr>
          <w:rFonts w:ascii="Times New Roman" w:hAnsi="Times New Roman"/>
        </w:rPr>
        <w:t>Wigmans</w:t>
      </w:r>
      <w:proofErr w:type="spellEnd"/>
      <w:r w:rsidRPr="00CD2B08">
        <w:rPr>
          <w:rFonts w:ascii="Times New Roman" w:hAnsi="Times New Roman"/>
        </w:rPr>
        <w:t xml:space="preserve"> proceeding (but not in any other proceeding); the</w:t>
      </w:r>
      <w:r>
        <w:rPr>
          <w:rFonts w:ascii="Times New Roman" w:hAnsi="Times New Roman"/>
        </w:rPr>
        <w:t> </w:t>
      </w:r>
      <w:r w:rsidRPr="00CD2B08">
        <w:rPr>
          <w:rFonts w:ascii="Times New Roman" w:hAnsi="Times New Roman"/>
        </w:rPr>
        <w:t xml:space="preserve">inclusion of a claim in respect of shares acquired off-market or the acquisition of American Depository Receipts ("ADRs") in the </w:t>
      </w:r>
      <w:proofErr w:type="spellStart"/>
      <w:r w:rsidRPr="00CD2B08">
        <w:rPr>
          <w:rFonts w:ascii="Times New Roman" w:hAnsi="Times New Roman"/>
        </w:rPr>
        <w:t>Fernbrook</w:t>
      </w:r>
      <w:proofErr w:type="spellEnd"/>
      <w:r w:rsidRPr="00CD2B08">
        <w:rPr>
          <w:rFonts w:ascii="Times New Roman" w:hAnsi="Times New Roman"/>
        </w:rPr>
        <w:t xml:space="preserve"> proceeding (but not in any other proceeding); and the inclusion of a claim arising out of the receipt by AMP of legal advice to the effect that its conduct was unlawful in the </w:t>
      </w:r>
      <w:proofErr w:type="spellStart"/>
      <w:r w:rsidRPr="00CD2B08">
        <w:rPr>
          <w:rFonts w:ascii="Times New Roman" w:hAnsi="Times New Roman"/>
        </w:rPr>
        <w:t>Wileypark</w:t>
      </w:r>
      <w:proofErr w:type="spellEnd"/>
      <w:r w:rsidRPr="00CD2B08">
        <w:rPr>
          <w:rFonts w:ascii="Times New Roman" w:hAnsi="Times New Roman"/>
        </w:rPr>
        <w:t xml:space="preserve"> proceeding (but not in any other proceeding). Ms </w:t>
      </w:r>
      <w:proofErr w:type="spellStart"/>
      <w:r w:rsidRPr="00CD2B08">
        <w:rPr>
          <w:rFonts w:ascii="Times New Roman" w:hAnsi="Times New Roman"/>
        </w:rPr>
        <w:t>Wigmans</w:t>
      </w:r>
      <w:proofErr w:type="spellEnd"/>
      <w:r w:rsidRPr="00CD2B08">
        <w:rPr>
          <w:rFonts w:ascii="Times New Roman" w:hAnsi="Times New Roman"/>
        </w:rPr>
        <w:t>, however, contends that her existing claim encompasses the latter two causes of action.</w:t>
      </w:r>
    </w:p>
    <w:p w14:paraId="395526A3"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In June 2018, the four Federal Court applicants </w:t>
      </w:r>
      <w:r w:rsidRPr="00CD2B08" w:rsidDel="00E71E8E">
        <w:rPr>
          <w:rFonts w:ascii="Times New Roman" w:hAnsi="Times New Roman"/>
        </w:rPr>
        <w:t xml:space="preserve">approached </w:t>
      </w:r>
      <w:r w:rsidRPr="00CD2B08">
        <w:rPr>
          <w:rFonts w:ascii="Times New Roman" w:hAnsi="Times New Roman"/>
        </w:rPr>
        <w:t xml:space="preserve">the Commercial List of the Supreme Court of New South Wales </w:t>
      </w:r>
      <w:r w:rsidRPr="00CD2B08" w:rsidDel="00E71E8E">
        <w:rPr>
          <w:rFonts w:ascii="Times New Roman" w:hAnsi="Times New Roman"/>
        </w:rPr>
        <w:t xml:space="preserve">seeking to </w:t>
      </w:r>
      <w:r w:rsidRPr="00CD2B08">
        <w:rPr>
          <w:rFonts w:ascii="Times New Roman" w:hAnsi="Times New Roman"/>
        </w:rPr>
        <w:t xml:space="preserve">transfer the </w:t>
      </w:r>
      <w:proofErr w:type="spellStart"/>
      <w:r w:rsidRPr="00CD2B08">
        <w:rPr>
          <w:rFonts w:ascii="Times New Roman" w:hAnsi="Times New Roman"/>
        </w:rPr>
        <w:t>Wigmans</w:t>
      </w:r>
      <w:proofErr w:type="spellEnd"/>
      <w:r w:rsidRPr="00CD2B08">
        <w:rPr>
          <w:rFonts w:ascii="Times New Roman" w:hAnsi="Times New Roman"/>
        </w:rPr>
        <w:t xml:space="preserve"> proceeding to the Federal Court. That application was ultimately refused</w:t>
      </w:r>
      <w:r w:rsidRPr="00CD2B08">
        <w:rPr>
          <w:rStyle w:val="FootnoteReference"/>
          <w:rFonts w:ascii="Times New Roman" w:hAnsi="Times New Roman"/>
          <w:sz w:val="24"/>
        </w:rPr>
        <w:footnoteReference w:id="55"/>
      </w:r>
      <w:r w:rsidRPr="00CD2B08">
        <w:rPr>
          <w:rFonts w:ascii="Times New Roman" w:hAnsi="Times New Roman"/>
        </w:rPr>
        <w:t xml:space="preserve">. </w:t>
      </w:r>
      <w:r w:rsidRPr="00CD2B08">
        <w:rPr>
          <w:rFonts w:ascii="Times New Roman" w:hAnsi="Times New Roman"/>
        </w:rPr>
        <w:lastRenderedPageBreak/>
        <w:t>AMP</w:t>
      </w:r>
      <w:r>
        <w:rPr>
          <w:rFonts w:ascii="Times New Roman" w:hAnsi="Times New Roman"/>
        </w:rPr>
        <w:t> </w:t>
      </w:r>
      <w:r w:rsidRPr="00CD2B08">
        <w:rPr>
          <w:rFonts w:ascii="Times New Roman" w:hAnsi="Times New Roman"/>
        </w:rPr>
        <w:t>had earlier applied in the Federal Court to have the four Federal Court proceedings transferred to the Supreme Court of New South Wales. On 29 August 2018, the Federal Court granted that application and ordered that each of the Federal Court proceedings be transferred to the Supreme Court</w:t>
      </w:r>
      <w:r w:rsidRPr="00CD2B08">
        <w:rPr>
          <w:rStyle w:val="FootnoteReference"/>
          <w:rFonts w:ascii="Times New Roman" w:hAnsi="Times New Roman"/>
          <w:sz w:val="24"/>
        </w:rPr>
        <w:footnoteReference w:id="56"/>
      </w:r>
      <w:r w:rsidRPr="00CD2B08">
        <w:rPr>
          <w:rFonts w:ascii="Times New Roman" w:hAnsi="Times New Roman"/>
        </w:rPr>
        <w:t>.</w:t>
      </w:r>
    </w:p>
    <w:p w14:paraId="12B80D57"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Between 29 August 2018 and 9 November 2018, the representative plaintiff in four of the proceedings (but not the </w:t>
      </w:r>
      <w:proofErr w:type="spellStart"/>
      <w:r w:rsidRPr="00CD2B08">
        <w:rPr>
          <w:rFonts w:ascii="Times New Roman" w:hAnsi="Times New Roman"/>
        </w:rPr>
        <w:t>Fernbrook</w:t>
      </w:r>
      <w:proofErr w:type="spellEnd"/>
      <w:r w:rsidRPr="00CD2B08">
        <w:rPr>
          <w:rFonts w:ascii="Times New Roman" w:hAnsi="Times New Roman"/>
        </w:rPr>
        <w:t xml:space="preserve"> proceeding) filed a notice of motion in the Supreme Court seeking orders that each other proceeding be permanently stayed. AMP took no position on these applications other than to argue that only one proceeding should be permitted to continue. At the same time, an application was made (and ultimately granted) for the </w:t>
      </w:r>
      <w:proofErr w:type="spellStart"/>
      <w:r w:rsidRPr="00CD2B08">
        <w:rPr>
          <w:rFonts w:ascii="Times New Roman" w:hAnsi="Times New Roman"/>
        </w:rPr>
        <w:t>Fernbrook</w:t>
      </w:r>
      <w:proofErr w:type="spellEnd"/>
      <w:r w:rsidRPr="00CD2B08">
        <w:rPr>
          <w:rFonts w:ascii="Times New Roman" w:hAnsi="Times New Roman"/>
        </w:rPr>
        <w:t xml:space="preserve"> proceeding and the </w:t>
      </w:r>
      <w:proofErr w:type="spellStart"/>
      <w:r w:rsidRPr="00CD2B08">
        <w:rPr>
          <w:rFonts w:ascii="Times New Roman" w:hAnsi="Times New Roman"/>
        </w:rPr>
        <w:t>Komlotex</w:t>
      </w:r>
      <w:proofErr w:type="spellEnd"/>
      <w:r w:rsidRPr="00CD2B08">
        <w:rPr>
          <w:rFonts w:ascii="Times New Roman" w:hAnsi="Times New Roman"/>
        </w:rPr>
        <w:t xml:space="preserve"> proceeding to be consolidated ("consolidated </w:t>
      </w:r>
      <w:proofErr w:type="spellStart"/>
      <w:r w:rsidRPr="00CD2B08">
        <w:rPr>
          <w:rFonts w:ascii="Times New Roman" w:hAnsi="Times New Roman"/>
        </w:rPr>
        <w:t>Komlotex</w:t>
      </w:r>
      <w:proofErr w:type="spellEnd"/>
      <w:r w:rsidRPr="00CD2B08">
        <w:rPr>
          <w:rFonts w:ascii="Times New Roman" w:hAnsi="Times New Roman"/>
        </w:rPr>
        <w:t xml:space="preserve"> proceedings"). </w:t>
      </w:r>
    </w:p>
    <w:p w14:paraId="39E47914" w14:textId="77777777" w:rsidR="009A3DE4" w:rsidRPr="00CD2B08" w:rsidRDefault="009A3DE4" w:rsidP="00CD2B08">
      <w:pPr>
        <w:pStyle w:val="HeadingL1"/>
        <w:spacing w:after="260" w:line="280" w:lineRule="exact"/>
        <w:ind w:right="0"/>
        <w:jc w:val="both"/>
        <w:rPr>
          <w:rFonts w:ascii="Times New Roman" w:hAnsi="Times New Roman"/>
        </w:rPr>
      </w:pPr>
      <w:r w:rsidRPr="00CD2B08">
        <w:rPr>
          <w:rFonts w:ascii="Times New Roman" w:hAnsi="Times New Roman"/>
        </w:rPr>
        <w:t>Decisions below</w:t>
      </w:r>
    </w:p>
    <w:p w14:paraId="0D05D022"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The primary judge took the view that the consolidated </w:t>
      </w:r>
      <w:proofErr w:type="spellStart"/>
      <w:r w:rsidRPr="00CD2B08">
        <w:rPr>
          <w:rFonts w:ascii="Times New Roman" w:hAnsi="Times New Roman"/>
        </w:rPr>
        <w:t>Komlotex</w:t>
      </w:r>
      <w:proofErr w:type="spellEnd"/>
      <w:r w:rsidRPr="00CD2B08">
        <w:rPr>
          <w:rFonts w:ascii="Times New Roman" w:hAnsi="Times New Roman"/>
        </w:rPr>
        <w:t xml:space="preserve"> proceedings, which offered a "no win, no fee" funding model, should proceed, and</w:t>
      </w:r>
      <w:r>
        <w:rPr>
          <w:rFonts w:ascii="Times New Roman" w:hAnsi="Times New Roman"/>
        </w:rPr>
        <w:t> </w:t>
      </w:r>
      <w:r w:rsidRPr="00CD2B08">
        <w:rPr>
          <w:rFonts w:ascii="Times New Roman" w:hAnsi="Times New Roman"/>
        </w:rPr>
        <w:t xml:space="preserve">the other proceedings should be stayed. Because none of the competing representative plaintiffs could be said to be parties to the </w:t>
      </w:r>
      <w:proofErr w:type="spellStart"/>
      <w:r w:rsidRPr="00CD2B08">
        <w:rPr>
          <w:rFonts w:ascii="Times New Roman" w:hAnsi="Times New Roman"/>
        </w:rPr>
        <w:t>Wigmans</w:t>
      </w:r>
      <w:proofErr w:type="spellEnd"/>
      <w:r w:rsidRPr="00CD2B08">
        <w:rPr>
          <w:rFonts w:ascii="Times New Roman" w:hAnsi="Times New Roman"/>
        </w:rPr>
        <w:t xml:space="preserve"> proceeding before the opt</w:t>
      </w:r>
      <w:r w:rsidRPr="00CD2B08">
        <w:rPr>
          <w:rFonts w:ascii="Times New Roman" w:hAnsi="Times New Roman"/>
        </w:rPr>
        <w:noBreakHyphen/>
        <w:t>out process</w:t>
      </w:r>
      <w:r w:rsidRPr="00CD2B08">
        <w:rPr>
          <w:rStyle w:val="FootnoteReference"/>
          <w:rFonts w:ascii="Times New Roman" w:hAnsi="Times New Roman"/>
          <w:sz w:val="24"/>
        </w:rPr>
        <w:footnoteReference w:id="57"/>
      </w:r>
      <w:r w:rsidRPr="00CD2B08">
        <w:rPr>
          <w:rFonts w:ascii="Times New Roman" w:hAnsi="Times New Roman"/>
        </w:rPr>
        <w:t xml:space="preserve"> concluded, and because apparently they were not aware of the way in which the </w:t>
      </w:r>
      <w:proofErr w:type="spellStart"/>
      <w:r w:rsidRPr="00CD2B08">
        <w:rPr>
          <w:rFonts w:ascii="Times New Roman" w:hAnsi="Times New Roman"/>
        </w:rPr>
        <w:t>Wigmans</w:t>
      </w:r>
      <w:proofErr w:type="spellEnd"/>
      <w:r w:rsidRPr="00CD2B08">
        <w:rPr>
          <w:rFonts w:ascii="Times New Roman" w:hAnsi="Times New Roman"/>
        </w:rPr>
        <w:t xml:space="preserve"> claim was put, her Honour found that there was no abuse of process.</w:t>
      </w:r>
    </w:p>
    <w:p w14:paraId="330E4FFD"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By reference to the submissions of the parties, the primary judge identified eight matters relevant to resolving the competing stay applications, consideration of which was described as a "multifactorial approach"</w:t>
      </w:r>
      <w:r w:rsidRPr="00CD2B08">
        <w:rPr>
          <w:rStyle w:val="FootnoteReference"/>
          <w:rFonts w:ascii="Times New Roman" w:hAnsi="Times New Roman"/>
          <w:sz w:val="24"/>
        </w:rPr>
        <w:footnoteReference w:id="58"/>
      </w:r>
      <w:r w:rsidRPr="00CD2B08">
        <w:rPr>
          <w:rFonts w:ascii="Times New Roman" w:hAnsi="Times New Roman"/>
        </w:rPr>
        <w:t>. They were:</w:t>
      </w:r>
    </w:p>
    <w:p w14:paraId="471F7A1F" w14:textId="77777777" w:rsidR="009A3DE4" w:rsidRPr="00CD2B08" w:rsidRDefault="009A3DE4" w:rsidP="00CD2B08">
      <w:pPr>
        <w:pStyle w:val="leftright"/>
        <w:spacing w:before="0" w:after="260" w:line="280" w:lineRule="exact"/>
        <w:ind w:left="1440" w:right="0" w:hanging="720"/>
        <w:jc w:val="both"/>
        <w:rPr>
          <w:rFonts w:ascii="Times New Roman" w:hAnsi="Times New Roman"/>
        </w:rPr>
      </w:pPr>
      <w:r w:rsidRPr="00CD2B08">
        <w:rPr>
          <w:rFonts w:ascii="Times New Roman" w:hAnsi="Times New Roman"/>
        </w:rPr>
        <w:t>"[1]</w:t>
      </w:r>
      <w:r w:rsidRPr="00CD2B08">
        <w:rPr>
          <w:rFonts w:ascii="Times New Roman" w:hAnsi="Times New Roman"/>
        </w:rPr>
        <w:tab/>
        <w:t xml:space="preserve">the competing funding proposals, costs estimates and net hypothetical return to members; </w:t>
      </w:r>
    </w:p>
    <w:p w14:paraId="1D9CCF9B" w14:textId="77777777" w:rsidR="009A3DE4" w:rsidRPr="00CD2B08"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t>[2]</w:t>
      </w:r>
      <w:r w:rsidRPr="00CD2B08">
        <w:rPr>
          <w:rFonts w:ascii="Times New Roman" w:hAnsi="Times New Roman"/>
        </w:rPr>
        <w:tab/>
        <w:t xml:space="preserve">the proposals for security; </w:t>
      </w:r>
    </w:p>
    <w:p w14:paraId="23D526B5" w14:textId="77777777" w:rsidR="009A3DE4" w:rsidRPr="00CD2B08" w:rsidRDefault="009A3DE4" w:rsidP="00CD2B08">
      <w:pPr>
        <w:pStyle w:val="leftright"/>
        <w:spacing w:before="0" w:after="260" w:line="280" w:lineRule="exact"/>
        <w:ind w:left="1440" w:right="0" w:hanging="720"/>
        <w:jc w:val="both"/>
        <w:rPr>
          <w:rFonts w:ascii="Times New Roman" w:hAnsi="Times New Roman"/>
        </w:rPr>
      </w:pPr>
      <w:r w:rsidRPr="00CD2B08">
        <w:rPr>
          <w:rFonts w:ascii="Times New Roman" w:hAnsi="Times New Roman"/>
        </w:rPr>
        <w:t>[3]</w:t>
      </w:r>
      <w:r w:rsidRPr="00CD2B08">
        <w:rPr>
          <w:rFonts w:ascii="Times New Roman" w:hAnsi="Times New Roman"/>
        </w:rPr>
        <w:tab/>
        <w:t xml:space="preserve">the nature and scope of the causes of action advanced (and relevant case theories); </w:t>
      </w:r>
    </w:p>
    <w:p w14:paraId="433AA67A" w14:textId="77777777" w:rsidR="009A3DE4" w:rsidRPr="00CD2B08"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lastRenderedPageBreak/>
        <w:t>[4]</w:t>
      </w:r>
      <w:r w:rsidRPr="00CD2B08">
        <w:rPr>
          <w:rFonts w:ascii="Times New Roman" w:hAnsi="Times New Roman"/>
        </w:rPr>
        <w:tab/>
        <w:t xml:space="preserve">... the size of the respective classes; </w:t>
      </w:r>
    </w:p>
    <w:p w14:paraId="3C115D0E" w14:textId="77777777" w:rsidR="009A3DE4" w:rsidRPr="00CD2B08"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t>[5]</w:t>
      </w:r>
      <w:r w:rsidRPr="00CD2B08">
        <w:rPr>
          <w:rFonts w:ascii="Times New Roman" w:hAnsi="Times New Roman"/>
        </w:rPr>
        <w:tab/>
        <w:t xml:space="preserve">the extent of any bookbuild; </w:t>
      </w:r>
    </w:p>
    <w:p w14:paraId="012BA78C" w14:textId="77777777" w:rsidR="009A3DE4" w:rsidRPr="00CD2B08" w:rsidRDefault="009A3DE4" w:rsidP="00CD2B08">
      <w:pPr>
        <w:pStyle w:val="leftright"/>
        <w:spacing w:before="0" w:after="260" w:line="280" w:lineRule="exact"/>
        <w:ind w:left="1440" w:right="0" w:hanging="720"/>
        <w:jc w:val="both"/>
        <w:rPr>
          <w:rFonts w:ascii="Times New Roman" w:hAnsi="Times New Roman"/>
        </w:rPr>
      </w:pPr>
      <w:r w:rsidRPr="00CD2B08">
        <w:rPr>
          <w:rFonts w:ascii="Times New Roman" w:hAnsi="Times New Roman"/>
        </w:rPr>
        <w:t>[6]</w:t>
      </w:r>
      <w:r w:rsidRPr="00CD2B08">
        <w:rPr>
          <w:rFonts w:ascii="Times New Roman" w:hAnsi="Times New Roman"/>
        </w:rPr>
        <w:tab/>
        <w:t xml:space="preserve">the experience of the legal practitioners (and funders, where applicable) and availability of resources; </w:t>
      </w:r>
    </w:p>
    <w:p w14:paraId="02C767F3" w14:textId="77777777" w:rsidR="009A3DE4" w:rsidRPr="00CD2B08"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t>[7]</w:t>
      </w:r>
      <w:r w:rsidRPr="00CD2B08">
        <w:rPr>
          <w:rFonts w:ascii="Times New Roman" w:hAnsi="Times New Roman"/>
        </w:rPr>
        <w:tab/>
        <w:t xml:space="preserve">the state of progress of the proceedings; and, </w:t>
      </w:r>
    </w:p>
    <w:p w14:paraId="36EB90B3" w14:textId="77777777" w:rsidR="009A3DE4" w:rsidRDefault="009A3DE4" w:rsidP="00CD2B08">
      <w:pPr>
        <w:pStyle w:val="leftright"/>
        <w:spacing w:before="0" w:after="260" w:line="280" w:lineRule="exact"/>
        <w:ind w:left="1440" w:right="0" w:hanging="720"/>
        <w:jc w:val="both"/>
        <w:rPr>
          <w:rFonts w:ascii="Times New Roman" w:hAnsi="Times New Roman"/>
        </w:rPr>
      </w:pPr>
      <w:r w:rsidRPr="00CD2B08">
        <w:rPr>
          <w:rFonts w:ascii="Times New Roman" w:hAnsi="Times New Roman"/>
        </w:rPr>
        <w:t>[8]</w:t>
      </w:r>
      <w:r w:rsidRPr="00CD2B08">
        <w:rPr>
          <w:rFonts w:ascii="Times New Roman" w:hAnsi="Times New Roman"/>
        </w:rPr>
        <w:tab/>
        <w:t>the conduct of the representative plaintiffs to date."</w:t>
      </w:r>
    </w:p>
    <w:p w14:paraId="061AE394"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Her Honour gave most weight to the first consideration – a comparison of "competing funding proposals, costs estimates and net hypothetical return to members". That comparison was based on comparative tables provided by </w:t>
      </w:r>
      <w:proofErr w:type="spellStart"/>
      <w:r w:rsidRPr="00CD2B08">
        <w:rPr>
          <w:rFonts w:ascii="Times New Roman" w:hAnsi="Times New Roman"/>
        </w:rPr>
        <w:t>Komlotex</w:t>
      </w:r>
      <w:proofErr w:type="spellEnd"/>
      <w:r w:rsidRPr="00CD2B08">
        <w:rPr>
          <w:rFonts w:ascii="Times New Roman" w:hAnsi="Times New Roman"/>
        </w:rPr>
        <w:t xml:space="preserve"> that modelled the expected return to group members for each proceeding. </w:t>
      </w:r>
    </w:p>
    <w:p w14:paraId="50996700"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The primary judge found that </w:t>
      </w:r>
      <w:proofErr w:type="spellStart"/>
      <w:r w:rsidRPr="00CD2B08">
        <w:rPr>
          <w:rFonts w:ascii="Times New Roman" w:hAnsi="Times New Roman"/>
        </w:rPr>
        <w:t>Komlotex's</w:t>
      </w:r>
      <w:proofErr w:type="spellEnd"/>
      <w:r w:rsidRPr="00CD2B08">
        <w:rPr>
          <w:rFonts w:ascii="Times New Roman" w:hAnsi="Times New Roman"/>
        </w:rPr>
        <w:t xml:space="preserve"> funding model was likely to provide the best return for group members taking into account the combination of: the absence of a separate funding commission; the incentive created by an uplift in fees only once a specified resolution sum is achieved; the comparable return based on some standardised assumptions; and the fact that no common fund order was being sought by </w:t>
      </w:r>
      <w:proofErr w:type="spellStart"/>
      <w:r w:rsidRPr="00CD2B08">
        <w:rPr>
          <w:rFonts w:ascii="Times New Roman" w:hAnsi="Times New Roman"/>
        </w:rPr>
        <w:t>Komlotex</w:t>
      </w:r>
      <w:proofErr w:type="spellEnd"/>
      <w:r w:rsidRPr="00CD2B08">
        <w:rPr>
          <w:rStyle w:val="FootnoteReference"/>
          <w:rFonts w:ascii="Times New Roman" w:hAnsi="Times New Roman"/>
          <w:sz w:val="24"/>
        </w:rPr>
        <w:footnoteReference w:id="59"/>
      </w:r>
      <w:r w:rsidRPr="00CD2B08">
        <w:rPr>
          <w:rFonts w:ascii="Times New Roman" w:hAnsi="Times New Roman"/>
        </w:rPr>
        <w:t>. Her Honour said she considered that "there [was] no</w:t>
      </w:r>
      <w:r>
        <w:rPr>
          <w:rFonts w:ascii="Times New Roman" w:hAnsi="Times New Roman"/>
        </w:rPr>
        <w:t> </w:t>
      </w:r>
      <w:r w:rsidRPr="00CD2B08">
        <w:rPr>
          <w:rFonts w:ascii="Times New Roman" w:hAnsi="Times New Roman"/>
        </w:rPr>
        <w:t xml:space="preserve">sensible basis for differentiation between the experience or abilities of the respective legal/funding teams". </w:t>
      </w:r>
    </w:p>
    <w:p w14:paraId="28115AB8"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Ms </w:t>
      </w:r>
      <w:proofErr w:type="spellStart"/>
      <w:r w:rsidRPr="00CD2B08">
        <w:rPr>
          <w:rFonts w:ascii="Times New Roman" w:hAnsi="Times New Roman"/>
        </w:rPr>
        <w:t>Wigmans</w:t>
      </w:r>
      <w:proofErr w:type="spellEnd"/>
      <w:r w:rsidRPr="00CD2B08">
        <w:rPr>
          <w:rFonts w:ascii="Times New Roman" w:hAnsi="Times New Roman"/>
        </w:rPr>
        <w:t xml:space="preserve"> had submitted before the primary judge that the firms of solicitors and counsel each party had retained were highly experienced and that there was no reason to doubt that any of the firms would have any difficulty in running the litigation on behalf of the class. Ms </w:t>
      </w:r>
      <w:proofErr w:type="spellStart"/>
      <w:r w:rsidRPr="00CD2B08">
        <w:rPr>
          <w:rFonts w:ascii="Times New Roman" w:hAnsi="Times New Roman"/>
        </w:rPr>
        <w:t>Wigmans</w:t>
      </w:r>
      <w:proofErr w:type="spellEnd"/>
      <w:r w:rsidRPr="00CD2B08">
        <w:rPr>
          <w:rFonts w:ascii="Times New Roman" w:hAnsi="Times New Roman"/>
        </w:rPr>
        <w:t xml:space="preserve"> further submitted that the experience of legal practitioners (and funders where applicable) and the availability of resources was a neutral factor. The case being conducted on this basis, it is unsurprising that her Honour assumed that the solicitors in each proceeding were of equal experience and ability, that each of them would take the same number of hours of work to reach settlement or judgment, and, at least implicitly, that each of them had the same chance of achieving each given settlement or judgment sum. In relation to funding arrangements, her Honour assumed that the litigation funders were similarly equal and that each funding model provided incentives and disincentives to achieving the best outcome for group members.</w:t>
      </w:r>
    </w:p>
    <w:p w14:paraId="3CD21804"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lastRenderedPageBreak/>
        <w:tab/>
        <w:t>In relation to the second consideration, proposals for security for costs, the</w:t>
      </w:r>
      <w:r>
        <w:rPr>
          <w:rFonts w:ascii="Times New Roman" w:hAnsi="Times New Roman"/>
        </w:rPr>
        <w:t> </w:t>
      </w:r>
      <w:r w:rsidRPr="00CD2B08">
        <w:rPr>
          <w:rFonts w:ascii="Times New Roman" w:hAnsi="Times New Roman"/>
        </w:rPr>
        <w:t>primary judge identified the key difference as being</w:t>
      </w:r>
      <w:r w:rsidRPr="00CD2B08" w:rsidDel="0006222B">
        <w:rPr>
          <w:rFonts w:ascii="Times New Roman" w:hAnsi="Times New Roman"/>
        </w:rPr>
        <w:t xml:space="preserve"> </w:t>
      </w:r>
      <w:r w:rsidRPr="00CD2B08">
        <w:rPr>
          <w:rFonts w:ascii="Times New Roman" w:hAnsi="Times New Roman"/>
        </w:rPr>
        <w:t xml:space="preserve">that the </w:t>
      </w:r>
      <w:proofErr w:type="spellStart"/>
      <w:r w:rsidRPr="00CD2B08">
        <w:rPr>
          <w:rFonts w:ascii="Times New Roman" w:hAnsi="Times New Roman"/>
        </w:rPr>
        <w:t>Wileypark</w:t>
      </w:r>
      <w:proofErr w:type="spellEnd"/>
      <w:r w:rsidRPr="00CD2B08">
        <w:rPr>
          <w:rFonts w:ascii="Times New Roman" w:hAnsi="Times New Roman"/>
        </w:rPr>
        <w:t xml:space="preserve"> and Georgiou proceedings relied on "after the event" or "ATE" insurance policies of which the provisions were not disclosed. Her Honour concluded that this favoured the </w:t>
      </w:r>
      <w:proofErr w:type="spellStart"/>
      <w:r w:rsidRPr="00CD2B08">
        <w:rPr>
          <w:rFonts w:ascii="Times New Roman" w:hAnsi="Times New Roman"/>
        </w:rPr>
        <w:t>Wigmans</w:t>
      </w:r>
      <w:proofErr w:type="spellEnd"/>
      <w:r w:rsidRPr="00CD2B08">
        <w:rPr>
          <w:rFonts w:ascii="Times New Roman" w:hAnsi="Times New Roman"/>
        </w:rPr>
        <w:t xml:space="preserve"> and consolidated </w:t>
      </w:r>
      <w:proofErr w:type="spellStart"/>
      <w:r w:rsidRPr="00CD2B08">
        <w:rPr>
          <w:rFonts w:ascii="Times New Roman" w:hAnsi="Times New Roman"/>
        </w:rPr>
        <w:t>Komlotex</w:t>
      </w:r>
      <w:proofErr w:type="spellEnd"/>
      <w:r w:rsidRPr="00CD2B08">
        <w:rPr>
          <w:rFonts w:ascii="Times New Roman" w:hAnsi="Times New Roman"/>
        </w:rPr>
        <w:t xml:space="preserve"> proceedings, in which $5 million in security for costs either had been or would be paid into court.</w:t>
      </w:r>
    </w:p>
    <w:p w14:paraId="62F01CC1"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Her Honour found the other factors were neutral</w:t>
      </w:r>
      <w:r w:rsidRPr="00CD2B08">
        <w:rPr>
          <w:rStyle w:val="FootnoteReference"/>
          <w:rFonts w:ascii="Times New Roman" w:hAnsi="Times New Roman"/>
          <w:sz w:val="24"/>
        </w:rPr>
        <w:footnoteReference w:id="60"/>
      </w:r>
      <w:r w:rsidRPr="00CD2B08">
        <w:rPr>
          <w:rFonts w:ascii="Times New Roman" w:hAnsi="Times New Roman"/>
        </w:rPr>
        <w:t xml:space="preserve"> or of little or no weight</w:t>
      </w:r>
      <w:r w:rsidRPr="00CD2B08">
        <w:rPr>
          <w:rStyle w:val="FootnoteReference"/>
          <w:rFonts w:ascii="Times New Roman" w:hAnsi="Times New Roman"/>
          <w:sz w:val="24"/>
        </w:rPr>
        <w:footnoteReference w:id="61"/>
      </w:r>
      <w:r w:rsidRPr="00CD2B08">
        <w:rPr>
          <w:rFonts w:ascii="Times New Roman" w:hAnsi="Times New Roman"/>
        </w:rPr>
        <w:t xml:space="preserve">. The "first mover advantage" was given no weight. The primary judge thus dismissed the application to stay the consolidated </w:t>
      </w:r>
      <w:proofErr w:type="spellStart"/>
      <w:r w:rsidRPr="00CD2B08">
        <w:rPr>
          <w:rFonts w:ascii="Times New Roman" w:hAnsi="Times New Roman"/>
        </w:rPr>
        <w:t>Komlotex</w:t>
      </w:r>
      <w:proofErr w:type="spellEnd"/>
      <w:r w:rsidRPr="00CD2B08">
        <w:rPr>
          <w:rFonts w:ascii="Times New Roman" w:hAnsi="Times New Roman"/>
        </w:rPr>
        <w:t xml:space="preserve"> proceedings and ordered that the three other proceedings be stayed. </w:t>
      </w:r>
    </w:p>
    <w:p w14:paraId="308C0702"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Ms </w:t>
      </w:r>
      <w:proofErr w:type="spellStart"/>
      <w:r w:rsidRPr="00CD2B08">
        <w:rPr>
          <w:rFonts w:ascii="Times New Roman" w:hAnsi="Times New Roman"/>
        </w:rPr>
        <w:t>Wigmans</w:t>
      </w:r>
      <w:proofErr w:type="spellEnd"/>
      <w:r w:rsidRPr="00CD2B08">
        <w:rPr>
          <w:rFonts w:ascii="Times New Roman" w:hAnsi="Times New Roman"/>
        </w:rPr>
        <w:t xml:space="preserve"> appealed to the Court of Appeal of the Supreme Court of New South Wales on grounds that the consolidated </w:t>
      </w:r>
      <w:proofErr w:type="spellStart"/>
      <w:r w:rsidRPr="00CD2B08">
        <w:rPr>
          <w:rFonts w:ascii="Times New Roman" w:hAnsi="Times New Roman"/>
        </w:rPr>
        <w:t>Komlotex</w:t>
      </w:r>
      <w:proofErr w:type="spellEnd"/>
      <w:r w:rsidRPr="00CD2B08" w:rsidDel="006F353B">
        <w:rPr>
          <w:rFonts w:ascii="Times New Roman" w:hAnsi="Times New Roman"/>
        </w:rPr>
        <w:t xml:space="preserve"> </w:t>
      </w:r>
      <w:r w:rsidRPr="00CD2B08">
        <w:rPr>
          <w:rFonts w:ascii="Times New Roman" w:hAnsi="Times New Roman"/>
        </w:rPr>
        <w:t>proceedings</w:t>
      </w:r>
      <w:r w:rsidRPr="00CD2B08" w:rsidDel="00852368">
        <w:rPr>
          <w:rFonts w:ascii="Times New Roman" w:hAnsi="Times New Roman"/>
        </w:rPr>
        <w:t xml:space="preserve"> </w:t>
      </w:r>
      <w:r w:rsidRPr="00CD2B08">
        <w:rPr>
          <w:rFonts w:ascii="Times New Roman" w:hAnsi="Times New Roman"/>
        </w:rPr>
        <w:t xml:space="preserve">were an abuse of process and otherwise generally reagitating the submissions she had made before the primary judge. </w:t>
      </w:r>
    </w:p>
    <w:p w14:paraId="06F5AAFA"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The Court of Appeal (Bell P, </w:t>
      </w:r>
      <w:proofErr w:type="spellStart"/>
      <w:r w:rsidRPr="00CD2B08">
        <w:rPr>
          <w:rFonts w:ascii="Times New Roman" w:hAnsi="Times New Roman"/>
        </w:rPr>
        <w:t>Macfarlan</w:t>
      </w:r>
      <w:proofErr w:type="spellEnd"/>
      <w:r w:rsidRPr="00CD2B08">
        <w:rPr>
          <w:rFonts w:ascii="Times New Roman" w:hAnsi="Times New Roman"/>
        </w:rPr>
        <w:t>, Meagher, Payne and White JJA</w:t>
      </w:r>
      <w:r>
        <w:rPr>
          <w:rFonts w:ascii="Times New Roman" w:hAnsi="Times New Roman"/>
        </w:rPr>
        <w:t xml:space="preserve"> </w:t>
      </w:r>
      <w:r w:rsidRPr="00CD2B08">
        <w:rPr>
          <w:rFonts w:ascii="Times New Roman" w:hAnsi="Times New Roman"/>
        </w:rPr>
        <w:t xml:space="preserve">agreeing) held that the consolidated </w:t>
      </w:r>
      <w:proofErr w:type="spellStart"/>
      <w:r w:rsidRPr="00CD2B08">
        <w:rPr>
          <w:rFonts w:ascii="Times New Roman" w:hAnsi="Times New Roman"/>
        </w:rPr>
        <w:t>Komlotex</w:t>
      </w:r>
      <w:proofErr w:type="spellEnd"/>
      <w:r w:rsidRPr="00CD2B08">
        <w:rPr>
          <w:rFonts w:ascii="Times New Roman" w:hAnsi="Times New Roman"/>
        </w:rPr>
        <w:t xml:space="preserve"> proceedings were not an abuse of process because </w:t>
      </w:r>
      <w:proofErr w:type="spellStart"/>
      <w:r w:rsidRPr="00CD2B08">
        <w:rPr>
          <w:rFonts w:ascii="Times New Roman" w:hAnsi="Times New Roman"/>
        </w:rPr>
        <w:t>Komlotex</w:t>
      </w:r>
      <w:proofErr w:type="spellEnd"/>
      <w:r w:rsidRPr="00CD2B08">
        <w:rPr>
          <w:rFonts w:ascii="Times New Roman" w:hAnsi="Times New Roman"/>
        </w:rPr>
        <w:t xml:space="preserve"> was not a party to the </w:t>
      </w:r>
      <w:proofErr w:type="spellStart"/>
      <w:r w:rsidRPr="00CD2B08">
        <w:rPr>
          <w:rFonts w:ascii="Times New Roman" w:hAnsi="Times New Roman"/>
        </w:rPr>
        <w:t>Wigmans</w:t>
      </w:r>
      <w:proofErr w:type="spellEnd"/>
      <w:r w:rsidRPr="00CD2B08">
        <w:rPr>
          <w:rFonts w:ascii="Times New Roman" w:hAnsi="Times New Roman"/>
        </w:rPr>
        <w:t xml:space="preserve"> proceeding and only the defendant, AMP, could have been vexed by the subsequent proceedings. Their</w:t>
      </w:r>
      <w:r>
        <w:rPr>
          <w:rFonts w:ascii="Times New Roman" w:hAnsi="Times New Roman"/>
        </w:rPr>
        <w:t> </w:t>
      </w:r>
      <w:r w:rsidRPr="00CD2B08">
        <w:rPr>
          <w:rFonts w:ascii="Times New Roman" w:hAnsi="Times New Roman"/>
        </w:rPr>
        <w:t>Honours upheld the primary judge's multifactorial approach and analysis.</w:t>
      </w:r>
    </w:p>
    <w:p w14:paraId="19ACE4BB" w14:textId="77777777" w:rsidR="009A3DE4" w:rsidRPr="00CD2B08" w:rsidRDefault="009A3DE4" w:rsidP="00CD2B08">
      <w:pPr>
        <w:pStyle w:val="HeadingL1"/>
        <w:spacing w:after="260" w:line="280" w:lineRule="exact"/>
        <w:ind w:right="0"/>
        <w:jc w:val="both"/>
        <w:rPr>
          <w:rFonts w:ascii="Times New Roman" w:hAnsi="Times New Roman"/>
        </w:rPr>
      </w:pPr>
      <w:r w:rsidRPr="00CD2B08">
        <w:rPr>
          <w:rFonts w:ascii="Times New Roman" w:hAnsi="Times New Roman"/>
        </w:rPr>
        <w:t xml:space="preserve">Ms </w:t>
      </w:r>
      <w:proofErr w:type="spellStart"/>
      <w:r w:rsidRPr="00CD2B08">
        <w:rPr>
          <w:rFonts w:ascii="Times New Roman" w:hAnsi="Times New Roman"/>
        </w:rPr>
        <w:t>Wigmans</w:t>
      </w:r>
      <w:proofErr w:type="spellEnd"/>
      <w:r w:rsidRPr="00CD2B08">
        <w:rPr>
          <w:rFonts w:ascii="Times New Roman" w:hAnsi="Times New Roman"/>
        </w:rPr>
        <w:t>' submissions</w:t>
      </w:r>
    </w:p>
    <w:p w14:paraId="18CF9E59"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In this Court, Ms </w:t>
      </w:r>
      <w:proofErr w:type="spellStart"/>
      <w:r w:rsidRPr="00CD2B08">
        <w:rPr>
          <w:rFonts w:ascii="Times New Roman" w:hAnsi="Times New Roman"/>
        </w:rPr>
        <w:t>Wigmans</w:t>
      </w:r>
      <w:proofErr w:type="spellEnd"/>
      <w:r w:rsidRPr="00CD2B08">
        <w:rPr>
          <w:rFonts w:ascii="Times New Roman" w:hAnsi="Times New Roman"/>
        </w:rPr>
        <w:t>' central complaint was that the Court of Appeal erred in failing to apply a rule or presumption that it is prima facie vexatious and oppressive to commence an action if an action is already pending in respect of the same controversy. She submitted that the onus is on the party that commences the action second in time to show that its action is not vexatious and oppressive, and</w:t>
      </w:r>
      <w:r>
        <w:rPr>
          <w:rFonts w:ascii="Times New Roman" w:hAnsi="Times New Roman"/>
        </w:rPr>
        <w:t> </w:t>
      </w:r>
      <w:r w:rsidRPr="00CD2B08">
        <w:rPr>
          <w:rFonts w:ascii="Times New Roman" w:hAnsi="Times New Roman"/>
        </w:rPr>
        <w:t>that to discharge the onus the second</w:t>
      </w:r>
      <w:r w:rsidRPr="00CD2B08">
        <w:rPr>
          <w:rFonts w:ascii="Times New Roman" w:hAnsi="Times New Roman"/>
        </w:rPr>
        <w:noBreakHyphen/>
        <w:t>in</w:t>
      </w:r>
      <w:r w:rsidRPr="00CD2B08">
        <w:rPr>
          <w:rFonts w:ascii="Times New Roman" w:hAnsi="Times New Roman"/>
        </w:rPr>
        <w:noBreakHyphen/>
        <w:t xml:space="preserve">time party must point to some legitimate juridical advantage that its proceeding offers over and above the first proceeding. And she argued that </w:t>
      </w:r>
      <w:proofErr w:type="spellStart"/>
      <w:r w:rsidRPr="00CD2B08">
        <w:rPr>
          <w:rFonts w:ascii="Times New Roman" w:hAnsi="Times New Roman"/>
        </w:rPr>
        <w:t>Komlotex</w:t>
      </w:r>
      <w:proofErr w:type="spellEnd"/>
      <w:r w:rsidRPr="00CD2B08">
        <w:rPr>
          <w:rFonts w:ascii="Times New Roman" w:hAnsi="Times New Roman"/>
        </w:rPr>
        <w:t xml:space="preserve"> had not discharged that onus. </w:t>
      </w:r>
    </w:p>
    <w:p w14:paraId="6FFA6996"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Ms </w:t>
      </w:r>
      <w:proofErr w:type="spellStart"/>
      <w:r w:rsidRPr="00CD2B08">
        <w:rPr>
          <w:rFonts w:ascii="Times New Roman" w:hAnsi="Times New Roman"/>
        </w:rPr>
        <w:t>Wigmans</w:t>
      </w:r>
      <w:proofErr w:type="spellEnd"/>
      <w:r w:rsidRPr="00CD2B08">
        <w:rPr>
          <w:rFonts w:ascii="Times New Roman" w:hAnsi="Times New Roman"/>
        </w:rPr>
        <w:t xml:space="preserve"> identified several separate lines of authority that she submitted supported, or at least were not inconsistent with, the alleged first-in-time </w:t>
      </w:r>
      <w:r w:rsidRPr="00CD2B08">
        <w:rPr>
          <w:rFonts w:ascii="Times New Roman" w:hAnsi="Times New Roman"/>
        </w:rPr>
        <w:lastRenderedPageBreak/>
        <w:t xml:space="preserve">rule or presumption – common law principles arising from </w:t>
      </w:r>
      <w:r w:rsidRPr="00CD2B08">
        <w:rPr>
          <w:rFonts w:ascii="Times New Roman" w:hAnsi="Times New Roman"/>
          <w:i/>
        </w:rPr>
        <w:t>McHenry</w:t>
      </w:r>
      <w:r w:rsidRPr="00CD2B08">
        <w:rPr>
          <w:rFonts w:ascii="Times New Roman" w:hAnsi="Times New Roman"/>
        </w:rPr>
        <w:t xml:space="preserve"> </w:t>
      </w:r>
      <w:r w:rsidRPr="00CD2B08">
        <w:rPr>
          <w:rFonts w:ascii="Times New Roman" w:hAnsi="Times New Roman"/>
          <w:i/>
        </w:rPr>
        <w:t>v Lewis</w:t>
      </w:r>
      <w:r w:rsidRPr="00CD2B08">
        <w:rPr>
          <w:rStyle w:val="FootnoteReference"/>
          <w:rFonts w:ascii="Times New Roman" w:hAnsi="Times New Roman"/>
          <w:sz w:val="24"/>
        </w:rPr>
        <w:footnoteReference w:id="62"/>
      </w:r>
      <w:r w:rsidRPr="00CD2B08">
        <w:rPr>
          <w:rFonts w:ascii="Times New Roman" w:hAnsi="Times New Roman"/>
        </w:rPr>
        <w:t xml:space="preserve">; the inherent power to grant a stay; abuse of process principles from </w:t>
      </w:r>
      <w:r w:rsidRPr="00CD2B08">
        <w:rPr>
          <w:rFonts w:ascii="Times New Roman" w:hAnsi="Times New Roman"/>
          <w:i/>
        </w:rPr>
        <w:t>Henry v Henry</w:t>
      </w:r>
      <w:r w:rsidRPr="00CD2B08">
        <w:rPr>
          <w:rStyle w:val="FootnoteReference"/>
          <w:rFonts w:ascii="Times New Roman" w:hAnsi="Times New Roman"/>
          <w:sz w:val="24"/>
        </w:rPr>
        <w:footnoteReference w:id="63"/>
      </w:r>
      <w:r w:rsidRPr="00CD2B08">
        <w:rPr>
          <w:rFonts w:ascii="Times New Roman" w:hAnsi="Times New Roman"/>
        </w:rPr>
        <w:t xml:space="preserve"> and </w:t>
      </w:r>
      <w:r w:rsidRPr="00CD2B08">
        <w:rPr>
          <w:rFonts w:ascii="Times New Roman" w:hAnsi="Times New Roman"/>
          <w:i/>
        </w:rPr>
        <w:t>Moore v Inglis</w:t>
      </w:r>
      <w:r w:rsidRPr="00CD2B08">
        <w:rPr>
          <w:rStyle w:val="FootnoteReference"/>
          <w:rFonts w:ascii="Times New Roman" w:hAnsi="Times New Roman"/>
          <w:sz w:val="24"/>
        </w:rPr>
        <w:footnoteReference w:id="64"/>
      </w:r>
      <w:r w:rsidRPr="00CD2B08">
        <w:rPr>
          <w:rFonts w:ascii="Times New Roman" w:hAnsi="Times New Roman"/>
        </w:rPr>
        <w:t xml:space="preserve">; and equitable principles concerning test actions. </w:t>
      </w:r>
    </w:p>
    <w:p w14:paraId="74B1949A"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Ms </w:t>
      </w:r>
      <w:proofErr w:type="spellStart"/>
      <w:r w:rsidRPr="00CD2B08">
        <w:rPr>
          <w:rFonts w:ascii="Times New Roman" w:hAnsi="Times New Roman"/>
        </w:rPr>
        <w:t>Wigmans</w:t>
      </w:r>
      <w:proofErr w:type="spellEnd"/>
      <w:r w:rsidRPr="00CD2B08">
        <w:rPr>
          <w:rFonts w:ascii="Times New Roman" w:hAnsi="Times New Roman"/>
        </w:rPr>
        <w:t xml:space="preserve"> contended that the "multifactorial approach" adopted by the primary judge improperly departed from the first</w:t>
      </w:r>
      <w:r w:rsidRPr="00CD2B08">
        <w:rPr>
          <w:rFonts w:ascii="Times New Roman" w:hAnsi="Times New Roman"/>
        </w:rPr>
        <w:noBreakHyphen/>
        <w:t>in</w:t>
      </w:r>
      <w:r w:rsidRPr="00CD2B08">
        <w:rPr>
          <w:rFonts w:ascii="Times New Roman" w:hAnsi="Times New Roman"/>
        </w:rPr>
        <w:noBreakHyphen/>
        <w:t xml:space="preserve">time rule or presumption and improperly imported a "carriage" or "certification" procedure from the United States and Canada that Pt 10 of the CPA does not authorise. </w:t>
      </w:r>
    </w:p>
    <w:p w14:paraId="5B9ED48D"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Ms </w:t>
      </w:r>
      <w:proofErr w:type="spellStart"/>
      <w:r w:rsidRPr="00CD2B08">
        <w:rPr>
          <w:rFonts w:ascii="Times New Roman" w:hAnsi="Times New Roman"/>
        </w:rPr>
        <w:t>Wigmans</w:t>
      </w:r>
      <w:proofErr w:type="spellEnd"/>
      <w:r w:rsidRPr="00CD2B08">
        <w:rPr>
          <w:rFonts w:ascii="Times New Roman" w:hAnsi="Times New Roman"/>
        </w:rPr>
        <w:t xml:space="preserve"> further submitted that the primary judge erred in acting upon the assumption that the proceedings brought by each of Ms </w:t>
      </w:r>
      <w:proofErr w:type="spellStart"/>
      <w:r w:rsidRPr="00CD2B08">
        <w:rPr>
          <w:rFonts w:ascii="Times New Roman" w:hAnsi="Times New Roman"/>
        </w:rPr>
        <w:t>Wigmans</w:t>
      </w:r>
      <w:proofErr w:type="spellEnd"/>
      <w:r w:rsidRPr="00CD2B08">
        <w:rPr>
          <w:rFonts w:ascii="Times New Roman" w:hAnsi="Times New Roman"/>
        </w:rPr>
        <w:t xml:space="preserve"> and </w:t>
      </w:r>
      <w:proofErr w:type="spellStart"/>
      <w:r w:rsidRPr="00CD2B08">
        <w:rPr>
          <w:rFonts w:ascii="Times New Roman" w:hAnsi="Times New Roman"/>
        </w:rPr>
        <w:t>Komlotex</w:t>
      </w:r>
      <w:proofErr w:type="spellEnd"/>
      <w:r w:rsidRPr="00CD2B08">
        <w:rPr>
          <w:rFonts w:ascii="Times New Roman" w:hAnsi="Times New Roman"/>
        </w:rPr>
        <w:t xml:space="preserve"> against AMP had an equal probability of achieving a possible settlement or judgment outcome within the range of possible outcomes.</w:t>
      </w:r>
    </w:p>
    <w:p w14:paraId="774D01C2" w14:textId="77777777" w:rsidR="009A3DE4" w:rsidRPr="00CD2B08" w:rsidRDefault="009A3DE4" w:rsidP="00CD2B08">
      <w:pPr>
        <w:pStyle w:val="HeadingL1"/>
        <w:spacing w:after="260" w:line="280" w:lineRule="exact"/>
        <w:ind w:right="0"/>
        <w:jc w:val="both"/>
        <w:rPr>
          <w:rFonts w:ascii="Times New Roman" w:hAnsi="Times New Roman"/>
        </w:rPr>
      </w:pPr>
      <w:r w:rsidRPr="00CD2B08">
        <w:rPr>
          <w:rFonts w:ascii="Times New Roman" w:hAnsi="Times New Roman"/>
        </w:rPr>
        <w:t>Power to grant a stay</w:t>
      </w:r>
    </w:p>
    <w:p w14:paraId="604955D4"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The source of the Supreme Court's power to grant a stay is found in s 67 in Pt 6 of the CPA. It is a power to "at any time and from time to time, by order, stay any proceedings before it, either permanently or until a specified day"</w:t>
      </w:r>
      <w:r w:rsidRPr="00CD2B08">
        <w:rPr>
          <w:rStyle w:val="FootnoteReference"/>
          <w:rFonts w:ascii="Times New Roman" w:hAnsi="Times New Roman"/>
          <w:sz w:val="24"/>
        </w:rPr>
        <w:footnoteReference w:id="65"/>
      </w:r>
      <w:r w:rsidRPr="00CD2B08">
        <w:rPr>
          <w:rFonts w:ascii="Times New Roman" w:hAnsi="Times New Roman"/>
        </w:rPr>
        <w:t>. It encompasses, and overlaps with, the Supreme Court's inherent power to stay a proceeding to prevent abuse of its processes</w:t>
      </w:r>
      <w:r w:rsidRPr="00CD2B08">
        <w:rPr>
          <w:rStyle w:val="FootnoteReference"/>
          <w:rFonts w:ascii="Times New Roman" w:hAnsi="Times New Roman"/>
          <w:sz w:val="24"/>
        </w:rPr>
        <w:footnoteReference w:id="66"/>
      </w:r>
      <w:r w:rsidRPr="00CD2B08">
        <w:rPr>
          <w:rFonts w:ascii="Times New Roman" w:hAnsi="Times New Roman"/>
        </w:rPr>
        <w:t>, which extends to staying proceedings that are frivolous, vexatious or oppressive</w:t>
      </w:r>
      <w:r w:rsidRPr="00CD2B08">
        <w:rPr>
          <w:rStyle w:val="FootnoteReference"/>
          <w:rFonts w:ascii="Times New Roman" w:hAnsi="Times New Roman"/>
          <w:sz w:val="24"/>
        </w:rPr>
        <w:footnoteReference w:id="67"/>
      </w:r>
      <w:r w:rsidRPr="00CD2B08">
        <w:rPr>
          <w:rFonts w:ascii="Times New Roman" w:hAnsi="Times New Roman"/>
        </w:rPr>
        <w:t xml:space="preserve">. </w:t>
      </w:r>
    </w:p>
    <w:p w14:paraId="786E84A6"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The scope of the power is to be determined by considering the text of s 67 in its context. Section 67 confers a broad power on the Supreme Court to stay proceedings; it is </w:t>
      </w:r>
      <w:r w:rsidRPr="00CD2B08">
        <w:rPr>
          <w:rFonts w:ascii="Times New Roman" w:hAnsi="Times New Roman"/>
          <w:i/>
        </w:rPr>
        <w:t xml:space="preserve">a </w:t>
      </w:r>
      <w:r w:rsidRPr="00CD2B08">
        <w:rPr>
          <w:rFonts w:ascii="Times New Roman" w:hAnsi="Times New Roman"/>
        </w:rPr>
        <w:t>means by which that</w:t>
      </w:r>
      <w:r w:rsidRPr="00CD2B08" w:rsidDel="00DA72D4">
        <w:rPr>
          <w:rFonts w:ascii="Times New Roman" w:hAnsi="Times New Roman"/>
        </w:rPr>
        <w:t xml:space="preserve"> </w:t>
      </w:r>
      <w:r w:rsidRPr="00CD2B08">
        <w:rPr>
          <w:rFonts w:ascii="Times New Roman" w:hAnsi="Times New Roman"/>
        </w:rPr>
        <w:t xml:space="preserve">Court can regulate its processes and manage cases before it in accordance with the principles set out in Pt 6 of the CPA. </w:t>
      </w:r>
    </w:p>
    <w:p w14:paraId="42E3BDF4"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lastRenderedPageBreak/>
        <w:tab/>
        <w:t>Section 67 does not</w:t>
      </w:r>
      <w:r w:rsidRPr="00CD2B08" w:rsidDel="00233C01">
        <w:rPr>
          <w:rFonts w:ascii="Times New Roman" w:hAnsi="Times New Roman"/>
        </w:rPr>
        <w:t xml:space="preserve"> </w:t>
      </w:r>
      <w:r w:rsidRPr="00CD2B08">
        <w:rPr>
          <w:rFonts w:ascii="Times New Roman" w:hAnsi="Times New Roman"/>
        </w:rPr>
        <w:t>provide for any particular criteria relevant to the exercise of the power</w:t>
      </w:r>
      <w:r w:rsidRPr="00CD2B08">
        <w:rPr>
          <w:rStyle w:val="FootnoteReference"/>
          <w:rFonts w:ascii="Times New Roman" w:hAnsi="Times New Roman"/>
          <w:sz w:val="24"/>
        </w:rPr>
        <w:footnoteReference w:id="68"/>
      </w:r>
      <w:r w:rsidRPr="00CD2B08">
        <w:rPr>
          <w:rFonts w:ascii="Times New Roman" w:hAnsi="Times New Roman"/>
        </w:rPr>
        <w:t xml:space="preserve">. But the power is not unconstrained. Some considerations are mandated by other provisions in Pt 6 of the CPA. Section 58(1) provides that in making any order or direction for the management of proceedings (including the grant of a stay), the court </w:t>
      </w:r>
      <w:r w:rsidRPr="00CD2B08">
        <w:rPr>
          <w:rFonts w:ascii="Times New Roman" w:hAnsi="Times New Roman"/>
          <w:i/>
        </w:rPr>
        <w:t>must</w:t>
      </w:r>
      <w:r w:rsidRPr="00CD2B08">
        <w:rPr>
          <w:rFonts w:ascii="Times New Roman" w:hAnsi="Times New Roman"/>
        </w:rPr>
        <w:t xml:space="preserve"> seek to act in accordance with the dictates of justice. Section 58(2) provides that, in doing so, the court </w:t>
      </w:r>
      <w:r w:rsidRPr="00CD2B08">
        <w:rPr>
          <w:rFonts w:ascii="Times New Roman" w:hAnsi="Times New Roman"/>
          <w:i/>
        </w:rPr>
        <w:t>must</w:t>
      </w:r>
      <w:r w:rsidRPr="00CD2B08">
        <w:rPr>
          <w:rFonts w:ascii="Times New Roman" w:hAnsi="Times New Roman"/>
        </w:rPr>
        <w:t xml:space="preserve"> have regard to s 56 (the</w:t>
      </w:r>
      <w:r>
        <w:rPr>
          <w:rFonts w:ascii="Times New Roman" w:hAnsi="Times New Roman"/>
        </w:rPr>
        <w:t> </w:t>
      </w:r>
      <w:r w:rsidRPr="00CD2B08">
        <w:rPr>
          <w:rFonts w:ascii="Times New Roman" w:hAnsi="Times New Roman"/>
        </w:rPr>
        <w:t xml:space="preserve">overriding purpose of the CPA and the rules of court, being to facilitate the just, quick and cheap resolution of the real issues in the proceedings) and to s 57 (the objects of case management, including the just determination of the proceedings and the timely disposal of the proceedings, and all other proceedings in the court, at a cost affordable by the respective parties). Part 6 of the CPA also provides that for the purpose of determining the dictates of justice in a particular case, the court </w:t>
      </w:r>
      <w:r w:rsidRPr="00CD2B08">
        <w:rPr>
          <w:rFonts w:ascii="Times New Roman" w:hAnsi="Times New Roman"/>
          <w:i/>
        </w:rPr>
        <w:t>may</w:t>
      </w:r>
      <w:r w:rsidRPr="00CD2B08">
        <w:rPr>
          <w:rFonts w:ascii="Times New Roman" w:hAnsi="Times New Roman"/>
        </w:rPr>
        <w:t xml:space="preserve"> have regard, among other things, to the complexity of the issues</w:t>
      </w:r>
      <w:r w:rsidRPr="00CD2B08">
        <w:rPr>
          <w:rStyle w:val="FootnoteReference"/>
          <w:rFonts w:ascii="Times New Roman" w:hAnsi="Times New Roman"/>
          <w:sz w:val="24"/>
        </w:rPr>
        <w:footnoteReference w:id="69"/>
      </w:r>
      <w:r w:rsidRPr="00CD2B08">
        <w:rPr>
          <w:rFonts w:ascii="Times New Roman" w:hAnsi="Times New Roman"/>
        </w:rPr>
        <w:t>, the degree of injustice that would be suffered by the respective parties as a consequence of any order or direction</w:t>
      </w:r>
      <w:r w:rsidRPr="00CD2B08">
        <w:rPr>
          <w:rStyle w:val="FootnoteReference"/>
          <w:rFonts w:ascii="Times New Roman" w:hAnsi="Times New Roman"/>
          <w:sz w:val="24"/>
        </w:rPr>
        <w:footnoteReference w:id="70"/>
      </w:r>
      <w:r w:rsidRPr="00CD2B08">
        <w:rPr>
          <w:rFonts w:ascii="Times New Roman" w:hAnsi="Times New Roman"/>
        </w:rPr>
        <w:t xml:space="preserve"> and "such other matters as the court considers relevant in the circumstances of the case"</w:t>
      </w:r>
      <w:r w:rsidRPr="00CD2B08">
        <w:rPr>
          <w:rStyle w:val="FootnoteReference"/>
          <w:rFonts w:ascii="Times New Roman" w:hAnsi="Times New Roman"/>
          <w:sz w:val="24"/>
        </w:rPr>
        <w:footnoteReference w:id="71"/>
      </w:r>
      <w:r w:rsidRPr="00CD2B08">
        <w:rPr>
          <w:rFonts w:ascii="Times New Roman" w:hAnsi="Times New Roman"/>
        </w:rPr>
        <w:t xml:space="preserve">. </w:t>
      </w:r>
    </w:p>
    <w:p w14:paraId="35FB17FA"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There is, however, nothing in s 67, read with Pt 6, that supports Ms </w:t>
      </w:r>
      <w:proofErr w:type="spellStart"/>
      <w:r w:rsidRPr="00CD2B08">
        <w:rPr>
          <w:rFonts w:ascii="Times New Roman" w:hAnsi="Times New Roman"/>
        </w:rPr>
        <w:t>Wigmans</w:t>
      </w:r>
      <w:proofErr w:type="spellEnd"/>
      <w:r w:rsidRPr="00CD2B08">
        <w:rPr>
          <w:rFonts w:ascii="Times New Roman" w:hAnsi="Times New Roman"/>
        </w:rPr>
        <w:t>' contention that the considerations to which a court might have regard in exercising the power</w:t>
      </w:r>
      <w:r w:rsidRPr="00CD2B08" w:rsidDel="00D35A3F">
        <w:rPr>
          <w:rFonts w:ascii="Times New Roman" w:hAnsi="Times New Roman"/>
        </w:rPr>
        <w:t xml:space="preserve"> </w:t>
      </w:r>
      <w:r w:rsidRPr="00CD2B08">
        <w:rPr>
          <w:rFonts w:ascii="Times New Roman" w:hAnsi="Times New Roman"/>
        </w:rPr>
        <w:t>in s 67 are to be confined, or that the statutorily identified considerations (both mandatory and discretionary) applying to the exercise of the power are to be displaced, by reference to a first</w:t>
      </w:r>
      <w:r w:rsidRPr="00CD2B08">
        <w:rPr>
          <w:rFonts w:ascii="Times New Roman" w:hAnsi="Times New Roman"/>
        </w:rPr>
        <w:noBreakHyphen/>
        <w:t>in</w:t>
      </w:r>
      <w:r w:rsidRPr="00CD2B08">
        <w:rPr>
          <w:rFonts w:ascii="Times New Roman" w:hAnsi="Times New Roman"/>
        </w:rPr>
        <w:noBreakHyphen/>
        <w:t>time rule or presumption</w:t>
      </w:r>
      <w:r w:rsidRPr="00CD2B08">
        <w:rPr>
          <w:rStyle w:val="FootnoteReference"/>
          <w:rFonts w:ascii="Times New Roman" w:hAnsi="Times New Roman"/>
          <w:sz w:val="24"/>
        </w:rPr>
        <w:footnoteReference w:id="72"/>
      </w:r>
      <w:r w:rsidRPr="00CD2B08">
        <w:rPr>
          <w:rFonts w:ascii="Times New Roman" w:hAnsi="Times New Roman"/>
        </w:rPr>
        <w:t xml:space="preserve">. The provisions of Pt 6 do not disclose any legislative intent that the court must give predominant (or indeed any) weight to the order in which competing proceedings were filed. </w:t>
      </w:r>
    </w:p>
    <w:p w14:paraId="7CD39F98"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lastRenderedPageBreak/>
        <w:tab/>
        <w:t>The conclusion that there is no first</w:t>
      </w:r>
      <w:r w:rsidRPr="00CD2B08">
        <w:rPr>
          <w:rFonts w:ascii="Times New Roman" w:hAnsi="Times New Roman"/>
        </w:rPr>
        <w:noBreakHyphen/>
        <w:t>in</w:t>
      </w:r>
      <w:r w:rsidRPr="00CD2B08">
        <w:rPr>
          <w:rFonts w:ascii="Times New Roman" w:hAnsi="Times New Roman"/>
        </w:rPr>
        <w:noBreakHyphen/>
        <w:t>time rule or presumption is reinforced by the scheme of Pt 10</w:t>
      </w:r>
      <w:r w:rsidRPr="00CD2B08">
        <w:rPr>
          <w:rStyle w:val="FootnoteReference"/>
          <w:rFonts w:ascii="Times New Roman" w:hAnsi="Times New Roman"/>
          <w:sz w:val="24"/>
        </w:rPr>
        <w:footnoteReference w:id="73"/>
      </w:r>
      <w:r w:rsidRPr="00CD2B08">
        <w:rPr>
          <w:rFonts w:ascii="Times New Roman" w:hAnsi="Times New Roman"/>
        </w:rPr>
        <w:t>. There is nothing in Pt 10 that expressly cuts down or is inconsistent with the broad power of stay under s 67 and, in particular, there is no provision in Pt 10 that expressly or impliedly prevents the filing of a second representative proceeding against a defendant in relation to a controversy. To the contrary, where seven or more persons have claims against the same person</w:t>
      </w:r>
      <w:r w:rsidRPr="00CD2B08">
        <w:rPr>
          <w:rStyle w:val="FootnoteReference"/>
          <w:rFonts w:ascii="Times New Roman" w:hAnsi="Times New Roman"/>
          <w:sz w:val="24"/>
        </w:rPr>
        <w:footnoteReference w:id="74"/>
      </w:r>
      <w:r w:rsidRPr="00CD2B08">
        <w:rPr>
          <w:rFonts w:ascii="Times New Roman" w:hAnsi="Times New Roman"/>
        </w:rPr>
        <w:t>, and the conditions in s 157(1)(b) and (c) are met</w:t>
      </w:r>
      <w:r w:rsidRPr="00CD2B08">
        <w:rPr>
          <w:rStyle w:val="FootnoteReference"/>
          <w:rFonts w:ascii="Times New Roman" w:hAnsi="Times New Roman"/>
          <w:sz w:val="24"/>
        </w:rPr>
        <w:footnoteReference w:id="75"/>
      </w:r>
      <w:r w:rsidRPr="00CD2B08">
        <w:rPr>
          <w:rFonts w:ascii="Times New Roman" w:hAnsi="Times New Roman"/>
        </w:rPr>
        <w:t>, s 157 permits "one or more" of those persons to commence proceedings representing some or all of them. Under that statutory scheme</w:t>
      </w:r>
      <w:r w:rsidRPr="00CD2B08">
        <w:rPr>
          <w:rStyle w:val="FootnoteReference"/>
          <w:rFonts w:ascii="Times New Roman" w:hAnsi="Times New Roman"/>
          <w:sz w:val="24"/>
        </w:rPr>
        <w:footnoteReference w:id="76"/>
      </w:r>
      <w:r w:rsidRPr="00CD2B08">
        <w:rPr>
          <w:rFonts w:ascii="Times New Roman" w:hAnsi="Times New Roman"/>
        </w:rPr>
        <w:t>:</w:t>
      </w:r>
    </w:p>
    <w:p w14:paraId="5D9E78E3" w14:textId="77777777" w:rsidR="009A3DE4"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t xml:space="preserve">"[t]he representative proceeding may represent some or all of those who have such a claim. The claims of the applicant and the group members must give rise to a substantial common issue of law or fact, </w:t>
      </w:r>
      <w:r w:rsidRPr="00CD2B08">
        <w:rPr>
          <w:rFonts w:ascii="Times New Roman" w:hAnsi="Times New Roman"/>
          <w:i/>
        </w:rPr>
        <w:t>but the group members need not necessarily share a common interest</w:t>
      </w:r>
      <w:r w:rsidRPr="00CD2B08">
        <w:rPr>
          <w:rFonts w:ascii="Times New Roman" w:hAnsi="Times New Roman"/>
        </w:rPr>
        <w:t>. Indeed, the claims need not be based on the same conduct." (emphasis added)</w:t>
      </w:r>
    </w:p>
    <w:p w14:paraId="2390813F"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Moreover, Pt 10 forms part of the CPA and, like any other Act, the CPA must be read as a harmonious whole</w:t>
      </w:r>
      <w:r w:rsidRPr="00CD2B08">
        <w:rPr>
          <w:rStyle w:val="FootnoteReference"/>
          <w:rFonts w:ascii="Times New Roman" w:hAnsi="Times New Roman"/>
          <w:sz w:val="24"/>
        </w:rPr>
        <w:footnoteReference w:id="77"/>
      </w:r>
      <w:r w:rsidRPr="00CD2B08">
        <w:rPr>
          <w:rFonts w:ascii="Times New Roman" w:hAnsi="Times New Roman"/>
        </w:rPr>
        <w:t xml:space="preserve">. The introduction of Pt 10 into the CPA in 2010 did not remove or dilute the Supreme Court's existing powers, but provided </w:t>
      </w:r>
      <w:r w:rsidRPr="00CD2B08">
        <w:rPr>
          <w:rFonts w:ascii="Times New Roman" w:hAnsi="Times New Roman"/>
        </w:rPr>
        <w:lastRenderedPageBreak/>
        <w:t>a more detailed regime</w:t>
      </w:r>
      <w:r w:rsidRPr="00CD2B08">
        <w:rPr>
          <w:rStyle w:val="FootnoteReference"/>
          <w:rFonts w:ascii="Times New Roman" w:hAnsi="Times New Roman"/>
          <w:sz w:val="24"/>
        </w:rPr>
        <w:footnoteReference w:id="78"/>
      </w:r>
      <w:r w:rsidRPr="00CD2B08" w:rsidDel="00AE103D">
        <w:rPr>
          <w:rFonts w:ascii="Times New Roman" w:hAnsi="Times New Roman"/>
        </w:rPr>
        <w:t xml:space="preserve"> </w:t>
      </w:r>
      <w:r w:rsidRPr="00CD2B08">
        <w:rPr>
          <w:rFonts w:ascii="Times New Roman" w:hAnsi="Times New Roman"/>
        </w:rPr>
        <w:t>compared with the pre</w:t>
      </w:r>
      <w:r w:rsidRPr="00CD2B08">
        <w:rPr>
          <w:rFonts w:ascii="Times New Roman" w:hAnsi="Times New Roman"/>
        </w:rPr>
        <w:noBreakHyphen/>
        <w:t>existing rules of civil procedure</w:t>
      </w:r>
      <w:r w:rsidRPr="00CD2B08">
        <w:rPr>
          <w:rStyle w:val="FootnoteReference"/>
          <w:rFonts w:ascii="Times New Roman" w:hAnsi="Times New Roman"/>
          <w:sz w:val="24"/>
        </w:rPr>
        <w:footnoteReference w:id="79"/>
      </w:r>
      <w:r w:rsidRPr="00CD2B08">
        <w:rPr>
          <w:rFonts w:ascii="Times New Roman" w:hAnsi="Times New Roman"/>
        </w:rPr>
        <w:t xml:space="preserve"> that provided for representative proceedings</w:t>
      </w:r>
      <w:r w:rsidRPr="00CD2B08">
        <w:rPr>
          <w:rStyle w:val="FootnoteReference"/>
          <w:rFonts w:ascii="Times New Roman" w:hAnsi="Times New Roman"/>
          <w:sz w:val="24"/>
        </w:rPr>
        <w:footnoteReference w:id="80"/>
      </w:r>
      <w:r w:rsidRPr="00CD2B08">
        <w:rPr>
          <w:rFonts w:ascii="Times New Roman" w:hAnsi="Times New Roman"/>
        </w:rPr>
        <w:t xml:space="preserve">. </w:t>
      </w:r>
      <w:r w:rsidRPr="00CD2B08" w:rsidDel="004D1B7A">
        <w:rPr>
          <w:rFonts w:ascii="Times New Roman" w:hAnsi="Times New Roman"/>
        </w:rPr>
        <w:t xml:space="preserve">Contrary to </w:t>
      </w:r>
      <w:r w:rsidRPr="00CD2B08">
        <w:rPr>
          <w:rFonts w:ascii="Times New Roman" w:hAnsi="Times New Roman"/>
        </w:rPr>
        <w:t>Ms </w:t>
      </w:r>
      <w:proofErr w:type="spellStart"/>
      <w:r w:rsidRPr="00CD2B08" w:rsidDel="004D1B7A">
        <w:rPr>
          <w:rFonts w:ascii="Times New Roman" w:hAnsi="Times New Roman"/>
        </w:rPr>
        <w:t>Wigmans</w:t>
      </w:r>
      <w:proofErr w:type="spellEnd"/>
      <w:r w:rsidRPr="00CD2B08" w:rsidDel="004D1B7A">
        <w:rPr>
          <w:rFonts w:ascii="Times New Roman" w:hAnsi="Times New Roman"/>
        </w:rPr>
        <w:t xml:space="preserve">' submission, </w:t>
      </w:r>
      <w:r w:rsidRPr="00CD2B08">
        <w:rPr>
          <w:rFonts w:ascii="Times New Roman" w:hAnsi="Times New Roman"/>
        </w:rPr>
        <w:t>recognition that there may be multiple representative proceedings which overlap in various ways</w:t>
      </w:r>
      <w:r w:rsidRPr="00CD2B08" w:rsidDel="004D1B7A">
        <w:rPr>
          <w:rFonts w:ascii="Times New Roman" w:hAnsi="Times New Roman"/>
        </w:rPr>
        <w:t xml:space="preserve"> is not inconsistent with one objective of Pt 10 being "to</w:t>
      </w:r>
      <w:r w:rsidRPr="00CD2B08">
        <w:rPr>
          <w:rFonts w:ascii="Times New Roman" w:hAnsi="Times New Roman"/>
        </w:rPr>
        <w:t> </w:t>
      </w:r>
      <w:r w:rsidRPr="00CD2B08" w:rsidDel="004D1B7A">
        <w:rPr>
          <w:rFonts w:ascii="Times New Roman" w:hAnsi="Times New Roman"/>
        </w:rPr>
        <w:t>increase the efficiency of the administration of justice by allowing a common binding decision to be made in one proceeding rather than multiple suits"</w:t>
      </w:r>
      <w:r w:rsidRPr="00CD2B08">
        <w:rPr>
          <w:rStyle w:val="FootnoteReference"/>
          <w:rFonts w:ascii="Times New Roman" w:hAnsi="Times New Roman"/>
          <w:sz w:val="24"/>
        </w:rPr>
        <w:footnoteReference w:id="81"/>
      </w:r>
      <w:r w:rsidRPr="00CD2B08">
        <w:rPr>
          <w:rFonts w:ascii="Times New Roman" w:hAnsi="Times New Roman"/>
        </w:rPr>
        <w:t>. That</w:t>
      </w:r>
      <w:r>
        <w:rPr>
          <w:rFonts w:ascii="Times New Roman" w:hAnsi="Times New Roman"/>
        </w:rPr>
        <w:t> </w:t>
      </w:r>
      <w:r w:rsidRPr="00CD2B08">
        <w:rPr>
          <w:rFonts w:ascii="Times New Roman" w:hAnsi="Times New Roman"/>
        </w:rPr>
        <w:t>objective</w:t>
      </w:r>
      <w:r w:rsidRPr="00CD2B08" w:rsidDel="009E4782">
        <w:rPr>
          <w:rFonts w:ascii="Times New Roman" w:hAnsi="Times New Roman"/>
        </w:rPr>
        <w:t xml:space="preserve"> </w:t>
      </w:r>
      <w:r w:rsidRPr="00CD2B08">
        <w:rPr>
          <w:rFonts w:ascii="Times New Roman" w:hAnsi="Times New Roman"/>
        </w:rPr>
        <w:t xml:space="preserve">poses the question of how to resolve </w:t>
      </w:r>
      <w:r w:rsidRPr="00CD2B08" w:rsidDel="004D1B7A">
        <w:rPr>
          <w:rFonts w:ascii="Times New Roman" w:hAnsi="Times New Roman"/>
        </w:rPr>
        <w:t>multiplicity when it arises</w:t>
      </w:r>
      <w:r w:rsidRPr="00CD2B08">
        <w:rPr>
          <w:rFonts w:ascii="Times New Roman" w:hAnsi="Times New Roman"/>
        </w:rPr>
        <w:t>. It does not answer it</w:t>
      </w:r>
      <w:r w:rsidRPr="00CD2B08" w:rsidDel="004D1B7A">
        <w:rPr>
          <w:rFonts w:ascii="Times New Roman" w:hAnsi="Times New Roman"/>
        </w:rPr>
        <w:t>.</w:t>
      </w:r>
      <w:r w:rsidRPr="00CD2B08">
        <w:rPr>
          <w:rFonts w:ascii="Times New Roman" w:hAnsi="Times New Roman"/>
        </w:rPr>
        <w:t xml:space="preserve"> </w:t>
      </w:r>
    </w:p>
    <w:p w14:paraId="79BB0D1F"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Nor does anything in Pt 10 evince an intention that a party to a representative proceeding (including a representative plaintiff) or a group member must use and only use the provisions of Pt 10 if dissatisfied with the conduct of an existing representative proceeding. Provisions in Pt 10, such as ss 171 and 162, do not detract from the Supreme Court's power to stay competing representative proceedings or impose any limitation of the kind contended for by Ms </w:t>
      </w:r>
      <w:proofErr w:type="spellStart"/>
      <w:r w:rsidRPr="00CD2B08">
        <w:rPr>
          <w:rFonts w:ascii="Times New Roman" w:hAnsi="Times New Roman"/>
        </w:rPr>
        <w:t>Wigmans</w:t>
      </w:r>
      <w:proofErr w:type="spellEnd"/>
      <w:r w:rsidRPr="00CD2B08">
        <w:rPr>
          <w:rFonts w:ascii="Times New Roman" w:hAnsi="Times New Roman"/>
        </w:rPr>
        <w:t xml:space="preserve">. </w:t>
      </w:r>
    </w:p>
    <w:p w14:paraId="17F36A28"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Section 171 permits a group member to apply to replace a representative plaintiff where the existing plaintiff is "not able adequately to represent the interests of the group members". It is not concerned with, and does not address, a circumstance where competing representative plaintiffs believe they are able to </w:t>
      </w:r>
      <w:r w:rsidRPr="00CD2B08">
        <w:rPr>
          <w:rFonts w:ascii="Times New Roman" w:hAnsi="Times New Roman"/>
          <w:i/>
        </w:rPr>
        <w:t>more adequately</w:t>
      </w:r>
      <w:r w:rsidRPr="00CD2B08">
        <w:rPr>
          <w:rFonts w:ascii="Times New Roman" w:hAnsi="Times New Roman"/>
        </w:rPr>
        <w:t xml:space="preserve"> represent the interests of all or some group members.</w:t>
      </w:r>
    </w:p>
    <w:p w14:paraId="703C38CD"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Section 162 provides that a group member may opt out of representative proceedings</w:t>
      </w:r>
      <w:r w:rsidRPr="00CD2B08">
        <w:rPr>
          <w:rStyle w:val="FootnoteReference"/>
          <w:rFonts w:ascii="Times New Roman" w:hAnsi="Times New Roman"/>
          <w:sz w:val="24"/>
        </w:rPr>
        <w:footnoteReference w:id="82"/>
      </w:r>
      <w:r w:rsidRPr="00CD2B08">
        <w:rPr>
          <w:rFonts w:ascii="Times New Roman" w:hAnsi="Times New Roman"/>
        </w:rPr>
        <w:t xml:space="preserve"> and that, except with leave, the hearing of representative </w:t>
      </w:r>
      <w:r w:rsidRPr="00CD2B08">
        <w:rPr>
          <w:rFonts w:ascii="Times New Roman" w:hAnsi="Times New Roman"/>
        </w:rPr>
        <w:lastRenderedPageBreak/>
        <w:t xml:space="preserve">proceedings must </w:t>
      </w:r>
      <w:r w:rsidRPr="00CD2B08">
        <w:rPr>
          <w:rFonts w:ascii="Times New Roman" w:hAnsi="Times New Roman"/>
          <w:i/>
        </w:rPr>
        <w:t>not</w:t>
      </w:r>
      <w:r w:rsidRPr="00CD2B08">
        <w:rPr>
          <w:rFonts w:ascii="Times New Roman" w:hAnsi="Times New Roman"/>
        </w:rPr>
        <w:t xml:space="preserve"> commence earlier than the date before which a group member may opt out of the proceedings</w:t>
      </w:r>
      <w:r w:rsidRPr="00CD2B08">
        <w:rPr>
          <w:rStyle w:val="FootnoteReference"/>
          <w:rFonts w:ascii="Times New Roman" w:hAnsi="Times New Roman"/>
          <w:sz w:val="24"/>
        </w:rPr>
        <w:footnoteReference w:id="83"/>
      </w:r>
      <w:r w:rsidRPr="00CD2B08">
        <w:rPr>
          <w:rFonts w:ascii="Times New Roman" w:hAnsi="Times New Roman"/>
        </w:rPr>
        <w:t>. The right to opt out preserves to the group member the ability to individually pursue proceedings outside the representative proceeding regime in Pt 10, to choose between representative proceedings or, for whatever reason, not to seek relief under Pt 10 or otherwise.</w:t>
      </w:r>
    </w:p>
    <w:p w14:paraId="515BFA1F"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Part 10 also identifies other considerations which </w:t>
      </w:r>
      <w:r w:rsidRPr="00CD2B08">
        <w:rPr>
          <w:rFonts w:ascii="Times New Roman" w:hAnsi="Times New Roman"/>
          <w:i/>
        </w:rPr>
        <w:t>may</w:t>
      </w:r>
      <w:r w:rsidRPr="00CD2B08">
        <w:rPr>
          <w:rFonts w:ascii="Times New Roman" w:hAnsi="Times New Roman"/>
        </w:rPr>
        <w:t xml:space="preserve"> be relevant in dealing with competing representative proceedings. Section 162, which has been addressed, provides one of them. Whether the date before which a group member may opt out of the proceeding has passed may be relevant. Section 166 provides another example. It</w:t>
      </w:r>
      <w:r w:rsidRPr="00CD2B08" w:rsidDel="0083510E">
        <w:rPr>
          <w:rFonts w:ascii="Times New Roman" w:hAnsi="Times New Roman"/>
        </w:rPr>
        <w:t xml:space="preserve"> </w:t>
      </w:r>
      <w:r w:rsidRPr="00CD2B08">
        <w:rPr>
          <w:rFonts w:ascii="Times New Roman" w:hAnsi="Times New Roman"/>
        </w:rPr>
        <w:t>stipulates that the Supreme Court may, on application by a defendant, or of its own motion, order that proceedings no longer continue under Pt 10 if satisfied that it is in the interests of justice to do so for one of a number of reasons. Those reasons include that: the costs that would be incurred if the proceedings were to continue as representative proceedings are likely to exceed the costs that would be incurred if each group member conducted a separate proceeding</w:t>
      </w:r>
      <w:r w:rsidRPr="00CD2B08">
        <w:rPr>
          <w:rStyle w:val="FootnoteReference"/>
          <w:rFonts w:ascii="Times New Roman" w:hAnsi="Times New Roman"/>
          <w:sz w:val="24"/>
        </w:rPr>
        <w:footnoteReference w:id="84"/>
      </w:r>
      <w:r w:rsidRPr="00CD2B08">
        <w:rPr>
          <w:rFonts w:ascii="Times New Roman" w:hAnsi="Times New Roman"/>
        </w:rPr>
        <w:t>; the representative proceedings will not provide an efficient and effective means of dealing with the claims of group members</w:t>
      </w:r>
      <w:r w:rsidRPr="00CD2B08">
        <w:rPr>
          <w:rStyle w:val="FootnoteReference"/>
          <w:rFonts w:ascii="Times New Roman" w:hAnsi="Times New Roman"/>
          <w:sz w:val="24"/>
        </w:rPr>
        <w:footnoteReference w:id="85"/>
      </w:r>
      <w:r w:rsidRPr="00CD2B08">
        <w:rPr>
          <w:rFonts w:ascii="Times New Roman" w:hAnsi="Times New Roman"/>
        </w:rPr>
        <w:t>; a representative party is not able to adequately represent the interests of the group members</w:t>
      </w:r>
      <w:r w:rsidRPr="00CD2B08">
        <w:rPr>
          <w:rStyle w:val="FootnoteReference"/>
          <w:rFonts w:ascii="Times New Roman" w:hAnsi="Times New Roman"/>
          <w:sz w:val="24"/>
        </w:rPr>
        <w:footnoteReference w:id="86"/>
      </w:r>
      <w:r w:rsidRPr="00CD2B08">
        <w:rPr>
          <w:rFonts w:ascii="Times New Roman" w:hAnsi="Times New Roman"/>
        </w:rPr>
        <w:t>; and</w:t>
      </w:r>
      <w:r>
        <w:rPr>
          <w:rFonts w:ascii="Times New Roman" w:hAnsi="Times New Roman"/>
        </w:rPr>
        <w:t> </w:t>
      </w:r>
      <w:r w:rsidRPr="00CD2B08">
        <w:rPr>
          <w:rFonts w:ascii="Times New Roman" w:hAnsi="Times New Roman"/>
        </w:rPr>
        <w:t>it is otherwise inappropriate that the claims be pursued by means of representative proceedings</w:t>
      </w:r>
      <w:r w:rsidRPr="00CD2B08">
        <w:rPr>
          <w:rStyle w:val="FootnoteReference"/>
          <w:rFonts w:ascii="Times New Roman" w:hAnsi="Times New Roman"/>
          <w:sz w:val="24"/>
        </w:rPr>
        <w:footnoteReference w:id="87"/>
      </w:r>
      <w:r w:rsidRPr="00CD2B08">
        <w:rPr>
          <w:rFonts w:ascii="Times New Roman" w:hAnsi="Times New Roman"/>
        </w:rPr>
        <w:t xml:space="preserve">. In relation to the last of those matters, s 166(2) provides that it is not inappropriate for claims to be pursued by means of representative proceedings merely because the </w:t>
      </w:r>
      <w:r w:rsidRPr="00CD2B08">
        <w:rPr>
          <w:rFonts w:ascii="Times New Roman" w:hAnsi="Times New Roman"/>
          <w:i/>
        </w:rPr>
        <w:t>persons identified as group members</w:t>
      </w:r>
      <w:r w:rsidRPr="00CD2B08">
        <w:rPr>
          <w:rFonts w:ascii="Times New Roman" w:hAnsi="Times New Roman"/>
        </w:rPr>
        <w:t xml:space="preserve"> </w:t>
      </w:r>
      <w:r w:rsidRPr="00CD2B08">
        <w:rPr>
          <w:rFonts w:ascii="Times New Roman" w:hAnsi="Times New Roman"/>
          <w:i/>
        </w:rPr>
        <w:t>in relation to the</w:t>
      </w:r>
      <w:r w:rsidRPr="00CD2B08">
        <w:rPr>
          <w:rFonts w:ascii="Times New Roman" w:hAnsi="Times New Roman"/>
        </w:rPr>
        <w:t xml:space="preserve"> </w:t>
      </w:r>
      <w:r w:rsidRPr="00CD2B08">
        <w:rPr>
          <w:rFonts w:ascii="Times New Roman" w:hAnsi="Times New Roman"/>
          <w:i/>
        </w:rPr>
        <w:t>proceedings</w:t>
      </w:r>
      <w:r w:rsidRPr="00CD2B08">
        <w:rPr>
          <w:rFonts w:ascii="Times New Roman" w:hAnsi="Times New Roman"/>
        </w:rPr>
        <w:t xml:space="preserve"> do not include all persons on whose behalf those proceedings might have been brought</w:t>
      </w:r>
      <w:r w:rsidRPr="00CD2B08">
        <w:rPr>
          <w:rStyle w:val="FootnoteReference"/>
          <w:rFonts w:ascii="Times New Roman" w:hAnsi="Times New Roman"/>
          <w:sz w:val="24"/>
        </w:rPr>
        <w:footnoteReference w:id="88"/>
      </w:r>
      <w:r w:rsidRPr="00CD2B08">
        <w:rPr>
          <w:rFonts w:ascii="Times New Roman" w:hAnsi="Times New Roman"/>
        </w:rPr>
        <w:t xml:space="preserve"> or are aggregated together for a particular purpose such as a litigation funding arrangement</w:t>
      </w:r>
      <w:r w:rsidRPr="00CD2B08">
        <w:rPr>
          <w:rStyle w:val="FootnoteReference"/>
          <w:rFonts w:ascii="Times New Roman" w:hAnsi="Times New Roman"/>
          <w:sz w:val="24"/>
        </w:rPr>
        <w:footnoteReference w:id="89"/>
      </w:r>
      <w:r w:rsidRPr="00CD2B08">
        <w:rPr>
          <w:rFonts w:ascii="Times New Roman" w:hAnsi="Times New Roman"/>
        </w:rPr>
        <w:t xml:space="preserve">. </w:t>
      </w:r>
    </w:p>
    <w:p w14:paraId="50975599"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lastRenderedPageBreak/>
        <w:tab/>
        <w:t>Section 166 also thereby recognises important aspects of Pt 10: that in relation to representative proceedings there are group members who are not parties to the proceeding until after the opt</w:t>
      </w:r>
      <w:r w:rsidRPr="00CD2B08">
        <w:rPr>
          <w:rFonts w:ascii="Times New Roman" w:hAnsi="Times New Roman"/>
        </w:rPr>
        <w:noBreakHyphen/>
        <w:t>out process; that litigation funding arrangements are accommodated within the regime; and, consistent with principle, that in the exercise of its powers under the CPA</w:t>
      </w:r>
      <w:bookmarkStart w:id="9" w:name="_Hlk56672668"/>
      <w:r w:rsidRPr="00CD2B08">
        <w:rPr>
          <w:rFonts w:ascii="Times New Roman" w:hAnsi="Times New Roman"/>
        </w:rPr>
        <w:t>, the Supreme Court must be mindful not only of the existence of group members but of what is in their best interests</w:t>
      </w:r>
      <w:r w:rsidRPr="00CD2B08">
        <w:rPr>
          <w:rStyle w:val="FootnoteReference"/>
          <w:rFonts w:ascii="Times New Roman" w:hAnsi="Times New Roman"/>
          <w:sz w:val="24"/>
        </w:rPr>
        <w:footnoteReference w:id="90"/>
      </w:r>
      <w:r w:rsidRPr="00CD2B08">
        <w:rPr>
          <w:rFonts w:ascii="Times New Roman" w:hAnsi="Times New Roman"/>
        </w:rPr>
        <w:t xml:space="preserve">. That is particularly the case where those interests may be prejudiced or, as </w:t>
      </w:r>
      <w:proofErr w:type="spellStart"/>
      <w:r w:rsidRPr="00CD2B08">
        <w:rPr>
          <w:rFonts w:ascii="Times New Roman" w:hAnsi="Times New Roman"/>
        </w:rPr>
        <w:t>Komlotex</w:t>
      </w:r>
      <w:proofErr w:type="spellEnd"/>
      <w:r w:rsidRPr="00CD2B08">
        <w:rPr>
          <w:rFonts w:ascii="Times New Roman" w:hAnsi="Times New Roman"/>
        </w:rPr>
        <w:t xml:space="preserve"> and </w:t>
      </w:r>
      <w:proofErr w:type="spellStart"/>
      <w:r w:rsidRPr="00CD2B08">
        <w:rPr>
          <w:rFonts w:ascii="Times New Roman" w:hAnsi="Times New Roman"/>
        </w:rPr>
        <w:t>Fernbrook</w:t>
      </w:r>
      <w:proofErr w:type="spellEnd"/>
      <w:r w:rsidRPr="00CD2B08">
        <w:rPr>
          <w:rFonts w:ascii="Times New Roman" w:hAnsi="Times New Roman"/>
        </w:rPr>
        <w:t xml:space="preserve"> submitted, "where there is a real risk – as [here] – that</w:t>
      </w:r>
      <w:r>
        <w:rPr>
          <w:rFonts w:ascii="Times New Roman" w:hAnsi="Times New Roman"/>
        </w:rPr>
        <w:t> </w:t>
      </w:r>
      <w:r w:rsidRPr="00CD2B08">
        <w:rPr>
          <w:rFonts w:ascii="Times New Roman" w:hAnsi="Times New Roman"/>
        </w:rPr>
        <w:t>those interests may diverge from the interests of the representative party"</w:t>
      </w:r>
      <w:r w:rsidRPr="00CD2B08">
        <w:rPr>
          <w:rStyle w:val="FootnoteReference"/>
          <w:rFonts w:ascii="Times New Roman" w:hAnsi="Times New Roman"/>
          <w:sz w:val="24"/>
        </w:rPr>
        <w:footnoteReference w:id="91"/>
      </w:r>
      <w:r w:rsidRPr="00CD2B08">
        <w:rPr>
          <w:rFonts w:ascii="Times New Roman" w:hAnsi="Times New Roman"/>
        </w:rPr>
        <w:t>.</w:t>
      </w:r>
    </w:p>
    <w:p w14:paraId="58BB9C5B"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Although strictly unnecessary to support the power to grant a stay, the</w:t>
      </w:r>
      <w:r>
        <w:rPr>
          <w:rFonts w:ascii="Times New Roman" w:hAnsi="Times New Roman"/>
        </w:rPr>
        <w:t> </w:t>
      </w:r>
      <w:r w:rsidRPr="00CD2B08">
        <w:rPr>
          <w:rFonts w:ascii="Times New Roman" w:hAnsi="Times New Roman"/>
        </w:rPr>
        <w:t>general power of the Supreme Court under s 183 to make any order that it thinks "appropriate or necessary to ensure that justice is done in the proceedings" also shows that the overall concern of Pt 10 is the "just and effective resolution" of the issues in the proceeding</w:t>
      </w:r>
      <w:r w:rsidRPr="00CD2B08">
        <w:rPr>
          <w:rStyle w:val="FootnoteReference"/>
          <w:rFonts w:ascii="Times New Roman" w:hAnsi="Times New Roman"/>
          <w:sz w:val="24"/>
        </w:rPr>
        <w:footnoteReference w:id="92"/>
      </w:r>
      <w:r w:rsidRPr="00CD2B08">
        <w:rPr>
          <w:rFonts w:ascii="Times New Roman" w:hAnsi="Times New Roman"/>
        </w:rPr>
        <w:t xml:space="preserve">. In the context of competing representative proceedings, the grant of a stay may be necessary or desirable to achieve the just and effective resolution of the issues. </w:t>
      </w:r>
    </w:p>
    <w:bookmarkEnd w:id="9"/>
    <w:p w14:paraId="306A3DBB"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Unlike the United States and some Canadian provinces, which have adopted certification and carriage motion procedures to resolve multiplicity in class actions</w:t>
      </w:r>
      <w:r w:rsidRPr="00CD2B08">
        <w:rPr>
          <w:rStyle w:val="FootnoteReference"/>
          <w:rFonts w:ascii="Times New Roman" w:hAnsi="Times New Roman"/>
          <w:sz w:val="24"/>
        </w:rPr>
        <w:footnoteReference w:id="93"/>
      </w:r>
      <w:r w:rsidRPr="00CD2B08">
        <w:rPr>
          <w:rFonts w:ascii="Times New Roman" w:hAnsi="Times New Roman"/>
        </w:rPr>
        <w:t>, Australian legislatures deliberately chose not to adopt such procedures</w:t>
      </w:r>
      <w:r w:rsidRPr="00CD2B08">
        <w:rPr>
          <w:rStyle w:val="FootnoteReference"/>
          <w:rFonts w:ascii="Times New Roman" w:hAnsi="Times New Roman"/>
          <w:sz w:val="24"/>
        </w:rPr>
        <w:footnoteReference w:id="94"/>
      </w:r>
      <w:r w:rsidRPr="00CD2B08">
        <w:rPr>
          <w:rFonts w:ascii="Times New Roman" w:hAnsi="Times New Roman"/>
        </w:rPr>
        <w:t xml:space="preserve">. That choice reflected a view that the proposed class actions scheme was adequate </w:t>
      </w:r>
      <w:r w:rsidRPr="00CD2B08">
        <w:rPr>
          <w:rFonts w:ascii="Times New Roman" w:hAnsi="Times New Roman"/>
        </w:rPr>
        <w:lastRenderedPageBreak/>
        <w:t>to protect group members' interests</w:t>
      </w:r>
      <w:r w:rsidRPr="00CD2B08">
        <w:rPr>
          <w:rStyle w:val="FootnoteReference"/>
          <w:rFonts w:ascii="Times New Roman" w:hAnsi="Times New Roman"/>
          <w:sz w:val="24"/>
        </w:rPr>
        <w:footnoteReference w:id="95"/>
      </w:r>
      <w:r w:rsidRPr="00CD2B08" w:rsidDel="009A497C">
        <w:rPr>
          <w:rFonts w:ascii="Times New Roman" w:hAnsi="Times New Roman"/>
        </w:rPr>
        <w:t xml:space="preserve"> </w:t>
      </w:r>
      <w:r w:rsidRPr="00CD2B08">
        <w:rPr>
          <w:rFonts w:ascii="Times New Roman" w:hAnsi="Times New Roman"/>
        </w:rPr>
        <w:t>or, perhaps, competing class actions were not envisaged</w:t>
      </w:r>
      <w:r w:rsidRPr="00CD2B08">
        <w:rPr>
          <w:rStyle w:val="FootnoteReference"/>
          <w:rFonts w:ascii="Times New Roman" w:hAnsi="Times New Roman"/>
          <w:sz w:val="24"/>
        </w:rPr>
        <w:footnoteReference w:id="96"/>
      </w:r>
      <w:r w:rsidRPr="00CD2B08">
        <w:rPr>
          <w:rFonts w:ascii="Times New Roman" w:hAnsi="Times New Roman"/>
        </w:rPr>
        <w:t xml:space="preserve">. </w:t>
      </w:r>
    </w:p>
    <w:p w14:paraId="76CEED45"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But the decision not to adopt the United States or Canadian procedures in Australia does not end, or dictate the outcome of, the process of identifying the relevant considerations for the Supreme Court in deciding which of the competing representative proceedings is to proceed. For as has been explained, the</w:t>
      </w:r>
      <w:r>
        <w:rPr>
          <w:rFonts w:ascii="Times New Roman" w:hAnsi="Times New Roman"/>
        </w:rPr>
        <w:t> </w:t>
      </w:r>
      <w:r w:rsidRPr="00CD2B08">
        <w:rPr>
          <w:rFonts w:ascii="Times New Roman" w:hAnsi="Times New Roman"/>
        </w:rPr>
        <w:t>representative proceedings scheme in Pt 10 does not stand alone. It forms part of the CPA and it operates in conjunction with the CPA and the Supreme Court's inherent powers.</w:t>
      </w:r>
    </w:p>
    <w:p w14:paraId="7B717510"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A first</w:t>
      </w:r>
      <w:r w:rsidRPr="00CD2B08">
        <w:rPr>
          <w:rFonts w:ascii="Times New Roman" w:hAnsi="Times New Roman"/>
        </w:rPr>
        <w:noBreakHyphen/>
        <w:t>in</w:t>
      </w:r>
      <w:r w:rsidRPr="00CD2B08">
        <w:rPr>
          <w:rFonts w:ascii="Times New Roman" w:hAnsi="Times New Roman"/>
        </w:rPr>
        <w:noBreakHyphen/>
        <w:t xml:space="preserve">time approach of the kind for which Ms </w:t>
      </w:r>
      <w:proofErr w:type="spellStart"/>
      <w:r w:rsidRPr="00CD2B08">
        <w:rPr>
          <w:rFonts w:ascii="Times New Roman" w:hAnsi="Times New Roman"/>
        </w:rPr>
        <w:t>Wigmans</w:t>
      </w:r>
      <w:proofErr w:type="spellEnd"/>
      <w:r w:rsidRPr="00CD2B08">
        <w:rPr>
          <w:rFonts w:ascii="Times New Roman" w:hAnsi="Times New Roman"/>
        </w:rPr>
        <w:t xml:space="preserve"> contended would also be unworkable. To adopt and adapt what Lord Templeman said in </w:t>
      </w:r>
      <w:r w:rsidRPr="00CD2B08">
        <w:rPr>
          <w:rFonts w:ascii="Times New Roman" w:hAnsi="Times New Roman"/>
          <w:i/>
        </w:rPr>
        <w:t xml:space="preserve">The </w:t>
      </w:r>
      <w:proofErr w:type="spellStart"/>
      <w:r w:rsidRPr="00CD2B08">
        <w:rPr>
          <w:rFonts w:ascii="Times New Roman" w:hAnsi="Times New Roman"/>
          <w:i/>
        </w:rPr>
        <w:t>Abidin</w:t>
      </w:r>
      <w:proofErr w:type="spellEnd"/>
      <w:r w:rsidRPr="00CD2B08">
        <w:rPr>
          <w:rFonts w:ascii="Times New Roman" w:hAnsi="Times New Roman"/>
          <w:i/>
        </w:rPr>
        <w:t xml:space="preserve"> </w:t>
      </w:r>
      <w:proofErr w:type="spellStart"/>
      <w:r w:rsidRPr="00CD2B08">
        <w:rPr>
          <w:rFonts w:ascii="Times New Roman" w:hAnsi="Times New Roman"/>
          <w:i/>
        </w:rPr>
        <w:t>Daver</w:t>
      </w:r>
      <w:proofErr w:type="spellEnd"/>
      <w:r w:rsidRPr="00CD2B08">
        <w:rPr>
          <w:rStyle w:val="FootnoteReference"/>
          <w:rFonts w:ascii="Times New Roman" w:hAnsi="Times New Roman"/>
          <w:sz w:val="24"/>
        </w:rPr>
        <w:footnoteReference w:id="97"/>
      </w:r>
      <w:r w:rsidRPr="00CD2B08">
        <w:rPr>
          <w:rFonts w:ascii="Times New Roman" w:hAnsi="Times New Roman"/>
        </w:rPr>
        <w:t>, a concern with avoiding or limiting a multiplicity of representative proceedings ought not be replaced by a presumption – a first-in-time criterion – that leads to an "ugly rush" to the court door, including but not limited to the framing of causes of action and claims for relief as broadly as possible to gain so</w:t>
      </w:r>
      <w:r>
        <w:rPr>
          <w:rFonts w:ascii="Times New Roman" w:hAnsi="Times New Roman"/>
        </w:rPr>
        <w:noBreakHyphen/>
      </w:r>
      <w:r w:rsidRPr="00CD2B08">
        <w:rPr>
          <w:rFonts w:ascii="Times New Roman" w:hAnsi="Times New Roman"/>
        </w:rPr>
        <w:t>called "juridical advantages". And as the facts of this appeal demonstrate, multiple representative proceedings in respect of the same controversy are not necessarily "duplicitous". Here, there was overlap between the representative proceedings but the overlap was not complete. And, no less significantly, Ms </w:t>
      </w:r>
      <w:proofErr w:type="spellStart"/>
      <w:r w:rsidRPr="00CD2B08">
        <w:rPr>
          <w:rFonts w:ascii="Times New Roman" w:hAnsi="Times New Roman"/>
        </w:rPr>
        <w:t>Wigmans</w:t>
      </w:r>
      <w:proofErr w:type="spellEnd"/>
      <w:r w:rsidRPr="00CD2B08">
        <w:rPr>
          <w:rFonts w:ascii="Times New Roman" w:hAnsi="Times New Roman"/>
        </w:rPr>
        <w:t xml:space="preserve"> failed below to establish that the commencement of any of the later filed proceedings was an abuse of process, a finding from which she did not seek leave to appeal. </w:t>
      </w:r>
    </w:p>
    <w:p w14:paraId="4AA4D089" w14:textId="77777777" w:rsidR="009A3DE4" w:rsidRPr="00CD2B08" w:rsidRDefault="009A3DE4" w:rsidP="00CD2B08">
      <w:pPr>
        <w:pStyle w:val="HeadingL1"/>
        <w:spacing w:after="260" w:line="280" w:lineRule="exact"/>
        <w:ind w:right="0"/>
        <w:jc w:val="both"/>
        <w:rPr>
          <w:rFonts w:ascii="Times New Roman" w:hAnsi="Times New Roman"/>
        </w:rPr>
      </w:pPr>
      <w:r w:rsidRPr="00CD2B08">
        <w:rPr>
          <w:rFonts w:ascii="Times New Roman" w:hAnsi="Times New Roman"/>
        </w:rPr>
        <w:t>Authorities on which Ms </w:t>
      </w:r>
      <w:proofErr w:type="spellStart"/>
      <w:r w:rsidRPr="00CD2B08">
        <w:rPr>
          <w:rFonts w:ascii="Times New Roman" w:hAnsi="Times New Roman"/>
        </w:rPr>
        <w:t>Wigmans</w:t>
      </w:r>
      <w:proofErr w:type="spellEnd"/>
      <w:r w:rsidRPr="00CD2B08">
        <w:rPr>
          <w:rFonts w:ascii="Times New Roman" w:hAnsi="Times New Roman"/>
        </w:rPr>
        <w:t xml:space="preserve"> relied</w:t>
      </w:r>
    </w:p>
    <w:p w14:paraId="2FE0FD00"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It remains to address the several lines of authority on which Ms </w:t>
      </w:r>
      <w:proofErr w:type="spellStart"/>
      <w:r w:rsidRPr="00CD2B08">
        <w:rPr>
          <w:rFonts w:ascii="Times New Roman" w:hAnsi="Times New Roman"/>
        </w:rPr>
        <w:t>Wigmans</w:t>
      </w:r>
      <w:proofErr w:type="spellEnd"/>
      <w:r w:rsidRPr="00CD2B08">
        <w:rPr>
          <w:rFonts w:ascii="Times New Roman" w:hAnsi="Times New Roman"/>
        </w:rPr>
        <w:t xml:space="preserve"> relied in support of her contention that there is a rule or presumption that the representative proceeding issued first in time is to be preferred and that, </w:t>
      </w:r>
      <w:r w:rsidRPr="00CD2B08">
        <w:rPr>
          <w:rFonts w:ascii="Times New Roman" w:hAnsi="Times New Roman"/>
        </w:rPr>
        <w:lastRenderedPageBreak/>
        <w:t>absent</w:t>
      </w:r>
      <w:r>
        <w:rPr>
          <w:rFonts w:ascii="Times New Roman" w:hAnsi="Times New Roman"/>
        </w:rPr>
        <w:t> </w:t>
      </w:r>
      <w:r w:rsidRPr="00CD2B08">
        <w:rPr>
          <w:rFonts w:ascii="Times New Roman" w:hAnsi="Times New Roman"/>
        </w:rPr>
        <w:t>some other juridical advantage, any later proceedings should be stayed. As</w:t>
      </w:r>
      <w:r>
        <w:rPr>
          <w:rFonts w:ascii="Times New Roman" w:hAnsi="Times New Roman"/>
        </w:rPr>
        <w:t> </w:t>
      </w:r>
      <w:r w:rsidRPr="00CD2B08">
        <w:rPr>
          <w:rFonts w:ascii="Times New Roman" w:hAnsi="Times New Roman"/>
        </w:rPr>
        <w:t>presented, there were five steps to the argument:</w:t>
      </w:r>
    </w:p>
    <w:p w14:paraId="6556ABAF" w14:textId="77777777" w:rsidR="009A3DE4" w:rsidRPr="00CD2B08" w:rsidRDefault="009A3DE4" w:rsidP="00CD2B08">
      <w:pPr>
        <w:pStyle w:val="NormalBody"/>
        <w:spacing w:after="260" w:line="280" w:lineRule="exact"/>
        <w:ind w:left="720" w:right="0" w:hanging="720"/>
        <w:jc w:val="both"/>
        <w:rPr>
          <w:rFonts w:ascii="Times New Roman" w:hAnsi="Times New Roman"/>
        </w:rPr>
      </w:pPr>
      <w:r w:rsidRPr="00CD2B08">
        <w:rPr>
          <w:rFonts w:ascii="Times New Roman" w:hAnsi="Times New Roman"/>
        </w:rPr>
        <w:t>(1)</w:t>
      </w:r>
      <w:r w:rsidRPr="00CD2B08">
        <w:rPr>
          <w:rFonts w:ascii="Times New Roman" w:hAnsi="Times New Roman"/>
        </w:rPr>
        <w:tab/>
        <w:t xml:space="preserve">at common law, it is, prima facie, vexatious and oppressive to commence an action if an action is already pending in respect of the same controversy and in which action complete relief is available, citing </w:t>
      </w:r>
      <w:r w:rsidRPr="00CD2B08">
        <w:rPr>
          <w:rFonts w:ascii="Times New Roman" w:hAnsi="Times New Roman"/>
          <w:i/>
        </w:rPr>
        <w:t>Carron Iron Co v Maclaren</w:t>
      </w:r>
      <w:r w:rsidRPr="00CD2B08">
        <w:rPr>
          <w:rStyle w:val="FootnoteReference"/>
          <w:rFonts w:ascii="Times New Roman" w:hAnsi="Times New Roman"/>
          <w:sz w:val="24"/>
        </w:rPr>
        <w:footnoteReference w:id="98"/>
      </w:r>
      <w:r w:rsidRPr="00CD2B08">
        <w:rPr>
          <w:rFonts w:ascii="Times New Roman" w:hAnsi="Times New Roman"/>
        </w:rPr>
        <w:t xml:space="preserve">, </w:t>
      </w:r>
      <w:r w:rsidRPr="00CD2B08">
        <w:rPr>
          <w:rFonts w:ascii="Times New Roman" w:hAnsi="Times New Roman"/>
          <w:i/>
        </w:rPr>
        <w:t>CSR Ltd v Cigna Insurance Australia Ltd</w:t>
      </w:r>
      <w:r w:rsidRPr="00CD2B08">
        <w:rPr>
          <w:rStyle w:val="FootnoteReference"/>
          <w:rFonts w:ascii="Times New Roman" w:hAnsi="Times New Roman"/>
          <w:sz w:val="24"/>
        </w:rPr>
        <w:footnoteReference w:id="99"/>
      </w:r>
      <w:r w:rsidRPr="00CD2B08">
        <w:rPr>
          <w:rFonts w:ascii="Times New Roman" w:hAnsi="Times New Roman"/>
        </w:rPr>
        <w:t xml:space="preserve"> and </w:t>
      </w:r>
      <w:r w:rsidRPr="00CD2B08">
        <w:rPr>
          <w:rFonts w:ascii="Times New Roman" w:hAnsi="Times New Roman"/>
          <w:i/>
        </w:rPr>
        <w:t>Henry</w:t>
      </w:r>
      <w:r w:rsidRPr="00CD2B08">
        <w:rPr>
          <w:rStyle w:val="FootnoteReference"/>
          <w:rFonts w:ascii="Times New Roman" w:hAnsi="Times New Roman"/>
          <w:sz w:val="24"/>
        </w:rPr>
        <w:footnoteReference w:id="100"/>
      </w:r>
      <w:r w:rsidRPr="00CD2B08">
        <w:rPr>
          <w:rFonts w:ascii="Times New Roman" w:hAnsi="Times New Roman"/>
        </w:rPr>
        <w:t>;</w:t>
      </w:r>
    </w:p>
    <w:p w14:paraId="49054BBD" w14:textId="77777777" w:rsidR="009A3DE4" w:rsidRPr="00CD2B08" w:rsidRDefault="009A3DE4" w:rsidP="00CD2B08">
      <w:pPr>
        <w:pStyle w:val="NormalBody"/>
        <w:spacing w:after="260" w:line="280" w:lineRule="exact"/>
        <w:ind w:left="720" w:right="0" w:hanging="720"/>
        <w:jc w:val="both"/>
        <w:rPr>
          <w:rFonts w:ascii="Times New Roman" w:hAnsi="Times New Roman"/>
        </w:rPr>
      </w:pPr>
      <w:r w:rsidRPr="00CD2B08">
        <w:rPr>
          <w:rFonts w:ascii="Times New Roman" w:hAnsi="Times New Roman"/>
        </w:rPr>
        <w:t>(2)</w:t>
      </w:r>
      <w:r w:rsidRPr="00CD2B08">
        <w:rPr>
          <w:rFonts w:ascii="Times New Roman" w:hAnsi="Times New Roman"/>
        </w:rPr>
        <w:tab/>
        <w:t xml:space="preserve">the relevant authorities are those relating to "duplicative" proceedings; authorities relating to proceedings which are "merely overlapping", such as </w:t>
      </w:r>
      <w:r w:rsidRPr="00CD2B08">
        <w:rPr>
          <w:rFonts w:ascii="Times New Roman" w:hAnsi="Times New Roman"/>
          <w:i/>
        </w:rPr>
        <w:t>McHenry</w:t>
      </w:r>
      <w:r w:rsidRPr="00CD2B08">
        <w:rPr>
          <w:rStyle w:val="FootnoteReference"/>
          <w:rFonts w:ascii="Times New Roman" w:hAnsi="Times New Roman"/>
          <w:sz w:val="24"/>
        </w:rPr>
        <w:footnoteReference w:id="101"/>
      </w:r>
      <w:r w:rsidRPr="00CD2B08">
        <w:rPr>
          <w:rFonts w:ascii="Times New Roman" w:hAnsi="Times New Roman"/>
        </w:rPr>
        <w:t>, are not applicable;</w:t>
      </w:r>
    </w:p>
    <w:p w14:paraId="6B377277" w14:textId="77777777" w:rsidR="009A3DE4" w:rsidRPr="00CD2B08" w:rsidRDefault="009A3DE4" w:rsidP="00CD2B08">
      <w:pPr>
        <w:pStyle w:val="NormalBody"/>
        <w:spacing w:after="260" w:line="280" w:lineRule="exact"/>
        <w:ind w:left="720" w:right="0" w:hanging="720"/>
        <w:jc w:val="both"/>
        <w:rPr>
          <w:rFonts w:ascii="Times New Roman" w:hAnsi="Times New Roman"/>
        </w:rPr>
      </w:pPr>
      <w:r w:rsidRPr="00CD2B08">
        <w:rPr>
          <w:rFonts w:ascii="Times New Roman" w:hAnsi="Times New Roman"/>
        </w:rPr>
        <w:t>(3)</w:t>
      </w:r>
      <w:r w:rsidRPr="00CD2B08">
        <w:rPr>
          <w:rFonts w:ascii="Times New Roman" w:hAnsi="Times New Roman"/>
        </w:rPr>
        <w:tab/>
        <w:t xml:space="preserve">the onus is on the party commencing the second action to show that it is not vexatious and oppressive, citing </w:t>
      </w:r>
      <w:r w:rsidRPr="00CD2B08">
        <w:rPr>
          <w:rFonts w:ascii="Times New Roman" w:hAnsi="Times New Roman"/>
          <w:i/>
        </w:rPr>
        <w:t>Moore</w:t>
      </w:r>
      <w:r w:rsidRPr="00CD2B08">
        <w:rPr>
          <w:rStyle w:val="FootnoteReference"/>
          <w:rFonts w:ascii="Times New Roman" w:hAnsi="Times New Roman"/>
          <w:sz w:val="24"/>
        </w:rPr>
        <w:footnoteReference w:id="102"/>
      </w:r>
      <w:r w:rsidRPr="00CD2B08">
        <w:rPr>
          <w:rFonts w:ascii="Times New Roman" w:hAnsi="Times New Roman"/>
        </w:rPr>
        <w:t>;</w:t>
      </w:r>
    </w:p>
    <w:p w14:paraId="492F3325" w14:textId="77777777" w:rsidR="009A3DE4" w:rsidRPr="00CD2B08" w:rsidRDefault="009A3DE4" w:rsidP="00CD2B08">
      <w:pPr>
        <w:pStyle w:val="NormalBody"/>
        <w:spacing w:after="260" w:line="280" w:lineRule="exact"/>
        <w:ind w:left="720" w:right="0" w:hanging="720"/>
        <w:jc w:val="both"/>
        <w:rPr>
          <w:rFonts w:ascii="Times New Roman" w:hAnsi="Times New Roman"/>
        </w:rPr>
      </w:pPr>
      <w:r w:rsidRPr="00CD2B08">
        <w:rPr>
          <w:rFonts w:ascii="Times New Roman" w:hAnsi="Times New Roman"/>
        </w:rPr>
        <w:t>(4)</w:t>
      </w:r>
      <w:r w:rsidRPr="00CD2B08">
        <w:rPr>
          <w:rFonts w:ascii="Times New Roman" w:hAnsi="Times New Roman"/>
        </w:rPr>
        <w:tab/>
        <w:t xml:space="preserve">the onus is typically discharged by establishing that the second action offers some legitimate juridical advantage over the first action, citing </w:t>
      </w:r>
      <w:r w:rsidRPr="00CD2B08">
        <w:rPr>
          <w:rFonts w:ascii="Times New Roman" w:hAnsi="Times New Roman"/>
          <w:i/>
        </w:rPr>
        <w:t>Voth v Manildra Flour Mills Pty Ltd</w:t>
      </w:r>
      <w:r w:rsidRPr="00CD2B08">
        <w:rPr>
          <w:rStyle w:val="FootnoteReference"/>
          <w:rFonts w:ascii="Times New Roman" w:hAnsi="Times New Roman"/>
          <w:sz w:val="24"/>
        </w:rPr>
        <w:footnoteReference w:id="103"/>
      </w:r>
      <w:r w:rsidRPr="00CD2B08">
        <w:rPr>
          <w:rFonts w:ascii="Times New Roman" w:hAnsi="Times New Roman"/>
        </w:rPr>
        <w:t>; and</w:t>
      </w:r>
    </w:p>
    <w:p w14:paraId="32C9EC48" w14:textId="77777777" w:rsidR="009A3DE4" w:rsidRPr="00CD2B08" w:rsidRDefault="009A3DE4" w:rsidP="00CD2B08">
      <w:pPr>
        <w:pStyle w:val="NormalBody"/>
        <w:spacing w:after="260" w:line="280" w:lineRule="exact"/>
        <w:ind w:left="720" w:right="0" w:hanging="720"/>
        <w:jc w:val="both"/>
        <w:rPr>
          <w:rFonts w:ascii="Times New Roman" w:hAnsi="Times New Roman"/>
        </w:rPr>
      </w:pPr>
      <w:r w:rsidRPr="00CD2B08">
        <w:rPr>
          <w:rFonts w:ascii="Times New Roman" w:hAnsi="Times New Roman"/>
        </w:rPr>
        <w:t>(5)</w:t>
      </w:r>
      <w:r w:rsidRPr="00CD2B08">
        <w:rPr>
          <w:rFonts w:ascii="Times New Roman" w:hAnsi="Times New Roman"/>
        </w:rPr>
        <w:tab/>
        <w:t xml:space="preserve">the fact that the parties to the second action are not identical to the parties to the first does not displace the presumption, citing </w:t>
      </w:r>
      <w:r w:rsidRPr="00CD2B08">
        <w:rPr>
          <w:rFonts w:ascii="Times New Roman" w:hAnsi="Times New Roman"/>
          <w:i/>
        </w:rPr>
        <w:t>Moore</w:t>
      </w:r>
      <w:r w:rsidRPr="00CD2B08">
        <w:rPr>
          <w:rStyle w:val="FootnoteReference"/>
          <w:rFonts w:ascii="Times New Roman" w:hAnsi="Times New Roman"/>
          <w:sz w:val="24"/>
        </w:rPr>
        <w:footnoteReference w:id="104"/>
      </w:r>
      <w:r w:rsidRPr="00CD2B08">
        <w:rPr>
          <w:rFonts w:ascii="Times New Roman" w:hAnsi="Times New Roman"/>
        </w:rPr>
        <w:t xml:space="preserve"> and </w:t>
      </w:r>
      <w:proofErr w:type="spellStart"/>
      <w:r w:rsidRPr="00CD2B08">
        <w:rPr>
          <w:rFonts w:ascii="Times New Roman" w:hAnsi="Times New Roman"/>
          <w:i/>
        </w:rPr>
        <w:t>Perera</w:t>
      </w:r>
      <w:proofErr w:type="spellEnd"/>
      <w:r w:rsidRPr="00CD2B08">
        <w:rPr>
          <w:rFonts w:ascii="Times New Roman" w:hAnsi="Times New Roman"/>
          <w:i/>
        </w:rPr>
        <w:t xml:space="preserve"> v </w:t>
      </w:r>
      <w:proofErr w:type="spellStart"/>
      <w:r w:rsidRPr="00CD2B08">
        <w:rPr>
          <w:rFonts w:ascii="Times New Roman" w:hAnsi="Times New Roman"/>
          <w:i/>
        </w:rPr>
        <w:t>GetSwift</w:t>
      </w:r>
      <w:proofErr w:type="spellEnd"/>
      <w:r w:rsidRPr="00CD2B08">
        <w:rPr>
          <w:rFonts w:ascii="Times New Roman" w:hAnsi="Times New Roman"/>
          <w:i/>
        </w:rPr>
        <w:t xml:space="preserve"> Ltd</w:t>
      </w:r>
      <w:r w:rsidRPr="00CD2B08">
        <w:rPr>
          <w:rStyle w:val="FootnoteReference"/>
          <w:rFonts w:ascii="Times New Roman" w:hAnsi="Times New Roman"/>
          <w:sz w:val="24"/>
        </w:rPr>
        <w:footnoteReference w:id="105"/>
      </w:r>
      <w:r w:rsidRPr="00CD2B08">
        <w:rPr>
          <w:rFonts w:ascii="Times New Roman" w:hAnsi="Times New Roman"/>
        </w:rPr>
        <w:t>.</w:t>
      </w:r>
    </w:p>
    <w:p w14:paraId="077A57D5"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Two points may be made at the outset. Ms </w:t>
      </w:r>
      <w:proofErr w:type="spellStart"/>
      <w:r w:rsidRPr="00CD2B08">
        <w:rPr>
          <w:rFonts w:ascii="Times New Roman" w:hAnsi="Times New Roman"/>
        </w:rPr>
        <w:t>Wigmans</w:t>
      </w:r>
      <w:proofErr w:type="spellEnd"/>
      <w:r w:rsidRPr="00CD2B08">
        <w:rPr>
          <w:rFonts w:ascii="Times New Roman" w:hAnsi="Times New Roman"/>
        </w:rPr>
        <w:t xml:space="preserve">' argument is impermissibly selective and at various points merges different ideas from areas </w:t>
      </w:r>
      <w:r w:rsidRPr="00CD2B08">
        <w:rPr>
          <w:rFonts w:ascii="Times New Roman" w:hAnsi="Times New Roman"/>
        </w:rPr>
        <w:lastRenderedPageBreak/>
        <w:t>with different jurisprudential foundations. And, as will be seen, the authorities cited do not support a first</w:t>
      </w:r>
      <w:r w:rsidRPr="00CD2B08">
        <w:rPr>
          <w:rFonts w:ascii="Times New Roman" w:hAnsi="Times New Roman"/>
        </w:rPr>
        <w:noBreakHyphen/>
        <w:t>in</w:t>
      </w:r>
      <w:r w:rsidRPr="00CD2B08">
        <w:rPr>
          <w:rFonts w:ascii="Times New Roman" w:hAnsi="Times New Roman"/>
        </w:rPr>
        <w:noBreakHyphen/>
        <w:t xml:space="preserve">time rule or presumption. </w:t>
      </w:r>
    </w:p>
    <w:p w14:paraId="7B883967" w14:textId="77777777" w:rsidR="009A3DE4" w:rsidRPr="00CD2B08" w:rsidRDefault="009A3DE4" w:rsidP="00CD2B08">
      <w:pPr>
        <w:pStyle w:val="HeadingL2"/>
        <w:spacing w:after="260" w:line="280" w:lineRule="exact"/>
        <w:ind w:right="0"/>
        <w:jc w:val="both"/>
        <w:rPr>
          <w:rFonts w:ascii="Times New Roman" w:hAnsi="Times New Roman"/>
        </w:rPr>
      </w:pPr>
      <w:r w:rsidRPr="00CD2B08">
        <w:rPr>
          <w:rFonts w:ascii="Times New Roman" w:hAnsi="Times New Roman"/>
        </w:rPr>
        <w:t>Common law principles</w:t>
      </w:r>
    </w:p>
    <w:p w14:paraId="340F1902"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Ms </w:t>
      </w:r>
      <w:proofErr w:type="spellStart"/>
      <w:r w:rsidRPr="00CD2B08">
        <w:rPr>
          <w:rFonts w:ascii="Times New Roman" w:hAnsi="Times New Roman"/>
        </w:rPr>
        <w:t>Wigmans</w:t>
      </w:r>
      <w:proofErr w:type="spellEnd"/>
      <w:r w:rsidRPr="00CD2B08">
        <w:rPr>
          <w:rFonts w:ascii="Times New Roman" w:hAnsi="Times New Roman"/>
        </w:rPr>
        <w:t xml:space="preserve">' argument assumed that there is a common law principle that, if complete relief is available in a proceeding on foot, it is prima facie vexatious and oppressive to commence a second proceeding dealing with the same controversy. That proposition was rightly rejected by both the primary judge and the Court of Appeal. </w:t>
      </w:r>
    </w:p>
    <w:p w14:paraId="423F2D7B"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By no later than 1589, the general "rule of law" was</w:t>
      </w:r>
      <w:r w:rsidRPr="00CD2B08" w:rsidDel="004A2F91">
        <w:rPr>
          <w:rFonts w:ascii="Times New Roman" w:hAnsi="Times New Roman"/>
        </w:rPr>
        <w:t xml:space="preserve"> </w:t>
      </w:r>
      <w:r w:rsidRPr="00CD2B08">
        <w:rPr>
          <w:rFonts w:ascii="Times New Roman" w:hAnsi="Times New Roman"/>
        </w:rPr>
        <w:t>that "a man shall not be twice vexed for one and the same cause"</w:t>
      </w:r>
      <w:r w:rsidRPr="00CD2B08">
        <w:rPr>
          <w:rStyle w:val="FootnoteReference"/>
          <w:rFonts w:ascii="Times New Roman" w:hAnsi="Times New Roman"/>
          <w:sz w:val="24"/>
        </w:rPr>
        <w:footnoteReference w:id="106"/>
      </w:r>
      <w:r w:rsidRPr="00CD2B08">
        <w:rPr>
          <w:rFonts w:ascii="Times New Roman" w:hAnsi="Times New Roman"/>
        </w:rPr>
        <w:t>. Thus, at common law, an award of damages was said to be once</w:t>
      </w:r>
      <w:r w:rsidRPr="00CD2B08">
        <w:rPr>
          <w:rFonts w:ascii="Times New Roman" w:hAnsi="Times New Roman"/>
        </w:rPr>
        <w:noBreakHyphen/>
        <w:t>and</w:t>
      </w:r>
      <w:r w:rsidRPr="00CD2B08">
        <w:rPr>
          <w:rFonts w:ascii="Times New Roman" w:hAnsi="Times New Roman"/>
        </w:rPr>
        <w:noBreakHyphen/>
        <w:t>for</w:t>
      </w:r>
      <w:r w:rsidRPr="00CD2B08">
        <w:rPr>
          <w:rFonts w:ascii="Times New Roman" w:hAnsi="Times New Roman"/>
        </w:rPr>
        <w:noBreakHyphen/>
        <w:t>all</w:t>
      </w:r>
      <w:r w:rsidRPr="00CD2B08">
        <w:rPr>
          <w:rStyle w:val="FootnoteReference"/>
          <w:rFonts w:ascii="Times New Roman" w:hAnsi="Times New Roman"/>
          <w:sz w:val="24"/>
        </w:rPr>
        <w:footnoteReference w:id="107"/>
      </w:r>
      <w:r w:rsidRPr="00CD2B08">
        <w:rPr>
          <w:rFonts w:ascii="Times New Roman" w:hAnsi="Times New Roman"/>
        </w:rPr>
        <w:t xml:space="preserve"> and even the pendency of an action for certain relief was a good plea in abatement to another action for the same relief in a court of concurrent jurisdiction</w:t>
      </w:r>
      <w:r w:rsidRPr="00CD2B08">
        <w:rPr>
          <w:rStyle w:val="FootnoteReference"/>
          <w:rFonts w:ascii="Times New Roman" w:hAnsi="Times New Roman"/>
          <w:sz w:val="24"/>
        </w:rPr>
        <w:footnoteReference w:id="108"/>
      </w:r>
      <w:r w:rsidRPr="00CD2B08">
        <w:rPr>
          <w:rFonts w:ascii="Times New Roman" w:hAnsi="Times New Roman"/>
        </w:rPr>
        <w:t xml:space="preserve">. By contrast, as Lord Hardwicke LC remarked in </w:t>
      </w:r>
      <w:r w:rsidRPr="00CD2B08">
        <w:rPr>
          <w:rFonts w:ascii="Times New Roman" w:hAnsi="Times New Roman"/>
          <w:i/>
        </w:rPr>
        <w:t xml:space="preserve">Foster v </w:t>
      </w:r>
      <w:proofErr w:type="spellStart"/>
      <w:r w:rsidRPr="00CD2B08">
        <w:rPr>
          <w:rFonts w:ascii="Times New Roman" w:hAnsi="Times New Roman"/>
          <w:i/>
        </w:rPr>
        <w:t>Vassall</w:t>
      </w:r>
      <w:proofErr w:type="spellEnd"/>
      <w:r w:rsidRPr="00CD2B08">
        <w:rPr>
          <w:rStyle w:val="FootnoteReference"/>
          <w:rFonts w:ascii="Times New Roman" w:hAnsi="Times New Roman"/>
          <w:sz w:val="24"/>
        </w:rPr>
        <w:footnoteReference w:id="109"/>
      </w:r>
      <w:r w:rsidRPr="00CD2B08">
        <w:rPr>
          <w:rFonts w:ascii="Times New Roman" w:hAnsi="Times New Roman"/>
        </w:rPr>
        <w:t>, although courts of equity adopted the same "general rule" at</w:t>
      </w:r>
      <w:r>
        <w:rPr>
          <w:rFonts w:ascii="Times New Roman" w:hAnsi="Times New Roman"/>
        </w:rPr>
        <w:t> </w:t>
      </w:r>
      <w:r w:rsidRPr="00CD2B08">
        <w:rPr>
          <w:rFonts w:ascii="Times New Roman" w:hAnsi="Times New Roman"/>
        </w:rPr>
        <w:t xml:space="preserve">an early point, they applied it "with a more liberal discretion". </w:t>
      </w:r>
    </w:p>
    <w:p w14:paraId="0CC093AA"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Prior to the </w:t>
      </w:r>
      <w:r w:rsidRPr="00CD2B08">
        <w:rPr>
          <w:rFonts w:ascii="Times New Roman" w:hAnsi="Times New Roman"/>
          <w:i/>
        </w:rPr>
        <w:t>Judicature Acts</w:t>
      </w:r>
      <w:r w:rsidRPr="00CD2B08">
        <w:rPr>
          <w:rFonts w:ascii="Times New Roman" w:hAnsi="Times New Roman"/>
        </w:rPr>
        <w:t>, a plaintiff who brought an action at law and a suit in equity for like remedies was ordinarily put to their election. But the earlier proceedings did not bar the later</w:t>
      </w:r>
      <w:r w:rsidRPr="00CD2B08">
        <w:rPr>
          <w:rStyle w:val="FootnoteReference"/>
          <w:rFonts w:ascii="Times New Roman" w:hAnsi="Times New Roman"/>
          <w:sz w:val="24"/>
        </w:rPr>
        <w:footnoteReference w:id="110"/>
      </w:r>
      <w:r w:rsidRPr="00CD2B08">
        <w:rPr>
          <w:rFonts w:ascii="Times New Roman" w:hAnsi="Times New Roman"/>
        </w:rPr>
        <w:t xml:space="preserve">. This principle of election was then extended </w:t>
      </w:r>
      <w:r w:rsidRPr="00CD2B08">
        <w:rPr>
          <w:rFonts w:ascii="Times New Roman" w:hAnsi="Times New Roman"/>
        </w:rPr>
        <w:lastRenderedPageBreak/>
        <w:t>to cases where proceedings were pending in the English Court of Chancery and a foreign court</w:t>
      </w:r>
      <w:r w:rsidRPr="00CD2B08">
        <w:rPr>
          <w:rStyle w:val="FootnoteReference"/>
          <w:rFonts w:ascii="Times New Roman" w:hAnsi="Times New Roman"/>
          <w:sz w:val="24"/>
        </w:rPr>
        <w:footnoteReference w:id="111"/>
      </w:r>
      <w:r w:rsidRPr="00CD2B08">
        <w:rPr>
          <w:rFonts w:ascii="Times New Roman" w:hAnsi="Times New Roman"/>
        </w:rPr>
        <w:t>, subject to recognition that differences of procedure and remedy, and the location of assets, might justify concurrent proceedings</w:t>
      </w:r>
      <w:r w:rsidRPr="00CD2B08">
        <w:rPr>
          <w:rStyle w:val="FootnoteReference"/>
          <w:rFonts w:ascii="Times New Roman" w:hAnsi="Times New Roman"/>
          <w:sz w:val="24"/>
        </w:rPr>
        <w:footnoteReference w:id="112"/>
      </w:r>
      <w:r w:rsidRPr="00CD2B08">
        <w:rPr>
          <w:rFonts w:ascii="Times New Roman" w:hAnsi="Times New Roman"/>
        </w:rPr>
        <w:t>. After a decree was made in the English proceedings, however – even one requiring further steps, such as an inquiry or accounting – the plaintiff was taken to have "already made his election"</w:t>
      </w:r>
      <w:r w:rsidRPr="00CD2B08">
        <w:rPr>
          <w:rStyle w:val="FootnoteReference"/>
          <w:rFonts w:ascii="Times New Roman" w:hAnsi="Times New Roman"/>
          <w:sz w:val="24"/>
        </w:rPr>
        <w:footnoteReference w:id="113"/>
      </w:r>
      <w:r w:rsidRPr="00CD2B08">
        <w:rPr>
          <w:rFonts w:ascii="Times New Roman" w:hAnsi="Times New Roman"/>
        </w:rPr>
        <w:t xml:space="preserve">, and hence the defendant's only remedy was an injunction against the foreign proceedings. As Lord </w:t>
      </w:r>
      <w:proofErr w:type="spellStart"/>
      <w:r w:rsidRPr="00CD2B08">
        <w:rPr>
          <w:rFonts w:ascii="Times New Roman" w:hAnsi="Times New Roman"/>
        </w:rPr>
        <w:t>Cranworth</w:t>
      </w:r>
      <w:proofErr w:type="spellEnd"/>
      <w:r w:rsidRPr="00CD2B08">
        <w:rPr>
          <w:rFonts w:ascii="Times New Roman" w:hAnsi="Times New Roman"/>
        </w:rPr>
        <w:t xml:space="preserve"> LC observed in </w:t>
      </w:r>
      <w:r w:rsidRPr="00CD2B08">
        <w:rPr>
          <w:rFonts w:ascii="Times New Roman" w:hAnsi="Times New Roman"/>
          <w:i/>
        </w:rPr>
        <w:t>Carron Iron</w:t>
      </w:r>
      <w:r w:rsidRPr="00CD2B08">
        <w:rPr>
          <w:rStyle w:val="FootnoteReference"/>
          <w:rFonts w:ascii="Times New Roman" w:hAnsi="Times New Roman"/>
          <w:sz w:val="24"/>
        </w:rPr>
        <w:footnoteReference w:id="114"/>
      </w:r>
      <w:r w:rsidRPr="00CD2B08">
        <w:rPr>
          <w:rFonts w:ascii="Times New Roman" w:hAnsi="Times New Roman"/>
        </w:rPr>
        <w:t>,</w:t>
      </w:r>
      <w:r w:rsidRPr="00CD2B08">
        <w:rPr>
          <w:rFonts w:ascii="Times New Roman" w:hAnsi="Times New Roman"/>
          <w:i/>
        </w:rPr>
        <w:t xml:space="preserve"> </w:t>
      </w:r>
      <w:r w:rsidRPr="00CD2B08">
        <w:rPr>
          <w:rFonts w:ascii="Times New Roman" w:hAnsi="Times New Roman"/>
        </w:rPr>
        <w:t xml:space="preserve">"[w]here ... pending a litigation here, in which complete relief may be had, a party to the suit institutes proceedings abroad, the Court of Chancery in general considers that act as a vexatious harassing of the opposite party, and restrains the foreign proceedings". </w:t>
      </w:r>
    </w:p>
    <w:p w14:paraId="52ED9B47"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Within a decade of the </w:t>
      </w:r>
      <w:r w:rsidRPr="00CD2B08">
        <w:rPr>
          <w:rFonts w:ascii="Times New Roman" w:hAnsi="Times New Roman"/>
          <w:i/>
        </w:rPr>
        <w:t>Judicature Acts</w:t>
      </w:r>
      <w:r w:rsidRPr="00CD2B08">
        <w:rPr>
          <w:rFonts w:ascii="Times New Roman" w:hAnsi="Times New Roman"/>
        </w:rPr>
        <w:t xml:space="preserve">, these equitable principles were </w:t>
      </w:r>
      <w:r w:rsidRPr="00CD2B08" w:rsidDel="00375872">
        <w:rPr>
          <w:rFonts w:ascii="Times New Roman" w:hAnsi="Times New Roman"/>
        </w:rPr>
        <w:t xml:space="preserve">adapted </w:t>
      </w:r>
      <w:r w:rsidRPr="00CD2B08">
        <w:rPr>
          <w:rFonts w:ascii="Times New Roman" w:hAnsi="Times New Roman"/>
        </w:rPr>
        <w:t xml:space="preserve">by courts jointly administering law and equity. In the seminal case of </w:t>
      </w:r>
      <w:r w:rsidRPr="00CD2B08">
        <w:rPr>
          <w:rFonts w:ascii="Times New Roman" w:hAnsi="Times New Roman"/>
          <w:i/>
        </w:rPr>
        <w:t>McHenry</w:t>
      </w:r>
      <w:r w:rsidRPr="00CD2B08">
        <w:rPr>
          <w:rFonts w:ascii="Times New Roman" w:hAnsi="Times New Roman"/>
        </w:rPr>
        <w:t xml:space="preserve">, the Master of the Rolls, Sir George </w:t>
      </w:r>
      <w:proofErr w:type="spellStart"/>
      <w:r w:rsidRPr="00CD2B08">
        <w:rPr>
          <w:rFonts w:ascii="Times New Roman" w:hAnsi="Times New Roman"/>
        </w:rPr>
        <w:t>Jessel</w:t>
      </w:r>
      <w:proofErr w:type="spellEnd"/>
      <w:r w:rsidRPr="00CD2B08">
        <w:rPr>
          <w:rFonts w:ascii="Times New Roman" w:hAnsi="Times New Roman"/>
        </w:rPr>
        <w:t>, cited</w:t>
      </w:r>
      <w:r w:rsidRPr="00CD2B08">
        <w:rPr>
          <w:rStyle w:val="FootnoteReference"/>
          <w:rFonts w:ascii="Times New Roman" w:hAnsi="Times New Roman"/>
          <w:sz w:val="24"/>
        </w:rPr>
        <w:footnoteReference w:id="115"/>
      </w:r>
      <w:r w:rsidRPr="00CD2B08">
        <w:rPr>
          <w:rFonts w:ascii="Times New Roman" w:hAnsi="Times New Roman"/>
        </w:rPr>
        <w:t xml:space="preserve"> the practice of the old Court of Chancery, of putting a plaintiff to their election by an order of course if they were suing for the same cause of action both at l</w:t>
      </w:r>
      <w:r w:rsidRPr="00CD2B08" w:rsidDel="001111EA">
        <w:rPr>
          <w:rFonts w:ascii="Times New Roman" w:hAnsi="Times New Roman"/>
        </w:rPr>
        <w:t xml:space="preserve">aw </w:t>
      </w:r>
      <w:r w:rsidRPr="00CD2B08">
        <w:rPr>
          <w:rFonts w:ascii="Times New Roman" w:hAnsi="Times New Roman"/>
        </w:rPr>
        <w:t>and in e</w:t>
      </w:r>
      <w:r w:rsidRPr="00CD2B08" w:rsidDel="001111EA">
        <w:rPr>
          <w:rFonts w:ascii="Times New Roman" w:hAnsi="Times New Roman"/>
        </w:rPr>
        <w:t>quity</w:t>
      </w:r>
      <w:r w:rsidRPr="00CD2B08">
        <w:rPr>
          <w:rFonts w:ascii="Times New Roman" w:hAnsi="Times New Roman"/>
        </w:rPr>
        <w:t xml:space="preserve">, in support of the principle that, within England, "where the two actions are by the same man in Courts governed by the same procedure, and where the judgments are followed by the same remedies, it is </w:t>
      </w:r>
      <w:proofErr w:type="spellStart"/>
      <w:r w:rsidRPr="00CD2B08">
        <w:rPr>
          <w:rFonts w:ascii="Times New Roman" w:hAnsi="Times New Roman"/>
          <w:i/>
        </w:rPr>
        <w:t>primâ</w:t>
      </w:r>
      <w:proofErr w:type="spellEnd"/>
      <w:r w:rsidRPr="00CD2B08">
        <w:rPr>
          <w:rFonts w:ascii="Times New Roman" w:hAnsi="Times New Roman"/>
          <w:i/>
        </w:rPr>
        <w:t xml:space="preserve"> facie</w:t>
      </w:r>
      <w:r w:rsidRPr="00CD2B08">
        <w:rPr>
          <w:rFonts w:ascii="Times New Roman" w:hAnsi="Times New Roman"/>
        </w:rPr>
        <w:t xml:space="preserve"> vexatious to bring two actions where one will do". His Lordship concluded</w:t>
      </w:r>
      <w:r w:rsidRPr="00CD2B08">
        <w:rPr>
          <w:rStyle w:val="FootnoteReference"/>
          <w:rFonts w:ascii="Times New Roman" w:hAnsi="Times New Roman"/>
          <w:sz w:val="24"/>
        </w:rPr>
        <w:footnoteReference w:id="116"/>
      </w:r>
      <w:r w:rsidRPr="00CD2B08">
        <w:rPr>
          <w:rFonts w:ascii="Times New Roman" w:hAnsi="Times New Roman"/>
        </w:rPr>
        <w:t xml:space="preserve"> that the court had power to prevent improper vexation by concurrent local and foreign proceedings and that no "inference" of</w:t>
      </w:r>
      <w:r>
        <w:rPr>
          <w:rFonts w:ascii="Times New Roman" w:hAnsi="Times New Roman"/>
        </w:rPr>
        <w:t> </w:t>
      </w:r>
      <w:r w:rsidRPr="00CD2B08">
        <w:rPr>
          <w:rFonts w:ascii="Times New Roman" w:hAnsi="Times New Roman"/>
        </w:rPr>
        <w:t>"</w:t>
      </w:r>
      <w:proofErr w:type="spellStart"/>
      <w:r w:rsidRPr="00CD2B08">
        <w:rPr>
          <w:rFonts w:ascii="Times New Roman" w:hAnsi="Times New Roman"/>
          <w:i/>
        </w:rPr>
        <w:t>primâ</w:t>
      </w:r>
      <w:proofErr w:type="spellEnd"/>
      <w:r w:rsidRPr="00CD2B08">
        <w:rPr>
          <w:rFonts w:ascii="Times New Roman" w:hAnsi="Times New Roman"/>
          <w:i/>
        </w:rPr>
        <w:t xml:space="preserve"> facie</w:t>
      </w:r>
      <w:r w:rsidRPr="00CD2B08">
        <w:rPr>
          <w:rFonts w:ascii="Times New Roman" w:hAnsi="Times New Roman"/>
        </w:rPr>
        <w:t xml:space="preserve"> vexation" could be drawn from the multiplicity of proceedings where "[n]</w:t>
      </w:r>
      <w:proofErr w:type="spellStart"/>
      <w:r w:rsidRPr="00CD2B08">
        <w:rPr>
          <w:rFonts w:ascii="Times New Roman" w:hAnsi="Times New Roman"/>
        </w:rPr>
        <w:t>ot</w:t>
      </w:r>
      <w:proofErr w:type="spellEnd"/>
      <w:r w:rsidRPr="00CD2B08">
        <w:rPr>
          <w:rFonts w:ascii="Times New Roman" w:hAnsi="Times New Roman"/>
        </w:rPr>
        <w:t xml:space="preserve"> only is the procedure different, but the remedy is different" as</w:t>
      </w:r>
      <w:r>
        <w:rPr>
          <w:rFonts w:ascii="Times New Roman" w:hAnsi="Times New Roman"/>
        </w:rPr>
        <w:t> </w:t>
      </w:r>
      <w:r w:rsidRPr="00CD2B08">
        <w:rPr>
          <w:rFonts w:ascii="Times New Roman" w:hAnsi="Times New Roman"/>
        </w:rPr>
        <w:t>between the courts.</w:t>
      </w:r>
    </w:p>
    <w:p w14:paraId="006AC751"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lastRenderedPageBreak/>
        <w:tab/>
        <w:t xml:space="preserve">Shortly thereafter, in </w:t>
      </w:r>
      <w:r w:rsidRPr="00CD2B08">
        <w:rPr>
          <w:rFonts w:ascii="Times New Roman" w:hAnsi="Times New Roman"/>
          <w:i/>
        </w:rPr>
        <w:t xml:space="preserve">The </w:t>
      </w:r>
      <w:proofErr w:type="spellStart"/>
      <w:r w:rsidRPr="00CD2B08">
        <w:rPr>
          <w:rFonts w:ascii="Times New Roman" w:hAnsi="Times New Roman"/>
          <w:i/>
        </w:rPr>
        <w:t>Christiansborg</w:t>
      </w:r>
      <w:proofErr w:type="spellEnd"/>
      <w:r w:rsidRPr="00CD2B08">
        <w:rPr>
          <w:rFonts w:ascii="Times New Roman" w:hAnsi="Times New Roman"/>
        </w:rPr>
        <w:t>, the Court of Appeal reiterated</w:t>
      </w:r>
      <w:r w:rsidRPr="00CD2B08">
        <w:rPr>
          <w:rStyle w:val="FootnoteReference"/>
          <w:rFonts w:ascii="Times New Roman" w:hAnsi="Times New Roman"/>
          <w:sz w:val="24"/>
        </w:rPr>
        <w:footnoteReference w:id="117"/>
      </w:r>
      <w:r w:rsidRPr="00CD2B08">
        <w:rPr>
          <w:rFonts w:ascii="Times New Roman" w:hAnsi="Times New Roman"/>
        </w:rPr>
        <w:t xml:space="preserve"> the principles in </w:t>
      </w:r>
      <w:r w:rsidRPr="00CD2B08">
        <w:rPr>
          <w:rFonts w:ascii="Times New Roman" w:hAnsi="Times New Roman"/>
          <w:i/>
        </w:rPr>
        <w:t xml:space="preserve">McHenry </w:t>
      </w:r>
      <w:r w:rsidRPr="00CD2B08">
        <w:rPr>
          <w:rFonts w:ascii="Times New Roman" w:hAnsi="Times New Roman"/>
        </w:rPr>
        <w:t>but divided as to the proper remedy: whereas Lord</w:t>
      </w:r>
      <w:r>
        <w:rPr>
          <w:rFonts w:ascii="Times New Roman" w:hAnsi="Times New Roman"/>
        </w:rPr>
        <w:t> </w:t>
      </w:r>
      <w:r w:rsidRPr="00CD2B08">
        <w:rPr>
          <w:rFonts w:ascii="Times New Roman" w:hAnsi="Times New Roman"/>
        </w:rPr>
        <w:t>Esher</w:t>
      </w:r>
      <w:r>
        <w:rPr>
          <w:rFonts w:ascii="Times New Roman" w:hAnsi="Times New Roman"/>
        </w:rPr>
        <w:t> </w:t>
      </w:r>
      <w:r w:rsidRPr="00CD2B08">
        <w:rPr>
          <w:rFonts w:ascii="Times New Roman" w:hAnsi="Times New Roman"/>
        </w:rPr>
        <w:t>MR in dissent would have put the plaintiff to election and relied</w:t>
      </w:r>
      <w:r w:rsidRPr="00CD2B08">
        <w:rPr>
          <w:rStyle w:val="FootnoteReference"/>
          <w:rFonts w:ascii="Times New Roman" w:hAnsi="Times New Roman"/>
          <w:sz w:val="24"/>
        </w:rPr>
        <w:footnoteReference w:id="118"/>
      </w:r>
      <w:r w:rsidRPr="00CD2B08">
        <w:rPr>
          <w:rFonts w:ascii="Times New Roman" w:hAnsi="Times New Roman"/>
        </w:rPr>
        <w:t xml:space="preserve"> on the absence of any "case in which the Court has stayed the second action without giving the plaintiff at least the right of election", </w:t>
      </w:r>
      <w:proofErr w:type="spellStart"/>
      <w:r w:rsidRPr="00CD2B08">
        <w:rPr>
          <w:rFonts w:ascii="Times New Roman" w:hAnsi="Times New Roman"/>
        </w:rPr>
        <w:t>Baggallay</w:t>
      </w:r>
      <w:proofErr w:type="spellEnd"/>
      <w:r w:rsidRPr="00CD2B08">
        <w:rPr>
          <w:rFonts w:ascii="Times New Roman" w:hAnsi="Times New Roman"/>
        </w:rPr>
        <w:t> LJ concluded</w:t>
      </w:r>
      <w:r w:rsidRPr="00CD2B08">
        <w:rPr>
          <w:rStyle w:val="FootnoteReference"/>
          <w:rFonts w:ascii="Times New Roman" w:hAnsi="Times New Roman"/>
          <w:sz w:val="24"/>
        </w:rPr>
        <w:footnoteReference w:id="119"/>
      </w:r>
      <w:r w:rsidRPr="00CD2B08">
        <w:rPr>
          <w:rFonts w:ascii="Times New Roman" w:hAnsi="Times New Roman"/>
        </w:rPr>
        <w:t xml:space="preserve"> that "the circumstances of the case may be such that instead of putting the plaintiff to his election the Court will stay one of the two actions". The latter view ultimately prevailed and, thereafter, the proper remedy was regarded as a matter within the court's discretion</w:t>
      </w:r>
      <w:r w:rsidRPr="00CD2B08">
        <w:rPr>
          <w:rStyle w:val="FootnoteReference"/>
          <w:rFonts w:ascii="Times New Roman" w:hAnsi="Times New Roman"/>
          <w:sz w:val="24"/>
        </w:rPr>
        <w:footnoteReference w:id="120"/>
      </w:r>
      <w:r w:rsidRPr="00CD2B08">
        <w:rPr>
          <w:rFonts w:ascii="Times New Roman" w:hAnsi="Times New Roman"/>
        </w:rPr>
        <w:t xml:space="preserve">. </w:t>
      </w:r>
    </w:p>
    <w:p w14:paraId="1B6D1DB5"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The principles stated in </w:t>
      </w:r>
      <w:r w:rsidRPr="00CD2B08">
        <w:rPr>
          <w:rFonts w:ascii="Times New Roman" w:hAnsi="Times New Roman"/>
          <w:i/>
        </w:rPr>
        <w:t>McHenry</w:t>
      </w:r>
      <w:r w:rsidRPr="00CD2B08" w:rsidDel="00FD7CA4">
        <w:rPr>
          <w:rFonts w:ascii="Times New Roman" w:hAnsi="Times New Roman"/>
        </w:rPr>
        <w:t xml:space="preserve"> </w:t>
      </w:r>
      <w:r w:rsidRPr="00CD2B08">
        <w:rPr>
          <w:rFonts w:ascii="Times New Roman" w:hAnsi="Times New Roman"/>
        </w:rPr>
        <w:t>have previously been accepted in this Court</w:t>
      </w:r>
      <w:r w:rsidRPr="00CD2B08">
        <w:rPr>
          <w:rStyle w:val="FootnoteReference"/>
          <w:rFonts w:ascii="Times New Roman" w:hAnsi="Times New Roman"/>
          <w:sz w:val="24"/>
        </w:rPr>
        <w:footnoteReference w:id="121"/>
      </w:r>
      <w:r w:rsidRPr="00CD2B08">
        <w:rPr>
          <w:rFonts w:ascii="Times New Roman" w:hAnsi="Times New Roman"/>
        </w:rPr>
        <w:t>. The general law principles concerning multiple suits do not support the first</w:t>
      </w:r>
      <w:r w:rsidRPr="00CD2B08">
        <w:rPr>
          <w:rFonts w:ascii="Times New Roman" w:hAnsi="Times New Roman"/>
        </w:rPr>
        <w:noBreakHyphen/>
        <w:t>in</w:t>
      </w:r>
      <w:r w:rsidRPr="00CD2B08">
        <w:rPr>
          <w:rFonts w:ascii="Times New Roman" w:hAnsi="Times New Roman"/>
        </w:rPr>
        <w:noBreakHyphen/>
        <w:t xml:space="preserve">time rule or presumption. Multiple suits were and remain to be resolved by the exercise of discretion informed by all the relevant circumstances. </w:t>
      </w:r>
    </w:p>
    <w:p w14:paraId="441973D5" w14:textId="77777777" w:rsidR="009A3DE4" w:rsidRPr="00CD2B08" w:rsidRDefault="009A3DE4" w:rsidP="00CD2B08">
      <w:pPr>
        <w:pStyle w:val="HeadingL2"/>
        <w:spacing w:after="260" w:line="280" w:lineRule="exact"/>
        <w:ind w:right="0"/>
        <w:jc w:val="both"/>
        <w:rPr>
          <w:rFonts w:ascii="Times New Roman" w:hAnsi="Times New Roman"/>
        </w:rPr>
      </w:pPr>
      <w:r w:rsidRPr="00CD2B08">
        <w:rPr>
          <w:rFonts w:ascii="Times New Roman" w:hAnsi="Times New Roman"/>
        </w:rPr>
        <w:t xml:space="preserve">Inherent power to grant a stay on grounds of forum non </w:t>
      </w:r>
      <w:proofErr w:type="spellStart"/>
      <w:r w:rsidRPr="00CD2B08">
        <w:rPr>
          <w:rFonts w:ascii="Times New Roman" w:hAnsi="Times New Roman"/>
        </w:rPr>
        <w:t>conveniens</w:t>
      </w:r>
      <w:proofErr w:type="spellEnd"/>
    </w:p>
    <w:p w14:paraId="1F7D97DF"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Ms </w:t>
      </w:r>
      <w:proofErr w:type="spellStart"/>
      <w:r w:rsidRPr="00CD2B08">
        <w:rPr>
          <w:rFonts w:ascii="Times New Roman" w:hAnsi="Times New Roman"/>
        </w:rPr>
        <w:t>Wigmans</w:t>
      </w:r>
      <w:proofErr w:type="spellEnd"/>
      <w:r w:rsidRPr="00CD2B08">
        <w:rPr>
          <w:rFonts w:ascii="Times New Roman" w:hAnsi="Times New Roman"/>
        </w:rPr>
        <w:t xml:space="preserve"> also sought to rely on cases concerning a court's power to stay proceedings on grounds of forum non </w:t>
      </w:r>
      <w:proofErr w:type="spellStart"/>
      <w:r w:rsidRPr="00CD2B08">
        <w:rPr>
          <w:rFonts w:ascii="Times New Roman" w:hAnsi="Times New Roman"/>
        </w:rPr>
        <w:t>conveniens</w:t>
      </w:r>
      <w:proofErr w:type="spellEnd"/>
      <w:r w:rsidRPr="00CD2B08">
        <w:rPr>
          <w:rFonts w:ascii="Times New Roman" w:hAnsi="Times New Roman"/>
        </w:rPr>
        <w:t xml:space="preserve">. In </w:t>
      </w:r>
      <w:r w:rsidRPr="00CD2B08">
        <w:rPr>
          <w:rFonts w:ascii="Times New Roman" w:hAnsi="Times New Roman"/>
          <w:i/>
        </w:rPr>
        <w:t>CSR</w:t>
      </w:r>
      <w:r w:rsidRPr="00CD2B08">
        <w:rPr>
          <w:rFonts w:ascii="Times New Roman" w:hAnsi="Times New Roman"/>
        </w:rPr>
        <w:t>,</w:t>
      </w:r>
      <w:r w:rsidRPr="00CD2B08" w:rsidDel="00A50878">
        <w:rPr>
          <w:rFonts w:ascii="Times New Roman" w:hAnsi="Times New Roman"/>
        </w:rPr>
        <w:t xml:space="preserve"> </w:t>
      </w:r>
      <w:r w:rsidRPr="00CD2B08">
        <w:rPr>
          <w:rFonts w:ascii="Times New Roman" w:hAnsi="Times New Roman"/>
        </w:rPr>
        <w:t xml:space="preserve">six judges of this Court explained the nature of the power to stay proceedings on grounds of forum non </w:t>
      </w:r>
      <w:proofErr w:type="spellStart"/>
      <w:r w:rsidRPr="00CD2B08">
        <w:rPr>
          <w:rFonts w:ascii="Times New Roman" w:hAnsi="Times New Roman"/>
        </w:rPr>
        <w:t>conveniens</w:t>
      </w:r>
      <w:proofErr w:type="spellEnd"/>
      <w:r w:rsidRPr="00CD2B08">
        <w:rPr>
          <w:rStyle w:val="FootnoteReference"/>
          <w:rFonts w:ascii="Times New Roman" w:hAnsi="Times New Roman"/>
          <w:sz w:val="24"/>
        </w:rPr>
        <w:footnoteReference w:id="122"/>
      </w:r>
      <w:r w:rsidRPr="00CD2B08">
        <w:rPr>
          <w:rFonts w:ascii="Times New Roman" w:hAnsi="Times New Roman"/>
        </w:rPr>
        <w:t>:</w:t>
      </w:r>
    </w:p>
    <w:p w14:paraId="30380DF2" w14:textId="77777777" w:rsidR="009A3DE4"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tab/>
        <w:t xml:space="preserve">"It is clear from the rationale for the exercise of the power to stay proceedings and, also, from the words 'oppressive', 'vexatious' and 'abuse of process' in </w:t>
      </w:r>
      <w:r w:rsidRPr="00CD2B08">
        <w:rPr>
          <w:rFonts w:ascii="Times New Roman" w:hAnsi="Times New Roman"/>
          <w:i/>
        </w:rPr>
        <w:t>Voth</w:t>
      </w:r>
      <w:r w:rsidRPr="00CD2B08">
        <w:rPr>
          <w:rFonts w:ascii="Times New Roman" w:hAnsi="Times New Roman"/>
        </w:rPr>
        <w:t xml:space="preserve">, in </w:t>
      </w:r>
      <w:r w:rsidRPr="00CD2B08">
        <w:rPr>
          <w:rFonts w:ascii="Times New Roman" w:hAnsi="Times New Roman"/>
          <w:i/>
        </w:rPr>
        <w:t xml:space="preserve">Oceanic Sun </w:t>
      </w:r>
      <w:r w:rsidRPr="00CD2B08">
        <w:rPr>
          <w:rFonts w:ascii="Times New Roman" w:hAnsi="Times New Roman"/>
        </w:rPr>
        <w:t>[</w:t>
      </w:r>
      <w:r w:rsidRPr="00CD2B08">
        <w:rPr>
          <w:rFonts w:ascii="Times New Roman" w:hAnsi="Times New Roman"/>
          <w:i/>
        </w:rPr>
        <w:t>Line Special Shipping Co Inc v Fay</w:t>
      </w:r>
      <w:r w:rsidRPr="00CD2B08">
        <w:rPr>
          <w:rStyle w:val="FootnoteReference"/>
          <w:rFonts w:ascii="Times New Roman" w:hAnsi="Times New Roman"/>
          <w:sz w:val="24"/>
        </w:rPr>
        <w:footnoteReference w:id="123"/>
      </w:r>
      <w:r w:rsidRPr="00CD2B08">
        <w:rPr>
          <w:rFonts w:ascii="Times New Roman" w:hAnsi="Times New Roman"/>
        </w:rPr>
        <w:t>] and</w:t>
      </w:r>
      <w:r>
        <w:rPr>
          <w:rFonts w:ascii="Times New Roman" w:hAnsi="Times New Roman"/>
        </w:rPr>
        <w:t> </w:t>
      </w:r>
      <w:r w:rsidRPr="00CD2B08">
        <w:rPr>
          <w:rFonts w:ascii="Times New Roman" w:hAnsi="Times New Roman"/>
        </w:rPr>
        <w:t xml:space="preserve">in the earlier cases considered in </w:t>
      </w:r>
      <w:r w:rsidRPr="00CD2B08">
        <w:rPr>
          <w:rFonts w:ascii="Times New Roman" w:hAnsi="Times New Roman"/>
          <w:i/>
        </w:rPr>
        <w:t>Oceanic Sun</w:t>
      </w:r>
      <w:r w:rsidRPr="00CD2B08">
        <w:rPr>
          <w:rFonts w:ascii="Times New Roman" w:hAnsi="Times New Roman"/>
        </w:rPr>
        <w:t xml:space="preserve"> ...</w:t>
      </w:r>
      <w:r w:rsidRPr="00CD2B08" w:rsidDel="00806B14">
        <w:rPr>
          <w:rStyle w:val="FootnoteReference"/>
          <w:rFonts w:ascii="Times New Roman" w:hAnsi="Times New Roman"/>
          <w:vertAlign w:val="baseline"/>
        </w:rPr>
        <w:t xml:space="preserve"> </w:t>
      </w:r>
      <w:r w:rsidRPr="00CD2B08">
        <w:rPr>
          <w:rFonts w:ascii="Times New Roman" w:hAnsi="Times New Roman"/>
        </w:rPr>
        <w:t xml:space="preserve">that the power to stay </w:t>
      </w:r>
      <w:r w:rsidRPr="00CD2B08">
        <w:rPr>
          <w:rFonts w:ascii="Times New Roman" w:hAnsi="Times New Roman"/>
        </w:rPr>
        <w:lastRenderedPageBreak/>
        <w:t xml:space="preserve">proceedings on grounds of forum non </w:t>
      </w:r>
      <w:proofErr w:type="spellStart"/>
      <w:r w:rsidRPr="00CD2B08">
        <w:rPr>
          <w:rFonts w:ascii="Times New Roman" w:hAnsi="Times New Roman"/>
        </w:rPr>
        <w:t>conveniens</w:t>
      </w:r>
      <w:proofErr w:type="spellEnd"/>
      <w:r w:rsidRPr="00CD2B08">
        <w:rPr>
          <w:rFonts w:ascii="Times New Roman" w:hAnsi="Times New Roman"/>
        </w:rPr>
        <w:t xml:space="preserve"> is an aspect of the inherent or implied power which, in the absence of some statutory provision to the same effect, every court must have to prevent its own processes being used to bring about injustice".</w:t>
      </w:r>
    </w:p>
    <w:p w14:paraId="717BBEC6"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In </w:t>
      </w:r>
      <w:r w:rsidRPr="00CD2B08">
        <w:rPr>
          <w:rFonts w:ascii="Times New Roman" w:hAnsi="Times New Roman"/>
          <w:i/>
        </w:rPr>
        <w:t>Oceanic Sun</w:t>
      </w:r>
      <w:r w:rsidRPr="00CD2B08">
        <w:rPr>
          <w:rFonts w:ascii="Times New Roman" w:hAnsi="Times New Roman"/>
        </w:rPr>
        <w:t>, Deane J explained that test</w:t>
      </w:r>
      <w:r w:rsidRPr="00CD2B08">
        <w:rPr>
          <w:rFonts w:ascii="Times New Roman" w:hAnsi="Times New Roman"/>
          <w:i/>
        </w:rPr>
        <w:t xml:space="preserve"> </w:t>
      </w:r>
      <w:r w:rsidRPr="00CD2B08">
        <w:rPr>
          <w:rFonts w:ascii="Times New Roman" w:hAnsi="Times New Roman"/>
        </w:rPr>
        <w:t>in the following terms</w:t>
      </w:r>
      <w:r w:rsidRPr="00CD2B08">
        <w:rPr>
          <w:rStyle w:val="FootnoteReference"/>
          <w:rFonts w:ascii="Times New Roman" w:hAnsi="Times New Roman"/>
          <w:sz w:val="24"/>
        </w:rPr>
        <w:footnoteReference w:id="124"/>
      </w:r>
      <w:r w:rsidRPr="00CD2B08">
        <w:rPr>
          <w:rFonts w:ascii="Times New Roman" w:hAnsi="Times New Roman"/>
        </w:rPr>
        <w:t xml:space="preserve">: </w:t>
      </w:r>
    </w:p>
    <w:p w14:paraId="3352A52C" w14:textId="77777777" w:rsidR="009A3DE4"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t>"</w:t>
      </w:r>
      <w:r w:rsidRPr="00CD2B08">
        <w:rPr>
          <w:rFonts w:ascii="Times New Roman" w:hAnsi="Times New Roman"/>
          <w:i/>
        </w:rPr>
        <w:t>[The] power [to dismiss or stay proceedings within jurisdiction on inappropriate forum grounds] is a discretionary one in the sense that its exercise involves a subjective balancing process in which the relevant factors will vary and in which both the question of the comparative weight to be given to particular factors in the circumstances of a particular case and the decision whether the power should be exercised are matters for individual judgment and, to a significant extent, matters of impression.</w:t>
      </w:r>
      <w:r w:rsidRPr="00CD2B08">
        <w:rPr>
          <w:rFonts w:ascii="Times New Roman" w:hAnsi="Times New Roman"/>
        </w:rPr>
        <w:t xml:space="preserve"> The power should only be exercised in a clear case and the onus lies upon the defendant to satisfy the local court in which the particular proceedings have been instituted that it is so inappropriate a forum for their determination that their continuation would be oppressive and vexatious to him." (emphasis added)</w:t>
      </w:r>
    </w:p>
    <w:p w14:paraId="04974A8D"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Contrary to Ms </w:t>
      </w:r>
      <w:proofErr w:type="spellStart"/>
      <w:r w:rsidRPr="00CD2B08">
        <w:rPr>
          <w:rFonts w:ascii="Times New Roman" w:hAnsi="Times New Roman"/>
        </w:rPr>
        <w:t>Wigmans</w:t>
      </w:r>
      <w:proofErr w:type="spellEnd"/>
      <w:r w:rsidRPr="00CD2B08">
        <w:rPr>
          <w:rFonts w:ascii="Times New Roman" w:hAnsi="Times New Roman"/>
        </w:rPr>
        <w:t xml:space="preserve">' contention, those statements of principle do not suggest there is a first-in-time rule or presumption in the forum non </w:t>
      </w:r>
      <w:proofErr w:type="spellStart"/>
      <w:r w:rsidRPr="00CD2B08">
        <w:rPr>
          <w:rFonts w:ascii="Times New Roman" w:hAnsi="Times New Roman"/>
        </w:rPr>
        <w:t>conveniens</w:t>
      </w:r>
      <w:proofErr w:type="spellEnd"/>
      <w:r w:rsidRPr="00CD2B08">
        <w:rPr>
          <w:rFonts w:ascii="Times New Roman" w:hAnsi="Times New Roman"/>
        </w:rPr>
        <w:t xml:space="preserve"> context. Deane J's approach in </w:t>
      </w:r>
      <w:r w:rsidRPr="00CD2B08">
        <w:rPr>
          <w:rFonts w:ascii="Times New Roman" w:hAnsi="Times New Roman"/>
          <w:i/>
        </w:rPr>
        <w:t xml:space="preserve">Oceanic Sun </w:t>
      </w:r>
      <w:r w:rsidRPr="00CD2B08">
        <w:rPr>
          <w:rFonts w:ascii="Times New Roman" w:hAnsi="Times New Roman"/>
        </w:rPr>
        <w:t xml:space="preserve">was adopted in </w:t>
      </w:r>
      <w:r w:rsidRPr="00CD2B08">
        <w:rPr>
          <w:rFonts w:ascii="Times New Roman" w:hAnsi="Times New Roman"/>
          <w:i/>
        </w:rPr>
        <w:t>Voth</w:t>
      </w:r>
      <w:r w:rsidRPr="00CD2B08">
        <w:rPr>
          <w:rStyle w:val="FootnoteReference"/>
          <w:rFonts w:ascii="Times New Roman" w:hAnsi="Times New Roman"/>
          <w:sz w:val="24"/>
        </w:rPr>
        <w:footnoteReference w:id="125"/>
      </w:r>
      <w:r w:rsidRPr="00CD2B08">
        <w:rPr>
          <w:rFonts w:ascii="Times New Roman" w:hAnsi="Times New Roman"/>
        </w:rPr>
        <w:t xml:space="preserve"> and applied in </w:t>
      </w:r>
      <w:r w:rsidRPr="00CD2B08">
        <w:rPr>
          <w:rFonts w:ascii="Times New Roman" w:hAnsi="Times New Roman"/>
          <w:i/>
        </w:rPr>
        <w:t>Henry</w:t>
      </w:r>
      <w:r w:rsidRPr="00CD2B08">
        <w:rPr>
          <w:rStyle w:val="FootnoteReference"/>
          <w:rFonts w:ascii="Times New Roman" w:hAnsi="Times New Roman"/>
          <w:sz w:val="24"/>
        </w:rPr>
        <w:footnoteReference w:id="126"/>
      </w:r>
      <w:r w:rsidRPr="00CD2B08">
        <w:rPr>
          <w:rFonts w:ascii="Times New Roman" w:hAnsi="Times New Roman"/>
          <w:i/>
        </w:rPr>
        <w:t xml:space="preserve"> </w:t>
      </w:r>
      <w:r w:rsidRPr="00CD2B08">
        <w:rPr>
          <w:rFonts w:ascii="Times New Roman" w:hAnsi="Times New Roman"/>
        </w:rPr>
        <w:t xml:space="preserve">and </w:t>
      </w:r>
      <w:r w:rsidRPr="00CD2B08">
        <w:rPr>
          <w:rFonts w:ascii="Times New Roman" w:hAnsi="Times New Roman"/>
          <w:i/>
        </w:rPr>
        <w:t>CSR</w:t>
      </w:r>
      <w:r w:rsidRPr="00CD2B08">
        <w:rPr>
          <w:rStyle w:val="FootnoteReference"/>
          <w:rFonts w:ascii="Times New Roman" w:hAnsi="Times New Roman"/>
          <w:sz w:val="24"/>
        </w:rPr>
        <w:footnoteReference w:id="127"/>
      </w:r>
      <w:r w:rsidRPr="00CD2B08">
        <w:rPr>
          <w:rFonts w:ascii="Times New Roman" w:hAnsi="Times New Roman"/>
        </w:rPr>
        <w:t xml:space="preserve">. </w:t>
      </w:r>
    </w:p>
    <w:p w14:paraId="3B13B43A" w14:textId="77777777" w:rsidR="009A3DE4" w:rsidRPr="00CD2B08" w:rsidRDefault="009A3DE4" w:rsidP="00CD2B08">
      <w:pPr>
        <w:pStyle w:val="HeadingL2"/>
        <w:spacing w:after="260" w:line="280" w:lineRule="exact"/>
        <w:ind w:right="0"/>
        <w:jc w:val="both"/>
        <w:rPr>
          <w:rFonts w:ascii="Times New Roman" w:hAnsi="Times New Roman"/>
        </w:rPr>
      </w:pPr>
      <w:r w:rsidRPr="00CD2B08" w:rsidDel="0074463C">
        <w:rPr>
          <w:rFonts w:ascii="Times New Roman" w:hAnsi="Times New Roman"/>
        </w:rPr>
        <w:t xml:space="preserve">Reliance on </w:t>
      </w:r>
      <w:r w:rsidRPr="00CD2B08">
        <w:rPr>
          <w:rFonts w:ascii="Times New Roman" w:hAnsi="Times New Roman"/>
        </w:rPr>
        <w:t>Henry and Moore</w:t>
      </w:r>
    </w:p>
    <w:p w14:paraId="7DF5E6F7"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Ms </w:t>
      </w:r>
      <w:proofErr w:type="spellStart"/>
      <w:r w:rsidRPr="00CD2B08">
        <w:rPr>
          <w:rFonts w:ascii="Times New Roman" w:hAnsi="Times New Roman"/>
        </w:rPr>
        <w:t>Wigmans</w:t>
      </w:r>
      <w:proofErr w:type="spellEnd"/>
      <w:r w:rsidRPr="00CD2B08">
        <w:rPr>
          <w:rFonts w:ascii="Times New Roman" w:hAnsi="Times New Roman"/>
        </w:rPr>
        <w:t xml:space="preserve"> emphasised the statement of four members of this Court in </w:t>
      </w:r>
      <w:r w:rsidRPr="00CD2B08">
        <w:rPr>
          <w:rFonts w:ascii="Times New Roman" w:hAnsi="Times New Roman"/>
          <w:i/>
        </w:rPr>
        <w:t xml:space="preserve">Henry </w:t>
      </w:r>
      <w:r w:rsidRPr="00CD2B08">
        <w:rPr>
          <w:rFonts w:ascii="Times New Roman" w:hAnsi="Times New Roman"/>
        </w:rPr>
        <w:t>that: "[</w:t>
      </w:r>
      <w:proofErr w:type="spellStart"/>
      <w:r w:rsidRPr="00CD2B08">
        <w:rPr>
          <w:rFonts w:ascii="Times New Roman" w:hAnsi="Times New Roman"/>
        </w:rPr>
        <w:t>i</w:t>
      </w:r>
      <w:proofErr w:type="spellEnd"/>
      <w:r w:rsidRPr="00CD2B08">
        <w:rPr>
          <w:rFonts w:ascii="Times New Roman" w:hAnsi="Times New Roman"/>
        </w:rPr>
        <w:t xml:space="preserve">]t is prima facie vexatious and oppressive, in the strict sense of those terms, to commence a second or subsequent action in the courts </w:t>
      </w:r>
      <w:r w:rsidRPr="00CD2B08">
        <w:rPr>
          <w:rFonts w:ascii="Times New Roman" w:hAnsi="Times New Roman"/>
          <w:i/>
        </w:rPr>
        <w:t>of this country</w:t>
      </w:r>
      <w:r w:rsidRPr="00CD2B08">
        <w:rPr>
          <w:rFonts w:ascii="Times New Roman" w:hAnsi="Times New Roman"/>
        </w:rPr>
        <w:t xml:space="preserve"> if an action is already pending with respect to the matter in issue"</w:t>
      </w:r>
      <w:r w:rsidRPr="00CD2B08">
        <w:rPr>
          <w:rStyle w:val="FootnoteReference"/>
          <w:rFonts w:ascii="Times New Roman" w:hAnsi="Times New Roman"/>
          <w:sz w:val="24"/>
        </w:rPr>
        <w:footnoteReference w:id="128"/>
      </w:r>
      <w:r w:rsidRPr="00CD2B08">
        <w:rPr>
          <w:rFonts w:ascii="Times New Roman" w:hAnsi="Times New Roman"/>
        </w:rPr>
        <w:t xml:space="preserve"> (emphasis added). The authority cited for the proposition applying to two proceedings in the </w:t>
      </w:r>
      <w:r w:rsidRPr="00CD2B08">
        <w:rPr>
          <w:rFonts w:ascii="Times New Roman" w:hAnsi="Times New Roman"/>
        </w:rPr>
        <w:lastRenderedPageBreak/>
        <w:t xml:space="preserve">same country was </w:t>
      </w:r>
      <w:r w:rsidRPr="00CD2B08">
        <w:rPr>
          <w:rFonts w:ascii="Times New Roman" w:hAnsi="Times New Roman"/>
          <w:i/>
        </w:rPr>
        <w:t>Moore</w:t>
      </w:r>
      <w:r w:rsidRPr="00CD2B08">
        <w:rPr>
          <w:rFonts w:ascii="Times New Roman" w:hAnsi="Times New Roman"/>
        </w:rPr>
        <w:t>.</w:t>
      </w:r>
      <w:r w:rsidRPr="00CD2B08">
        <w:rPr>
          <w:rFonts w:ascii="Times New Roman" w:hAnsi="Times New Roman"/>
          <w:i/>
        </w:rPr>
        <w:t xml:space="preserve"> </w:t>
      </w:r>
      <w:r w:rsidRPr="00CD2B08">
        <w:rPr>
          <w:rFonts w:ascii="Times New Roman" w:hAnsi="Times New Roman"/>
        </w:rPr>
        <w:t>But </w:t>
      </w:r>
      <w:r w:rsidRPr="00CD2B08">
        <w:rPr>
          <w:rFonts w:ascii="Times New Roman" w:hAnsi="Times New Roman"/>
          <w:i/>
        </w:rPr>
        <w:t>Moore</w:t>
      </w:r>
      <w:r w:rsidRPr="00CD2B08">
        <w:rPr>
          <w:rFonts w:ascii="Times New Roman" w:hAnsi="Times New Roman"/>
        </w:rPr>
        <w:t xml:space="preserve">, like </w:t>
      </w:r>
      <w:r w:rsidRPr="00CD2B08">
        <w:rPr>
          <w:rFonts w:ascii="Times New Roman" w:hAnsi="Times New Roman"/>
          <w:i/>
        </w:rPr>
        <w:t>Henry</w:t>
      </w:r>
      <w:r w:rsidRPr="00CD2B08">
        <w:rPr>
          <w:rFonts w:ascii="Times New Roman" w:hAnsi="Times New Roman"/>
        </w:rPr>
        <w:t xml:space="preserve">, concerned whether a second or subsequent action may be considered vexatious or oppressive in what their Honours in </w:t>
      </w:r>
      <w:r w:rsidRPr="00CD2B08">
        <w:rPr>
          <w:rFonts w:ascii="Times New Roman" w:hAnsi="Times New Roman"/>
          <w:i/>
        </w:rPr>
        <w:t xml:space="preserve">Henry </w:t>
      </w:r>
      <w:r w:rsidRPr="00CD2B08">
        <w:rPr>
          <w:rFonts w:ascii="Times New Roman" w:hAnsi="Times New Roman"/>
        </w:rPr>
        <w:t>referred to as the "strict sense"</w:t>
      </w:r>
      <w:r w:rsidRPr="00CD2B08">
        <w:rPr>
          <w:rStyle w:val="FootnoteReference"/>
          <w:rFonts w:ascii="Times New Roman" w:hAnsi="Times New Roman"/>
          <w:sz w:val="24"/>
        </w:rPr>
        <w:footnoteReference w:id="129"/>
      </w:r>
      <w:r w:rsidRPr="00CD2B08">
        <w:rPr>
          <w:rFonts w:ascii="Times New Roman" w:hAnsi="Times New Roman"/>
        </w:rPr>
        <w:t>, of an abuse of process. The</w:t>
      </w:r>
      <w:r>
        <w:rPr>
          <w:rFonts w:ascii="Times New Roman" w:hAnsi="Times New Roman"/>
        </w:rPr>
        <w:t> </w:t>
      </w:r>
      <w:r w:rsidRPr="00CD2B08">
        <w:rPr>
          <w:rFonts w:ascii="Times New Roman" w:hAnsi="Times New Roman"/>
        </w:rPr>
        <w:t xml:space="preserve">considerations involved in resolving a competition between representative proceedings are not so confined. Here, there was no abuse of process: the primary judge's finding that the consolidated </w:t>
      </w:r>
      <w:proofErr w:type="spellStart"/>
      <w:r w:rsidRPr="00CD2B08">
        <w:rPr>
          <w:rFonts w:ascii="Times New Roman" w:hAnsi="Times New Roman"/>
        </w:rPr>
        <w:t>Komlotex</w:t>
      </w:r>
      <w:proofErr w:type="spellEnd"/>
      <w:r w:rsidRPr="00CD2B08">
        <w:rPr>
          <w:rFonts w:ascii="Times New Roman" w:hAnsi="Times New Roman"/>
        </w:rPr>
        <w:t xml:space="preserve"> proceedings were not an abuse of process was upheld on appeal. And, even in the context of abuse of process, the</w:t>
      </w:r>
      <w:r>
        <w:rPr>
          <w:rFonts w:ascii="Times New Roman" w:hAnsi="Times New Roman"/>
        </w:rPr>
        <w:t> </w:t>
      </w:r>
      <w:r w:rsidRPr="00CD2B08">
        <w:rPr>
          <w:rFonts w:ascii="Times New Roman" w:hAnsi="Times New Roman"/>
        </w:rPr>
        <w:t>time of filing is not determinative but one of a range of factors, personal to the parties, that are considered by a court</w:t>
      </w:r>
      <w:r w:rsidRPr="00CD2B08">
        <w:rPr>
          <w:rStyle w:val="FootnoteReference"/>
          <w:rFonts w:ascii="Times New Roman" w:hAnsi="Times New Roman"/>
          <w:sz w:val="24"/>
        </w:rPr>
        <w:footnoteReference w:id="130"/>
      </w:r>
      <w:r w:rsidRPr="00CD2B08">
        <w:rPr>
          <w:rFonts w:ascii="Times New Roman" w:hAnsi="Times New Roman"/>
        </w:rPr>
        <w:t>.</w:t>
      </w:r>
    </w:p>
    <w:p w14:paraId="5DAA8006" w14:textId="77777777" w:rsidR="009A3DE4" w:rsidRPr="00CD2B08" w:rsidRDefault="009A3DE4" w:rsidP="00CD2B08">
      <w:pPr>
        <w:pStyle w:val="HeadingL2"/>
        <w:spacing w:after="260" w:line="280" w:lineRule="exact"/>
        <w:ind w:right="0"/>
        <w:jc w:val="both"/>
        <w:rPr>
          <w:rFonts w:ascii="Times New Roman" w:hAnsi="Times New Roman"/>
        </w:rPr>
      </w:pPr>
      <w:r w:rsidRPr="00CD2B08">
        <w:rPr>
          <w:rFonts w:ascii="Times New Roman" w:hAnsi="Times New Roman"/>
        </w:rPr>
        <w:t>Equity's approach to test actions</w:t>
      </w:r>
    </w:p>
    <w:p w14:paraId="70FE4E67"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By contrast to the </w:t>
      </w:r>
      <w:r w:rsidRPr="00CD2B08" w:rsidDel="00F64FC9">
        <w:rPr>
          <w:rFonts w:ascii="Times New Roman" w:hAnsi="Times New Roman"/>
        </w:rPr>
        <w:t xml:space="preserve">principles applicable to </w:t>
      </w:r>
      <w:r w:rsidRPr="00CD2B08">
        <w:rPr>
          <w:rFonts w:ascii="Times New Roman" w:hAnsi="Times New Roman"/>
        </w:rPr>
        <w:t xml:space="preserve">forum non </w:t>
      </w:r>
      <w:proofErr w:type="spellStart"/>
      <w:r w:rsidRPr="00CD2B08">
        <w:rPr>
          <w:rFonts w:ascii="Times New Roman" w:hAnsi="Times New Roman"/>
        </w:rPr>
        <w:t>conveniens</w:t>
      </w:r>
      <w:proofErr w:type="spellEnd"/>
      <w:r w:rsidRPr="00CD2B08">
        <w:rPr>
          <w:rFonts w:ascii="Times New Roman" w:hAnsi="Times New Roman"/>
        </w:rPr>
        <w:t xml:space="preserve"> cases, equitable principles concerning test actions </w:t>
      </w:r>
      <w:r w:rsidRPr="00CD2B08">
        <w:rPr>
          <w:rFonts w:ascii="Times New Roman" w:hAnsi="Times New Roman"/>
          <w:i/>
        </w:rPr>
        <w:t>do</w:t>
      </w:r>
      <w:r w:rsidRPr="00CD2B08">
        <w:rPr>
          <w:rFonts w:ascii="Times New Roman" w:hAnsi="Times New Roman"/>
        </w:rPr>
        <w:t xml:space="preserve"> assist in identifying how a court should approach the issue of multiple representative proceedings. Those principles date back at least to </w:t>
      </w:r>
      <w:r w:rsidRPr="00CD2B08">
        <w:rPr>
          <w:rFonts w:ascii="Times New Roman" w:hAnsi="Times New Roman"/>
          <w:i/>
        </w:rPr>
        <w:t>Amos v Chadwick</w:t>
      </w:r>
      <w:r w:rsidRPr="00CD2B08">
        <w:rPr>
          <w:rStyle w:val="FootnoteReference"/>
          <w:rFonts w:ascii="Times New Roman" w:hAnsi="Times New Roman"/>
          <w:sz w:val="24"/>
        </w:rPr>
        <w:footnoteReference w:id="131"/>
      </w:r>
      <w:r w:rsidRPr="00CD2B08">
        <w:rPr>
          <w:rFonts w:ascii="Times New Roman" w:hAnsi="Times New Roman"/>
        </w:rPr>
        <w:t xml:space="preserve">, where </w:t>
      </w:r>
      <w:proofErr w:type="spellStart"/>
      <w:r w:rsidRPr="00CD2B08">
        <w:rPr>
          <w:rFonts w:ascii="Times New Roman" w:hAnsi="Times New Roman"/>
        </w:rPr>
        <w:t>Jessel</w:t>
      </w:r>
      <w:proofErr w:type="spellEnd"/>
      <w:r w:rsidRPr="00CD2B08">
        <w:rPr>
          <w:rFonts w:ascii="Times New Roman" w:hAnsi="Times New Roman"/>
        </w:rPr>
        <w:t xml:space="preserve"> MR explained the court's approach to resolving 78 actions brought by shareholders of the </w:t>
      </w:r>
      <w:proofErr w:type="spellStart"/>
      <w:r w:rsidRPr="00CD2B08">
        <w:rPr>
          <w:rFonts w:ascii="Times New Roman" w:hAnsi="Times New Roman"/>
        </w:rPr>
        <w:t>Blochairn</w:t>
      </w:r>
      <w:proofErr w:type="spellEnd"/>
      <w:r w:rsidRPr="00CD2B08">
        <w:rPr>
          <w:rFonts w:ascii="Times New Roman" w:hAnsi="Times New Roman"/>
        </w:rPr>
        <w:t xml:space="preserve"> Iron Company against the company's promoters for fraudulent misrepresentation in</w:t>
      </w:r>
      <w:r>
        <w:rPr>
          <w:rFonts w:ascii="Times New Roman" w:hAnsi="Times New Roman"/>
        </w:rPr>
        <w:t> </w:t>
      </w:r>
      <w:r w:rsidRPr="00CD2B08">
        <w:rPr>
          <w:rFonts w:ascii="Times New Roman" w:hAnsi="Times New Roman"/>
        </w:rPr>
        <w:t>these terms:</w:t>
      </w:r>
    </w:p>
    <w:p w14:paraId="6712B8A8" w14:textId="77777777" w:rsidR="009A3DE4"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t>"All the actions raise substantially the same question. Of course it would have been a scandal to the administration of justice if all the seventy-eight actions had been allowed to proceed, and in some way or other provision ought to have been made for the trial of the real question between the parties in a single action, if that was possible. Sometimes such a course is not possible, because people will not be reasonable and will not consent. In that case, I take it, the Court could stay the proceedings in all the actions but one, and see what becomes of that one."</w:t>
      </w:r>
    </w:p>
    <w:p w14:paraId="5442ECF5"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The procedure anticipated by the Master of the Rolls was later applied </w:t>
      </w:r>
      <w:r w:rsidRPr="00CD2B08" w:rsidDel="00E96596">
        <w:rPr>
          <w:rFonts w:ascii="Times New Roman" w:hAnsi="Times New Roman"/>
        </w:rPr>
        <w:t xml:space="preserve">in </w:t>
      </w:r>
      <w:r w:rsidRPr="00CD2B08" w:rsidDel="00E96596">
        <w:rPr>
          <w:rFonts w:ascii="Times New Roman" w:hAnsi="Times New Roman"/>
          <w:i/>
        </w:rPr>
        <w:t xml:space="preserve">Bennett v Lord Bury </w:t>
      </w:r>
      <w:r w:rsidRPr="00CD2B08">
        <w:rPr>
          <w:rFonts w:ascii="Times New Roman" w:hAnsi="Times New Roman"/>
        </w:rPr>
        <w:t>by Field J, staying 37 of 38 shareholder actions against directors of the Colonial Trusts Corporation Limited</w:t>
      </w:r>
      <w:r w:rsidRPr="00CD2B08">
        <w:rPr>
          <w:rStyle w:val="FootnoteReference"/>
          <w:rFonts w:ascii="Times New Roman" w:hAnsi="Times New Roman"/>
          <w:sz w:val="24"/>
        </w:rPr>
        <w:footnoteReference w:id="132"/>
      </w:r>
      <w:r w:rsidRPr="00CD2B08">
        <w:rPr>
          <w:rFonts w:ascii="Times New Roman" w:hAnsi="Times New Roman"/>
        </w:rPr>
        <w:t xml:space="preserve">. In upholding that order on </w:t>
      </w:r>
      <w:r w:rsidRPr="00CD2B08">
        <w:rPr>
          <w:rFonts w:ascii="Times New Roman" w:hAnsi="Times New Roman"/>
        </w:rPr>
        <w:lastRenderedPageBreak/>
        <w:t>appeal</w:t>
      </w:r>
      <w:r w:rsidRPr="00CD2B08" w:rsidDel="00C03913">
        <w:rPr>
          <w:rFonts w:ascii="Times New Roman" w:hAnsi="Times New Roman"/>
        </w:rPr>
        <w:t>,</w:t>
      </w:r>
      <w:r w:rsidRPr="00CD2B08">
        <w:rPr>
          <w:rFonts w:ascii="Times New Roman" w:hAnsi="Times New Roman"/>
        </w:rPr>
        <w:t xml:space="preserve"> Lord Coleridge CJ observed</w:t>
      </w:r>
      <w:r w:rsidRPr="00CD2B08">
        <w:rPr>
          <w:rStyle w:val="FootnoteReference"/>
          <w:rFonts w:ascii="Times New Roman" w:hAnsi="Times New Roman"/>
          <w:sz w:val="24"/>
        </w:rPr>
        <w:footnoteReference w:id="133"/>
      </w:r>
      <w:r w:rsidRPr="00CD2B08">
        <w:rPr>
          <w:rFonts w:ascii="Times New Roman" w:hAnsi="Times New Roman"/>
        </w:rPr>
        <w:t xml:space="preserve"> that "the gist of the charge [was] the same in all" of the actions. Lindley J agreed with Lord Coleridge CJ and said</w:t>
      </w:r>
      <w:r w:rsidRPr="00CD2B08">
        <w:rPr>
          <w:rStyle w:val="FootnoteReference"/>
          <w:rFonts w:ascii="Times New Roman" w:hAnsi="Times New Roman"/>
          <w:sz w:val="24"/>
        </w:rPr>
        <w:footnoteReference w:id="134"/>
      </w:r>
      <w:r w:rsidRPr="00CD2B08">
        <w:rPr>
          <w:rFonts w:ascii="Times New Roman" w:hAnsi="Times New Roman"/>
        </w:rPr>
        <w:t xml:space="preserve"> that:</w:t>
      </w:r>
    </w:p>
    <w:p w14:paraId="26894A5F" w14:textId="77777777" w:rsidR="009A3DE4"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t xml:space="preserve">"the order prevents the defendants from being subjected to the unnecessary burden of the costs of thirty-eight actions, when the whole matter in controversy may be settled in one. As to our power to do what is done by this order, if authority were needed, </w:t>
      </w:r>
      <w:r w:rsidRPr="00CD2B08">
        <w:rPr>
          <w:rFonts w:ascii="Times New Roman" w:hAnsi="Times New Roman"/>
          <w:i/>
        </w:rPr>
        <w:t>Amos v Chadwick</w:t>
      </w:r>
      <w:r w:rsidRPr="00CD2B08">
        <w:rPr>
          <w:rFonts w:ascii="Times New Roman" w:hAnsi="Times New Roman"/>
        </w:rPr>
        <w:t xml:space="preserve"> supplies it. I must confess I should have thought without that case that there was abundant power to make such an order. It comes therefore to a question of discretion; and I think my Brother Field has properly exercised his discretion in what he has done."</w:t>
      </w:r>
    </w:p>
    <w:p w14:paraId="7BF6F068"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This approach was then explained by </w:t>
      </w:r>
      <w:proofErr w:type="spellStart"/>
      <w:r w:rsidRPr="00CD2B08">
        <w:rPr>
          <w:rFonts w:ascii="Times New Roman" w:hAnsi="Times New Roman"/>
        </w:rPr>
        <w:t>Jessel</w:t>
      </w:r>
      <w:proofErr w:type="spellEnd"/>
      <w:r w:rsidRPr="00CD2B08">
        <w:rPr>
          <w:rFonts w:ascii="Times New Roman" w:hAnsi="Times New Roman"/>
        </w:rPr>
        <w:t xml:space="preserve"> MR in </w:t>
      </w:r>
      <w:r w:rsidRPr="00CD2B08">
        <w:rPr>
          <w:rFonts w:ascii="Times New Roman" w:hAnsi="Times New Roman"/>
          <w:i/>
        </w:rPr>
        <w:t>McHenry</w:t>
      </w:r>
      <w:r w:rsidRPr="00CD2B08">
        <w:rPr>
          <w:rStyle w:val="FootnoteReference"/>
          <w:rFonts w:ascii="Times New Roman" w:hAnsi="Times New Roman"/>
          <w:sz w:val="24"/>
        </w:rPr>
        <w:footnoteReference w:id="135"/>
      </w:r>
      <w:r w:rsidRPr="00CD2B08">
        <w:rPr>
          <w:rFonts w:ascii="Times New Roman" w:hAnsi="Times New Roman"/>
        </w:rPr>
        <w:t>, in a passage in part quoted by Bell P in the Court of Appeal in this matter:</w:t>
      </w:r>
    </w:p>
    <w:p w14:paraId="4B71B413" w14:textId="77777777" w:rsidR="009A3DE4"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t xml:space="preserve">"You might have a hundred actions brought upon the same act or alleged breach of trust, and therefore of course the Court has power to stop all but one of the actions if they are all for exactly the same thing. But the course of the Court is well settled. The defendants take out a summons to stay the actions which have been previously transferred of course to the same Judge or Court, and then the Court decides which of the actions is to go on as a test action, and which are to be stayed. </w:t>
      </w:r>
      <w:r w:rsidRPr="00CD2B08">
        <w:rPr>
          <w:rFonts w:ascii="Times New Roman" w:hAnsi="Times New Roman"/>
          <w:i/>
        </w:rPr>
        <w:t>You cannot tell until you have all the plaintiffs before you the right course to be taken.</w:t>
      </w:r>
      <w:r w:rsidRPr="00CD2B08">
        <w:rPr>
          <w:rFonts w:ascii="Times New Roman" w:hAnsi="Times New Roman"/>
        </w:rPr>
        <w:t xml:space="preserve"> The first action may be a collusive action, one action may embrace further relief than another, one action may be better framed than another to raise the questions in dispute, one action may be more perfect as to parties than another, in one action the plaintiff may be a solvent person, and able to answer costs, and</w:t>
      </w:r>
      <w:r>
        <w:rPr>
          <w:rFonts w:ascii="Times New Roman" w:hAnsi="Times New Roman"/>
        </w:rPr>
        <w:t> </w:t>
      </w:r>
      <w:r w:rsidRPr="00CD2B08">
        <w:rPr>
          <w:rFonts w:ascii="Times New Roman" w:hAnsi="Times New Roman"/>
        </w:rPr>
        <w:t xml:space="preserve">in the other the plaintiff may be a pauper. </w:t>
      </w:r>
      <w:r w:rsidRPr="00CD2B08">
        <w:rPr>
          <w:rFonts w:ascii="Times New Roman" w:hAnsi="Times New Roman"/>
          <w:i/>
        </w:rPr>
        <w:t>Various considerations may arise, and until you get the whole of the actions before the Court the Court cannot decide which is to be allowed to proceed, or on what terms.</w:t>
      </w:r>
      <w:r w:rsidRPr="00CD2B08">
        <w:rPr>
          <w:rFonts w:ascii="Times New Roman" w:hAnsi="Times New Roman"/>
        </w:rPr>
        <w:t xml:space="preserve"> </w:t>
      </w:r>
      <w:r w:rsidRPr="00CD2B08">
        <w:rPr>
          <w:rFonts w:ascii="Times New Roman" w:hAnsi="Times New Roman"/>
          <w:i/>
        </w:rPr>
        <w:t>It sometimes happens that we allow one action to proceed for one purpose and another for another purpose</w:t>
      </w:r>
      <w:r w:rsidRPr="00CD2B08" w:rsidDel="00EF746E">
        <w:rPr>
          <w:rFonts w:ascii="Times New Roman" w:hAnsi="Times New Roman"/>
          <w:i/>
        </w:rPr>
        <w:t xml:space="preserve"> </w:t>
      </w:r>
      <w:r w:rsidRPr="00CD2B08">
        <w:rPr>
          <w:rFonts w:ascii="Times New Roman" w:hAnsi="Times New Roman"/>
          <w:i/>
        </w:rPr>
        <w:t xml:space="preserve">– that is that we excise from one action so much of the relief as can properly be attributed to an earlier plaintiff, and allow the </w:t>
      </w:r>
      <w:r w:rsidRPr="00CD2B08">
        <w:rPr>
          <w:rFonts w:ascii="Times New Roman" w:hAnsi="Times New Roman"/>
          <w:i/>
        </w:rPr>
        <w:lastRenderedPageBreak/>
        <w:t>second or third action to go on for the additional relief; but all that can only be discussed in the presence of all parties</w:t>
      </w:r>
      <w:r w:rsidRPr="00CD2B08">
        <w:rPr>
          <w:rFonts w:ascii="Times New Roman" w:hAnsi="Times New Roman"/>
        </w:rPr>
        <w:t>." (emphasis added)</w:t>
      </w:r>
    </w:p>
    <w:p w14:paraId="64162520" w14:textId="77777777" w:rsidR="009A3DE4" w:rsidRPr="00CD2B08" w:rsidRDefault="009A3DE4" w:rsidP="00CD2B08">
      <w:pPr>
        <w:pStyle w:val="NormalBody"/>
        <w:spacing w:after="260" w:line="280" w:lineRule="exact"/>
        <w:ind w:right="0"/>
        <w:jc w:val="both"/>
        <w:rPr>
          <w:rFonts w:ascii="Times New Roman" w:hAnsi="Times New Roman"/>
        </w:rPr>
      </w:pPr>
      <w:r w:rsidRPr="00CD2B08">
        <w:rPr>
          <w:rFonts w:ascii="Times New Roman" w:hAnsi="Times New Roman"/>
        </w:rPr>
        <w:t xml:space="preserve">Unlike the position in </w:t>
      </w:r>
      <w:r w:rsidRPr="00CD2B08">
        <w:rPr>
          <w:rFonts w:ascii="Times New Roman" w:hAnsi="Times New Roman"/>
          <w:i/>
        </w:rPr>
        <w:t>McHenry</w:t>
      </w:r>
      <w:r w:rsidRPr="00CD2B08">
        <w:rPr>
          <w:rStyle w:val="FootnoteReference"/>
          <w:rFonts w:ascii="Times New Roman" w:hAnsi="Times New Roman"/>
          <w:sz w:val="24"/>
        </w:rPr>
        <w:footnoteReference w:id="136"/>
      </w:r>
      <w:r w:rsidRPr="00CD2B08">
        <w:rPr>
          <w:rFonts w:ascii="Times New Roman" w:hAnsi="Times New Roman"/>
        </w:rPr>
        <w:t>, the applications for stay in this matter were not filed by the defendant, AMP – they were filed by the representative plaintiffs. But</w:t>
      </w:r>
      <w:r>
        <w:rPr>
          <w:rFonts w:ascii="Times New Roman" w:hAnsi="Times New Roman"/>
        </w:rPr>
        <w:t> </w:t>
      </w:r>
      <w:r w:rsidRPr="00CD2B08">
        <w:rPr>
          <w:rFonts w:ascii="Times New Roman" w:hAnsi="Times New Roman"/>
        </w:rPr>
        <w:t xml:space="preserve">the principles in </w:t>
      </w:r>
      <w:r w:rsidRPr="00CD2B08">
        <w:rPr>
          <w:rFonts w:ascii="Times New Roman" w:hAnsi="Times New Roman"/>
          <w:i/>
        </w:rPr>
        <w:t xml:space="preserve">McHenry </w:t>
      </w:r>
      <w:r w:rsidRPr="00CD2B08">
        <w:rPr>
          <w:rFonts w:ascii="Times New Roman" w:hAnsi="Times New Roman"/>
        </w:rPr>
        <w:t xml:space="preserve">are instructive; they reflect the approach earlier taken in </w:t>
      </w:r>
      <w:r w:rsidRPr="00CD2B08">
        <w:rPr>
          <w:rFonts w:ascii="Times New Roman" w:hAnsi="Times New Roman"/>
          <w:i/>
        </w:rPr>
        <w:t>Amos</w:t>
      </w:r>
      <w:r w:rsidRPr="00CD2B08">
        <w:rPr>
          <w:rFonts w:ascii="Times New Roman" w:hAnsi="Times New Roman"/>
        </w:rPr>
        <w:t xml:space="preserve"> and </w:t>
      </w:r>
      <w:r w:rsidRPr="00CD2B08">
        <w:rPr>
          <w:rFonts w:ascii="Times New Roman" w:hAnsi="Times New Roman"/>
          <w:i/>
        </w:rPr>
        <w:t>Bennett</w:t>
      </w:r>
      <w:r w:rsidRPr="00CD2B08">
        <w:rPr>
          <w:rFonts w:ascii="Times New Roman" w:hAnsi="Times New Roman"/>
        </w:rPr>
        <w:t>, which concerned applications by plaintiffs</w:t>
      </w:r>
      <w:r w:rsidRPr="00CD2B08">
        <w:rPr>
          <w:rStyle w:val="FootnoteReference"/>
          <w:rFonts w:ascii="Times New Roman" w:hAnsi="Times New Roman"/>
          <w:sz w:val="24"/>
        </w:rPr>
        <w:footnoteReference w:id="137"/>
      </w:r>
      <w:r w:rsidRPr="00CD2B08">
        <w:rPr>
          <w:rFonts w:ascii="Times New Roman" w:hAnsi="Times New Roman"/>
        </w:rPr>
        <w:t xml:space="preserve">. </w:t>
      </w:r>
    </w:p>
    <w:p w14:paraId="409B2FDD"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And Ms </w:t>
      </w:r>
      <w:proofErr w:type="spellStart"/>
      <w:r w:rsidRPr="00CD2B08">
        <w:rPr>
          <w:rFonts w:ascii="Times New Roman" w:hAnsi="Times New Roman"/>
        </w:rPr>
        <w:t>Wigmans</w:t>
      </w:r>
      <w:proofErr w:type="spellEnd"/>
      <w:r w:rsidRPr="00CD2B08">
        <w:rPr>
          <w:rFonts w:ascii="Times New Roman" w:hAnsi="Times New Roman"/>
        </w:rPr>
        <w:t xml:space="preserve">' contention that these principles apply to multiple but not duplicative suits is misplaced. As has been observed, </w:t>
      </w:r>
      <w:r w:rsidRPr="00CD2B08">
        <w:rPr>
          <w:rFonts w:ascii="Times New Roman" w:hAnsi="Times New Roman"/>
          <w:i/>
        </w:rPr>
        <w:t>Bennett</w:t>
      </w:r>
      <w:r w:rsidRPr="00CD2B08">
        <w:rPr>
          <w:rFonts w:ascii="Times New Roman" w:hAnsi="Times New Roman"/>
        </w:rPr>
        <w:t xml:space="preserve"> was a case where "the gist of the charge [was] the same in all" and the multiple actions were to be resolved in the court's discretion</w:t>
      </w:r>
      <w:r w:rsidRPr="00CD2B08">
        <w:rPr>
          <w:rStyle w:val="FootnoteReference"/>
          <w:rFonts w:ascii="Times New Roman" w:hAnsi="Times New Roman"/>
          <w:sz w:val="24"/>
        </w:rPr>
        <w:footnoteReference w:id="138"/>
      </w:r>
      <w:r w:rsidRPr="00CD2B08">
        <w:rPr>
          <w:rFonts w:ascii="Times New Roman" w:hAnsi="Times New Roman"/>
        </w:rPr>
        <w:t xml:space="preserve">. In </w:t>
      </w:r>
      <w:r w:rsidRPr="00CD2B08">
        <w:rPr>
          <w:rFonts w:ascii="Times New Roman" w:hAnsi="Times New Roman"/>
          <w:i/>
        </w:rPr>
        <w:t>McHenry</w:t>
      </w:r>
      <w:r w:rsidRPr="00CD2B08">
        <w:rPr>
          <w:rFonts w:ascii="Times New Roman" w:hAnsi="Times New Roman"/>
        </w:rPr>
        <w:t xml:space="preserve">, </w:t>
      </w:r>
      <w:proofErr w:type="spellStart"/>
      <w:r w:rsidRPr="00CD2B08">
        <w:rPr>
          <w:rFonts w:ascii="Times New Roman" w:hAnsi="Times New Roman"/>
        </w:rPr>
        <w:t>Jessel</w:t>
      </w:r>
      <w:proofErr w:type="spellEnd"/>
      <w:r w:rsidRPr="00CD2B08">
        <w:rPr>
          <w:rFonts w:ascii="Times New Roman" w:hAnsi="Times New Roman"/>
        </w:rPr>
        <w:t xml:space="preserve"> MR's approach was stated to apply where there are multiple actions which are "all for exactly the same thing"</w:t>
      </w:r>
      <w:r w:rsidRPr="00CD2B08">
        <w:rPr>
          <w:rStyle w:val="FootnoteReference"/>
          <w:rFonts w:ascii="Times New Roman" w:hAnsi="Times New Roman"/>
          <w:sz w:val="24"/>
        </w:rPr>
        <w:footnoteReference w:id="139"/>
      </w:r>
      <w:r w:rsidRPr="00CD2B08">
        <w:rPr>
          <w:rFonts w:ascii="Times New Roman" w:hAnsi="Times New Roman"/>
        </w:rPr>
        <w:t>. As these authorities demonstrate, the principles apply to proceedings that might be characterised as duplicative. No doubt one reason for this is that there can be no clear line between duplicative proceedings and those which overlap. Further, the multiple representative proceedings in issue in this appeal were not duplicative.</w:t>
      </w:r>
    </w:p>
    <w:p w14:paraId="1C881910"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Likewise, the principle from</w:t>
      </w:r>
      <w:r w:rsidRPr="00CD2B08">
        <w:rPr>
          <w:rFonts w:ascii="Times New Roman" w:hAnsi="Times New Roman"/>
          <w:i/>
        </w:rPr>
        <w:t xml:space="preserve"> Carron Iron </w:t>
      </w:r>
      <w:r w:rsidRPr="00CD2B08">
        <w:rPr>
          <w:rFonts w:ascii="Times New Roman" w:hAnsi="Times New Roman"/>
        </w:rPr>
        <w:t>provides guidance as to how a court should approach multiple representative proceedings. As will be recalled</w:t>
      </w:r>
      <w:r w:rsidRPr="00CD2B08">
        <w:rPr>
          <w:rStyle w:val="FootnoteReference"/>
          <w:rFonts w:ascii="Times New Roman" w:hAnsi="Times New Roman"/>
          <w:sz w:val="24"/>
        </w:rPr>
        <w:footnoteReference w:id="140"/>
      </w:r>
      <w:r w:rsidRPr="00CD2B08">
        <w:rPr>
          <w:rFonts w:ascii="Times New Roman" w:hAnsi="Times New Roman"/>
        </w:rPr>
        <w:t>, in that case the Lord Chancellor stated that "[w]here ... pending a litigation here, in which complete relief may be had, a party to the suit institutes proceedings abroad, the Court of Chancery in general considers that act as a vexatious harassing of the opposite party, and restrains the foreign proceedings"</w:t>
      </w:r>
      <w:r w:rsidRPr="00CD2B08">
        <w:rPr>
          <w:rStyle w:val="FootnoteReference"/>
          <w:rFonts w:ascii="Times New Roman" w:hAnsi="Times New Roman"/>
          <w:sz w:val="24"/>
        </w:rPr>
        <w:footnoteReference w:id="141"/>
      </w:r>
      <w:r w:rsidRPr="00CD2B08">
        <w:rPr>
          <w:rFonts w:ascii="Times New Roman" w:hAnsi="Times New Roman"/>
        </w:rPr>
        <w:t>. This principle was understood to match the applicable law where the second proceedings were instituted in the same jurisdiction</w:t>
      </w:r>
      <w:r w:rsidRPr="00CD2B08">
        <w:rPr>
          <w:rStyle w:val="FootnoteReference"/>
          <w:rFonts w:ascii="Times New Roman" w:hAnsi="Times New Roman"/>
          <w:sz w:val="24"/>
        </w:rPr>
        <w:footnoteReference w:id="142"/>
      </w:r>
      <w:r w:rsidRPr="00CD2B08">
        <w:rPr>
          <w:rFonts w:ascii="Times New Roman" w:hAnsi="Times New Roman"/>
        </w:rPr>
        <w:t xml:space="preserve">. But importantly, it was subject to the </w:t>
      </w:r>
      <w:r w:rsidRPr="00CD2B08">
        <w:rPr>
          <w:rFonts w:ascii="Times New Roman" w:hAnsi="Times New Roman"/>
        </w:rPr>
        <w:lastRenderedPageBreak/>
        <w:t>qualification that it is not "the duty of the Court so to act [to restrain the second proceedings], if from any cause it appears likely to be more conducive to substantial justice that the [second] proceedings should be left to take their course"</w:t>
      </w:r>
      <w:r w:rsidRPr="00CD2B08">
        <w:rPr>
          <w:rStyle w:val="FootnoteReference"/>
          <w:rFonts w:ascii="Times New Roman" w:hAnsi="Times New Roman"/>
          <w:sz w:val="24"/>
        </w:rPr>
        <w:footnoteReference w:id="143"/>
      </w:r>
      <w:r w:rsidRPr="00CD2B08">
        <w:rPr>
          <w:rFonts w:ascii="Times New Roman" w:hAnsi="Times New Roman"/>
        </w:rPr>
        <w:t>. In other words, a court of equity would not restrain the second proceeding if that course would be "ill calculated to answer the ends of justice"</w:t>
      </w:r>
      <w:r w:rsidRPr="00CD2B08">
        <w:rPr>
          <w:rStyle w:val="FootnoteReference"/>
          <w:rFonts w:ascii="Times New Roman" w:hAnsi="Times New Roman"/>
          <w:sz w:val="24"/>
        </w:rPr>
        <w:footnoteReference w:id="144"/>
      </w:r>
      <w:r w:rsidRPr="00CD2B08">
        <w:rPr>
          <w:rFonts w:ascii="Times New Roman" w:hAnsi="Times New Roman"/>
        </w:rPr>
        <w:t xml:space="preserve"> or "ill adapted to secure complete justice"</w:t>
      </w:r>
      <w:r w:rsidRPr="00CD2B08">
        <w:rPr>
          <w:rStyle w:val="FootnoteReference"/>
          <w:rFonts w:ascii="Times New Roman" w:hAnsi="Times New Roman"/>
          <w:sz w:val="24"/>
        </w:rPr>
        <w:footnoteReference w:id="145"/>
      </w:r>
      <w:r w:rsidRPr="00CD2B08">
        <w:rPr>
          <w:rFonts w:ascii="Times New Roman" w:hAnsi="Times New Roman"/>
        </w:rPr>
        <w:t>.</w:t>
      </w:r>
    </w:p>
    <w:p w14:paraId="2C36443E"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Contrary to Ms </w:t>
      </w:r>
      <w:proofErr w:type="spellStart"/>
      <w:r w:rsidRPr="00CD2B08">
        <w:rPr>
          <w:rFonts w:ascii="Times New Roman" w:hAnsi="Times New Roman"/>
        </w:rPr>
        <w:t>Wigmans</w:t>
      </w:r>
      <w:proofErr w:type="spellEnd"/>
      <w:r w:rsidRPr="00CD2B08">
        <w:rPr>
          <w:rFonts w:ascii="Times New Roman" w:hAnsi="Times New Roman"/>
        </w:rPr>
        <w:t xml:space="preserve">' submission, </w:t>
      </w:r>
      <w:r w:rsidRPr="00CD2B08">
        <w:rPr>
          <w:rFonts w:ascii="Times New Roman" w:hAnsi="Times New Roman"/>
          <w:i/>
        </w:rPr>
        <w:t>Carron Iron</w:t>
      </w:r>
      <w:r w:rsidRPr="00CD2B08">
        <w:rPr>
          <w:rFonts w:ascii="Times New Roman" w:hAnsi="Times New Roman"/>
        </w:rPr>
        <w:t xml:space="preserve"> does not hold that, where proceedings are pending in which complete relief is available, any</w:t>
      </w:r>
      <w:r>
        <w:rPr>
          <w:rFonts w:ascii="Times New Roman" w:hAnsi="Times New Roman"/>
        </w:rPr>
        <w:t> </w:t>
      </w:r>
      <w:r w:rsidRPr="00CD2B08">
        <w:rPr>
          <w:rFonts w:ascii="Times New Roman" w:hAnsi="Times New Roman"/>
        </w:rPr>
        <w:t xml:space="preserve">subsequent proceeding in respect of the same controversy is vexatious and should therefore be restrained or that, absent some other juridical basis, the first in time prevails. It directs attention to the need to consider what resolution of the competing proceedings will do justice. </w:t>
      </w:r>
    </w:p>
    <w:p w14:paraId="38E4D8AA" w14:textId="77777777" w:rsidR="009A3DE4" w:rsidRPr="00CD2B08" w:rsidRDefault="009A3DE4" w:rsidP="00CD2B08">
      <w:pPr>
        <w:pStyle w:val="HeadingL1"/>
        <w:spacing w:after="260" w:line="280" w:lineRule="exact"/>
        <w:ind w:right="0"/>
        <w:jc w:val="both"/>
        <w:rPr>
          <w:rFonts w:ascii="Times New Roman" w:hAnsi="Times New Roman"/>
        </w:rPr>
      </w:pPr>
      <w:r w:rsidRPr="00CD2B08">
        <w:rPr>
          <w:rFonts w:ascii="Times New Roman" w:hAnsi="Times New Roman"/>
        </w:rPr>
        <w:t>Considerations relevant to the exercise of the power to grant a stay</w:t>
      </w:r>
    </w:p>
    <w:p w14:paraId="3E58B8F1"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Having thus rejected Ms </w:t>
      </w:r>
      <w:proofErr w:type="spellStart"/>
      <w:r w:rsidRPr="00CD2B08">
        <w:rPr>
          <w:rFonts w:ascii="Times New Roman" w:hAnsi="Times New Roman"/>
        </w:rPr>
        <w:t>Wigmans</w:t>
      </w:r>
      <w:proofErr w:type="spellEnd"/>
      <w:r w:rsidRPr="00CD2B08">
        <w:rPr>
          <w:rFonts w:ascii="Times New Roman" w:hAnsi="Times New Roman"/>
        </w:rPr>
        <w:t>' contention that the breadth of the power to grant a stay of competing representative proceedings under the CPA is subject to a first</w:t>
      </w:r>
      <w:r w:rsidRPr="00CD2B08">
        <w:rPr>
          <w:rFonts w:ascii="Times New Roman" w:hAnsi="Times New Roman"/>
        </w:rPr>
        <w:noBreakHyphen/>
        <w:t>in</w:t>
      </w:r>
      <w:r w:rsidRPr="00CD2B08">
        <w:rPr>
          <w:rFonts w:ascii="Times New Roman" w:hAnsi="Times New Roman"/>
        </w:rPr>
        <w:noBreakHyphen/>
        <w:t xml:space="preserve">time rule or presumption, it remains to identify the considerations that are relevant to the exercise of the power. </w:t>
      </w:r>
    </w:p>
    <w:p w14:paraId="6CBBBE74"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The starting point is that multiplicity of proceedings is not to be encouraged and that competing representative proceedings run by different firms of solicitors, with different funders, may in principle be inimical to the administration of justice</w:t>
      </w:r>
      <w:r w:rsidRPr="00CD2B08">
        <w:rPr>
          <w:rStyle w:val="FootnoteReference"/>
          <w:rFonts w:ascii="Times New Roman" w:hAnsi="Times New Roman"/>
          <w:sz w:val="24"/>
        </w:rPr>
        <w:footnoteReference w:id="146"/>
      </w:r>
      <w:r w:rsidRPr="00CD2B08">
        <w:rPr>
          <w:rFonts w:ascii="Times New Roman" w:hAnsi="Times New Roman"/>
        </w:rPr>
        <w:t>. But, as was earlier stated, there is no "one size fits all" approach. Multiplicity may be addressed by a variety of means instead of, or in addition to, staying one or more of the proceedings</w:t>
      </w:r>
      <w:r w:rsidRPr="00CD2B08">
        <w:rPr>
          <w:rStyle w:val="FootnoteReference"/>
          <w:rFonts w:ascii="Times New Roman" w:hAnsi="Times New Roman"/>
          <w:sz w:val="24"/>
        </w:rPr>
        <w:footnoteReference w:id="147"/>
      </w:r>
      <w:r w:rsidRPr="00CD2B08">
        <w:rPr>
          <w:rFonts w:ascii="Times New Roman" w:hAnsi="Times New Roman"/>
        </w:rPr>
        <w:t xml:space="preserve">. </w:t>
      </w:r>
    </w:p>
    <w:p w14:paraId="79865E39"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lastRenderedPageBreak/>
        <w:tab/>
        <w:t>Second, while a first</w:t>
      </w:r>
      <w:r w:rsidRPr="00CD2B08">
        <w:rPr>
          <w:rFonts w:ascii="Times New Roman" w:hAnsi="Times New Roman"/>
        </w:rPr>
        <w:noBreakHyphen/>
        <w:t>in</w:t>
      </w:r>
      <w:r w:rsidRPr="00CD2B08">
        <w:rPr>
          <w:rFonts w:ascii="Times New Roman" w:hAnsi="Times New Roman"/>
        </w:rPr>
        <w:noBreakHyphen/>
        <w:t>time rule or presumption has never been favoured as a means of resolving which of the competing proceedings should proceed at all, the order of filing has been and remains a relevant consideration, although less relevant in cases like this where the competing proceedings have been commenced within a short time of each other</w:t>
      </w:r>
      <w:r w:rsidRPr="00CD2B08">
        <w:rPr>
          <w:rStyle w:val="FootnoteReference"/>
          <w:rFonts w:ascii="Times New Roman" w:hAnsi="Times New Roman"/>
          <w:sz w:val="24"/>
        </w:rPr>
        <w:footnoteReference w:id="148"/>
      </w:r>
      <w:r w:rsidRPr="00CD2B08">
        <w:rPr>
          <w:rFonts w:ascii="Times New Roman" w:hAnsi="Times New Roman"/>
        </w:rPr>
        <w:t xml:space="preserve">. As the Full Court of the Federal Court said in </w:t>
      </w:r>
      <w:proofErr w:type="spellStart"/>
      <w:r w:rsidRPr="00CD2B08">
        <w:rPr>
          <w:rFonts w:ascii="Times New Roman" w:hAnsi="Times New Roman"/>
          <w:i/>
        </w:rPr>
        <w:t>GetSwift</w:t>
      </w:r>
      <w:proofErr w:type="spellEnd"/>
      <w:r w:rsidRPr="00CD2B08">
        <w:rPr>
          <w:rFonts w:ascii="Times New Roman" w:hAnsi="Times New Roman"/>
        </w:rPr>
        <w:t>, the commencement of a subsequent bona fide set of representative proceedings prior to the court giving substantive directions in existing but overlapping representative proceedings</w:t>
      </w:r>
      <w:r w:rsidRPr="00CD2B08">
        <w:rPr>
          <w:rStyle w:val="FootnoteReference"/>
          <w:rFonts w:ascii="Times New Roman" w:hAnsi="Times New Roman"/>
          <w:sz w:val="24"/>
        </w:rPr>
        <w:footnoteReference w:id="149"/>
      </w:r>
      <w:r w:rsidRPr="00CD2B08">
        <w:rPr>
          <w:rFonts w:ascii="Times New Roman" w:hAnsi="Times New Roman"/>
        </w:rPr>
        <w:t>:</w:t>
      </w:r>
    </w:p>
    <w:p w14:paraId="32D9BB1A" w14:textId="77777777" w:rsidR="009A3DE4" w:rsidRDefault="009A3DE4" w:rsidP="00CD2B08">
      <w:pPr>
        <w:pStyle w:val="leftright"/>
        <w:spacing w:before="0" w:after="260" w:line="280" w:lineRule="exact"/>
        <w:ind w:right="0"/>
        <w:jc w:val="both"/>
        <w:rPr>
          <w:rFonts w:ascii="Times New Roman" w:hAnsi="Times New Roman"/>
        </w:rPr>
      </w:pPr>
      <w:r w:rsidRPr="00CD2B08">
        <w:rPr>
          <w:rFonts w:ascii="Times New Roman" w:hAnsi="Times New Roman"/>
        </w:rPr>
        <w:t xml:space="preserve">"does not of itself establish any vexation, oppression or an abuse of process. Such is not established for the representative applicant in each of the proceedings, for they are different. And in respect of the group members in each of the proceedings in relation to the overlap, those overlapping group members are not </w:t>
      </w:r>
      <w:r w:rsidRPr="00CD2B08">
        <w:rPr>
          <w:rFonts w:ascii="Times New Roman" w:hAnsi="Times New Roman"/>
          <w:i/>
        </w:rPr>
        <w:t>parties</w:t>
      </w:r>
      <w:r w:rsidRPr="00CD2B08">
        <w:rPr>
          <w:rFonts w:ascii="Times New Roman" w:hAnsi="Times New Roman"/>
        </w:rPr>
        <w:t xml:space="preserve"> as such. They have not engaged in any conduct with respect to their rights that could sensibly be characterised as amounting to vexation, oppression or an abuse of process."</w:t>
      </w:r>
    </w:p>
    <w:p w14:paraId="65EB9ACD" w14:textId="77777777" w:rsidR="009A3DE4" w:rsidRPr="00CD2B08" w:rsidRDefault="009A3DE4" w:rsidP="00CD2B08">
      <w:pPr>
        <w:pStyle w:val="NormalBody"/>
        <w:spacing w:after="260" w:line="280" w:lineRule="exact"/>
        <w:ind w:right="0"/>
        <w:jc w:val="both"/>
        <w:rPr>
          <w:rFonts w:ascii="Times New Roman" w:hAnsi="Times New Roman"/>
        </w:rPr>
      </w:pPr>
      <w:r w:rsidRPr="00CD2B08">
        <w:rPr>
          <w:rFonts w:ascii="Times New Roman" w:hAnsi="Times New Roman"/>
        </w:rPr>
        <w:t>By contrast, "the greater the gap in time between commencement of the sets of representative proceedings perhaps the stronger the case for a stay of the subsequent set of proceedings, all other matters being equal"</w:t>
      </w:r>
      <w:r w:rsidRPr="00CD2B08">
        <w:rPr>
          <w:rStyle w:val="FootnoteReference"/>
          <w:rFonts w:ascii="Times New Roman" w:hAnsi="Times New Roman"/>
          <w:sz w:val="24"/>
        </w:rPr>
        <w:footnoteReference w:id="150"/>
      </w:r>
      <w:r w:rsidRPr="00CD2B08">
        <w:rPr>
          <w:rFonts w:ascii="Times New Roman" w:hAnsi="Times New Roman"/>
        </w:rPr>
        <w:t>.</w:t>
      </w:r>
    </w:p>
    <w:p w14:paraId="1A9E99D2"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Third, given the breadth of the mandatory and discretionary considerations in Pt 6 of the CPA informing the power to grant a</w:t>
      </w:r>
      <w:r w:rsidRPr="00CD2B08" w:rsidDel="00F455F5">
        <w:rPr>
          <w:rFonts w:ascii="Times New Roman" w:hAnsi="Times New Roman"/>
        </w:rPr>
        <w:t xml:space="preserve"> </w:t>
      </w:r>
      <w:r w:rsidRPr="00CD2B08">
        <w:rPr>
          <w:rFonts w:ascii="Times New Roman" w:hAnsi="Times New Roman"/>
        </w:rPr>
        <w:t xml:space="preserve">stay, the relevant point in time is not limited to the time of filing and may, and often will, extend to facts and matters arising after filing. In the case of representative proceedings, the actions (or inaction) of group members, and, more generally, the degree of expedition with which the respective parties have approached the proceeding, including the degree </w:t>
      </w:r>
      <w:r w:rsidRPr="00CD2B08">
        <w:rPr>
          <w:rFonts w:ascii="Times New Roman" w:hAnsi="Times New Roman"/>
        </w:rPr>
        <w:lastRenderedPageBreak/>
        <w:t>to which they have been timely in their interlocutory activities</w:t>
      </w:r>
      <w:r w:rsidRPr="00CD2B08">
        <w:rPr>
          <w:rStyle w:val="FootnoteReference"/>
          <w:rFonts w:ascii="Times New Roman" w:hAnsi="Times New Roman"/>
          <w:sz w:val="24"/>
        </w:rPr>
        <w:footnoteReference w:id="151"/>
      </w:r>
      <w:r w:rsidRPr="00CD2B08">
        <w:rPr>
          <w:rFonts w:ascii="Times New Roman" w:hAnsi="Times New Roman"/>
        </w:rPr>
        <w:t xml:space="preserve">, are likely to be relevant. </w:t>
      </w:r>
    </w:p>
    <w:p w14:paraId="517FBD9E"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Fourth, the factors that might be relevant cannot be exhaustively listed. They will vary from case to case</w:t>
      </w:r>
      <w:r w:rsidRPr="00CD2B08">
        <w:rPr>
          <w:rStyle w:val="FootnoteReference"/>
          <w:rFonts w:ascii="Times New Roman" w:hAnsi="Times New Roman"/>
          <w:sz w:val="24"/>
        </w:rPr>
        <w:footnoteReference w:id="152"/>
      </w:r>
      <w:r w:rsidRPr="00CD2B08">
        <w:rPr>
          <w:rFonts w:ascii="Times New Roman" w:hAnsi="Times New Roman"/>
        </w:rPr>
        <w:t>. In matters involving competing open class representative proceedings with several firms of solicitors and different funding models, it is necessary for the court to determine, by reference to all relevant considerations, which proceeding going ahead would be in the best interests of group members. In the present appeal, no party suggested that the second to eighth considerations identified by the primary judge were irrelevant</w:t>
      </w:r>
      <w:r w:rsidRPr="00CD2B08">
        <w:rPr>
          <w:rStyle w:val="FootnoteReference"/>
          <w:rFonts w:ascii="Times New Roman" w:hAnsi="Times New Roman"/>
          <w:sz w:val="24"/>
        </w:rPr>
        <w:footnoteReference w:id="153"/>
      </w:r>
      <w:r w:rsidRPr="00CD2B08">
        <w:rPr>
          <w:rFonts w:ascii="Times New Roman" w:hAnsi="Times New Roman"/>
        </w:rPr>
        <w:t xml:space="preserve">. </w:t>
      </w:r>
    </w:p>
    <w:p w14:paraId="2C9A364F"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Ms </w:t>
      </w:r>
      <w:proofErr w:type="spellStart"/>
      <w:r w:rsidRPr="00CD2B08">
        <w:rPr>
          <w:rFonts w:ascii="Times New Roman" w:hAnsi="Times New Roman"/>
        </w:rPr>
        <w:t>Wigmans</w:t>
      </w:r>
      <w:proofErr w:type="spellEnd"/>
      <w:r w:rsidRPr="00CD2B08">
        <w:rPr>
          <w:rFonts w:ascii="Times New Roman" w:hAnsi="Times New Roman"/>
        </w:rPr>
        <w:t>' argument focussed primarily on the first consideration – the</w:t>
      </w:r>
      <w:r>
        <w:rPr>
          <w:rFonts w:ascii="Times New Roman" w:hAnsi="Times New Roman"/>
        </w:rPr>
        <w:t> </w:t>
      </w:r>
      <w:r w:rsidRPr="00CD2B08">
        <w:rPr>
          <w:rFonts w:ascii="Times New Roman" w:hAnsi="Times New Roman"/>
        </w:rPr>
        <w:t xml:space="preserve">competing funding proposals, costs estimates and net hypothetical return to members. She challenged the power of the Supreme Court under s 67 to consider differing litigation funding arrangements, either alone or in conjunction with the identity of the solicitors and their relative experience, the estimated legal costs for the conduct of the respective proceedings and the likely return to group members. </w:t>
      </w:r>
    </w:p>
    <w:p w14:paraId="33223B5C"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Litigation funding arrangements are not a mandatory consideration under s 67, but they are not irrelevant. It would be inappropriate to read s 67 with Pt 10 as conferring jurisdiction or granting power subject to limitations not found in their express words</w:t>
      </w:r>
      <w:r w:rsidRPr="00CD2B08">
        <w:rPr>
          <w:rStyle w:val="FootnoteReference"/>
          <w:rFonts w:ascii="Times New Roman" w:hAnsi="Times New Roman"/>
          <w:sz w:val="24"/>
        </w:rPr>
        <w:footnoteReference w:id="154"/>
      </w:r>
      <w:r w:rsidRPr="00CD2B08">
        <w:rPr>
          <w:rFonts w:ascii="Times New Roman" w:hAnsi="Times New Roman"/>
        </w:rPr>
        <w:t>. Before the primary judge, litigation funding arrangements were raised directly by each representative plaintiff as a significant fact or matter. Part 10 recognises that litigation funding arrangements are a distinct feature of representative proceedings</w:t>
      </w:r>
      <w:r w:rsidRPr="00CD2B08">
        <w:rPr>
          <w:rStyle w:val="FootnoteReference"/>
          <w:rFonts w:ascii="Times New Roman" w:hAnsi="Times New Roman"/>
          <w:sz w:val="24"/>
        </w:rPr>
        <w:footnoteReference w:id="155"/>
      </w:r>
      <w:r w:rsidRPr="00CD2B08">
        <w:rPr>
          <w:rFonts w:ascii="Times New Roman" w:hAnsi="Times New Roman"/>
        </w:rPr>
        <w:t xml:space="preserve">, and, evidently, there will be cases where the difference between litigation funding arrangements is so stark that to exclude it from consideration in determining whether to exercise the stay power would not be consistent with the court seeking to act in accordance with the dictates of justice </w:t>
      </w:r>
      <w:r w:rsidRPr="00CD2B08">
        <w:rPr>
          <w:rFonts w:ascii="Times New Roman" w:hAnsi="Times New Roman"/>
        </w:rPr>
        <w:lastRenderedPageBreak/>
        <w:t>under s 58. But that is not to say that litigation funding arrangements</w:t>
      </w:r>
      <w:r w:rsidRPr="00CD2B08" w:rsidDel="006917A2">
        <w:rPr>
          <w:rFonts w:ascii="Times New Roman" w:hAnsi="Times New Roman"/>
        </w:rPr>
        <w:t xml:space="preserve"> </w:t>
      </w:r>
      <w:r w:rsidRPr="00CD2B08">
        <w:rPr>
          <w:rFonts w:ascii="Times New Roman" w:hAnsi="Times New Roman"/>
        </w:rPr>
        <w:t xml:space="preserve">must always be relevant, still less determinative. </w:t>
      </w:r>
    </w:p>
    <w:p w14:paraId="434BF6EA"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There is nothing foreign to the judicial process for a court to take into account likely success in proceedings or quantum of recovery. Those considerations</w:t>
      </w:r>
      <w:r w:rsidRPr="00CD2B08" w:rsidDel="006E22CC">
        <w:rPr>
          <w:rFonts w:ascii="Times New Roman" w:hAnsi="Times New Roman"/>
        </w:rPr>
        <w:t xml:space="preserve">, </w:t>
      </w:r>
      <w:r w:rsidRPr="00CD2B08">
        <w:rPr>
          <w:rFonts w:ascii="Times New Roman" w:hAnsi="Times New Roman"/>
        </w:rPr>
        <w:t>as well as preferences expressed by adult beneficiaries, are well established as potentially relevant matters when a court addresses whether bringing or defending litigation by trustees is proper or can be justified having regard to the best interests of those to whom fiduciary duties are owed</w:t>
      </w:r>
      <w:r w:rsidRPr="00CD2B08">
        <w:rPr>
          <w:rStyle w:val="FootnoteReference"/>
          <w:rFonts w:ascii="Times New Roman" w:hAnsi="Times New Roman"/>
          <w:sz w:val="24"/>
          <w:szCs w:val="24"/>
        </w:rPr>
        <w:footnoteReference w:id="156"/>
      </w:r>
      <w:r w:rsidRPr="00CD2B08">
        <w:rPr>
          <w:rFonts w:ascii="Times New Roman" w:hAnsi="Times New Roman"/>
        </w:rPr>
        <w:t>. Similar principles apply to liquidators seeking advice</w:t>
      </w:r>
      <w:r w:rsidRPr="00CD2B08">
        <w:rPr>
          <w:rStyle w:val="FootnoteReference"/>
          <w:rFonts w:ascii="Times New Roman" w:hAnsi="Times New Roman"/>
          <w:sz w:val="24"/>
          <w:szCs w:val="24"/>
        </w:rPr>
        <w:footnoteReference w:id="157"/>
      </w:r>
      <w:r w:rsidRPr="00CD2B08">
        <w:rPr>
          <w:rFonts w:ascii="Times New Roman" w:hAnsi="Times New Roman"/>
        </w:rPr>
        <w:t xml:space="preserve"> or seeking approval to settle a proceeding or enter a funding agreement</w:t>
      </w:r>
      <w:r w:rsidRPr="00CD2B08">
        <w:rPr>
          <w:rStyle w:val="FootnoteReference"/>
          <w:rFonts w:ascii="Times New Roman" w:hAnsi="Times New Roman"/>
          <w:sz w:val="24"/>
          <w:szCs w:val="24"/>
        </w:rPr>
        <w:footnoteReference w:id="158"/>
      </w:r>
      <w:r w:rsidRPr="00CD2B08">
        <w:rPr>
          <w:rFonts w:ascii="Times New Roman" w:hAnsi="Times New Roman"/>
        </w:rPr>
        <w:t>. Those principles also apply to attorneys</w:t>
      </w:r>
      <w:r w:rsidRPr="00CD2B08">
        <w:rPr>
          <w:rStyle w:val="FootnoteReference"/>
          <w:rFonts w:ascii="Times New Roman" w:hAnsi="Times New Roman"/>
          <w:sz w:val="24"/>
          <w:szCs w:val="24"/>
        </w:rPr>
        <w:footnoteReference w:id="159"/>
      </w:r>
      <w:r w:rsidRPr="00CD2B08">
        <w:rPr>
          <w:rFonts w:ascii="Times New Roman" w:hAnsi="Times New Roman"/>
        </w:rPr>
        <w:t>. And they are centrally important when a court approves a compromise of a claim made by a person under disability</w:t>
      </w:r>
      <w:r w:rsidRPr="00CD2B08">
        <w:rPr>
          <w:rStyle w:val="FootnoteReference"/>
          <w:rFonts w:ascii="Times New Roman" w:hAnsi="Times New Roman"/>
          <w:sz w:val="24"/>
        </w:rPr>
        <w:footnoteReference w:id="160"/>
      </w:r>
      <w:r w:rsidRPr="00CD2B08">
        <w:rPr>
          <w:rFonts w:ascii="Times New Roman" w:hAnsi="Times New Roman"/>
        </w:rPr>
        <w:t>. Litigation funding arrangements may affect the likely success of</w:t>
      </w:r>
      <w:r w:rsidRPr="00CD2B08" w:rsidDel="0001268A">
        <w:rPr>
          <w:rFonts w:ascii="Times New Roman" w:hAnsi="Times New Roman"/>
        </w:rPr>
        <w:t xml:space="preserve"> </w:t>
      </w:r>
      <w:r w:rsidRPr="00CD2B08">
        <w:rPr>
          <w:rFonts w:ascii="Times New Roman" w:hAnsi="Times New Roman"/>
        </w:rPr>
        <w:t xml:space="preserve">representative proceedings commenced under Pt 10. They will directly affect the quantum of recovery. There is no reason to exclude those considerations </w:t>
      </w:r>
      <w:r w:rsidRPr="00CD2B08">
        <w:rPr>
          <w:rFonts w:ascii="Times New Roman" w:hAnsi="Times New Roman"/>
        </w:rPr>
        <w:lastRenderedPageBreak/>
        <w:t xml:space="preserve">in exercising the power under s 67 to stay one or more of representative proceedings in relation to the same controversy. </w:t>
      </w:r>
    </w:p>
    <w:p w14:paraId="544C3537" w14:textId="77777777" w:rsidR="009A3DE4" w:rsidRPr="00CD2B08" w:rsidRDefault="009A3DE4" w:rsidP="00CD2B08">
      <w:pPr>
        <w:pStyle w:val="HeadingL1"/>
        <w:spacing w:after="260" w:line="280" w:lineRule="exact"/>
        <w:ind w:right="0"/>
        <w:jc w:val="both"/>
        <w:rPr>
          <w:rFonts w:ascii="Times New Roman" w:hAnsi="Times New Roman"/>
        </w:rPr>
      </w:pPr>
      <w:r w:rsidRPr="00CD2B08">
        <w:rPr>
          <w:rFonts w:ascii="Times New Roman" w:hAnsi="Times New Roman"/>
        </w:rPr>
        <w:t xml:space="preserve">Court's approach to competing litigation funding arrangements </w:t>
      </w:r>
    </w:p>
    <w:p w14:paraId="0AA26064"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Ms </w:t>
      </w:r>
      <w:proofErr w:type="spellStart"/>
      <w:r w:rsidRPr="00CD2B08">
        <w:rPr>
          <w:rFonts w:ascii="Times New Roman" w:hAnsi="Times New Roman"/>
        </w:rPr>
        <w:t>Wigmans</w:t>
      </w:r>
      <w:proofErr w:type="spellEnd"/>
      <w:r w:rsidRPr="00CD2B08">
        <w:rPr>
          <w:rFonts w:ascii="Times New Roman" w:hAnsi="Times New Roman"/>
        </w:rPr>
        <w:t>' alternative argument was that if competing litigation funding arrangements was a relevant factor, either alone or in conjunction with other considerations (the identity of the solicitors and their relative experience, the</w:t>
      </w:r>
      <w:r>
        <w:rPr>
          <w:rFonts w:ascii="Times New Roman" w:hAnsi="Times New Roman"/>
        </w:rPr>
        <w:t> </w:t>
      </w:r>
      <w:r w:rsidRPr="00CD2B08">
        <w:rPr>
          <w:rFonts w:ascii="Times New Roman" w:hAnsi="Times New Roman"/>
        </w:rPr>
        <w:t>estimated legal costs for the conduct of the respective proceedings and the likely return to group members), the primary judge erred in her consideration of those factors by acting upon certain assumptions.</w:t>
      </w:r>
    </w:p>
    <w:p w14:paraId="125894E7"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As has been seen</w:t>
      </w:r>
      <w:r w:rsidRPr="00CD2B08">
        <w:rPr>
          <w:rStyle w:val="FootnoteReference"/>
          <w:rFonts w:ascii="Times New Roman" w:hAnsi="Times New Roman"/>
          <w:sz w:val="24"/>
        </w:rPr>
        <w:footnoteReference w:id="161"/>
      </w:r>
      <w:r w:rsidRPr="00CD2B08">
        <w:rPr>
          <w:rFonts w:ascii="Times New Roman" w:hAnsi="Times New Roman"/>
        </w:rPr>
        <w:t>, the primary judge did approach</w:t>
      </w:r>
      <w:r w:rsidRPr="00CD2B08" w:rsidDel="00C24344">
        <w:rPr>
          <w:rFonts w:ascii="Times New Roman" w:hAnsi="Times New Roman"/>
        </w:rPr>
        <w:t xml:space="preserve"> </w:t>
      </w:r>
      <w:r w:rsidRPr="00CD2B08">
        <w:rPr>
          <w:rFonts w:ascii="Times New Roman" w:hAnsi="Times New Roman"/>
        </w:rPr>
        <w:t xml:space="preserve">the issue by making assumptions. She assumed that the solicitors engaged were of equal experience and ability; </w:t>
      </w:r>
      <w:r w:rsidRPr="00CD2B08" w:rsidDel="00B969EB">
        <w:rPr>
          <w:rFonts w:ascii="Times New Roman" w:hAnsi="Times New Roman"/>
        </w:rPr>
        <w:t>that</w:t>
      </w:r>
      <w:r w:rsidRPr="00CD2B08">
        <w:rPr>
          <w:rFonts w:ascii="Times New Roman" w:hAnsi="Times New Roman"/>
        </w:rPr>
        <w:t xml:space="preserve"> each of them would take the same number of hours of work to reach settlement or judgment; at least implicitly, that each of them had the same chance of achieving each given settlement or judgment sum; that the litigation funders </w:t>
      </w:r>
      <w:r w:rsidRPr="00CD2B08" w:rsidDel="00647169">
        <w:rPr>
          <w:rFonts w:ascii="Times New Roman" w:hAnsi="Times New Roman"/>
        </w:rPr>
        <w:t>were similarly equal</w:t>
      </w:r>
      <w:r w:rsidRPr="00CD2B08">
        <w:rPr>
          <w:rFonts w:ascii="Times New Roman" w:hAnsi="Times New Roman"/>
        </w:rPr>
        <w:t xml:space="preserve">; and that each funding model provided incentives and disincentives to achieving the best outcome for group members. </w:t>
      </w:r>
    </w:p>
    <w:p w14:paraId="6B551AB6"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But, as noted earlier, Ms </w:t>
      </w:r>
      <w:proofErr w:type="spellStart"/>
      <w:r w:rsidRPr="00CD2B08">
        <w:rPr>
          <w:rFonts w:ascii="Times New Roman" w:hAnsi="Times New Roman"/>
        </w:rPr>
        <w:t>Wigmans</w:t>
      </w:r>
      <w:proofErr w:type="spellEnd"/>
      <w:r w:rsidRPr="00CD2B08">
        <w:rPr>
          <w:rFonts w:ascii="Times New Roman" w:hAnsi="Times New Roman"/>
        </w:rPr>
        <w:t xml:space="preserve"> had submitted before the primary judge that there was no basis for distinguishing between the competence or experience of the legal teams retained in each matter, and that the experience of the legal teams and funders and the availability of resources was a neutral factor. As Meagher and Payne JJA rightly said in the Court of Appeal, the primary judge was then entitled to test the likelihood of achieving particular results by applying the common assumptions to each case. Ms </w:t>
      </w:r>
      <w:proofErr w:type="spellStart"/>
      <w:r w:rsidRPr="00CD2B08">
        <w:rPr>
          <w:rFonts w:ascii="Times New Roman" w:hAnsi="Times New Roman"/>
        </w:rPr>
        <w:t>Wigmans</w:t>
      </w:r>
      <w:proofErr w:type="spellEnd"/>
      <w:r w:rsidRPr="00CD2B08">
        <w:rPr>
          <w:rFonts w:ascii="Times New Roman" w:hAnsi="Times New Roman"/>
        </w:rPr>
        <w:t xml:space="preserve">' case having been conducted in the way it was, her submission that the primary judge should not have made the assumptions her Honour did should be rejected. </w:t>
      </w:r>
    </w:p>
    <w:p w14:paraId="3AEEAC2F"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The task undertaken by the primary judge was not a judgment regarding a matter of "mere" case management</w:t>
      </w:r>
      <w:r w:rsidRPr="00CD2B08">
        <w:rPr>
          <w:rStyle w:val="FootnoteReference"/>
          <w:rFonts w:ascii="Times New Roman" w:hAnsi="Times New Roman"/>
          <w:sz w:val="24"/>
        </w:rPr>
        <w:footnoteReference w:id="162"/>
      </w:r>
      <w:r w:rsidRPr="00CD2B08">
        <w:rPr>
          <w:rFonts w:ascii="Times New Roman" w:hAnsi="Times New Roman"/>
        </w:rPr>
        <w:t xml:space="preserve"> but a larger task of ensuring that justice is done in the competing representative proceedings which have been commenced </w:t>
      </w:r>
      <w:r w:rsidRPr="00CD2B08">
        <w:rPr>
          <w:rFonts w:ascii="Times New Roman" w:hAnsi="Times New Roman"/>
        </w:rPr>
        <w:lastRenderedPageBreak/>
        <w:t>under Pt 10 of the CPA where all courts must be astute to protect the best interests of group members</w:t>
      </w:r>
      <w:r w:rsidRPr="00CD2B08">
        <w:rPr>
          <w:rStyle w:val="FootnoteReference"/>
          <w:rFonts w:ascii="Times New Roman" w:hAnsi="Times New Roman"/>
          <w:sz w:val="24"/>
        </w:rPr>
        <w:footnoteReference w:id="163"/>
      </w:r>
      <w:r w:rsidRPr="00CD2B08">
        <w:rPr>
          <w:rFonts w:ascii="Times New Roman" w:hAnsi="Times New Roman"/>
        </w:rPr>
        <w:t>.</w:t>
      </w:r>
    </w:p>
    <w:p w14:paraId="7150487C"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In undertaking that task the court must recognise that the representative plaintiff in each action typically undertakes fiduciary obligations of a representative party to the members of the group</w:t>
      </w:r>
      <w:r w:rsidRPr="00CD2B08">
        <w:rPr>
          <w:rStyle w:val="FootnoteReference"/>
          <w:rFonts w:ascii="Times New Roman" w:hAnsi="Times New Roman"/>
          <w:sz w:val="24"/>
        </w:rPr>
        <w:footnoteReference w:id="164"/>
      </w:r>
      <w:r w:rsidRPr="00CD2B08">
        <w:rPr>
          <w:rFonts w:ascii="Times New Roman" w:hAnsi="Times New Roman"/>
        </w:rPr>
        <w:t>, some of which obligations arise from contractual obligations which directly or indirectly give a significant measure of control over the action to the person funding the litigation, be it a litigation funder or firm of solicitors. Here, there is nothing in the record to suggest that any of the representative plaintiffs even raised the possibility of, let alone addressed, the recognised conflicts of interest between the group members and the competing litigation funders or the representative plaintiff and a given litigation funder</w:t>
      </w:r>
      <w:r w:rsidRPr="00CD2B08">
        <w:rPr>
          <w:rStyle w:val="FootnoteReference"/>
          <w:rFonts w:ascii="Times New Roman" w:hAnsi="Times New Roman"/>
          <w:sz w:val="24"/>
        </w:rPr>
        <w:footnoteReference w:id="165"/>
      </w:r>
      <w:r w:rsidRPr="00CD2B08">
        <w:rPr>
          <w:rFonts w:ascii="Times New Roman" w:hAnsi="Times New Roman"/>
        </w:rPr>
        <w:t>. Thus, a court must be mindful of the existence of such conflicts of interest and bring them to account in assessing what is in the best interests of group members.</w:t>
      </w:r>
    </w:p>
    <w:p w14:paraId="2FF9ACD7"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As explained, Ms </w:t>
      </w:r>
      <w:proofErr w:type="spellStart"/>
      <w:r w:rsidRPr="00CD2B08">
        <w:rPr>
          <w:rFonts w:ascii="Times New Roman" w:hAnsi="Times New Roman"/>
        </w:rPr>
        <w:t>Wigmans</w:t>
      </w:r>
      <w:proofErr w:type="spellEnd"/>
      <w:r w:rsidRPr="00CD2B08">
        <w:rPr>
          <w:rFonts w:ascii="Times New Roman" w:hAnsi="Times New Roman"/>
        </w:rPr>
        <w:t>' case having been conducted in the way it was, there was no error in the primary judge's approach. However, that is not to say that the primary judge's approach was the only manner in which a court, faced with competing open class representative proceedings with several firms of solicitors and different funding models, might determine which proceeding going ahead would be in the best interests of group members. Is the court to act as inquisitor and as such investigate itself how choosing to stay one or more of the actions might affect group members, or should it use existing procedures, methods, steps and mechanisms to identify and resolve such issues on an adversarial basis? The</w:t>
      </w:r>
      <w:r>
        <w:rPr>
          <w:rFonts w:ascii="Times New Roman" w:hAnsi="Times New Roman"/>
        </w:rPr>
        <w:t> </w:t>
      </w:r>
      <w:r w:rsidRPr="00CD2B08">
        <w:rPr>
          <w:rFonts w:ascii="Times New Roman" w:hAnsi="Times New Roman"/>
        </w:rPr>
        <w:t xml:space="preserve">answer to that question will invariably depend on the nature of the case in hand. But where there are complex and interrelated considerations and real potential for conflicts of interest, an adversarial approach is to be preferred. </w:t>
      </w:r>
    </w:p>
    <w:p w14:paraId="18688E3F"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lastRenderedPageBreak/>
        <w:tab/>
        <w:t>A possible approach, not explored in argument on appeal, could be for the court to appoint a special referee to inquire into the litigation funding arrangements and the more particular questions the primary judge dealt with on the basis of assumptions. At any stage of</w:t>
      </w:r>
      <w:r w:rsidRPr="00CD2B08" w:rsidDel="009529CE">
        <w:rPr>
          <w:rFonts w:ascii="Times New Roman" w:hAnsi="Times New Roman"/>
        </w:rPr>
        <w:t xml:space="preserve"> </w:t>
      </w:r>
      <w:r w:rsidRPr="00CD2B08">
        <w:rPr>
          <w:rFonts w:ascii="Times New Roman" w:hAnsi="Times New Roman"/>
        </w:rPr>
        <w:t>the proceedings, the court may make orders for reference to a referee appointed by the court "for inquiry and report by the referee"</w:t>
      </w:r>
      <w:r w:rsidRPr="00CD2B08">
        <w:rPr>
          <w:rStyle w:val="FootnoteReference"/>
          <w:rFonts w:ascii="Times New Roman" w:hAnsi="Times New Roman"/>
          <w:sz w:val="24"/>
        </w:rPr>
        <w:footnoteReference w:id="166"/>
      </w:r>
      <w:r w:rsidRPr="00CD2B08">
        <w:rPr>
          <w:rFonts w:ascii="Times New Roman" w:hAnsi="Times New Roman"/>
        </w:rPr>
        <w:t>, on "any question or issue arising ... whether of fact or law, or both, and</w:t>
      </w:r>
      <w:r>
        <w:rPr>
          <w:rFonts w:ascii="Times New Roman" w:hAnsi="Times New Roman"/>
        </w:rPr>
        <w:t> </w:t>
      </w:r>
      <w:r w:rsidRPr="00CD2B08">
        <w:rPr>
          <w:rFonts w:ascii="Times New Roman" w:hAnsi="Times New Roman"/>
        </w:rPr>
        <w:t>whether raised by pleadings, agreement of parties or otherwise"</w:t>
      </w:r>
      <w:r w:rsidRPr="00CD2B08">
        <w:rPr>
          <w:rStyle w:val="FootnoteReference"/>
          <w:rFonts w:ascii="Times New Roman" w:hAnsi="Times New Roman"/>
          <w:sz w:val="24"/>
        </w:rPr>
        <w:footnoteReference w:id="167"/>
      </w:r>
      <w:r w:rsidRPr="00CD2B08">
        <w:rPr>
          <w:rFonts w:ascii="Times New Roman" w:hAnsi="Times New Roman"/>
        </w:rPr>
        <w:t>. And upon receipt of the referee's written report, the court may, among other things, "adopt, vary or reject the report in whole or in part"</w:t>
      </w:r>
      <w:r w:rsidRPr="00CD2B08">
        <w:rPr>
          <w:rStyle w:val="FootnoteReference"/>
          <w:rFonts w:ascii="Times New Roman" w:hAnsi="Times New Roman"/>
          <w:sz w:val="24"/>
        </w:rPr>
        <w:footnoteReference w:id="168"/>
      </w:r>
      <w:r w:rsidRPr="00CD2B08">
        <w:rPr>
          <w:rFonts w:ascii="Times New Roman" w:hAnsi="Times New Roman"/>
        </w:rPr>
        <w:t>. The use of special referees in representative proceedings is not new. They have frequently been used to ensure that group members' interests are best protected at the settlement approval stage of representative proceedings</w:t>
      </w:r>
      <w:r w:rsidRPr="00CD2B08">
        <w:rPr>
          <w:rStyle w:val="FootnoteReference"/>
          <w:rFonts w:ascii="Times New Roman" w:hAnsi="Times New Roman"/>
          <w:sz w:val="24"/>
        </w:rPr>
        <w:footnoteReference w:id="169"/>
      </w:r>
      <w:r w:rsidRPr="00CD2B08">
        <w:rPr>
          <w:rFonts w:ascii="Times New Roman" w:hAnsi="Times New Roman"/>
        </w:rPr>
        <w:t xml:space="preserve">. </w:t>
      </w:r>
    </w:p>
    <w:p w14:paraId="7E25CE11"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Alternatively, the court could require the parties making the applications to engage and fund a contradictor. That could be done by identifying and appointing a person who is a common group member of each proceeding to represent the interests of other common group members. If there were more than one candidate for the role of representative, the court would need to decide which common group member should be appointed</w:t>
      </w:r>
      <w:r w:rsidRPr="00CD2B08">
        <w:rPr>
          <w:rStyle w:val="FootnoteReference"/>
          <w:rFonts w:ascii="Times New Roman" w:hAnsi="Times New Roman"/>
          <w:sz w:val="24"/>
        </w:rPr>
        <w:footnoteReference w:id="170"/>
      </w:r>
      <w:r w:rsidRPr="00CD2B08">
        <w:rPr>
          <w:rFonts w:ascii="Times New Roman" w:hAnsi="Times New Roman"/>
        </w:rPr>
        <w:t xml:space="preserve">. The representative would ordinarily be appointed for the limited purpose of assisting in the determination of the stay applications and would not play a further role in the proceedings following that determination. The representative, after making necessary inquiries, could make submissions to the court recommending a particular course of action and giving the reasons for </w:t>
      </w:r>
      <w:r w:rsidRPr="00CD2B08">
        <w:rPr>
          <w:rFonts w:ascii="Times New Roman" w:hAnsi="Times New Roman"/>
        </w:rPr>
        <w:lastRenderedPageBreak/>
        <w:t>that recommendation</w:t>
      </w:r>
      <w:r w:rsidRPr="00CD2B08">
        <w:rPr>
          <w:rStyle w:val="FootnoteReference"/>
          <w:rFonts w:ascii="Times New Roman" w:hAnsi="Times New Roman"/>
          <w:sz w:val="24"/>
        </w:rPr>
        <w:footnoteReference w:id="171"/>
      </w:r>
      <w:r w:rsidRPr="00CD2B08">
        <w:rPr>
          <w:rFonts w:ascii="Times New Roman" w:hAnsi="Times New Roman"/>
        </w:rPr>
        <w:t>. If necessary, the representative could adduce evidence to substantiate the recommendation. The representative could engage independent solicitors and counsel with the costs of the solicitors and counsel funded by the competing firms of solicitors and funders, limited to solicitor–own client costs for work which is fair and reasonable</w:t>
      </w:r>
      <w:r w:rsidRPr="00CD2B08">
        <w:rPr>
          <w:rStyle w:val="FootnoteReference"/>
          <w:rFonts w:ascii="Times New Roman" w:hAnsi="Times New Roman"/>
          <w:sz w:val="24"/>
        </w:rPr>
        <w:footnoteReference w:id="172"/>
      </w:r>
      <w:r w:rsidRPr="00CD2B08">
        <w:rPr>
          <w:rFonts w:ascii="Times New Roman" w:hAnsi="Times New Roman"/>
        </w:rPr>
        <w:t>. The appointment of such a representative would be consistent with Pt 10, which has a statutory design protective of group members' interests</w:t>
      </w:r>
      <w:r w:rsidRPr="00CD2B08">
        <w:rPr>
          <w:rStyle w:val="FootnoteReference"/>
          <w:rFonts w:ascii="Times New Roman" w:hAnsi="Times New Roman"/>
          <w:sz w:val="24"/>
        </w:rPr>
        <w:footnoteReference w:id="173"/>
      </w:r>
      <w:r w:rsidRPr="00CD2B08">
        <w:rPr>
          <w:rFonts w:ascii="Times New Roman" w:hAnsi="Times New Roman"/>
        </w:rPr>
        <w:t xml:space="preserve">. </w:t>
      </w:r>
    </w:p>
    <w:p w14:paraId="0B5F5173"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In other cases, other steps might serve to meet the underlying difficulties that: the competition between funders is pursued in the name of the representative plaintiff; the interests of funders are not identical to the interests of group members; the inquiry into litigation funding arrangements is necessarily predictive; and the material before the court is chosen by the funders and the firms of solicitors they have retained</w:t>
      </w:r>
      <w:r w:rsidRPr="00CD2B08">
        <w:rPr>
          <w:rStyle w:val="FootnoteReference"/>
          <w:rFonts w:ascii="Times New Roman" w:hAnsi="Times New Roman"/>
          <w:sz w:val="24"/>
        </w:rPr>
        <w:footnoteReference w:id="174"/>
      </w:r>
      <w:r w:rsidRPr="00CD2B08">
        <w:rPr>
          <w:rFonts w:ascii="Times New Roman" w:hAnsi="Times New Roman"/>
        </w:rPr>
        <w:t xml:space="preserve">. </w:t>
      </w:r>
    </w:p>
    <w:p w14:paraId="62C45236"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Whatever procedure is adopted, however, notice may need to be given to affected group members under s 175(5) of the CPA, which relevantly provides for the court, "at any stage", to "order that notice of any matter be given to a group member or group members". Such notices, usually placed on relevant public websites and in newspapers</w:t>
      </w:r>
      <w:r w:rsidRPr="00CD2B08">
        <w:rPr>
          <w:rStyle w:val="FootnoteReference"/>
          <w:rFonts w:ascii="Times New Roman" w:hAnsi="Times New Roman"/>
          <w:sz w:val="24"/>
        </w:rPr>
        <w:footnoteReference w:id="175"/>
      </w:r>
      <w:r w:rsidRPr="00CD2B08">
        <w:rPr>
          <w:rFonts w:ascii="Times New Roman" w:hAnsi="Times New Roman"/>
        </w:rPr>
        <w:t xml:space="preserve">, are not infrequently used to advise group members of a specific step, question or issue in relation to the proceedings and, on occasion, </w:t>
      </w:r>
      <w:r w:rsidRPr="00CD2B08">
        <w:rPr>
          <w:rFonts w:ascii="Times New Roman" w:hAnsi="Times New Roman"/>
        </w:rPr>
        <w:lastRenderedPageBreak/>
        <w:t>to seek group members' response. Closing the class</w:t>
      </w:r>
      <w:r w:rsidRPr="00CD2B08">
        <w:rPr>
          <w:rStyle w:val="FootnoteReference"/>
          <w:rFonts w:ascii="Times New Roman" w:hAnsi="Times New Roman"/>
          <w:sz w:val="24"/>
        </w:rPr>
        <w:footnoteReference w:id="176"/>
      </w:r>
      <w:r w:rsidRPr="00CD2B08">
        <w:rPr>
          <w:rFonts w:ascii="Times New Roman" w:hAnsi="Times New Roman"/>
        </w:rPr>
        <w:t xml:space="preserve"> and approval of a settlement proposal</w:t>
      </w:r>
      <w:r w:rsidRPr="00CD2B08">
        <w:rPr>
          <w:rStyle w:val="FootnoteReference"/>
          <w:rFonts w:ascii="Times New Roman" w:hAnsi="Times New Roman"/>
          <w:sz w:val="24"/>
        </w:rPr>
        <w:footnoteReference w:id="177"/>
      </w:r>
      <w:r w:rsidRPr="00CD2B08">
        <w:rPr>
          <w:rFonts w:ascii="Times New Roman" w:hAnsi="Times New Roman"/>
        </w:rPr>
        <w:t xml:space="preserve"> are two examples of procedures requiring notice to group members. </w:t>
      </w:r>
    </w:p>
    <w:p w14:paraId="2092CC9E"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Adopting one or more of these approaches, the court's task could not be characterised as an "auction process"</w:t>
      </w:r>
      <w:r w:rsidRPr="00CD2B08">
        <w:rPr>
          <w:rStyle w:val="FootnoteReference"/>
          <w:rFonts w:ascii="Times New Roman" w:hAnsi="Times New Roman"/>
          <w:sz w:val="24"/>
        </w:rPr>
        <w:footnoteReference w:id="178"/>
      </w:r>
      <w:r w:rsidRPr="00CD2B08">
        <w:rPr>
          <w:rFonts w:ascii="Times New Roman" w:hAnsi="Times New Roman"/>
        </w:rPr>
        <w:t>. It would instead be more akin to that used when considering the position of trustees, liquidators, attorneys or persons under disability and would include considerations such as prospects of success and cost of the proceedings</w:t>
      </w:r>
      <w:r w:rsidRPr="00CD2B08">
        <w:rPr>
          <w:rStyle w:val="FootnoteReference"/>
          <w:rFonts w:ascii="Times New Roman" w:hAnsi="Times New Roman"/>
          <w:sz w:val="24"/>
        </w:rPr>
        <w:footnoteReference w:id="179"/>
      </w:r>
      <w:r w:rsidRPr="00CD2B08">
        <w:rPr>
          <w:rFonts w:ascii="Times New Roman" w:hAnsi="Times New Roman"/>
        </w:rPr>
        <w:t xml:space="preserve">. No less significantly, it would allow for conflicts of interest and the best interests of the group members to be neutrally and squarely addressed. </w:t>
      </w:r>
    </w:p>
    <w:p w14:paraId="3AC08B90" w14:textId="77777777" w:rsidR="009A3DE4" w:rsidRPr="00CD2B08" w:rsidRDefault="009A3DE4" w:rsidP="00CD2B08">
      <w:pPr>
        <w:pStyle w:val="HeadingL1"/>
        <w:spacing w:after="260" w:line="280" w:lineRule="exact"/>
        <w:ind w:right="0"/>
        <w:jc w:val="both"/>
        <w:rPr>
          <w:rFonts w:ascii="Times New Roman" w:hAnsi="Times New Roman"/>
        </w:rPr>
      </w:pPr>
      <w:r w:rsidRPr="00CD2B08">
        <w:rPr>
          <w:rFonts w:ascii="Times New Roman" w:hAnsi="Times New Roman"/>
        </w:rPr>
        <w:t>Conclusion and orders</w:t>
      </w:r>
    </w:p>
    <w:p w14:paraId="07B6D5B4" w14:textId="77777777" w:rsidR="009A3DE4" w:rsidRPr="00CD2B08" w:rsidRDefault="009A3DE4" w:rsidP="009A3DE4">
      <w:pPr>
        <w:pStyle w:val="FixListStyle"/>
        <w:numPr>
          <w:ilvl w:val="0"/>
          <w:numId w:val="18"/>
        </w:numPr>
        <w:spacing w:after="260" w:line="280" w:lineRule="exact"/>
        <w:ind w:left="0" w:right="0" w:hanging="720"/>
        <w:jc w:val="both"/>
        <w:rPr>
          <w:rFonts w:ascii="Times New Roman" w:hAnsi="Times New Roman"/>
        </w:rPr>
      </w:pPr>
      <w:r w:rsidRPr="00CD2B08">
        <w:rPr>
          <w:rFonts w:ascii="Times New Roman" w:hAnsi="Times New Roman"/>
        </w:rPr>
        <w:tab/>
        <w:t xml:space="preserve">For those reasons, the appeal should be dismissed with costs. </w:t>
      </w:r>
    </w:p>
    <w:p w14:paraId="2B7F27EF" w14:textId="08B3BFFA" w:rsidR="003A7F13" w:rsidRPr="0008166C" w:rsidRDefault="003A7F13" w:rsidP="0008166C">
      <w:pPr>
        <w:spacing w:after="260" w:line="280" w:lineRule="exact"/>
        <w:ind w:right="0"/>
        <w:jc w:val="both"/>
        <w:rPr>
          <w:rFonts w:ascii="Times New Roman" w:hAnsi="Times New Roman"/>
        </w:rPr>
      </w:pPr>
    </w:p>
    <w:sectPr w:rsidR="003A7F13" w:rsidRPr="0008166C" w:rsidSect="009A3DE4">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CCA61" w14:textId="77777777" w:rsidR="006648CE" w:rsidRDefault="006648CE">
      <w:pPr>
        <w:spacing w:line="240" w:lineRule="auto"/>
      </w:pPr>
      <w:r>
        <w:separator/>
      </w:r>
    </w:p>
  </w:endnote>
  <w:endnote w:type="continuationSeparator" w:id="0">
    <w:p w14:paraId="106492AE" w14:textId="77777777" w:rsidR="006648CE" w:rsidRDefault="006648CE">
      <w:pPr>
        <w:spacing w:line="240" w:lineRule="auto"/>
      </w:pPr>
      <w:r>
        <w:continuationSeparator/>
      </w:r>
    </w:p>
  </w:endnote>
  <w:endnote w:type="continuationNotice" w:id="1">
    <w:p w14:paraId="482DACEB" w14:textId="77777777" w:rsidR="006648CE" w:rsidRDefault="006648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5EC1" w14:textId="77777777" w:rsidR="00204543" w:rsidRDefault="00204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F519" w14:textId="77777777" w:rsidR="00204543" w:rsidRDefault="00204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8857" w14:textId="77777777" w:rsidR="00204543" w:rsidRDefault="00204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3BA8" w14:textId="77777777" w:rsidR="00204543" w:rsidRDefault="002045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1584" w14:textId="77777777" w:rsidR="00204543" w:rsidRDefault="002045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B7F6" w14:textId="77777777" w:rsidR="00204543" w:rsidRDefault="00204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849DE" w14:textId="77777777" w:rsidR="006648CE" w:rsidRPr="0008166C" w:rsidRDefault="006648CE" w:rsidP="0008166C">
      <w:pPr>
        <w:pStyle w:val="Footer"/>
        <w:spacing w:before="120" w:after="20"/>
        <w:ind w:right="0"/>
        <w:rPr>
          <w:rFonts w:ascii="Times New Roman" w:hAnsi="Times New Roman"/>
        </w:rPr>
      </w:pPr>
      <w:r>
        <w:continuationSeparator/>
      </w:r>
    </w:p>
  </w:footnote>
  <w:footnote w:type="continuationSeparator" w:id="0">
    <w:p w14:paraId="167E15EF" w14:textId="77777777" w:rsidR="006648CE" w:rsidRPr="0008166C" w:rsidRDefault="006648CE" w:rsidP="0008166C">
      <w:pPr>
        <w:pStyle w:val="Footer"/>
        <w:spacing w:before="120" w:after="20"/>
        <w:ind w:right="0"/>
        <w:rPr>
          <w:rFonts w:ascii="Times New Roman" w:hAnsi="Times New Roman"/>
        </w:rPr>
      </w:pPr>
      <w:r w:rsidRPr="0008166C">
        <w:rPr>
          <w:rFonts w:ascii="Times New Roman" w:hAnsi="Times New Roman"/>
        </w:rPr>
        <w:continuationSeparator/>
      </w:r>
    </w:p>
  </w:footnote>
  <w:footnote w:type="continuationNotice" w:id="1">
    <w:p w14:paraId="17BBD910" w14:textId="77777777" w:rsidR="006648CE" w:rsidRPr="009A3DE4" w:rsidRDefault="006648CE">
      <w:pPr>
        <w:jc w:val="right"/>
        <w:rPr>
          <w:rFonts w:ascii="Times New Roman" w:hAnsi="Times New Roman"/>
          <w:sz w:val="24"/>
        </w:rPr>
      </w:pPr>
    </w:p>
  </w:footnote>
  <w:footnote w:id="2">
    <w:p w14:paraId="6549DDE4" w14:textId="6FED8267" w:rsidR="004B41EB" w:rsidRPr="0008166C" w:rsidRDefault="004B41EB"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00DA4130" w:rsidRPr="0008166C">
        <w:rPr>
          <w:rFonts w:ascii="Times New Roman" w:hAnsi="Times New Roman"/>
          <w:i/>
          <w:sz w:val="24"/>
        </w:rPr>
        <w:t>Wileypark</w:t>
      </w:r>
      <w:proofErr w:type="spellEnd"/>
      <w:r w:rsidR="00DA4130" w:rsidRPr="0008166C">
        <w:rPr>
          <w:rFonts w:ascii="Times New Roman" w:hAnsi="Times New Roman"/>
          <w:i/>
          <w:sz w:val="24"/>
        </w:rPr>
        <w:t xml:space="preserve"> Pty Ltd v AMP Ltd </w:t>
      </w:r>
      <w:r w:rsidR="00DA4130" w:rsidRPr="0008166C">
        <w:rPr>
          <w:rFonts w:ascii="Times New Roman" w:hAnsi="Times New Roman"/>
          <w:sz w:val="24"/>
        </w:rPr>
        <w:t xml:space="preserve">(2018) 265 FCR 1. </w:t>
      </w:r>
    </w:p>
  </w:footnote>
  <w:footnote w:id="3">
    <w:p w14:paraId="2F5078D1" w14:textId="7F6CDCA1" w:rsidR="00CC73D8" w:rsidRPr="0008166C" w:rsidRDefault="00CC73D8"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00B267FF" w:rsidRPr="0008166C">
        <w:rPr>
          <w:rFonts w:ascii="Times New Roman" w:hAnsi="Times New Roman"/>
          <w:i/>
          <w:sz w:val="24"/>
        </w:rPr>
        <w:t>Wigmans</w:t>
      </w:r>
      <w:proofErr w:type="spellEnd"/>
      <w:r w:rsidR="00B267FF" w:rsidRPr="0008166C">
        <w:rPr>
          <w:rFonts w:ascii="Times New Roman" w:hAnsi="Times New Roman"/>
          <w:i/>
          <w:sz w:val="24"/>
        </w:rPr>
        <w:t xml:space="preserve"> v AMP Ltd</w:t>
      </w:r>
      <w:r w:rsidR="00B267FF" w:rsidRPr="0008166C">
        <w:rPr>
          <w:rFonts w:ascii="Times New Roman" w:hAnsi="Times New Roman"/>
          <w:sz w:val="24"/>
        </w:rPr>
        <w:t xml:space="preserve"> [2019] NSWSC 603 at </w:t>
      </w:r>
      <w:r w:rsidR="00266472" w:rsidRPr="0008166C">
        <w:rPr>
          <w:rFonts w:ascii="Times New Roman" w:hAnsi="Times New Roman"/>
          <w:sz w:val="24"/>
        </w:rPr>
        <w:t>[112]</w:t>
      </w:r>
      <w:r w:rsidR="00163C98" w:rsidRPr="0008166C">
        <w:rPr>
          <w:rFonts w:ascii="Times New Roman" w:hAnsi="Times New Roman"/>
          <w:sz w:val="24"/>
        </w:rPr>
        <w:t>.</w:t>
      </w:r>
    </w:p>
  </w:footnote>
  <w:footnote w:id="4">
    <w:p w14:paraId="0318F4F2" w14:textId="3ED37D93" w:rsidR="00014766" w:rsidRPr="0008166C" w:rsidRDefault="00014766"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006F304D" w:rsidRPr="0008166C">
        <w:rPr>
          <w:rFonts w:ascii="Times New Roman" w:hAnsi="Times New Roman"/>
          <w:i/>
          <w:sz w:val="24"/>
        </w:rPr>
        <w:t>Wigmans</w:t>
      </w:r>
      <w:proofErr w:type="spellEnd"/>
      <w:r w:rsidR="006F304D" w:rsidRPr="0008166C">
        <w:rPr>
          <w:rFonts w:ascii="Times New Roman" w:hAnsi="Times New Roman"/>
          <w:i/>
          <w:sz w:val="24"/>
        </w:rPr>
        <w:t xml:space="preserve"> v AMP Ltd </w:t>
      </w:r>
      <w:r w:rsidR="006F304D" w:rsidRPr="0008166C">
        <w:rPr>
          <w:rFonts w:ascii="Times New Roman" w:hAnsi="Times New Roman"/>
          <w:sz w:val="24"/>
        </w:rPr>
        <w:t>[2019] NSWSC 603</w:t>
      </w:r>
      <w:r w:rsidR="00E67CA4" w:rsidRPr="0008166C">
        <w:rPr>
          <w:rFonts w:ascii="Times New Roman" w:hAnsi="Times New Roman"/>
          <w:sz w:val="24"/>
        </w:rPr>
        <w:t xml:space="preserve"> at [358]</w:t>
      </w:r>
      <w:r w:rsidR="006F304D" w:rsidRPr="0008166C">
        <w:rPr>
          <w:rFonts w:ascii="Times New Roman" w:hAnsi="Times New Roman"/>
          <w:sz w:val="24"/>
        </w:rPr>
        <w:t>.</w:t>
      </w:r>
    </w:p>
  </w:footnote>
  <w:footnote w:id="5">
    <w:p w14:paraId="085927F0" w14:textId="3D05C70A" w:rsidR="00B16D5B" w:rsidRPr="0008166C" w:rsidRDefault="00B16D5B"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w:t>
      </w:r>
      <w:r w:rsidR="006F7E7B" w:rsidRPr="0008166C">
        <w:rPr>
          <w:rFonts w:ascii="Times New Roman" w:hAnsi="Times New Roman"/>
          <w:i/>
          <w:sz w:val="24"/>
        </w:rPr>
        <w:t xml:space="preserve"> Ltd</w:t>
      </w:r>
      <w:r w:rsidRPr="0008166C">
        <w:rPr>
          <w:rFonts w:ascii="Times New Roman" w:hAnsi="Times New Roman"/>
          <w:i/>
          <w:sz w:val="24"/>
        </w:rPr>
        <w:t xml:space="preserve"> </w:t>
      </w:r>
      <w:r w:rsidRPr="0008166C">
        <w:rPr>
          <w:rFonts w:ascii="Times New Roman" w:hAnsi="Times New Roman"/>
          <w:sz w:val="24"/>
        </w:rPr>
        <w:t>[2019] NSWSC 603 at [104].</w:t>
      </w:r>
    </w:p>
  </w:footnote>
  <w:footnote w:id="6">
    <w:p w14:paraId="5F5DE10D" w14:textId="26CCFD8B" w:rsidR="00B16D5B" w:rsidRPr="0008166C" w:rsidRDefault="00B16D5B"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004B3DF4" w:rsidRPr="0008166C">
        <w:rPr>
          <w:rFonts w:ascii="Times New Roman" w:hAnsi="Times New Roman"/>
          <w:sz w:val="24"/>
        </w:rPr>
        <w:t>(2018) 263 FCR 92 at 136 [195]</w:t>
      </w:r>
      <w:r w:rsidR="00DA6087" w:rsidRPr="0008166C">
        <w:rPr>
          <w:rFonts w:ascii="Times New Roman" w:hAnsi="Times New Roman"/>
          <w:sz w:val="24"/>
        </w:rPr>
        <w:t>;</w:t>
      </w:r>
      <w:r w:rsidR="004B3DF4" w:rsidRPr="0008166C">
        <w:rPr>
          <w:rFonts w:ascii="Times New Roman" w:hAnsi="Times New Roman"/>
          <w:sz w:val="24"/>
        </w:rPr>
        <w:t xml:space="preserve"> </w:t>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w:t>
      </w:r>
      <w:r w:rsidR="006F7E7B" w:rsidRPr="0008166C">
        <w:rPr>
          <w:rFonts w:ascii="Times New Roman" w:hAnsi="Times New Roman"/>
          <w:i/>
          <w:sz w:val="24"/>
        </w:rPr>
        <w:t xml:space="preserve"> Ltd</w:t>
      </w:r>
      <w:r w:rsidRPr="0008166C">
        <w:rPr>
          <w:rFonts w:ascii="Times New Roman" w:hAnsi="Times New Roman"/>
          <w:i/>
          <w:sz w:val="24"/>
        </w:rPr>
        <w:t xml:space="preserve"> </w:t>
      </w:r>
      <w:r w:rsidRPr="0008166C">
        <w:rPr>
          <w:rFonts w:ascii="Times New Roman" w:hAnsi="Times New Roman"/>
          <w:sz w:val="24"/>
        </w:rPr>
        <w:t>[2019] NSWSC 603 at [113].</w:t>
      </w:r>
    </w:p>
  </w:footnote>
  <w:footnote w:id="7">
    <w:p w14:paraId="673D8656" w14:textId="756AF1E2" w:rsidR="00BE754E" w:rsidRPr="0008166C" w:rsidRDefault="00BE754E"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00A30C22" w:rsidRPr="0008166C">
        <w:rPr>
          <w:rFonts w:ascii="Times New Roman" w:hAnsi="Times New Roman"/>
          <w:i/>
          <w:sz w:val="24"/>
        </w:rPr>
        <w:t>Perera</w:t>
      </w:r>
      <w:proofErr w:type="spellEnd"/>
      <w:r w:rsidR="00A30C22" w:rsidRPr="0008166C">
        <w:rPr>
          <w:rFonts w:ascii="Times New Roman" w:hAnsi="Times New Roman"/>
          <w:i/>
          <w:sz w:val="24"/>
        </w:rPr>
        <w:t xml:space="preserve"> v </w:t>
      </w:r>
      <w:proofErr w:type="spellStart"/>
      <w:r w:rsidR="00A30C22" w:rsidRPr="0008166C">
        <w:rPr>
          <w:rFonts w:ascii="Times New Roman" w:hAnsi="Times New Roman"/>
          <w:i/>
          <w:sz w:val="24"/>
        </w:rPr>
        <w:t>GetSwift</w:t>
      </w:r>
      <w:proofErr w:type="spellEnd"/>
      <w:r w:rsidR="00B04466" w:rsidRPr="0008166C">
        <w:rPr>
          <w:rFonts w:ascii="Times New Roman" w:hAnsi="Times New Roman"/>
          <w:i/>
          <w:sz w:val="24"/>
        </w:rPr>
        <w:t xml:space="preserve"> Ltd</w:t>
      </w:r>
      <w:r w:rsidR="00A30C22" w:rsidRPr="0008166C">
        <w:rPr>
          <w:rFonts w:ascii="Times New Roman" w:hAnsi="Times New Roman"/>
          <w:sz w:val="24"/>
        </w:rPr>
        <w:t xml:space="preserve"> </w:t>
      </w:r>
      <w:r w:rsidR="00A11108" w:rsidRPr="0008166C">
        <w:rPr>
          <w:rFonts w:ascii="Times New Roman" w:hAnsi="Times New Roman"/>
          <w:sz w:val="24"/>
        </w:rPr>
        <w:t>(2018) 263 FCR 92</w:t>
      </w:r>
      <w:r w:rsidR="00DE2F88" w:rsidRPr="0008166C">
        <w:rPr>
          <w:rFonts w:ascii="Times New Roman" w:hAnsi="Times New Roman"/>
          <w:sz w:val="24"/>
        </w:rPr>
        <w:t xml:space="preserve"> </w:t>
      </w:r>
      <w:r w:rsidR="008267AE" w:rsidRPr="0008166C">
        <w:rPr>
          <w:rFonts w:ascii="Times New Roman" w:hAnsi="Times New Roman"/>
          <w:sz w:val="24"/>
        </w:rPr>
        <w:t xml:space="preserve">at </w:t>
      </w:r>
      <w:r w:rsidR="00152467" w:rsidRPr="0008166C">
        <w:rPr>
          <w:rFonts w:ascii="Times New Roman" w:hAnsi="Times New Roman"/>
          <w:sz w:val="24"/>
        </w:rPr>
        <w:t>13</w:t>
      </w:r>
      <w:r w:rsidR="00D53189" w:rsidRPr="0008166C">
        <w:rPr>
          <w:rFonts w:ascii="Times New Roman" w:hAnsi="Times New Roman"/>
          <w:sz w:val="24"/>
        </w:rPr>
        <w:t>5</w:t>
      </w:r>
      <w:r w:rsidR="00D53189" w:rsidRPr="0008166C">
        <w:rPr>
          <w:rFonts w:ascii="Times New Roman" w:hAnsi="Times New Roman"/>
          <w:sz w:val="24"/>
        </w:rPr>
        <w:noBreakHyphen/>
        <w:t>136 [188]</w:t>
      </w:r>
      <w:r w:rsidR="00D53189" w:rsidRPr="0008166C">
        <w:rPr>
          <w:rFonts w:ascii="Times New Roman" w:hAnsi="Times New Roman"/>
          <w:sz w:val="24"/>
        </w:rPr>
        <w:noBreakHyphen/>
        <w:t>[197]</w:t>
      </w:r>
      <w:r w:rsidRPr="0008166C">
        <w:rPr>
          <w:rFonts w:ascii="Times New Roman" w:hAnsi="Times New Roman"/>
          <w:sz w:val="24"/>
        </w:rPr>
        <w:t>.</w:t>
      </w:r>
    </w:p>
  </w:footnote>
  <w:footnote w:id="8">
    <w:p w14:paraId="32E4B0BB" w14:textId="0E58F684" w:rsidR="00B16D5B" w:rsidRPr="0008166C" w:rsidRDefault="00B16D5B"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Perera</w:t>
      </w:r>
      <w:proofErr w:type="spellEnd"/>
      <w:r w:rsidRPr="0008166C">
        <w:rPr>
          <w:rFonts w:ascii="Times New Roman" w:hAnsi="Times New Roman"/>
          <w:i/>
          <w:sz w:val="24"/>
        </w:rPr>
        <w:t xml:space="preserve"> v </w:t>
      </w:r>
      <w:proofErr w:type="spellStart"/>
      <w:r w:rsidRPr="0008166C">
        <w:rPr>
          <w:rFonts w:ascii="Times New Roman" w:hAnsi="Times New Roman"/>
          <w:i/>
          <w:sz w:val="24"/>
        </w:rPr>
        <w:t>GetSwift</w:t>
      </w:r>
      <w:proofErr w:type="spellEnd"/>
      <w:r w:rsidR="00ED2CA6" w:rsidRPr="0008166C">
        <w:rPr>
          <w:rFonts w:ascii="Times New Roman" w:hAnsi="Times New Roman"/>
          <w:i/>
          <w:sz w:val="24"/>
        </w:rPr>
        <w:t xml:space="preserve"> Ltd</w:t>
      </w:r>
      <w:r w:rsidRPr="0008166C">
        <w:rPr>
          <w:rFonts w:ascii="Times New Roman" w:hAnsi="Times New Roman"/>
          <w:i/>
          <w:sz w:val="24"/>
        </w:rPr>
        <w:t xml:space="preserve"> </w:t>
      </w:r>
      <w:r w:rsidRPr="0008166C">
        <w:rPr>
          <w:rFonts w:ascii="Times New Roman" w:hAnsi="Times New Roman"/>
          <w:sz w:val="24"/>
        </w:rPr>
        <w:t>(2018) 263 FCR 1 at 48</w:t>
      </w:r>
      <w:r w:rsidRPr="0008166C">
        <w:rPr>
          <w:rFonts w:ascii="Times New Roman" w:hAnsi="Times New Roman"/>
          <w:sz w:val="24"/>
        </w:rPr>
        <w:noBreakHyphen/>
        <w:t xml:space="preserve">50 [169], itself referring to </w:t>
      </w:r>
      <w:r w:rsidRPr="0008166C">
        <w:rPr>
          <w:rFonts w:ascii="Times New Roman" w:hAnsi="Times New Roman"/>
          <w:i/>
          <w:sz w:val="24"/>
        </w:rPr>
        <w:t>McKay Super Solutions Pty Ltd</w:t>
      </w:r>
      <w:r w:rsidR="006F7E7B" w:rsidRPr="0008166C">
        <w:rPr>
          <w:rFonts w:ascii="Times New Roman" w:hAnsi="Times New Roman"/>
          <w:i/>
          <w:sz w:val="24"/>
        </w:rPr>
        <w:t xml:space="preserve"> (Trustee)</w:t>
      </w:r>
      <w:r w:rsidRPr="0008166C">
        <w:rPr>
          <w:rFonts w:ascii="Times New Roman" w:hAnsi="Times New Roman"/>
          <w:i/>
          <w:sz w:val="24"/>
        </w:rPr>
        <w:t xml:space="preserve"> v Bellam</w:t>
      </w:r>
      <w:r w:rsidR="006F7E7B" w:rsidRPr="0008166C">
        <w:rPr>
          <w:rFonts w:ascii="Times New Roman" w:hAnsi="Times New Roman"/>
          <w:i/>
          <w:sz w:val="24"/>
        </w:rPr>
        <w:t>y'</w:t>
      </w:r>
      <w:r w:rsidRPr="0008166C">
        <w:rPr>
          <w:rFonts w:ascii="Times New Roman" w:hAnsi="Times New Roman"/>
          <w:i/>
          <w:sz w:val="24"/>
        </w:rPr>
        <w:t xml:space="preserve">s Australia Ltd </w:t>
      </w:r>
      <w:r w:rsidRPr="0008166C">
        <w:rPr>
          <w:rFonts w:ascii="Times New Roman" w:hAnsi="Times New Roman"/>
          <w:sz w:val="24"/>
        </w:rPr>
        <w:t>[2017] FCA 947</w:t>
      </w:r>
      <w:r w:rsidRPr="0008166C">
        <w:rPr>
          <w:rFonts w:ascii="Times New Roman" w:hAnsi="Times New Roman"/>
          <w:i/>
          <w:sz w:val="24"/>
        </w:rPr>
        <w:t xml:space="preserve"> </w:t>
      </w:r>
      <w:r w:rsidRPr="0008166C">
        <w:rPr>
          <w:rFonts w:ascii="Times New Roman" w:hAnsi="Times New Roman"/>
          <w:sz w:val="24"/>
        </w:rPr>
        <w:t>at [71].</w:t>
      </w:r>
    </w:p>
  </w:footnote>
  <w:footnote w:id="9">
    <w:p w14:paraId="3BCF96BA" w14:textId="624A61CA" w:rsidR="00352179" w:rsidRPr="0008166C" w:rsidRDefault="00352179"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00601D57" w:rsidRPr="0008166C">
        <w:rPr>
          <w:rFonts w:ascii="Times New Roman" w:hAnsi="Times New Roman"/>
          <w:i/>
          <w:iCs/>
          <w:sz w:val="24"/>
        </w:rPr>
        <w:t>Wigmans</w:t>
      </w:r>
      <w:proofErr w:type="spellEnd"/>
      <w:r w:rsidR="00601D57" w:rsidRPr="0008166C">
        <w:rPr>
          <w:rFonts w:ascii="Times New Roman" w:hAnsi="Times New Roman"/>
          <w:i/>
          <w:iCs/>
          <w:sz w:val="24"/>
        </w:rPr>
        <w:t xml:space="preserve"> v AMP</w:t>
      </w:r>
      <w:r w:rsidR="006F7E7B" w:rsidRPr="0008166C">
        <w:rPr>
          <w:rFonts w:ascii="Times New Roman" w:hAnsi="Times New Roman"/>
          <w:i/>
          <w:iCs/>
          <w:sz w:val="24"/>
        </w:rPr>
        <w:t xml:space="preserve"> Ltd</w:t>
      </w:r>
      <w:r w:rsidR="00601D57" w:rsidRPr="0008166C">
        <w:rPr>
          <w:rFonts w:ascii="Times New Roman" w:hAnsi="Times New Roman"/>
          <w:sz w:val="24"/>
        </w:rPr>
        <w:t xml:space="preserve"> [201</w:t>
      </w:r>
      <w:r w:rsidR="001D24D0" w:rsidRPr="0008166C">
        <w:rPr>
          <w:rFonts w:ascii="Times New Roman" w:hAnsi="Times New Roman"/>
          <w:sz w:val="24"/>
        </w:rPr>
        <w:t>9</w:t>
      </w:r>
      <w:r w:rsidR="00601D57" w:rsidRPr="0008166C">
        <w:rPr>
          <w:rFonts w:ascii="Times New Roman" w:hAnsi="Times New Roman"/>
          <w:sz w:val="24"/>
        </w:rPr>
        <w:t>] NSWSC 603 at [126]</w:t>
      </w:r>
      <w:r w:rsidR="00084B79" w:rsidRPr="0008166C">
        <w:rPr>
          <w:rFonts w:ascii="Times New Roman" w:hAnsi="Times New Roman"/>
          <w:sz w:val="24"/>
        </w:rPr>
        <w:t xml:space="preserve">; see also </w:t>
      </w:r>
      <w:r w:rsidR="006F7E7B" w:rsidRPr="0008166C">
        <w:rPr>
          <w:rFonts w:ascii="Times New Roman" w:hAnsi="Times New Roman"/>
          <w:sz w:val="24"/>
        </w:rPr>
        <w:t>at </w:t>
      </w:r>
      <w:r w:rsidR="00084B79" w:rsidRPr="0008166C">
        <w:rPr>
          <w:rFonts w:ascii="Times New Roman" w:hAnsi="Times New Roman"/>
          <w:sz w:val="24"/>
        </w:rPr>
        <w:t>[121], [124].</w:t>
      </w:r>
    </w:p>
  </w:footnote>
  <w:footnote w:id="10">
    <w:p w14:paraId="0A5CD6BF" w14:textId="07BFD87D" w:rsidR="00B16D5B" w:rsidRPr="0008166C" w:rsidRDefault="00B16D5B"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w:t>
      </w:r>
      <w:r w:rsidR="00974791" w:rsidRPr="0008166C">
        <w:rPr>
          <w:rFonts w:ascii="Times New Roman" w:hAnsi="Times New Roman"/>
          <w:i/>
          <w:sz w:val="24"/>
        </w:rPr>
        <w:t xml:space="preserve"> Ltd</w:t>
      </w:r>
      <w:r w:rsidRPr="0008166C">
        <w:rPr>
          <w:rFonts w:ascii="Times New Roman" w:hAnsi="Times New Roman"/>
          <w:i/>
          <w:sz w:val="24"/>
        </w:rPr>
        <w:t xml:space="preserve"> </w:t>
      </w:r>
      <w:r w:rsidRPr="0008166C">
        <w:rPr>
          <w:rFonts w:ascii="Times New Roman" w:hAnsi="Times New Roman"/>
          <w:sz w:val="24"/>
        </w:rPr>
        <w:t>[2019] NSWSC 603 at [212].</w:t>
      </w:r>
    </w:p>
  </w:footnote>
  <w:footnote w:id="11">
    <w:p w14:paraId="26A70493" w14:textId="0C60F829" w:rsidR="00B16D5B" w:rsidRPr="0008166C" w:rsidRDefault="00B16D5B"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w:t>
      </w:r>
      <w:r w:rsidR="00974791" w:rsidRPr="0008166C">
        <w:rPr>
          <w:rFonts w:ascii="Times New Roman" w:hAnsi="Times New Roman"/>
          <w:i/>
          <w:sz w:val="24"/>
        </w:rPr>
        <w:t xml:space="preserve"> Ltd</w:t>
      </w:r>
      <w:r w:rsidRPr="0008166C">
        <w:rPr>
          <w:rFonts w:ascii="Times New Roman" w:hAnsi="Times New Roman"/>
          <w:i/>
          <w:sz w:val="24"/>
        </w:rPr>
        <w:t xml:space="preserve"> </w:t>
      </w:r>
      <w:r w:rsidRPr="0008166C">
        <w:rPr>
          <w:rFonts w:ascii="Times New Roman" w:hAnsi="Times New Roman"/>
          <w:sz w:val="24"/>
        </w:rPr>
        <w:t>[2019] NSWSC 603 at [220]</w:t>
      </w:r>
      <w:r w:rsidRPr="0008166C">
        <w:rPr>
          <w:rFonts w:ascii="Times New Roman" w:hAnsi="Times New Roman"/>
          <w:sz w:val="24"/>
        </w:rPr>
        <w:noBreakHyphen/>
        <w:t>[222], [228], [233]</w:t>
      </w:r>
      <w:r w:rsidR="004E6E93" w:rsidRPr="0008166C">
        <w:rPr>
          <w:rFonts w:ascii="Times New Roman" w:hAnsi="Times New Roman"/>
          <w:sz w:val="24"/>
        </w:rPr>
        <w:t>, [354]</w:t>
      </w:r>
      <w:r w:rsidRPr="0008166C">
        <w:rPr>
          <w:rFonts w:ascii="Times New Roman" w:hAnsi="Times New Roman"/>
          <w:sz w:val="24"/>
        </w:rPr>
        <w:t>.</w:t>
      </w:r>
    </w:p>
  </w:footnote>
  <w:footnote w:id="12">
    <w:p w14:paraId="7067552A" w14:textId="43C5A115" w:rsidR="00B16D5B" w:rsidRPr="0008166C" w:rsidRDefault="00B16D5B"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w:t>
      </w:r>
      <w:r w:rsidR="005D28DE" w:rsidRPr="0008166C">
        <w:rPr>
          <w:rFonts w:ascii="Times New Roman" w:hAnsi="Times New Roman"/>
          <w:i/>
          <w:sz w:val="24"/>
        </w:rPr>
        <w:t xml:space="preserve"> Ltd</w:t>
      </w:r>
      <w:r w:rsidRPr="0008166C">
        <w:rPr>
          <w:rFonts w:ascii="Times New Roman" w:hAnsi="Times New Roman"/>
          <w:i/>
          <w:sz w:val="24"/>
        </w:rPr>
        <w:t xml:space="preserve"> </w:t>
      </w:r>
      <w:r w:rsidRPr="0008166C">
        <w:rPr>
          <w:rFonts w:ascii="Times New Roman" w:hAnsi="Times New Roman"/>
          <w:sz w:val="24"/>
        </w:rPr>
        <w:t>[2019] NSWSC 603 at [5</w:t>
      </w:r>
      <w:r w:rsidR="00DF641A" w:rsidRPr="0008166C">
        <w:rPr>
          <w:rFonts w:ascii="Times New Roman" w:hAnsi="Times New Roman"/>
          <w:sz w:val="24"/>
        </w:rPr>
        <w:t>7</w:t>
      </w:r>
      <w:r w:rsidRPr="0008166C">
        <w:rPr>
          <w:rFonts w:ascii="Times New Roman" w:hAnsi="Times New Roman"/>
          <w:sz w:val="24"/>
        </w:rPr>
        <w:t>]</w:t>
      </w:r>
      <w:r w:rsidRPr="0008166C">
        <w:rPr>
          <w:rFonts w:ascii="Times New Roman" w:hAnsi="Times New Roman"/>
          <w:sz w:val="24"/>
        </w:rPr>
        <w:noBreakHyphen/>
        <w:t>[5</w:t>
      </w:r>
      <w:r w:rsidR="00DF641A" w:rsidRPr="0008166C">
        <w:rPr>
          <w:rFonts w:ascii="Times New Roman" w:hAnsi="Times New Roman"/>
          <w:sz w:val="24"/>
        </w:rPr>
        <w:t>8</w:t>
      </w:r>
      <w:r w:rsidRPr="0008166C">
        <w:rPr>
          <w:rFonts w:ascii="Times New Roman" w:hAnsi="Times New Roman"/>
          <w:sz w:val="24"/>
        </w:rPr>
        <w:t>]</w:t>
      </w:r>
      <w:r w:rsidR="004457D5" w:rsidRPr="0008166C">
        <w:rPr>
          <w:rFonts w:ascii="Times New Roman" w:hAnsi="Times New Roman"/>
          <w:sz w:val="24"/>
        </w:rPr>
        <w:t>, [350]</w:t>
      </w:r>
      <w:r w:rsidR="004457D5" w:rsidRPr="0008166C">
        <w:rPr>
          <w:rFonts w:ascii="Times New Roman" w:hAnsi="Times New Roman"/>
          <w:sz w:val="24"/>
        </w:rPr>
        <w:noBreakHyphen/>
        <w:t>[354]</w:t>
      </w:r>
      <w:r w:rsidRPr="0008166C">
        <w:rPr>
          <w:rFonts w:ascii="Times New Roman" w:hAnsi="Times New Roman"/>
          <w:sz w:val="24"/>
        </w:rPr>
        <w:t>.</w:t>
      </w:r>
    </w:p>
  </w:footnote>
  <w:footnote w:id="13">
    <w:p w14:paraId="473B1D53" w14:textId="4E70E0FF" w:rsidR="00B16D5B" w:rsidRPr="0008166C" w:rsidRDefault="00B16D5B"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w:t>
      </w:r>
      <w:r w:rsidR="005D28DE" w:rsidRPr="0008166C">
        <w:rPr>
          <w:rFonts w:ascii="Times New Roman" w:hAnsi="Times New Roman"/>
          <w:i/>
          <w:sz w:val="24"/>
        </w:rPr>
        <w:t xml:space="preserve"> Ltd</w:t>
      </w:r>
      <w:r w:rsidRPr="0008166C">
        <w:rPr>
          <w:rFonts w:ascii="Times New Roman" w:hAnsi="Times New Roman"/>
          <w:i/>
          <w:sz w:val="24"/>
        </w:rPr>
        <w:t xml:space="preserve"> </w:t>
      </w:r>
      <w:r w:rsidRPr="0008166C">
        <w:rPr>
          <w:rFonts w:ascii="Times New Roman" w:hAnsi="Times New Roman"/>
          <w:sz w:val="24"/>
        </w:rPr>
        <w:t>[2019] NSWSC 603 at [55]</w:t>
      </w:r>
      <w:r w:rsidRPr="0008166C">
        <w:rPr>
          <w:rFonts w:ascii="Times New Roman" w:hAnsi="Times New Roman"/>
          <w:sz w:val="24"/>
        </w:rPr>
        <w:noBreakHyphen/>
        <w:t>[56]</w:t>
      </w:r>
      <w:r w:rsidR="004457D5" w:rsidRPr="0008166C">
        <w:rPr>
          <w:rFonts w:ascii="Times New Roman" w:hAnsi="Times New Roman"/>
          <w:sz w:val="24"/>
        </w:rPr>
        <w:t>, [354]</w:t>
      </w:r>
      <w:r w:rsidRPr="0008166C">
        <w:rPr>
          <w:rFonts w:ascii="Times New Roman" w:hAnsi="Times New Roman"/>
          <w:sz w:val="24"/>
        </w:rPr>
        <w:t>.</w:t>
      </w:r>
    </w:p>
  </w:footnote>
  <w:footnote w:id="14">
    <w:p w14:paraId="52F411E6" w14:textId="74C37DDD" w:rsidR="00B14C01" w:rsidRPr="0008166C" w:rsidRDefault="00B14C01"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 Ltd</w:t>
      </w:r>
      <w:r w:rsidR="005D28DE" w:rsidRPr="0008166C">
        <w:rPr>
          <w:rFonts w:ascii="Times New Roman" w:hAnsi="Times New Roman"/>
          <w:i/>
          <w:sz w:val="24"/>
        </w:rPr>
        <w:t xml:space="preserve"> </w:t>
      </w:r>
      <w:r w:rsidR="004457D5" w:rsidRPr="0008166C">
        <w:rPr>
          <w:rFonts w:ascii="Times New Roman" w:hAnsi="Times New Roman"/>
          <w:sz w:val="24"/>
        </w:rPr>
        <w:t>(2019) 373 ALR 323</w:t>
      </w:r>
      <w:r w:rsidRPr="0008166C">
        <w:rPr>
          <w:rFonts w:ascii="Times New Roman" w:hAnsi="Times New Roman"/>
          <w:sz w:val="24"/>
        </w:rPr>
        <w:t>.</w:t>
      </w:r>
    </w:p>
  </w:footnote>
  <w:footnote w:id="15">
    <w:p w14:paraId="5477BDF7" w14:textId="0E271183" w:rsidR="00ED5283" w:rsidRPr="0008166C" w:rsidRDefault="00ED5283" w:rsidP="0008166C">
      <w:pPr>
        <w:pStyle w:val="FootnoteText"/>
        <w:tabs>
          <w:tab w:val="clear" w:pos="7200"/>
          <w:tab w:val="left" w:pos="7668"/>
        </w:tabs>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 Ltd</w:t>
      </w:r>
      <w:r w:rsidRPr="0008166C">
        <w:rPr>
          <w:rFonts w:ascii="Times New Roman" w:hAnsi="Times New Roman"/>
          <w:sz w:val="24"/>
        </w:rPr>
        <w:t xml:space="preserve"> </w:t>
      </w:r>
      <w:r w:rsidR="0085317A" w:rsidRPr="0008166C">
        <w:rPr>
          <w:rFonts w:ascii="Times New Roman" w:hAnsi="Times New Roman"/>
          <w:sz w:val="24"/>
        </w:rPr>
        <w:t>(</w:t>
      </w:r>
      <w:r w:rsidRPr="0008166C">
        <w:rPr>
          <w:rFonts w:ascii="Times New Roman" w:hAnsi="Times New Roman"/>
          <w:sz w:val="24"/>
        </w:rPr>
        <w:t>2019</w:t>
      </w:r>
      <w:r w:rsidR="0085317A" w:rsidRPr="0008166C">
        <w:rPr>
          <w:rFonts w:ascii="Times New Roman" w:hAnsi="Times New Roman"/>
          <w:sz w:val="24"/>
        </w:rPr>
        <w:t>)</w:t>
      </w:r>
      <w:r w:rsidRPr="0008166C">
        <w:rPr>
          <w:rFonts w:ascii="Times New Roman" w:hAnsi="Times New Roman"/>
          <w:sz w:val="24"/>
        </w:rPr>
        <w:t xml:space="preserve"> </w:t>
      </w:r>
      <w:r w:rsidR="00EA1991" w:rsidRPr="0008166C">
        <w:rPr>
          <w:rFonts w:ascii="Times New Roman" w:hAnsi="Times New Roman"/>
          <w:sz w:val="24"/>
        </w:rPr>
        <w:t>373 ALR 323 at 344</w:t>
      </w:r>
      <w:r w:rsidRPr="0008166C">
        <w:rPr>
          <w:rFonts w:ascii="Times New Roman" w:hAnsi="Times New Roman"/>
          <w:sz w:val="24"/>
        </w:rPr>
        <w:t xml:space="preserve"> [95].</w:t>
      </w:r>
    </w:p>
  </w:footnote>
  <w:footnote w:id="16">
    <w:p w14:paraId="638F6021" w14:textId="6E5594A2" w:rsidR="00D85004" w:rsidRPr="0008166C" w:rsidRDefault="00D85004"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(1882) 22 C</w:t>
      </w:r>
      <w:r w:rsidR="00EA1991" w:rsidRPr="0008166C">
        <w:rPr>
          <w:rFonts w:ascii="Times New Roman" w:hAnsi="Times New Roman"/>
          <w:sz w:val="24"/>
        </w:rPr>
        <w:t xml:space="preserve">h </w:t>
      </w:r>
      <w:r w:rsidRPr="0008166C">
        <w:rPr>
          <w:rFonts w:ascii="Times New Roman" w:hAnsi="Times New Roman"/>
          <w:sz w:val="24"/>
        </w:rPr>
        <w:t xml:space="preserve">D 397. The case also </w:t>
      </w:r>
      <w:r w:rsidR="004825FD" w:rsidRPr="0008166C">
        <w:rPr>
          <w:rFonts w:ascii="Times New Roman" w:hAnsi="Times New Roman"/>
          <w:sz w:val="24"/>
        </w:rPr>
        <w:t>consider</w:t>
      </w:r>
      <w:r w:rsidR="00AF0354" w:rsidRPr="0008166C">
        <w:rPr>
          <w:rFonts w:ascii="Times New Roman" w:hAnsi="Times New Roman"/>
          <w:sz w:val="24"/>
        </w:rPr>
        <w:t>ed</w:t>
      </w:r>
      <w:r w:rsidR="004825FD" w:rsidRPr="0008166C">
        <w:rPr>
          <w:rFonts w:ascii="Times New Roman" w:hAnsi="Times New Roman"/>
          <w:sz w:val="24"/>
        </w:rPr>
        <w:t xml:space="preserve"> </w:t>
      </w:r>
      <w:r w:rsidRPr="0008166C">
        <w:rPr>
          <w:rFonts w:ascii="Times New Roman" w:hAnsi="Times New Roman"/>
          <w:sz w:val="24"/>
        </w:rPr>
        <w:t>whether to stay one or both of the English proceedings in favour of a third proceeding brought in the United States in respect of the same events.</w:t>
      </w:r>
    </w:p>
  </w:footnote>
  <w:footnote w:id="17">
    <w:p w14:paraId="0E67D005" w14:textId="4F92ABDE" w:rsidR="00D85004" w:rsidRPr="0008166C" w:rsidRDefault="00D85004"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 Ltd</w:t>
      </w:r>
      <w:r w:rsidR="00B827E8" w:rsidRPr="0008166C">
        <w:rPr>
          <w:rFonts w:ascii="Times New Roman" w:hAnsi="Times New Roman"/>
          <w:i/>
          <w:sz w:val="24"/>
        </w:rPr>
        <w:t xml:space="preserve"> </w:t>
      </w:r>
      <w:r w:rsidR="00B827E8" w:rsidRPr="0008166C">
        <w:rPr>
          <w:rFonts w:ascii="Times New Roman" w:hAnsi="Times New Roman"/>
          <w:sz w:val="24"/>
        </w:rPr>
        <w:t>(2019) 373 ALR 323 at 335</w:t>
      </w:r>
      <w:r w:rsidR="00B827E8" w:rsidRPr="0008166C">
        <w:rPr>
          <w:rFonts w:ascii="Times New Roman" w:hAnsi="Times New Roman"/>
          <w:sz w:val="24"/>
        </w:rPr>
        <w:noBreakHyphen/>
        <w:t>336 [55], 341</w:t>
      </w:r>
      <w:r w:rsidR="00B827E8" w:rsidRPr="0008166C">
        <w:rPr>
          <w:rFonts w:ascii="Times New Roman" w:hAnsi="Times New Roman"/>
          <w:sz w:val="24"/>
        </w:rPr>
        <w:noBreakHyphen/>
        <w:t>342 [84]</w:t>
      </w:r>
      <w:r w:rsidRPr="0008166C">
        <w:rPr>
          <w:rFonts w:ascii="Times New Roman" w:hAnsi="Times New Roman"/>
          <w:sz w:val="24"/>
        </w:rPr>
        <w:t xml:space="preserve">. </w:t>
      </w:r>
    </w:p>
  </w:footnote>
  <w:footnote w:id="18">
    <w:p w14:paraId="3FA41739" w14:textId="04EB5242" w:rsidR="00D85004" w:rsidRPr="0008166C" w:rsidRDefault="00D85004"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 Ltd</w:t>
      </w:r>
      <w:r w:rsidRPr="0008166C">
        <w:rPr>
          <w:rFonts w:ascii="Times New Roman" w:hAnsi="Times New Roman"/>
          <w:sz w:val="24"/>
        </w:rPr>
        <w:t xml:space="preserve"> </w:t>
      </w:r>
      <w:r w:rsidR="005F60E0" w:rsidRPr="0008166C">
        <w:rPr>
          <w:rFonts w:ascii="Times New Roman" w:hAnsi="Times New Roman"/>
          <w:sz w:val="24"/>
        </w:rPr>
        <w:t>(2019) 373 ALR 323 at 341</w:t>
      </w:r>
      <w:r w:rsidR="005F60E0" w:rsidRPr="0008166C">
        <w:rPr>
          <w:rFonts w:ascii="Times New Roman" w:hAnsi="Times New Roman"/>
          <w:sz w:val="24"/>
        </w:rPr>
        <w:noBreakHyphen/>
        <w:t>342</w:t>
      </w:r>
      <w:r w:rsidRPr="0008166C">
        <w:rPr>
          <w:rFonts w:ascii="Times New Roman" w:hAnsi="Times New Roman"/>
          <w:sz w:val="24"/>
        </w:rPr>
        <w:t xml:space="preserve"> [84].</w:t>
      </w:r>
    </w:p>
  </w:footnote>
  <w:footnote w:id="19">
    <w:p w14:paraId="5A210636" w14:textId="6B9F8A75" w:rsidR="002850CE" w:rsidRPr="0008166C" w:rsidRDefault="002850CE"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00896053" w:rsidRPr="0008166C">
        <w:rPr>
          <w:rFonts w:ascii="Times New Roman" w:hAnsi="Times New Roman"/>
          <w:i/>
          <w:iCs/>
          <w:sz w:val="24"/>
        </w:rPr>
        <w:t>Voth</w:t>
      </w:r>
      <w:proofErr w:type="spellEnd"/>
      <w:r w:rsidR="00896053" w:rsidRPr="0008166C">
        <w:rPr>
          <w:rFonts w:ascii="Times New Roman" w:hAnsi="Times New Roman"/>
          <w:i/>
          <w:iCs/>
          <w:sz w:val="24"/>
        </w:rPr>
        <w:t xml:space="preserve"> v Manildra Flour Mills Pty Ltd </w:t>
      </w:r>
      <w:r w:rsidR="00896053" w:rsidRPr="0008166C">
        <w:rPr>
          <w:rFonts w:ascii="Times New Roman" w:hAnsi="Times New Roman"/>
          <w:sz w:val="24"/>
        </w:rPr>
        <w:t>(1990) 171 CLR 538 at 554.</w:t>
      </w:r>
    </w:p>
  </w:footnote>
  <w:footnote w:id="20">
    <w:p w14:paraId="4CA6F268" w14:textId="51E65FBE" w:rsidR="00C17CA6" w:rsidRPr="0008166C" w:rsidRDefault="00C17CA6"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iCs/>
          <w:sz w:val="24"/>
        </w:rPr>
        <w:t>Voth</w:t>
      </w:r>
      <w:proofErr w:type="spellEnd"/>
      <w:r w:rsidRPr="0008166C">
        <w:rPr>
          <w:rFonts w:ascii="Times New Roman" w:hAnsi="Times New Roman"/>
          <w:i/>
          <w:iCs/>
          <w:sz w:val="24"/>
        </w:rPr>
        <w:t xml:space="preserve"> v Manildra Flour Mills Pty Ltd </w:t>
      </w:r>
      <w:r w:rsidR="00B22406" w:rsidRPr="0008166C">
        <w:rPr>
          <w:rFonts w:ascii="Times New Roman" w:hAnsi="Times New Roman"/>
          <w:sz w:val="24"/>
        </w:rPr>
        <w:t>(1990) 171 CLR 538 at 554.</w:t>
      </w:r>
    </w:p>
  </w:footnote>
  <w:footnote w:id="21">
    <w:p w14:paraId="1C6A82FA" w14:textId="4A367EE1" w:rsidR="0080585F" w:rsidRPr="0008166C" w:rsidRDefault="0080585F" w:rsidP="0008166C">
      <w:pPr>
        <w:pStyle w:val="FootnoteText"/>
        <w:spacing w:line="280" w:lineRule="exact"/>
        <w:ind w:right="0"/>
        <w:jc w:val="both"/>
        <w:rPr>
          <w:rFonts w:ascii="Times New Roman" w:hAnsi="Times New Roman"/>
          <w:iCs/>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00C0676C" w:rsidRPr="0008166C">
        <w:rPr>
          <w:rFonts w:ascii="Times New Roman" w:hAnsi="Times New Roman"/>
          <w:i/>
          <w:iCs/>
          <w:sz w:val="24"/>
        </w:rPr>
        <w:t>Carron Iron Co v Maclaren</w:t>
      </w:r>
      <w:r w:rsidR="00C0676C" w:rsidRPr="0008166C">
        <w:rPr>
          <w:rFonts w:ascii="Times New Roman" w:hAnsi="Times New Roman"/>
          <w:sz w:val="24"/>
        </w:rPr>
        <w:t xml:space="preserve"> (1855) 5 HLC 416 at 437</w:t>
      </w:r>
      <w:r w:rsidR="00C0676C" w:rsidRPr="0008166C">
        <w:rPr>
          <w:rFonts w:ascii="Times New Roman" w:hAnsi="Times New Roman"/>
          <w:sz w:val="24"/>
        </w:rPr>
        <w:noBreakHyphen/>
        <w:t>439</w:t>
      </w:r>
      <w:r w:rsidR="00523F57" w:rsidRPr="0008166C">
        <w:rPr>
          <w:rFonts w:ascii="Times New Roman" w:hAnsi="Times New Roman"/>
          <w:sz w:val="24"/>
        </w:rPr>
        <w:t xml:space="preserve"> [10</w:t>
      </w:r>
      <w:r w:rsidR="00FD4F26" w:rsidRPr="0008166C">
        <w:rPr>
          <w:rFonts w:ascii="Times New Roman" w:hAnsi="Times New Roman"/>
          <w:sz w:val="24"/>
        </w:rPr>
        <w:t> </w:t>
      </w:r>
      <w:r w:rsidR="00523F57" w:rsidRPr="0008166C">
        <w:rPr>
          <w:rFonts w:ascii="Times New Roman" w:hAnsi="Times New Roman"/>
          <w:sz w:val="24"/>
        </w:rPr>
        <w:t>ER 961 at 970-971</w:t>
      </w:r>
      <w:r w:rsidR="00FD4F26" w:rsidRPr="0008166C">
        <w:rPr>
          <w:rFonts w:ascii="Times New Roman" w:hAnsi="Times New Roman"/>
          <w:sz w:val="24"/>
        </w:rPr>
        <w:t>]</w:t>
      </w:r>
      <w:r w:rsidR="00FE7D52" w:rsidRPr="0008166C">
        <w:rPr>
          <w:rFonts w:ascii="Times New Roman" w:hAnsi="Times New Roman"/>
          <w:sz w:val="24"/>
        </w:rPr>
        <w:t xml:space="preserve">; </w:t>
      </w:r>
      <w:r w:rsidR="00170888" w:rsidRPr="0008166C">
        <w:rPr>
          <w:rFonts w:ascii="Times New Roman" w:hAnsi="Times New Roman"/>
          <w:i/>
          <w:iCs/>
          <w:sz w:val="24"/>
        </w:rPr>
        <w:t>McHenry v Lewis</w:t>
      </w:r>
      <w:r w:rsidR="00D75313" w:rsidRPr="0008166C">
        <w:rPr>
          <w:rFonts w:ascii="Times New Roman" w:hAnsi="Times New Roman"/>
          <w:sz w:val="24"/>
        </w:rPr>
        <w:t xml:space="preserve"> (1882) 22 </w:t>
      </w:r>
      <w:r w:rsidR="00EA332E" w:rsidRPr="0008166C">
        <w:rPr>
          <w:rFonts w:ascii="Times New Roman" w:hAnsi="Times New Roman"/>
          <w:sz w:val="24"/>
        </w:rPr>
        <w:t>Ch D </w:t>
      </w:r>
      <w:r w:rsidR="00C0676C" w:rsidRPr="0008166C">
        <w:rPr>
          <w:rFonts w:ascii="Times New Roman" w:hAnsi="Times New Roman"/>
          <w:sz w:val="24"/>
        </w:rPr>
        <w:t>397</w:t>
      </w:r>
      <w:r w:rsidR="006E0C2E" w:rsidRPr="0008166C">
        <w:rPr>
          <w:rFonts w:ascii="Times New Roman" w:hAnsi="Times New Roman"/>
          <w:sz w:val="24"/>
        </w:rPr>
        <w:t xml:space="preserve"> at 404</w:t>
      </w:r>
      <w:r w:rsidR="00FE7D52" w:rsidRPr="0008166C">
        <w:rPr>
          <w:rFonts w:ascii="Times New Roman" w:hAnsi="Times New Roman"/>
          <w:sz w:val="24"/>
        </w:rPr>
        <w:t>;</w:t>
      </w:r>
      <w:r w:rsidR="0054538F" w:rsidRPr="0008166C">
        <w:rPr>
          <w:rFonts w:ascii="Times New Roman" w:hAnsi="Times New Roman"/>
          <w:sz w:val="24"/>
        </w:rPr>
        <w:t xml:space="preserve"> </w:t>
      </w:r>
      <w:r w:rsidR="00FD4F26" w:rsidRPr="0008166C">
        <w:rPr>
          <w:rFonts w:ascii="Times New Roman" w:hAnsi="Times New Roman"/>
          <w:i/>
          <w:sz w:val="24"/>
        </w:rPr>
        <w:t>Henry v Henry</w:t>
      </w:r>
      <w:r w:rsidR="00FD4F26" w:rsidRPr="0008166C">
        <w:rPr>
          <w:rFonts w:ascii="Times New Roman" w:hAnsi="Times New Roman"/>
          <w:iCs/>
          <w:sz w:val="24"/>
        </w:rPr>
        <w:t xml:space="preserve"> (1996) 185 CLR </w:t>
      </w:r>
      <w:r w:rsidR="00363EDC" w:rsidRPr="0008166C">
        <w:rPr>
          <w:rFonts w:ascii="Times New Roman" w:hAnsi="Times New Roman"/>
          <w:iCs/>
          <w:sz w:val="24"/>
        </w:rPr>
        <w:t>5</w:t>
      </w:r>
      <w:r w:rsidR="00FD4F26" w:rsidRPr="0008166C">
        <w:rPr>
          <w:rFonts w:ascii="Times New Roman" w:hAnsi="Times New Roman"/>
          <w:iCs/>
          <w:sz w:val="24"/>
        </w:rPr>
        <w:t xml:space="preserve">71 at 591; </w:t>
      </w:r>
      <w:r w:rsidR="0054538F" w:rsidRPr="0008166C">
        <w:rPr>
          <w:rFonts w:ascii="Times New Roman" w:hAnsi="Times New Roman"/>
          <w:i/>
          <w:sz w:val="24"/>
        </w:rPr>
        <w:t>CSR Ltd v Cigna Insurance Australia Ltd</w:t>
      </w:r>
      <w:r w:rsidR="0054538F" w:rsidRPr="0008166C">
        <w:rPr>
          <w:rFonts w:ascii="Times New Roman" w:hAnsi="Times New Roman"/>
          <w:iCs/>
          <w:sz w:val="24"/>
        </w:rPr>
        <w:t xml:space="preserve"> (1997) 189 CLR 345 at 39</w:t>
      </w:r>
      <w:r w:rsidR="006E0C2E" w:rsidRPr="0008166C">
        <w:rPr>
          <w:rFonts w:ascii="Times New Roman" w:hAnsi="Times New Roman"/>
          <w:iCs/>
          <w:sz w:val="24"/>
        </w:rPr>
        <w:t>0</w:t>
      </w:r>
      <w:r w:rsidR="006E0C2E" w:rsidRPr="0008166C">
        <w:rPr>
          <w:rFonts w:ascii="Times New Roman" w:hAnsi="Times New Roman"/>
          <w:iCs/>
          <w:sz w:val="24"/>
        </w:rPr>
        <w:noBreakHyphen/>
        <w:t>394</w:t>
      </w:r>
      <w:r w:rsidR="00B32815" w:rsidRPr="0008166C">
        <w:rPr>
          <w:rFonts w:ascii="Times New Roman" w:hAnsi="Times New Roman"/>
          <w:iCs/>
          <w:sz w:val="24"/>
        </w:rPr>
        <w:t>.</w:t>
      </w:r>
    </w:p>
  </w:footnote>
  <w:footnote w:id="22">
    <w:p w14:paraId="574600B1" w14:textId="5D017464" w:rsidR="00170801" w:rsidRPr="0008166C" w:rsidRDefault="00170801"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Pr="0008166C">
        <w:rPr>
          <w:rFonts w:ascii="Times New Roman" w:hAnsi="Times New Roman"/>
          <w:i/>
          <w:iCs/>
          <w:sz w:val="24"/>
        </w:rPr>
        <w:t>McHenry v Lewis</w:t>
      </w:r>
      <w:r w:rsidRPr="0008166C">
        <w:rPr>
          <w:rFonts w:ascii="Times New Roman" w:hAnsi="Times New Roman"/>
          <w:sz w:val="24"/>
        </w:rPr>
        <w:t xml:space="preserve"> (1882)</w:t>
      </w:r>
      <w:r w:rsidR="00BD30C0" w:rsidRPr="0008166C">
        <w:rPr>
          <w:rFonts w:ascii="Times New Roman" w:hAnsi="Times New Roman"/>
          <w:sz w:val="24"/>
        </w:rPr>
        <w:t xml:space="preserve"> </w:t>
      </w:r>
      <w:r w:rsidRPr="0008166C">
        <w:rPr>
          <w:rFonts w:ascii="Times New Roman" w:hAnsi="Times New Roman"/>
          <w:sz w:val="24"/>
        </w:rPr>
        <w:t>22 Ch</w:t>
      </w:r>
      <w:r w:rsidR="00BD30C0" w:rsidRPr="0008166C">
        <w:rPr>
          <w:rFonts w:ascii="Times New Roman" w:hAnsi="Times New Roman"/>
          <w:sz w:val="24"/>
        </w:rPr>
        <w:t xml:space="preserve"> </w:t>
      </w:r>
      <w:r w:rsidRPr="0008166C">
        <w:rPr>
          <w:rFonts w:ascii="Times New Roman" w:hAnsi="Times New Roman"/>
          <w:sz w:val="24"/>
        </w:rPr>
        <w:t>D</w:t>
      </w:r>
      <w:r w:rsidR="00BD30C0" w:rsidRPr="0008166C">
        <w:rPr>
          <w:rFonts w:ascii="Times New Roman" w:hAnsi="Times New Roman"/>
          <w:sz w:val="24"/>
        </w:rPr>
        <w:t xml:space="preserve"> </w:t>
      </w:r>
      <w:r w:rsidRPr="0008166C">
        <w:rPr>
          <w:rFonts w:ascii="Times New Roman" w:hAnsi="Times New Roman"/>
          <w:sz w:val="24"/>
        </w:rPr>
        <w:t>397 at 404.</w:t>
      </w:r>
    </w:p>
  </w:footnote>
  <w:footnote w:id="23">
    <w:p w14:paraId="79FD432B" w14:textId="593F8689" w:rsidR="001243CF" w:rsidRPr="0008166C" w:rsidRDefault="001243CF"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00E92769" w:rsidRPr="0008166C">
        <w:rPr>
          <w:rFonts w:ascii="Times New Roman" w:hAnsi="Times New Roman"/>
          <w:sz w:val="24"/>
        </w:rPr>
        <w:t xml:space="preserve">See </w:t>
      </w:r>
      <w:r w:rsidRPr="0008166C">
        <w:rPr>
          <w:rFonts w:ascii="Times New Roman" w:hAnsi="Times New Roman"/>
          <w:i/>
          <w:iCs/>
          <w:sz w:val="24"/>
        </w:rPr>
        <w:t xml:space="preserve">Re Perrot Mill Pty Ltd </w:t>
      </w:r>
      <w:r w:rsidR="002B1E64" w:rsidRPr="0008166C">
        <w:rPr>
          <w:rFonts w:ascii="Times New Roman" w:hAnsi="Times New Roman"/>
          <w:i/>
          <w:iCs/>
          <w:sz w:val="24"/>
        </w:rPr>
        <w:t>[</w:t>
      </w:r>
      <w:r w:rsidRPr="0008166C">
        <w:rPr>
          <w:rFonts w:ascii="Times New Roman" w:hAnsi="Times New Roman"/>
          <w:i/>
          <w:iCs/>
          <w:sz w:val="24"/>
        </w:rPr>
        <w:t>No 1</w:t>
      </w:r>
      <w:r w:rsidR="002B1E64" w:rsidRPr="0008166C">
        <w:rPr>
          <w:rFonts w:ascii="Times New Roman" w:hAnsi="Times New Roman"/>
          <w:i/>
          <w:iCs/>
          <w:sz w:val="24"/>
        </w:rPr>
        <w:t>]</w:t>
      </w:r>
      <w:r w:rsidRPr="0008166C">
        <w:rPr>
          <w:rFonts w:ascii="Times New Roman" w:hAnsi="Times New Roman"/>
          <w:i/>
          <w:iCs/>
          <w:sz w:val="24"/>
        </w:rPr>
        <w:t xml:space="preserve"> </w:t>
      </w:r>
      <w:r w:rsidRPr="0008166C">
        <w:rPr>
          <w:rFonts w:ascii="Times New Roman" w:hAnsi="Times New Roman"/>
          <w:sz w:val="24"/>
        </w:rPr>
        <w:t>(2013) 11 ASTLR 125 at </w:t>
      </w:r>
      <w:r w:rsidR="00104FC4" w:rsidRPr="0008166C">
        <w:rPr>
          <w:rFonts w:ascii="Times New Roman" w:hAnsi="Times New Roman"/>
          <w:sz w:val="24"/>
        </w:rPr>
        <w:t xml:space="preserve">127 </w:t>
      </w:r>
      <w:r w:rsidRPr="0008166C">
        <w:rPr>
          <w:rFonts w:ascii="Times New Roman" w:hAnsi="Times New Roman"/>
          <w:sz w:val="24"/>
        </w:rPr>
        <w:t>[4].</w:t>
      </w:r>
    </w:p>
  </w:footnote>
  <w:footnote w:id="24">
    <w:p w14:paraId="53AD895A" w14:textId="43C4EC71" w:rsidR="005636A8" w:rsidRPr="0008166C" w:rsidRDefault="005636A8"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 xml:space="preserve">See </w:t>
      </w:r>
      <w:r w:rsidRPr="0008166C">
        <w:rPr>
          <w:rFonts w:ascii="Times New Roman" w:hAnsi="Times New Roman"/>
          <w:i/>
          <w:sz w:val="24"/>
        </w:rPr>
        <w:t xml:space="preserve">Civil Procedure Act 2005 </w:t>
      </w:r>
      <w:r w:rsidRPr="0008166C">
        <w:rPr>
          <w:rFonts w:ascii="Times New Roman" w:hAnsi="Times New Roman"/>
          <w:sz w:val="24"/>
        </w:rPr>
        <w:t>(NSW), s 4(1)</w:t>
      </w:r>
      <w:r w:rsidR="006F1B61" w:rsidRPr="0008166C">
        <w:rPr>
          <w:rFonts w:ascii="Times New Roman" w:hAnsi="Times New Roman"/>
          <w:sz w:val="24"/>
        </w:rPr>
        <w:t>,</w:t>
      </w:r>
      <w:r w:rsidRPr="0008166C">
        <w:rPr>
          <w:rFonts w:ascii="Times New Roman" w:hAnsi="Times New Roman"/>
          <w:sz w:val="24"/>
        </w:rPr>
        <w:t xml:space="preserve"> Sch 1. </w:t>
      </w:r>
    </w:p>
  </w:footnote>
  <w:footnote w:id="25">
    <w:p w14:paraId="08682F69" w14:textId="75192D47" w:rsidR="005A0B72" w:rsidRPr="0008166C" w:rsidRDefault="005A0B72"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Pr="0008166C">
        <w:rPr>
          <w:rFonts w:ascii="Times New Roman" w:hAnsi="Times New Roman"/>
          <w:i/>
          <w:iCs/>
          <w:sz w:val="24"/>
        </w:rPr>
        <w:t xml:space="preserve">BMW </w:t>
      </w:r>
      <w:r w:rsidR="0008050C" w:rsidRPr="0008166C">
        <w:rPr>
          <w:rFonts w:ascii="Times New Roman" w:hAnsi="Times New Roman"/>
          <w:i/>
          <w:iCs/>
          <w:sz w:val="24"/>
        </w:rPr>
        <w:t xml:space="preserve">Australia Ltd </w:t>
      </w:r>
      <w:r w:rsidR="00514CA5" w:rsidRPr="0008166C">
        <w:rPr>
          <w:rFonts w:ascii="Times New Roman" w:hAnsi="Times New Roman"/>
          <w:i/>
          <w:iCs/>
          <w:sz w:val="24"/>
        </w:rPr>
        <w:t>v Brewster</w:t>
      </w:r>
      <w:r w:rsidR="00672466" w:rsidRPr="0008166C">
        <w:rPr>
          <w:rFonts w:ascii="Times New Roman" w:hAnsi="Times New Roman"/>
          <w:i/>
          <w:iCs/>
          <w:sz w:val="24"/>
        </w:rPr>
        <w:t xml:space="preserve"> </w:t>
      </w:r>
      <w:r w:rsidR="00672466" w:rsidRPr="0008166C">
        <w:rPr>
          <w:rFonts w:ascii="Times New Roman" w:hAnsi="Times New Roman"/>
          <w:sz w:val="24"/>
        </w:rPr>
        <w:t>(201</w:t>
      </w:r>
      <w:r w:rsidR="00F66E32" w:rsidRPr="0008166C">
        <w:rPr>
          <w:rFonts w:ascii="Times New Roman" w:hAnsi="Times New Roman"/>
          <w:sz w:val="24"/>
        </w:rPr>
        <w:t>9</w:t>
      </w:r>
      <w:r w:rsidR="00672466" w:rsidRPr="0008166C">
        <w:rPr>
          <w:rFonts w:ascii="Times New Roman" w:hAnsi="Times New Roman"/>
          <w:sz w:val="24"/>
        </w:rPr>
        <w:t xml:space="preserve">) </w:t>
      </w:r>
      <w:r w:rsidR="00CE73E8" w:rsidRPr="0008166C">
        <w:rPr>
          <w:rFonts w:ascii="Times New Roman" w:hAnsi="Times New Roman"/>
          <w:sz w:val="24"/>
        </w:rPr>
        <w:t xml:space="preserve">94 ALJR 51 at 68 [69]; </w:t>
      </w:r>
      <w:r w:rsidR="00672466" w:rsidRPr="0008166C">
        <w:rPr>
          <w:rFonts w:ascii="Times New Roman" w:hAnsi="Times New Roman"/>
          <w:sz w:val="24"/>
        </w:rPr>
        <w:t>374 ALR 627</w:t>
      </w:r>
      <w:r w:rsidR="00F66E32" w:rsidRPr="0008166C">
        <w:rPr>
          <w:rFonts w:ascii="Times New Roman" w:hAnsi="Times New Roman"/>
          <w:sz w:val="24"/>
        </w:rPr>
        <w:t xml:space="preserve"> </w:t>
      </w:r>
      <w:r w:rsidR="00E34442" w:rsidRPr="0008166C">
        <w:rPr>
          <w:rFonts w:ascii="Times New Roman" w:hAnsi="Times New Roman"/>
          <w:sz w:val="24"/>
        </w:rPr>
        <w:t>at 643</w:t>
      </w:r>
      <w:r w:rsidRPr="0008166C">
        <w:rPr>
          <w:rFonts w:ascii="Times New Roman" w:hAnsi="Times New Roman"/>
          <w:sz w:val="24"/>
        </w:rPr>
        <w:t>.</w:t>
      </w:r>
    </w:p>
  </w:footnote>
  <w:footnote w:id="26">
    <w:p w14:paraId="437B1DB5" w14:textId="77777777" w:rsidR="005636A8" w:rsidRPr="0008166C" w:rsidRDefault="005636A8"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 xml:space="preserve">See </w:t>
      </w:r>
      <w:r w:rsidRPr="0008166C">
        <w:rPr>
          <w:rFonts w:ascii="Times New Roman" w:hAnsi="Times New Roman"/>
          <w:i/>
          <w:sz w:val="24"/>
        </w:rPr>
        <w:t xml:space="preserve">Civil Procedure Act 2005 </w:t>
      </w:r>
      <w:r w:rsidRPr="0008166C">
        <w:rPr>
          <w:rFonts w:ascii="Times New Roman" w:hAnsi="Times New Roman"/>
          <w:sz w:val="24"/>
        </w:rPr>
        <w:t>(NSW), s 155.</w:t>
      </w:r>
    </w:p>
  </w:footnote>
  <w:footnote w:id="27">
    <w:p w14:paraId="46C6BEE6" w14:textId="6D3E97A7" w:rsidR="00890035" w:rsidRPr="0008166C" w:rsidRDefault="00890035"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(2002) 211 CLR 1</w:t>
      </w:r>
      <w:r w:rsidR="004273FA" w:rsidRPr="0008166C">
        <w:rPr>
          <w:rFonts w:ascii="Times New Roman" w:hAnsi="Times New Roman"/>
          <w:sz w:val="24"/>
        </w:rPr>
        <w:t xml:space="preserve"> at 21 [</w:t>
      </w:r>
      <w:r w:rsidR="00E125FA" w:rsidRPr="0008166C">
        <w:rPr>
          <w:rFonts w:ascii="Times New Roman" w:hAnsi="Times New Roman"/>
          <w:sz w:val="24"/>
        </w:rPr>
        <w:t>5(</w:t>
      </w:r>
      <w:r w:rsidR="004273FA" w:rsidRPr="0008166C">
        <w:rPr>
          <w:rFonts w:ascii="Times New Roman" w:hAnsi="Times New Roman"/>
          <w:sz w:val="24"/>
        </w:rPr>
        <w:t>8</w:t>
      </w:r>
      <w:r w:rsidR="00E125FA" w:rsidRPr="0008166C">
        <w:rPr>
          <w:rFonts w:ascii="Times New Roman" w:hAnsi="Times New Roman"/>
          <w:sz w:val="24"/>
        </w:rPr>
        <w:t>)</w:t>
      </w:r>
      <w:r w:rsidR="004273FA" w:rsidRPr="0008166C">
        <w:rPr>
          <w:rFonts w:ascii="Times New Roman" w:hAnsi="Times New Roman"/>
          <w:sz w:val="24"/>
        </w:rPr>
        <w:t>]</w:t>
      </w:r>
      <w:r w:rsidRPr="0008166C">
        <w:rPr>
          <w:rFonts w:ascii="Times New Roman" w:hAnsi="Times New Roman"/>
          <w:sz w:val="24"/>
        </w:rPr>
        <w:t>.</w:t>
      </w:r>
    </w:p>
  </w:footnote>
  <w:footnote w:id="28">
    <w:p w14:paraId="6103D145" w14:textId="61EAF221" w:rsidR="00C91642" w:rsidRPr="0008166C" w:rsidRDefault="00C91642"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 xml:space="preserve">See </w:t>
      </w:r>
      <w:proofErr w:type="spellStart"/>
      <w:r w:rsidR="00307360" w:rsidRPr="0008166C">
        <w:rPr>
          <w:rFonts w:ascii="Times New Roman" w:hAnsi="Times New Roman"/>
          <w:i/>
          <w:iCs/>
          <w:sz w:val="24"/>
        </w:rPr>
        <w:t>Revian</w:t>
      </w:r>
      <w:proofErr w:type="spellEnd"/>
      <w:r w:rsidR="00307360" w:rsidRPr="0008166C">
        <w:rPr>
          <w:rFonts w:ascii="Times New Roman" w:hAnsi="Times New Roman"/>
          <w:i/>
          <w:iCs/>
          <w:sz w:val="24"/>
        </w:rPr>
        <w:t xml:space="preserve"> v </w:t>
      </w:r>
      <w:proofErr w:type="spellStart"/>
      <w:r w:rsidR="00307360" w:rsidRPr="0008166C">
        <w:rPr>
          <w:rFonts w:ascii="Times New Roman" w:hAnsi="Times New Roman"/>
          <w:i/>
          <w:iCs/>
          <w:sz w:val="24"/>
        </w:rPr>
        <w:t>Dasford</w:t>
      </w:r>
      <w:proofErr w:type="spellEnd"/>
      <w:r w:rsidR="00307360" w:rsidRPr="0008166C">
        <w:rPr>
          <w:rFonts w:ascii="Times New Roman" w:hAnsi="Times New Roman"/>
          <w:i/>
          <w:iCs/>
          <w:sz w:val="24"/>
        </w:rPr>
        <w:t xml:space="preserve"> Holdings Pty Ltd</w:t>
      </w:r>
      <w:r w:rsidR="00307360" w:rsidRPr="0008166C">
        <w:rPr>
          <w:rFonts w:ascii="Times New Roman" w:hAnsi="Times New Roman"/>
          <w:sz w:val="24"/>
        </w:rPr>
        <w:t xml:space="preserve"> </w:t>
      </w:r>
      <w:r w:rsidR="00570630" w:rsidRPr="0008166C">
        <w:rPr>
          <w:rFonts w:ascii="Times New Roman" w:hAnsi="Times New Roman"/>
          <w:sz w:val="24"/>
        </w:rPr>
        <w:t>[2002] FCA 1119</w:t>
      </w:r>
      <w:r w:rsidR="00EA50AE" w:rsidRPr="0008166C">
        <w:rPr>
          <w:rFonts w:ascii="Times New Roman" w:hAnsi="Times New Roman"/>
          <w:sz w:val="24"/>
        </w:rPr>
        <w:t xml:space="preserve"> at [8], [14], </w:t>
      </w:r>
      <w:r w:rsidR="00F41980" w:rsidRPr="0008166C">
        <w:rPr>
          <w:rFonts w:ascii="Times New Roman" w:hAnsi="Times New Roman"/>
          <w:sz w:val="24"/>
        </w:rPr>
        <w:t>[23]</w:t>
      </w:r>
      <w:r w:rsidR="00441BAE" w:rsidRPr="0008166C">
        <w:rPr>
          <w:rFonts w:ascii="Times New Roman" w:hAnsi="Times New Roman"/>
          <w:sz w:val="24"/>
        </w:rPr>
        <w:t xml:space="preserve">; </w:t>
      </w:r>
      <w:r w:rsidR="00441BAE" w:rsidRPr="0008166C">
        <w:rPr>
          <w:rFonts w:ascii="Times New Roman" w:hAnsi="Times New Roman"/>
          <w:i/>
          <w:iCs/>
          <w:sz w:val="24"/>
        </w:rPr>
        <w:t>Tongu</w:t>
      </w:r>
      <w:r w:rsidR="00BC57F5" w:rsidRPr="0008166C">
        <w:rPr>
          <w:rFonts w:ascii="Times New Roman" w:hAnsi="Times New Roman"/>
          <w:i/>
          <w:iCs/>
          <w:sz w:val="24"/>
        </w:rPr>
        <w:t>e v Tamworth</w:t>
      </w:r>
      <w:r w:rsidR="00E125FA" w:rsidRPr="0008166C">
        <w:rPr>
          <w:rFonts w:ascii="Times New Roman" w:hAnsi="Times New Roman"/>
          <w:i/>
          <w:iCs/>
          <w:sz w:val="24"/>
        </w:rPr>
        <w:t xml:space="preserve"> City Council</w:t>
      </w:r>
      <w:r w:rsidR="00E94E23" w:rsidRPr="0008166C">
        <w:rPr>
          <w:rFonts w:ascii="Times New Roman" w:hAnsi="Times New Roman"/>
          <w:sz w:val="24"/>
        </w:rPr>
        <w:t xml:space="preserve"> (2004) 141 FCR 2</w:t>
      </w:r>
      <w:r w:rsidR="00BC2905" w:rsidRPr="0008166C">
        <w:rPr>
          <w:rFonts w:ascii="Times New Roman" w:hAnsi="Times New Roman"/>
          <w:sz w:val="24"/>
        </w:rPr>
        <w:t>3</w:t>
      </w:r>
      <w:r w:rsidR="00E94E23" w:rsidRPr="0008166C">
        <w:rPr>
          <w:rFonts w:ascii="Times New Roman" w:hAnsi="Times New Roman"/>
          <w:sz w:val="24"/>
        </w:rPr>
        <w:t>3 at </w:t>
      </w:r>
      <w:r w:rsidR="00931E4A" w:rsidRPr="0008166C">
        <w:rPr>
          <w:rFonts w:ascii="Times New Roman" w:hAnsi="Times New Roman"/>
          <w:sz w:val="24"/>
        </w:rPr>
        <w:t>235 [11]</w:t>
      </w:r>
      <w:r w:rsidR="00A61FCF" w:rsidRPr="0008166C">
        <w:rPr>
          <w:rFonts w:ascii="Times New Roman" w:hAnsi="Times New Roman"/>
          <w:sz w:val="24"/>
        </w:rPr>
        <w:t>, 240</w:t>
      </w:r>
      <w:r w:rsidR="000F67F7" w:rsidRPr="0008166C">
        <w:rPr>
          <w:rFonts w:ascii="Times New Roman" w:hAnsi="Times New Roman"/>
          <w:sz w:val="24"/>
        </w:rPr>
        <w:t xml:space="preserve"> </w:t>
      </w:r>
      <w:r w:rsidR="00BE1ADA" w:rsidRPr="0008166C">
        <w:rPr>
          <w:rFonts w:ascii="Times New Roman" w:hAnsi="Times New Roman"/>
          <w:sz w:val="24"/>
        </w:rPr>
        <w:t>[52]</w:t>
      </w:r>
      <w:r w:rsidR="00BD5FD3" w:rsidRPr="0008166C">
        <w:rPr>
          <w:rFonts w:ascii="Times New Roman" w:hAnsi="Times New Roman"/>
          <w:sz w:val="24"/>
        </w:rPr>
        <w:t xml:space="preserve">; </w:t>
      </w:r>
      <w:r w:rsidR="00B67C08" w:rsidRPr="0008166C">
        <w:rPr>
          <w:rFonts w:ascii="Times New Roman" w:hAnsi="Times New Roman"/>
          <w:sz w:val="24"/>
        </w:rPr>
        <w:t xml:space="preserve">see </w:t>
      </w:r>
      <w:r w:rsidR="008303F7" w:rsidRPr="0008166C">
        <w:rPr>
          <w:rFonts w:ascii="Times New Roman" w:hAnsi="Times New Roman"/>
          <w:sz w:val="24"/>
        </w:rPr>
        <w:t xml:space="preserve">also </w:t>
      </w:r>
      <w:r w:rsidR="000F5E3F" w:rsidRPr="0008166C">
        <w:rPr>
          <w:rFonts w:ascii="Times New Roman" w:hAnsi="Times New Roman"/>
          <w:i/>
          <w:iCs/>
          <w:sz w:val="24"/>
        </w:rPr>
        <w:t>Mo</w:t>
      </w:r>
      <w:r w:rsidR="00B43DCB" w:rsidRPr="0008166C">
        <w:rPr>
          <w:rFonts w:ascii="Times New Roman" w:hAnsi="Times New Roman"/>
          <w:i/>
          <w:iCs/>
          <w:sz w:val="24"/>
        </w:rPr>
        <w:t>bil Oil Australia Pty Ltd v Victoria</w:t>
      </w:r>
      <w:r w:rsidR="00826859" w:rsidRPr="0008166C">
        <w:rPr>
          <w:rFonts w:ascii="Times New Roman" w:hAnsi="Times New Roman"/>
          <w:sz w:val="24"/>
        </w:rPr>
        <w:t xml:space="preserve"> (2002)</w:t>
      </w:r>
      <w:r w:rsidR="004C2FBE" w:rsidRPr="0008166C">
        <w:rPr>
          <w:rFonts w:ascii="Times New Roman" w:hAnsi="Times New Roman"/>
          <w:sz w:val="24"/>
        </w:rPr>
        <w:t xml:space="preserve"> 211 CLR 1</w:t>
      </w:r>
      <w:r w:rsidR="009B6B09" w:rsidRPr="0008166C">
        <w:rPr>
          <w:rFonts w:ascii="Times New Roman" w:hAnsi="Times New Roman"/>
          <w:sz w:val="24"/>
        </w:rPr>
        <w:t xml:space="preserve"> at 21 [</w:t>
      </w:r>
      <w:r w:rsidR="00A7094A" w:rsidRPr="0008166C">
        <w:rPr>
          <w:rFonts w:ascii="Times New Roman" w:hAnsi="Times New Roman"/>
          <w:sz w:val="24"/>
        </w:rPr>
        <w:t>5(</w:t>
      </w:r>
      <w:r w:rsidR="009B6B09" w:rsidRPr="0008166C">
        <w:rPr>
          <w:rFonts w:ascii="Times New Roman" w:hAnsi="Times New Roman"/>
          <w:sz w:val="24"/>
        </w:rPr>
        <w:t>8</w:t>
      </w:r>
      <w:r w:rsidR="00A7094A" w:rsidRPr="0008166C">
        <w:rPr>
          <w:rFonts w:ascii="Times New Roman" w:hAnsi="Times New Roman"/>
          <w:sz w:val="24"/>
        </w:rPr>
        <w:t>)</w:t>
      </w:r>
      <w:r w:rsidR="009B6B09" w:rsidRPr="0008166C">
        <w:rPr>
          <w:rFonts w:ascii="Times New Roman" w:hAnsi="Times New Roman"/>
          <w:sz w:val="24"/>
        </w:rPr>
        <w:t>]</w:t>
      </w:r>
      <w:r w:rsidR="00D50E40" w:rsidRPr="0008166C">
        <w:rPr>
          <w:rFonts w:ascii="Times New Roman" w:hAnsi="Times New Roman"/>
          <w:sz w:val="24"/>
        </w:rPr>
        <w:t>.</w:t>
      </w:r>
    </w:p>
  </w:footnote>
  <w:footnote w:id="29">
    <w:p w14:paraId="62BB06E6" w14:textId="69D617DB" w:rsidR="00314732" w:rsidRPr="0008166C" w:rsidRDefault="00314732"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 xml:space="preserve">Compare </w:t>
      </w:r>
      <w:r w:rsidRPr="0008166C">
        <w:rPr>
          <w:rFonts w:ascii="Times New Roman" w:hAnsi="Times New Roman"/>
          <w:i/>
          <w:iCs/>
          <w:sz w:val="24"/>
        </w:rPr>
        <w:t>BMW</w:t>
      </w:r>
      <w:r w:rsidR="00CF0546" w:rsidRPr="0008166C">
        <w:rPr>
          <w:rFonts w:ascii="Times New Roman" w:hAnsi="Times New Roman"/>
          <w:i/>
          <w:iCs/>
          <w:sz w:val="24"/>
        </w:rPr>
        <w:t xml:space="preserve"> Australia Ltd</w:t>
      </w:r>
      <w:r w:rsidRPr="0008166C">
        <w:rPr>
          <w:rFonts w:ascii="Times New Roman" w:hAnsi="Times New Roman"/>
          <w:i/>
          <w:iCs/>
          <w:sz w:val="24"/>
        </w:rPr>
        <w:t xml:space="preserve"> </w:t>
      </w:r>
      <w:r w:rsidR="002F0AA8" w:rsidRPr="0008166C">
        <w:rPr>
          <w:rFonts w:ascii="Times New Roman" w:hAnsi="Times New Roman"/>
          <w:i/>
          <w:iCs/>
          <w:sz w:val="24"/>
        </w:rPr>
        <w:t>v Brewster</w:t>
      </w:r>
      <w:r w:rsidRPr="0008166C">
        <w:rPr>
          <w:rFonts w:ascii="Times New Roman" w:hAnsi="Times New Roman"/>
          <w:i/>
          <w:iCs/>
          <w:sz w:val="24"/>
        </w:rPr>
        <w:t xml:space="preserve"> </w:t>
      </w:r>
      <w:r w:rsidRPr="0008166C">
        <w:rPr>
          <w:rFonts w:ascii="Times New Roman" w:hAnsi="Times New Roman"/>
          <w:sz w:val="24"/>
        </w:rPr>
        <w:t>(2019)</w:t>
      </w:r>
      <w:r w:rsidR="00CF0546" w:rsidRPr="0008166C">
        <w:rPr>
          <w:rFonts w:ascii="Times New Roman" w:hAnsi="Times New Roman"/>
          <w:sz w:val="24"/>
        </w:rPr>
        <w:t xml:space="preserve"> 94 ALJR 51 at 58 [3], 65 [50];</w:t>
      </w:r>
      <w:r w:rsidR="00AE12CB" w:rsidRPr="0008166C">
        <w:rPr>
          <w:rFonts w:ascii="Times New Roman" w:hAnsi="Times New Roman"/>
          <w:sz w:val="24"/>
        </w:rPr>
        <w:t xml:space="preserve"> 374 ALR 627</w:t>
      </w:r>
      <w:r w:rsidR="005B62A1" w:rsidRPr="0008166C">
        <w:rPr>
          <w:rFonts w:ascii="Times New Roman" w:hAnsi="Times New Roman"/>
          <w:sz w:val="24"/>
        </w:rPr>
        <w:t xml:space="preserve"> at 630, 639.</w:t>
      </w:r>
    </w:p>
  </w:footnote>
  <w:footnote w:id="30">
    <w:p w14:paraId="33983952" w14:textId="5CFC9270" w:rsidR="0058537E" w:rsidRPr="0008166C" w:rsidRDefault="0058537E"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00905927" w:rsidRPr="0008166C">
        <w:rPr>
          <w:rFonts w:ascii="Times New Roman" w:hAnsi="Times New Roman"/>
          <w:sz w:val="24"/>
        </w:rPr>
        <w:t xml:space="preserve">(2019) </w:t>
      </w:r>
      <w:r w:rsidR="00B36FCE" w:rsidRPr="0008166C">
        <w:rPr>
          <w:rFonts w:ascii="Times New Roman" w:hAnsi="Times New Roman"/>
          <w:sz w:val="24"/>
        </w:rPr>
        <w:t xml:space="preserve">94 ALJR 51 at 68 [69]; </w:t>
      </w:r>
      <w:r w:rsidR="00905927" w:rsidRPr="0008166C">
        <w:rPr>
          <w:rFonts w:ascii="Times New Roman" w:hAnsi="Times New Roman"/>
          <w:sz w:val="24"/>
        </w:rPr>
        <w:t>374 ALR 627 at 643</w:t>
      </w:r>
      <w:r w:rsidRPr="0008166C">
        <w:rPr>
          <w:rFonts w:ascii="Times New Roman" w:hAnsi="Times New Roman"/>
          <w:sz w:val="24"/>
        </w:rPr>
        <w:t>.</w:t>
      </w:r>
    </w:p>
  </w:footnote>
  <w:footnote w:id="31">
    <w:p w14:paraId="42110BE3" w14:textId="234A0BA5" w:rsidR="00D47DA9" w:rsidRPr="0008166C" w:rsidRDefault="00D47DA9"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 xml:space="preserve">(2019) </w:t>
      </w:r>
      <w:r w:rsidR="00207606" w:rsidRPr="0008166C">
        <w:rPr>
          <w:rFonts w:ascii="Times New Roman" w:hAnsi="Times New Roman"/>
          <w:sz w:val="24"/>
        </w:rPr>
        <w:t xml:space="preserve">94 ALJR 51 at 68 [70]; </w:t>
      </w:r>
      <w:r w:rsidRPr="0008166C">
        <w:rPr>
          <w:rFonts w:ascii="Times New Roman" w:hAnsi="Times New Roman"/>
          <w:sz w:val="24"/>
        </w:rPr>
        <w:t>374 ALR 627 at 643.</w:t>
      </w:r>
    </w:p>
  </w:footnote>
  <w:footnote w:id="32">
    <w:p w14:paraId="0BEA62ED" w14:textId="6AAD7123" w:rsidR="00CD780E" w:rsidRPr="0008166C" w:rsidRDefault="00CD780E"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 xml:space="preserve">(2019) </w:t>
      </w:r>
      <w:r w:rsidR="00207606" w:rsidRPr="0008166C">
        <w:rPr>
          <w:rFonts w:ascii="Times New Roman" w:hAnsi="Times New Roman"/>
          <w:sz w:val="24"/>
        </w:rPr>
        <w:t xml:space="preserve">94 ALJR 51 at </w:t>
      </w:r>
      <w:r w:rsidR="003C45E1" w:rsidRPr="0008166C">
        <w:rPr>
          <w:rFonts w:ascii="Times New Roman" w:hAnsi="Times New Roman"/>
          <w:sz w:val="24"/>
        </w:rPr>
        <w:t xml:space="preserve">70-71 [82]; </w:t>
      </w:r>
      <w:r w:rsidR="00EE6240" w:rsidRPr="0008166C">
        <w:rPr>
          <w:rFonts w:ascii="Times New Roman" w:hAnsi="Times New Roman"/>
          <w:sz w:val="24"/>
        </w:rPr>
        <w:t xml:space="preserve">374 </w:t>
      </w:r>
      <w:r w:rsidRPr="0008166C">
        <w:rPr>
          <w:rFonts w:ascii="Times New Roman" w:hAnsi="Times New Roman"/>
          <w:sz w:val="24"/>
        </w:rPr>
        <w:t>ALR 627 at 647.</w:t>
      </w:r>
    </w:p>
  </w:footnote>
  <w:footnote w:id="33">
    <w:p w14:paraId="6A44DA03" w14:textId="408C389A" w:rsidR="0058537E" w:rsidRPr="0008166C" w:rsidRDefault="0058537E" w:rsidP="0008166C">
      <w:pPr>
        <w:pStyle w:val="FootnoteText"/>
        <w:spacing w:line="280" w:lineRule="exact"/>
        <w:ind w:right="0"/>
        <w:jc w:val="both"/>
        <w:rPr>
          <w:rFonts w:ascii="Times New Roman" w:hAnsi="Times New Roman"/>
          <w:i/>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 xml:space="preserve">Noting the reliance placed on United States cases in </w:t>
      </w:r>
      <w:proofErr w:type="spellStart"/>
      <w:r w:rsidRPr="0008166C">
        <w:rPr>
          <w:rFonts w:ascii="Times New Roman" w:hAnsi="Times New Roman"/>
          <w:i/>
          <w:sz w:val="24"/>
        </w:rPr>
        <w:t>Perera</w:t>
      </w:r>
      <w:proofErr w:type="spellEnd"/>
      <w:r w:rsidRPr="0008166C">
        <w:rPr>
          <w:rFonts w:ascii="Times New Roman" w:hAnsi="Times New Roman"/>
          <w:i/>
          <w:sz w:val="24"/>
        </w:rPr>
        <w:t xml:space="preserve"> v </w:t>
      </w:r>
      <w:proofErr w:type="spellStart"/>
      <w:r w:rsidRPr="0008166C">
        <w:rPr>
          <w:rFonts w:ascii="Times New Roman" w:hAnsi="Times New Roman"/>
          <w:i/>
          <w:sz w:val="24"/>
        </w:rPr>
        <w:t>GetSwift</w:t>
      </w:r>
      <w:proofErr w:type="spellEnd"/>
      <w:r w:rsidRPr="0008166C">
        <w:rPr>
          <w:rFonts w:ascii="Times New Roman" w:hAnsi="Times New Roman"/>
          <w:i/>
          <w:sz w:val="24"/>
        </w:rPr>
        <w:t xml:space="preserve"> L</w:t>
      </w:r>
      <w:r w:rsidR="00645CE1" w:rsidRPr="0008166C">
        <w:rPr>
          <w:rFonts w:ascii="Times New Roman" w:hAnsi="Times New Roman"/>
          <w:i/>
          <w:sz w:val="24"/>
        </w:rPr>
        <w:t>td</w:t>
      </w:r>
      <w:r w:rsidRPr="0008166C">
        <w:rPr>
          <w:rFonts w:ascii="Times New Roman" w:hAnsi="Times New Roman"/>
          <w:sz w:val="24"/>
        </w:rPr>
        <w:t xml:space="preserve"> (2018) 263 FCR 92 at </w:t>
      </w:r>
      <w:r w:rsidR="00645CE1" w:rsidRPr="0008166C">
        <w:rPr>
          <w:rFonts w:ascii="Times New Roman" w:hAnsi="Times New Roman"/>
          <w:sz w:val="24"/>
        </w:rPr>
        <w:t>136</w:t>
      </w:r>
      <w:r w:rsidR="00645CE1" w:rsidRPr="0008166C">
        <w:rPr>
          <w:rFonts w:ascii="Times New Roman" w:hAnsi="Times New Roman"/>
          <w:sz w:val="24"/>
        </w:rPr>
        <w:noBreakHyphen/>
        <w:t>137 [193]</w:t>
      </w:r>
      <w:r w:rsidR="00645CE1" w:rsidRPr="0008166C">
        <w:rPr>
          <w:rFonts w:ascii="Times New Roman" w:hAnsi="Times New Roman"/>
          <w:sz w:val="24"/>
        </w:rPr>
        <w:noBreakHyphen/>
        <w:t>[196]</w:t>
      </w:r>
      <w:r w:rsidRPr="0008166C">
        <w:rPr>
          <w:rFonts w:ascii="Times New Roman" w:hAnsi="Times New Roman"/>
          <w:sz w:val="24"/>
        </w:rPr>
        <w:t xml:space="preserve"> and</w:t>
      </w:r>
      <w:r w:rsidRPr="0008166C">
        <w:rPr>
          <w:rFonts w:ascii="Times New Roman" w:hAnsi="Times New Roman"/>
          <w:i/>
          <w:sz w:val="24"/>
        </w:rPr>
        <w:t xml:space="preserve"> </w:t>
      </w:r>
      <w:proofErr w:type="spellStart"/>
      <w:r w:rsidRPr="0008166C">
        <w:rPr>
          <w:rFonts w:ascii="Times New Roman" w:hAnsi="Times New Roman"/>
          <w:i/>
          <w:sz w:val="24"/>
        </w:rPr>
        <w:t>Perera</w:t>
      </w:r>
      <w:proofErr w:type="spellEnd"/>
      <w:r w:rsidRPr="0008166C">
        <w:rPr>
          <w:rFonts w:ascii="Times New Roman" w:hAnsi="Times New Roman"/>
          <w:i/>
          <w:sz w:val="24"/>
        </w:rPr>
        <w:t xml:space="preserve"> v </w:t>
      </w:r>
      <w:proofErr w:type="spellStart"/>
      <w:r w:rsidRPr="0008166C">
        <w:rPr>
          <w:rFonts w:ascii="Times New Roman" w:hAnsi="Times New Roman"/>
          <w:i/>
          <w:sz w:val="24"/>
        </w:rPr>
        <w:t>GetSwift</w:t>
      </w:r>
      <w:proofErr w:type="spellEnd"/>
      <w:r w:rsidRPr="0008166C">
        <w:rPr>
          <w:rFonts w:ascii="Times New Roman" w:hAnsi="Times New Roman"/>
          <w:i/>
          <w:sz w:val="24"/>
        </w:rPr>
        <w:t xml:space="preserve"> L</w:t>
      </w:r>
      <w:r w:rsidR="0076643B" w:rsidRPr="0008166C">
        <w:rPr>
          <w:rFonts w:ascii="Times New Roman" w:hAnsi="Times New Roman"/>
          <w:i/>
          <w:sz w:val="24"/>
        </w:rPr>
        <w:t>td</w:t>
      </w:r>
      <w:r w:rsidRPr="0008166C">
        <w:rPr>
          <w:rFonts w:ascii="Times New Roman" w:hAnsi="Times New Roman"/>
          <w:sz w:val="24"/>
        </w:rPr>
        <w:t xml:space="preserve"> </w:t>
      </w:r>
      <w:r w:rsidR="0076643B" w:rsidRPr="0008166C">
        <w:rPr>
          <w:rFonts w:ascii="Times New Roman" w:hAnsi="Times New Roman"/>
          <w:sz w:val="24"/>
        </w:rPr>
        <w:t>(201</w:t>
      </w:r>
      <w:r w:rsidR="00945039" w:rsidRPr="0008166C">
        <w:rPr>
          <w:rFonts w:ascii="Times New Roman" w:hAnsi="Times New Roman"/>
          <w:sz w:val="24"/>
        </w:rPr>
        <w:t>8</w:t>
      </w:r>
      <w:r w:rsidR="0076643B" w:rsidRPr="0008166C">
        <w:rPr>
          <w:rFonts w:ascii="Times New Roman" w:hAnsi="Times New Roman"/>
          <w:sz w:val="24"/>
        </w:rPr>
        <w:t>) 263 FCR 1 at 32</w:t>
      </w:r>
      <w:r w:rsidR="0076643B" w:rsidRPr="0008166C">
        <w:rPr>
          <w:rFonts w:ascii="Times New Roman" w:hAnsi="Times New Roman"/>
          <w:sz w:val="24"/>
        </w:rPr>
        <w:noBreakHyphen/>
        <w:t>33</w:t>
      </w:r>
      <w:r w:rsidR="00315C40" w:rsidRPr="0008166C">
        <w:rPr>
          <w:rFonts w:ascii="Times New Roman" w:hAnsi="Times New Roman"/>
          <w:sz w:val="24"/>
        </w:rPr>
        <w:t xml:space="preserve"> [95]</w:t>
      </w:r>
      <w:r w:rsidR="00315C40" w:rsidRPr="0008166C">
        <w:rPr>
          <w:rFonts w:ascii="Times New Roman" w:hAnsi="Times New Roman"/>
          <w:sz w:val="24"/>
        </w:rPr>
        <w:noBreakHyphen/>
        <w:t>[</w:t>
      </w:r>
      <w:r w:rsidR="00945039" w:rsidRPr="0008166C">
        <w:rPr>
          <w:rFonts w:ascii="Times New Roman" w:hAnsi="Times New Roman"/>
          <w:sz w:val="24"/>
        </w:rPr>
        <w:t>99]</w:t>
      </w:r>
      <w:r w:rsidRPr="0008166C">
        <w:rPr>
          <w:rFonts w:ascii="Times New Roman" w:hAnsi="Times New Roman"/>
          <w:sz w:val="24"/>
        </w:rPr>
        <w:t>.</w:t>
      </w:r>
    </w:p>
  </w:footnote>
  <w:footnote w:id="34">
    <w:p w14:paraId="6E6CA3F1" w14:textId="6BEC32DE" w:rsidR="0058537E" w:rsidRPr="0008166C" w:rsidRDefault="0058537E"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005B5C9B" w:rsidRPr="0008166C">
        <w:rPr>
          <w:rFonts w:ascii="Times New Roman" w:hAnsi="Times New Roman"/>
          <w:sz w:val="24"/>
        </w:rPr>
        <w:t>See</w:t>
      </w:r>
      <w:r w:rsidR="00633139" w:rsidRPr="0008166C">
        <w:rPr>
          <w:rFonts w:ascii="Times New Roman" w:hAnsi="Times New Roman"/>
          <w:sz w:val="24"/>
        </w:rPr>
        <w:t xml:space="preserve"> </w:t>
      </w:r>
      <w:r w:rsidR="000F7705" w:rsidRPr="0008166C">
        <w:rPr>
          <w:rFonts w:ascii="Times New Roman" w:hAnsi="Times New Roman"/>
          <w:i/>
          <w:sz w:val="24"/>
        </w:rPr>
        <w:t xml:space="preserve">Federal Rules of Civil Procedure </w:t>
      </w:r>
      <w:r w:rsidR="000F7705" w:rsidRPr="0008166C">
        <w:rPr>
          <w:rFonts w:ascii="Times New Roman" w:hAnsi="Times New Roman"/>
          <w:sz w:val="24"/>
        </w:rPr>
        <w:t>(US), r 23</w:t>
      </w:r>
      <w:r w:rsidR="00633139" w:rsidRPr="0008166C">
        <w:rPr>
          <w:rFonts w:ascii="Times New Roman" w:hAnsi="Times New Roman"/>
          <w:sz w:val="24"/>
        </w:rPr>
        <w:t xml:space="preserve">; see also </w:t>
      </w:r>
      <w:r w:rsidRPr="0008166C">
        <w:rPr>
          <w:rFonts w:ascii="Times New Roman" w:hAnsi="Times New Roman"/>
          <w:i/>
          <w:sz w:val="24"/>
        </w:rPr>
        <w:t xml:space="preserve">Class Proceedings Act 1992 </w:t>
      </w:r>
      <w:r w:rsidRPr="0008166C">
        <w:rPr>
          <w:rFonts w:ascii="Times New Roman" w:hAnsi="Times New Roman"/>
          <w:sz w:val="24"/>
        </w:rPr>
        <w:t>(</w:t>
      </w:r>
      <w:proofErr w:type="spellStart"/>
      <w:r w:rsidRPr="0008166C">
        <w:rPr>
          <w:rFonts w:ascii="Times New Roman" w:hAnsi="Times New Roman"/>
          <w:sz w:val="24"/>
        </w:rPr>
        <w:t>Ont</w:t>
      </w:r>
      <w:proofErr w:type="spellEnd"/>
      <w:r w:rsidRPr="0008166C">
        <w:rPr>
          <w:rFonts w:ascii="Times New Roman" w:hAnsi="Times New Roman"/>
          <w:sz w:val="24"/>
        </w:rPr>
        <w:t xml:space="preserve">), </w:t>
      </w:r>
      <w:r w:rsidR="0011239F" w:rsidRPr="0008166C">
        <w:rPr>
          <w:rFonts w:ascii="Times New Roman" w:hAnsi="Times New Roman"/>
          <w:sz w:val="24"/>
        </w:rPr>
        <w:t>s</w:t>
      </w:r>
      <w:r w:rsidRPr="0008166C">
        <w:rPr>
          <w:rFonts w:ascii="Times New Roman" w:hAnsi="Times New Roman"/>
          <w:sz w:val="24"/>
        </w:rPr>
        <w:t>s</w:t>
      </w:r>
      <w:r w:rsidR="0011239F" w:rsidRPr="0008166C">
        <w:rPr>
          <w:rFonts w:ascii="Times New Roman" w:hAnsi="Times New Roman"/>
          <w:sz w:val="24"/>
        </w:rPr>
        <w:t> 5,</w:t>
      </w:r>
      <w:r w:rsidR="00220D7E" w:rsidRPr="0008166C">
        <w:rPr>
          <w:rFonts w:ascii="Times New Roman" w:hAnsi="Times New Roman"/>
          <w:sz w:val="24"/>
        </w:rPr>
        <w:t> </w:t>
      </w:r>
      <w:r w:rsidRPr="0008166C">
        <w:rPr>
          <w:rFonts w:ascii="Times New Roman" w:hAnsi="Times New Roman"/>
          <w:sz w:val="24"/>
        </w:rPr>
        <w:t>8.</w:t>
      </w:r>
    </w:p>
  </w:footnote>
  <w:footnote w:id="35">
    <w:p w14:paraId="2B9FEBE6" w14:textId="3EEF011A" w:rsidR="006865FE" w:rsidRPr="0008166C" w:rsidRDefault="006865FE"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See [</w:t>
      </w:r>
      <w:r w:rsidR="00220D7E" w:rsidRPr="0008166C">
        <w:rPr>
          <w:rFonts w:ascii="Times New Roman" w:hAnsi="Times New Roman"/>
          <w:sz w:val="24"/>
        </w:rPr>
        <w:t>9</w:t>
      </w:r>
      <w:r w:rsidRPr="0008166C">
        <w:rPr>
          <w:rFonts w:ascii="Times New Roman" w:hAnsi="Times New Roman"/>
          <w:sz w:val="24"/>
        </w:rPr>
        <w:t>] above.</w:t>
      </w:r>
    </w:p>
  </w:footnote>
  <w:footnote w:id="36">
    <w:p w14:paraId="7BEBBC8D" w14:textId="77777777" w:rsidR="00FD240B" w:rsidRPr="0008166C" w:rsidRDefault="00FD240B"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(1882) 22 Ch D 397 at 400.</w:t>
      </w:r>
    </w:p>
  </w:footnote>
  <w:footnote w:id="37">
    <w:p w14:paraId="25E20194" w14:textId="52F3BA69" w:rsidR="009958EA" w:rsidRPr="0008166C" w:rsidRDefault="009958EA"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Pr="0008166C">
        <w:rPr>
          <w:rFonts w:ascii="Times New Roman" w:hAnsi="Times New Roman"/>
          <w:i/>
          <w:iCs/>
          <w:sz w:val="24"/>
        </w:rPr>
        <w:t>McHenry v Lewis</w:t>
      </w:r>
      <w:r w:rsidRPr="0008166C">
        <w:rPr>
          <w:rFonts w:ascii="Times New Roman" w:hAnsi="Times New Roman"/>
          <w:sz w:val="24"/>
        </w:rPr>
        <w:t xml:space="preserve"> (1882) 22 Ch D 397 at 404.</w:t>
      </w:r>
    </w:p>
  </w:footnote>
  <w:footnote w:id="38">
    <w:p w14:paraId="7801EF17" w14:textId="77777777" w:rsidR="00AA1BCC" w:rsidRPr="0008166C" w:rsidRDefault="00AA1BCC"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(1990) 171 CLR 538 at 554.</w:t>
      </w:r>
    </w:p>
  </w:footnote>
  <w:footnote w:id="39">
    <w:p w14:paraId="605DAE2F" w14:textId="4C238607" w:rsidR="0038706D" w:rsidRPr="0008166C" w:rsidRDefault="0038706D"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0022438A" w:rsidRPr="0008166C">
        <w:rPr>
          <w:rFonts w:ascii="Times New Roman" w:hAnsi="Times New Roman"/>
          <w:i/>
          <w:sz w:val="24"/>
        </w:rPr>
        <w:t>Voth</w:t>
      </w:r>
      <w:proofErr w:type="spellEnd"/>
      <w:r w:rsidR="0022438A" w:rsidRPr="0008166C">
        <w:rPr>
          <w:rFonts w:ascii="Times New Roman" w:hAnsi="Times New Roman"/>
          <w:i/>
          <w:sz w:val="24"/>
        </w:rPr>
        <w:t xml:space="preserve"> v </w:t>
      </w:r>
      <w:r w:rsidR="0022438A" w:rsidRPr="0008166C">
        <w:rPr>
          <w:rFonts w:ascii="Times New Roman" w:hAnsi="Times New Roman"/>
          <w:i/>
          <w:iCs/>
          <w:sz w:val="24"/>
        </w:rPr>
        <w:t>Manildra Flour Mills Pty Ltd</w:t>
      </w:r>
      <w:r w:rsidR="0022438A" w:rsidRPr="0008166C">
        <w:rPr>
          <w:rFonts w:ascii="Times New Roman" w:hAnsi="Times New Roman"/>
          <w:sz w:val="24"/>
        </w:rPr>
        <w:t xml:space="preserve"> </w:t>
      </w:r>
      <w:r w:rsidR="00E8057C" w:rsidRPr="0008166C">
        <w:rPr>
          <w:rFonts w:ascii="Times New Roman" w:hAnsi="Times New Roman"/>
          <w:sz w:val="24"/>
        </w:rPr>
        <w:t>(1990) 171 CLR 538 at 554.</w:t>
      </w:r>
    </w:p>
  </w:footnote>
  <w:footnote w:id="40">
    <w:p w14:paraId="7D3E2D47" w14:textId="4C51D068" w:rsidR="00AA1BCC" w:rsidRPr="0008166C" w:rsidRDefault="00AA1BCC"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 xml:space="preserve">(1976) </w:t>
      </w:r>
      <w:r w:rsidR="00210562" w:rsidRPr="0008166C">
        <w:rPr>
          <w:rFonts w:ascii="Times New Roman" w:hAnsi="Times New Roman"/>
          <w:sz w:val="24"/>
        </w:rPr>
        <w:t xml:space="preserve">50 ALJR 589 at 592; </w:t>
      </w:r>
      <w:r w:rsidRPr="0008166C">
        <w:rPr>
          <w:rFonts w:ascii="Times New Roman" w:hAnsi="Times New Roman"/>
          <w:sz w:val="24"/>
        </w:rPr>
        <w:t>9 ALR 509 at 514.</w:t>
      </w:r>
    </w:p>
  </w:footnote>
  <w:footnote w:id="41">
    <w:p w14:paraId="4F7B104E" w14:textId="6A3623E3" w:rsidR="00730137" w:rsidRPr="0008166C" w:rsidRDefault="00730137"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000A609A" w:rsidRPr="0008166C">
        <w:rPr>
          <w:rFonts w:ascii="Times New Roman" w:hAnsi="Times New Roman"/>
          <w:sz w:val="24"/>
        </w:rPr>
        <w:t>(1885) 10 PD 141 at 148.</w:t>
      </w:r>
    </w:p>
  </w:footnote>
  <w:footnote w:id="42">
    <w:p w14:paraId="555BFA99" w14:textId="447CF26D" w:rsidR="00AA1BCC" w:rsidRPr="0008166C" w:rsidRDefault="00AA1BCC"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(1990) 171 CLR 538 at 564</w:t>
      </w:r>
      <w:r w:rsidRPr="0008166C">
        <w:rPr>
          <w:rFonts w:ascii="Times New Roman" w:hAnsi="Times New Roman"/>
          <w:sz w:val="24"/>
        </w:rPr>
        <w:noBreakHyphen/>
        <w:t>565.</w:t>
      </w:r>
    </w:p>
  </w:footnote>
  <w:footnote w:id="43">
    <w:p w14:paraId="44A99886" w14:textId="77777777" w:rsidR="00AA1BCC" w:rsidRPr="0008166C" w:rsidRDefault="00AA1BCC"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[1987] AC 460 at 482</w:t>
      </w:r>
      <w:r w:rsidRPr="0008166C">
        <w:rPr>
          <w:rFonts w:ascii="Times New Roman" w:hAnsi="Times New Roman"/>
          <w:sz w:val="24"/>
        </w:rPr>
        <w:noBreakHyphen/>
        <w:t>484.</w:t>
      </w:r>
    </w:p>
  </w:footnote>
  <w:footnote w:id="44">
    <w:p w14:paraId="394D1775" w14:textId="77777777" w:rsidR="00AA1BCC" w:rsidRPr="0008166C" w:rsidRDefault="00AA1BCC"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Spiliada</w:t>
      </w:r>
      <w:proofErr w:type="spellEnd"/>
      <w:r w:rsidRPr="0008166C">
        <w:rPr>
          <w:rFonts w:ascii="Times New Roman" w:hAnsi="Times New Roman"/>
          <w:i/>
          <w:sz w:val="24"/>
        </w:rPr>
        <w:t xml:space="preserve"> Maritime Corporation v </w:t>
      </w:r>
      <w:proofErr w:type="spellStart"/>
      <w:r w:rsidRPr="0008166C">
        <w:rPr>
          <w:rFonts w:ascii="Times New Roman" w:hAnsi="Times New Roman"/>
          <w:i/>
          <w:sz w:val="24"/>
        </w:rPr>
        <w:t>Cansulex</w:t>
      </w:r>
      <w:proofErr w:type="spellEnd"/>
      <w:r w:rsidRPr="0008166C">
        <w:rPr>
          <w:rFonts w:ascii="Times New Roman" w:hAnsi="Times New Roman"/>
          <w:i/>
          <w:sz w:val="24"/>
        </w:rPr>
        <w:t xml:space="preserve"> Ltd</w:t>
      </w:r>
      <w:r w:rsidRPr="0008166C">
        <w:rPr>
          <w:rFonts w:ascii="Times New Roman" w:hAnsi="Times New Roman"/>
          <w:sz w:val="24"/>
        </w:rPr>
        <w:t xml:space="preserve"> [1987] AC 460 at 483.</w:t>
      </w:r>
    </w:p>
  </w:footnote>
  <w:footnote w:id="45">
    <w:p w14:paraId="4EECF671" w14:textId="50BF8807" w:rsidR="00181946" w:rsidRPr="0008166C" w:rsidRDefault="00181946"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009D369C" w:rsidRPr="0008166C">
        <w:rPr>
          <w:rFonts w:ascii="Times New Roman" w:hAnsi="Times New Roman"/>
          <w:sz w:val="24"/>
        </w:rPr>
        <w:t>See</w:t>
      </w:r>
      <w:r w:rsidRPr="0008166C">
        <w:rPr>
          <w:rFonts w:ascii="Times New Roman" w:hAnsi="Times New Roman"/>
          <w:sz w:val="24"/>
        </w:rPr>
        <w:t xml:space="preserve"> </w:t>
      </w:r>
      <w:r w:rsidRPr="0008166C">
        <w:rPr>
          <w:rFonts w:ascii="Times New Roman" w:hAnsi="Times New Roman"/>
          <w:i/>
          <w:iCs/>
          <w:sz w:val="24"/>
        </w:rPr>
        <w:t xml:space="preserve">Macedonian Orthodox Community Church St </w:t>
      </w:r>
      <w:proofErr w:type="spellStart"/>
      <w:r w:rsidRPr="0008166C">
        <w:rPr>
          <w:rFonts w:ascii="Times New Roman" w:hAnsi="Times New Roman"/>
          <w:i/>
          <w:iCs/>
          <w:sz w:val="24"/>
        </w:rPr>
        <w:t>Petka</w:t>
      </w:r>
      <w:proofErr w:type="spellEnd"/>
      <w:r w:rsidR="00383764" w:rsidRPr="0008166C">
        <w:rPr>
          <w:rFonts w:ascii="Times New Roman" w:hAnsi="Times New Roman"/>
          <w:i/>
          <w:iCs/>
          <w:sz w:val="24"/>
        </w:rPr>
        <w:t xml:space="preserve"> Inc</w:t>
      </w:r>
      <w:r w:rsidRPr="0008166C">
        <w:rPr>
          <w:rFonts w:ascii="Times New Roman" w:hAnsi="Times New Roman"/>
          <w:i/>
          <w:iCs/>
          <w:sz w:val="24"/>
        </w:rPr>
        <w:t xml:space="preserve"> v His Eminence </w:t>
      </w:r>
      <w:proofErr w:type="spellStart"/>
      <w:r w:rsidRPr="0008166C">
        <w:rPr>
          <w:rFonts w:ascii="Times New Roman" w:hAnsi="Times New Roman"/>
          <w:i/>
          <w:iCs/>
          <w:sz w:val="24"/>
        </w:rPr>
        <w:t>Petar</w:t>
      </w:r>
      <w:proofErr w:type="spellEnd"/>
      <w:r w:rsidR="008B71BE" w:rsidRPr="0008166C">
        <w:rPr>
          <w:rFonts w:ascii="Times New Roman" w:hAnsi="Times New Roman"/>
          <w:i/>
          <w:iCs/>
          <w:sz w:val="24"/>
        </w:rPr>
        <w:t xml:space="preserve"> Diocesan Bishop of Macedonian Orthodox Diocese of Australia and New Zealand</w:t>
      </w:r>
      <w:r w:rsidRPr="0008166C">
        <w:rPr>
          <w:rFonts w:ascii="Times New Roman" w:hAnsi="Times New Roman"/>
          <w:sz w:val="24"/>
        </w:rPr>
        <w:t xml:space="preserve"> (2008) 237 CLR 66.</w:t>
      </w:r>
    </w:p>
  </w:footnote>
  <w:footnote w:id="46">
    <w:p w14:paraId="73B72996" w14:textId="347CAC38" w:rsidR="00181946" w:rsidRPr="0008166C" w:rsidRDefault="00181946"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Pr="0008166C">
        <w:rPr>
          <w:rFonts w:ascii="Times New Roman" w:hAnsi="Times New Roman"/>
          <w:i/>
          <w:iCs/>
          <w:sz w:val="24"/>
        </w:rPr>
        <w:t>Plan B Trustees Ltd v Parker</w:t>
      </w:r>
      <w:r w:rsidR="00990767" w:rsidRPr="0008166C">
        <w:rPr>
          <w:rFonts w:ascii="Times New Roman" w:hAnsi="Times New Roman"/>
          <w:sz w:val="24"/>
        </w:rPr>
        <w:t xml:space="preserve"> </w:t>
      </w:r>
      <w:r w:rsidR="00EA2112" w:rsidRPr="0008166C">
        <w:rPr>
          <w:rFonts w:ascii="Times New Roman" w:hAnsi="Times New Roman"/>
          <w:i/>
          <w:sz w:val="24"/>
        </w:rPr>
        <w:t>[</w:t>
      </w:r>
      <w:r w:rsidR="00990767" w:rsidRPr="0008166C">
        <w:rPr>
          <w:rFonts w:ascii="Times New Roman" w:hAnsi="Times New Roman"/>
          <w:i/>
          <w:iCs/>
          <w:sz w:val="24"/>
        </w:rPr>
        <w:t>No 2</w:t>
      </w:r>
      <w:r w:rsidR="00EA2112" w:rsidRPr="0008166C">
        <w:rPr>
          <w:rFonts w:ascii="Times New Roman" w:hAnsi="Times New Roman"/>
          <w:i/>
          <w:sz w:val="24"/>
        </w:rPr>
        <w:t>]</w:t>
      </w:r>
      <w:r w:rsidRPr="0008166C">
        <w:rPr>
          <w:rFonts w:ascii="Times New Roman" w:hAnsi="Times New Roman"/>
          <w:sz w:val="24"/>
        </w:rPr>
        <w:t xml:space="preserve"> (2013) 11 ASTLR 242 at </w:t>
      </w:r>
      <w:r w:rsidR="001F384B" w:rsidRPr="0008166C">
        <w:rPr>
          <w:rFonts w:ascii="Times New Roman" w:hAnsi="Times New Roman"/>
          <w:sz w:val="24"/>
        </w:rPr>
        <w:t xml:space="preserve">253 </w:t>
      </w:r>
      <w:r w:rsidRPr="0008166C">
        <w:rPr>
          <w:rFonts w:ascii="Times New Roman" w:hAnsi="Times New Roman"/>
          <w:sz w:val="24"/>
        </w:rPr>
        <w:t>[47].</w:t>
      </w:r>
    </w:p>
  </w:footnote>
  <w:footnote w:id="47">
    <w:p w14:paraId="54C345D8" w14:textId="67C2EE0B" w:rsidR="00181946" w:rsidRPr="0008166C" w:rsidRDefault="00181946"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r w:rsidRPr="0008166C">
        <w:rPr>
          <w:rFonts w:ascii="Times New Roman" w:hAnsi="Times New Roman"/>
          <w:i/>
          <w:iCs/>
          <w:sz w:val="24"/>
        </w:rPr>
        <w:t>In the Application of N</w:t>
      </w:r>
      <w:r w:rsidR="000526D2" w:rsidRPr="0008166C">
        <w:rPr>
          <w:rFonts w:ascii="Times New Roman" w:hAnsi="Times New Roman"/>
          <w:i/>
          <w:iCs/>
          <w:sz w:val="24"/>
        </w:rPr>
        <w:t xml:space="preserve">SW </w:t>
      </w:r>
      <w:r w:rsidRPr="0008166C">
        <w:rPr>
          <w:rFonts w:ascii="Times New Roman" w:hAnsi="Times New Roman"/>
          <w:i/>
          <w:iCs/>
          <w:sz w:val="24"/>
        </w:rPr>
        <w:t xml:space="preserve">Trustee and Guardian </w:t>
      </w:r>
      <w:r w:rsidRPr="0008166C">
        <w:rPr>
          <w:rFonts w:ascii="Times New Roman" w:hAnsi="Times New Roman"/>
          <w:sz w:val="24"/>
        </w:rPr>
        <w:t>(2014) 12 ASTLR 513 at </w:t>
      </w:r>
      <w:r w:rsidR="00622BD3" w:rsidRPr="0008166C">
        <w:rPr>
          <w:rFonts w:ascii="Times New Roman" w:hAnsi="Times New Roman"/>
          <w:sz w:val="24"/>
        </w:rPr>
        <w:t xml:space="preserve">519 </w:t>
      </w:r>
      <w:r w:rsidRPr="0008166C">
        <w:rPr>
          <w:rFonts w:ascii="Times New Roman" w:hAnsi="Times New Roman"/>
          <w:sz w:val="24"/>
        </w:rPr>
        <w:t>[24]</w:t>
      </w:r>
      <w:r w:rsidRPr="0008166C">
        <w:rPr>
          <w:rFonts w:ascii="Times New Roman" w:hAnsi="Times New Roman"/>
          <w:sz w:val="24"/>
        </w:rPr>
        <w:noBreakHyphen/>
        <w:t>[25].</w:t>
      </w:r>
    </w:p>
  </w:footnote>
  <w:footnote w:id="48">
    <w:p w14:paraId="4EF82D53" w14:textId="08BF4289" w:rsidR="00905310" w:rsidRPr="0008166C" w:rsidRDefault="00905310"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r>
      <w:proofErr w:type="spellStart"/>
      <w:r w:rsidRPr="0008166C">
        <w:rPr>
          <w:rFonts w:ascii="Times New Roman" w:hAnsi="Times New Roman"/>
          <w:i/>
          <w:sz w:val="24"/>
        </w:rPr>
        <w:t>Wigmans</w:t>
      </w:r>
      <w:proofErr w:type="spellEnd"/>
      <w:r w:rsidRPr="0008166C">
        <w:rPr>
          <w:rFonts w:ascii="Times New Roman" w:hAnsi="Times New Roman"/>
          <w:i/>
          <w:sz w:val="24"/>
        </w:rPr>
        <w:t xml:space="preserve"> v AMP</w:t>
      </w:r>
      <w:r w:rsidR="00103043" w:rsidRPr="0008166C">
        <w:rPr>
          <w:rFonts w:ascii="Times New Roman" w:hAnsi="Times New Roman"/>
          <w:i/>
          <w:sz w:val="24"/>
        </w:rPr>
        <w:t xml:space="preserve"> Ltd</w:t>
      </w:r>
      <w:r w:rsidRPr="0008166C">
        <w:rPr>
          <w:rFonts w:ascii="Times New Roman" w:hAnsi="Times New Roman"/>
          <w:i/>
          <w:sz w:val="24"/>
        </w:rPr>
        <w:t xml:space="preserve"> </w:t>
      </w:r>
      <w:r w:rsidRPr="0008166C">
        <w:rPr>
          <w:rFonts w:ascii="Times New Roman" w:hAnsi="Times New Roman"/>
          <w:sz w:val="24"/>
        </w:rPr>
        <w:t>[2019] NSWSC 603 at [53], [82].</w:t>
      </w:r>
    </w:p>
  </w:footnote>
  <w:footnote w:id="49">
    <w:p w14:paraId="6A28FD67" w14:textId="5AF7608F" w:rsidR="00BD77F8" w:rsidRPr="0008166C" w:rsidRDefault="00BD77F8"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(2018) 263 FCR 92 at 153 [279].</w:t>
      </w:r>
    </w:p>
  </w:footnote>
  <w:footnote w:id="50">
    <w:p w14:paraId="019D3854" w14:textId="5B123F0F" w:rsidR="00905310" w:rsidRPr="0008166C" w:rsidRDefault="00905310" w:rsidP="0008166C">
      <w:pPr>
        <w:pStyle w:val="FootnoteText"/>
        <w:spacing w:line="280" w:lineRule="exact"/>
        <w:ind w:right="0"/>
        <w:jc w:val="both"/>
        <w:rPr>
          <w:rFonts w:ascii="Times New Roman" w:hAnsi="Times New Roman"/>
          <w:sz w:val="24"/>
        </w:rPr>
      </w:pPr>
      <w:r w:rsidRPr="0008166C">
        <w:rPr>
          <w:rStyle w:val="FootnoteReference"/>
          <w:rFonts w:ascii="Times New Roman" w:hAnsi="Times New Roman"/>
          <w:sz w:val="22"/>
          <w:vertAlign w:val="baseline"/>
        </w:rPr>
        <w:footnoteRef/>
      </w:r>
      <w:r w:rsidRPr="0008166C">
        <w:rPr>
          <w:rFonts w:ascii="Times New Roman" w:hAnsi="Times New Roman"/>
          <w:sz w:val="24"/>
        </w:rPr>
        <w:t xml:space="preserve"> </w:t>
      </w:r>
      <w:r w:rsidRPr="0008166C">
        <w:rPr>
          <w:rFonts w:ascii="Times New Roman" w:hAnsi="Times New Roman"/>
          <w:sz w:val="24"/>
        </w:rPr>
        <w:tab/>
        <w:t>Matthew 23:24.</w:t>
      </w:r>
    </w:p>
  </w:footnote>
  <w:footnote w:id="51">
    <w:p w14:paraId="0C310B53"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Similar schemes are in the </w:t>
      </w:r>
      <w:r w:rsidRPr="00CD2B08">
        <w:rPr>
          <w:rFonts w:ascii="Times New Roman" w:hAnsi="Times New Roman"/>
          <w:i/>
          <w:sz w:val="24"/>
        </w:rPr>
        <w:t>Federal Court of Australia Act 1976</w:t>
      </w:r>
      <w:r w:rsidRPr="00CD2B08">
        <w:rPr>
          <w:rFonts w:ascii="Times New Roman" w:hAnsi="Times New Roman"/>
          <w:sz w:val="24"/>
        </w:rPr>
        <w:t xml:space="preserve"> (Cth), Pt IVA; </w:t>
      </w:r>
      <w:r w:rsidRPr="00CD2B08">
        <w:rPr>
          <w:rFonts w:ascii="Times New Roman" w:hAnsi="Times New Roman"/>
          <w:i/>
          <w:sz w:val="24"/>
        </w:rPr>
        <w:t>Supreme Court Act 1986</w:t>
      </w:r>
      <w:r w:rsidRPr="00CD2B08">
        <w:rPr>
          <w:rFonts w:ascii="Times New Roman" w:hAnsi="Times New Roman"/>
          <w:sz w:val="24"/>
        </w:rPr>
        <w:t xml:space="preserve"> (Vic), Pt 4A; </w:t>
      </w:r>
      <w:r w:rsidRPr="00CD2B08">
        <w:rPr>
          <w:rFonts w:ascii="Times New Roman" w:hAnsi="Times New Roman"/>
          <w:i/>
          <w:sz w:val="24"/>
        </w:rPr>
        <w:t xml:space="preserve">Civil Proceedings Act 2011 </w:t>
      </w:r>
      <w:r w:rsidRPr="00CD2B08">
        <w:rPr>
          <w:rFonts w:ascii="Times New Roman" w:hAnsi="Times New Roman"/>
          <w:sz w:val="24"/>
        </w:rPr>
        <w:t>(Qld), Pt 13A</w:t>
      </w:r>
      <w:r w:rsidRPr="00CD2B08" w:rsidDel="009963B2">
        <w:rPr>
          <w:rFonts w:ascii="Times New Roman" w:hAnsi="Times New Roman"/>
          <w:sz w:val="24"/>
        </w:rPr>
        <w:t>;</w:t>
      </w:r>
      <w:r w:rsidRPr="00CD2B08">
        <w:rPr>
          <w:rFonts w:ascii="Times New Roman" w:hAnsi="Times New Roman"/>
          <w:sz w:val="24"/>
        </w:rPr>
        <w:t xml:space="preserve"> </w:t>
      </w:r>
      <w:r w:rsidRPr="00CD2B08" w:rsidDel="00E75485">
        <w:rPr>
          <w:rFonts w:ascii="Times New Roman" w:hAnsi="Times New Roman"/>
          <w:i/>
          <w:sz w:val="24"/>
        </w:rPr>
        <w:t>Supreme Court Civil Procedure Act 1932</w:t>
      </w:r>
      <w:r w:rsidRPr="00CD2B08" w:rsidDel="00E75485">
        <w:rPr>
          <w:rFonts w:ascii="Times New Roman" w:hAnsi="Times New Roman"/>
          <w:sz w:val="24"/>
        </w:rPr>
        <w:t xml:space="preserve"> (Tas), Pt VII</w:t>
      </w:r>
      <w:r w:rsidRPr="00CD2B08">
        <w:rPr>
          <w:rFonts w:ascii="Times New Roman" w:hAnsi="Times New Roman"/>
          <w:sz w:val="24"/>
        </w:rPr>
        <w:t>.</w:t>
      </w:r>
      <w:r>
        <w:rPr>
          <w:rFonts w:ascii="Times New Roman" w:hAnsi="Times New Roman"/>
          <w:sz w:val="24"/>
        </w:rPr>
        <w:t xml:space="preserve"> </w:t>
      </w:r>
      <w:r w:rsidRPr="00CD2B08">
        <w:rPr>
          <w:rFonts w:ascii="Times New Roman" w:hAnsi="Times New Roman"/>
          <w:sz w:val="24"/>
        </w:rPr>
        <w:t xml:space="preserve">See also </w:t>
      </w:r>
      <w:r w:rsidRPr="00CD2B08">
        <w:rPr>
          <w:rFonts w:ascii="Times New Roman" w:hAnsi="Times New Roman"/>
          <w:i/>
          <w:sz w:val="24"/>
        </w:rPr>
        <w:t>Uniform Civil Rules 2020</w:t>
      </w:r>
      <w:r w:rsidRPr="00CD2B08">
        <w:rPr>
          <w:rFonts w:ascii="Times New Roman" w:hAnsi="Times New Roman"/>
          <w:sz w:val="24"/>
        </w:rPr>
        <w:t xml:space="preserve"> (SA), Ch 3, Pt 4; </w:t>
      </w:r>
      <w:r w:rsidRPr="00CD2B08" w:rsidDel="00E75485">
        <w:rPr>
          <w:rFonts w:ascii="Times New Roman" w:hAnsi="Times New Roman"/>
          <w:i/>
          <w:sz w:val="24"/>
        </w:rPr>
        <w:t xml:space="preserve">Rules of the Supreme Court 1971 </w:t>
      </w:r>
      <w:r w:rsidRPr="00CD2B08" w:rsidDel="00E75485">
        <w:rPr>
          <w:rFonts w:ascii="Times New Roman" w:hAnsi="Times New Roman"/>
          <w:sz w:val="24"/>
        </w:rPr>
        <w:t>(WA), O 18, r 12</w:t>
      </w:r>
      <w:r w:rsidRPr="00CD2B08">
        <w:rPr>
          <w:rFonts w:ascii="Times New Roman" w:hAnsi="Times New Roman"/>
          <w:sz w:val="24"/>
        </w:rPr>
        <w:t>;</w:t>
      </w:r>
      <w:r w:rsidRPr="00CD2B08" w:rsidDel="00E75485">
        <w:rPr>
          <w:rFonts w:ascii="Times New Roman" w:hAnsi="Times New Roman"/>
          <w:sz w:val="24"/>
        </w:rPr>
        <w:t xml:space="preserve"> </w:t>
      </w:r>
      <w:r w:rsidRPr="00CD2B08" w:rsidDel="0028662C">
        <w:rPr>
          <w:rFonts w:ascii="Times New Roman" w:hAnsi="Times New Roman"/>
          <w:i/>
          <w:sz w:val="24"/>
        </w:rPr>
        <w:t>Supreme Court Rules 1987</w:t>
      </w:r>
      <w:r w:rsidRPr="00CD2B08" w:rsidDel="0028662C">
        <w:rPr>
          <w:rFonts w:ascii="Times New Roman" w:hAnsi="Times New Roman"/>
          <w:sz w:val="24"/>
        </w:rPr>
        <w:t xml:space="preserve"> (NT), O 18; </w:t>
      </w:r>
      <w:r w:rsidRPr="00CD2B08" w:rsidDel="0028662C">
        <w:rPr>
          <w:rFonts w:ascii="Times New Roman" w:hAnsi="Times New Roman"/>
          <w:i/>
          <w:sz w:val="24"/>
        </w:rPr>
        <w:t>Court Procedures Rules 2006</w:t>
      </w:r>
      <w:r w:rsidRPr="00CD2B08" w:rsidDel="0028662C">
        <w:rPr>
          <w:rFonts w:ascii="Times New Roman" w:hAnsi="Times New Roman"/>
          <w:sz w:val="24"/>
        </w:rPr>
        <w:t xml:space="preserve"> (ACT), </w:t>
      </w:r>
      <w:proofErr w:type="spellStart"/>
      <w:r w:rsidRPr="00CD2B08" w:rsidDel="0028662C">
        <w:rPr>
          <w:rFonts w:ascii="Times New Roman" w:hAnsi="Times New Roman"/>
          <w:sz w:val="24"/>
        </w:rPr>
        <w:t>rr</w:t>
      </w:r>
      <w:proofErr w:type="spellEnd"/>
      <w:r w:rsidRPr="00CD2B08" w:rsidDel="0028662C">
        <w:rPr>
          <w:rFonts w:ascii="Times New Roman" w:hAnsi="Times New Roman"/>
          <w:sz w:val="24"/>
        </w:rPr>
        <w:t> 265-270</w:t>
      </w:r>
      <w:r w:rsidRPr="00CD2B08">
        <w:rPr>
          <w:rFonts w:ascii="Times New Roman" w:hAnsi="Times New Roman"/>
          <w:sz w:val="24"/>
        </w:rPr>
        <w:t>.</w:t>
      </w:r>
    </w:p>
  </w:footnote>
  <w:footnote w:id="52">
    <w:p w14:paraId="508C13B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Corporations Act 2001 </w:t>
      </w:r>
      <w:r w:rsidRPr="00CD2B08">
        <w:rPr>
          <w:rFonts w:ascii="Times New Roman" w:hAnsi="Times New Roman"/>
          <w:sz w:val="24"/>
        </w:rPr>
        <w:t>(Cth), s 674(2); ASX Listing Rules, r 3.1.</w:t>
      </w:r>
    </w:p>
  </w:footnote>
  <w:footnote w:id="53">
    <w:p w14:paraId="28DD45E6"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Corporations Act</w:t>
      </w:r>
      <w:r w:rsidRPr="00CD2B08">
        <w:rPr>
          <w:rFonts w:ascii="Times New Roman" w:hAnsi="Times New Roman"/>
          <w:sz w:val="24"/>
        </w:rPr>
        <w:t xml:space="preserve">, s 1041H; </w:t>
      </w:r>
      <w:r w:rsidRPr="00CD2B08">
        <w:rPr>
          <w:rFonts w:ascii="Times New Roman" w:hAnsi="Times New Roman"/>
          <w:i/>
          <w:sz w:val="24"/>
        </w:rPr>
        <w:t xml:space="preserve">Australian Securities and Investments Commission Act 2001 </w:t>
      </w:r>
      <w:r w:rsidRPr="00CD2B08">
        <w:rPr>
          <w:rFonts w:ascii="Times New Roman" w:hAnsi="Times New Roman"/>
          <w:sz w:val="24"/>
        </w:rPr>
        <w:t xml:space="preserve">(Cth), s 12DA(1); </w:t>
      </w:r>
      <w:r w:rsidRPr="00CD2B08">
        <w:rPr>
          <w:rFonts w:ascii="Times New Roman" w:hAnsi="Times New Roman"/>
          <w:i/>
          <w:sz w:val="24"/>
        </w:rPr>
        <w:t>Competition and Consumer Act 2010</w:t>
      </w:r>
      <w:r w:rsidRPr="00CD2B08">
        <w:rPr>
          <w:rFonts w:ascii="Times New Roman" w:hAnsi="Times New Roman"/>
          <w:sz w:val="24"/>
        </w:rPr>
        <w:t xml:space="preserve"> (Cth), Sch 2 ("</w:t>
      </w:r>
      <w:r w:rsidRPr="00CD2B08">
        <w:rPr>
          <w:rFonts w:ascii="Times New Roman" w:hAnsi="Times New Roman"/>
          <w:i/>
          <w:sz w:val="24"/>
        </w:rPr>
        <w:t>Australian Consumer Law</w:t>
      </w:r>
      <w:r w:rsidRPr="00CD2B08">
        <w:rPr>
          <w:rFonts w:ascii="Times New Roman" w:hAnsi="Times New Roman"/>
          <w:sz w:val="24"/>
        </w:rPr>
        <w:t xml:space="preserve">"), s 18. </w:t>
      </w:r>
    </w:p>
  </w:footnote>
  <w:footnote w:id="54">
    <w:p w14:paraId="4BCF4A0B"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Australian Securities and Investments Commission Act</w:t>
      </w:r>
      <w:r w:rsidRPr="00CD2B08">
        <w:rPr>
          <w:rFonts w:ascii="Times New Roman" w:hAnsi="Times New Roman"/>
          <w:sz w:val="24"/>
        </w:rPr>
        <w:t xml:space="preserve">, ss 12CA and 12CB; </w:t>
      </w:r>
      <w:r w:rsidRPr="00CD2B08">
        <w:rPr>
          <w:rFonts w:ascii="Times New Roman" w:hAnsi="Times New Roman"/>
          <w:i/>
          <w:sz w:val="24"/>
        </w:rPr>
        <w:t>Australian Consumer Law</w:t>
      </w:r>
      <w:r w:rsidRPr="00CD2B08">
        <w:rPr>
          <w:rFonts w:ascii="Times New Roman" w:hAnsi="Times New Roman"/>
          <w:sz w:val="24"/>
        </w:rPr>
        <w:t>, ss 20 and 21.</w:t>
      </w:r>
    </w:p>
  </w:footnote>
  <w:footnote w:id="55">
    <w:p w14:paraId="6A585864"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proofErr w:type="spellStart"/>
      <w:r w:rsidRPr="00CD2B08">
        <w:rPr>
          <w:rFonts w:ascii="Times New Roman" w:hAnsi="Times New Roman"/>
          <w:i/>
          <w:sz w:val="24"/>
        </w:rPr>
        <w:t>Wigmans</w:t>
      </w:r>
      <w:proofErr w:type="spellEnd"/>
      <w:r w:rsidRPr="00CD2B08">
        <w:rPr>
          <w:rFonts w:ascii="Times New Roman" w:hAnsi="Times New Roman"/>
          <w:i/>
          <w:sz w:val="24"/>
        </w:rPr>
        <w:t xml:space="preserve"> </w:t>
      </w:r>
      <w:r w:rsidRPr="00CD2B08" w:rsidDel="00423AEA">
        <w:rPr>
          <w:rFonts w:ascii="Times New Roman" w:hAnsi="Times New Roman"/>
          <w:i/>
          <w:sz w:val="24"/>
        </w:rPr>
        <w:t xml:space="preserve">v AMP </w:t>
      </w:r>
      <w:r w:rsidRPr="00CD2B08">
        <w:rPr>
          <w:rFonts w:ascii="Times New Roman" w:hAnsi="Times New Roman"/>
          <w:i/>
          <w:sz w:val="24"/>
        </w:rPr>
        <w:t xml:space="preserve">Ltd </w:t>
      </w:r>
      <w:r w:rsidRPr="00CD2B08">
        <w:rPr>
          <w:rFonts w:ascii="Times New Roman" w:hAnsi="Times New Roman"/>
          <w:sz w:val="24"/>
        </w:rPr>
        <w:t>(2018) 128 ACSR 534 at 536-537 [10]</w:t>
      </w:r>
      <w:r w:rsidRPr="00CD2B08">
        <w:rPr>
          <w:rFonts w:ascii="Times New Roman" w:hAnsi="Times New Roman"/>
          <w:sz w:val="24"/>
        </w:rPr>
        <w:noBreakHyphen/>
        <w:t>[11].</w:t>
      </w:r>
    </w:p>
  </w:footnote>
  <w:footnote w:id="56">
    <w:p w14:paraId="5A43F0B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proofErr w:type="spellStart"/>
      <w:r w:rsidRPr="00CD2B08">
        <w:rPr>
          <w:rFonts w:ascii="Times New Roman" w:hAnsi="Times New Roman"/>
          <w:i/>
          <w:sz w:val="24"/>
        </w:rPr>
        <w:t>Wileypark</w:t>
      </w:r>
      <w:proofErr w:type="spellEnd"/>
      <w:r w:rsidRPr="00CD2B08">
        <w:rPr>
          <w:rFonts w:ascii="Times New Roman" w:hAnsi="Times New Roman"/>
          <w:i/>
          <w:sz w:val="24"/>
        </w:rPr>
        <w:t xml:space="preserve"> Pty Ltd v AMP Ltd </w:t>
      </w:r>
      <w:r w:rsidRPr="00CD2B08">
        <w:rPr>
          <w:rFonts w:ascii="Times New Roman" w:hAnsi="Times New Roman"/>
          <w:sz w:val="24"/>
        </w:rPr>
        <w:t>(2018) 265 FCR 1 at 15 [56], 16 [58], 17 [65].</w:t>
      </w:r>
    </w:p>
  </w:footnote>
  <w:footnote w:id="57">
    <w:p w14:paraId="7B763DA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162.</w:t>
      </w:r>
    </w:p>
  </w:footnote>
  <w:footnote w:id="58">
    <w:p w14:paraId="0228DB3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r w:rsidRPr="00CD2B08">
        <w:rPr>
          <w:rFonts w:ascii="Times New Roman" w:hAnsi="Times New Roman"/>
          <w:i/>
          <w:sz w:val="24"/>
        </w:rPr>
        <w:t>McKay Super Solutions Pty Ltd (Trustee) v Bellamy's</w:t>
      </w:r>
      <w:r w:rsidRPr="00CD2B08">
        <w:rPr>
          <w:rFonts w:ascii="Times New Roman" w:hAnsi="Times New Roman"/>
          <w:sz w:val="24"/>
        </w:rPr>
        <w:t xml:space="preserve"> </w:t>
      </w:r>
      <w:r w:rsidRPr="00CD2B08">
        <w:rPr>
          <w:rFonts w:ascii="Times New Roman" w:hAnsi="Times New Roman"/>
          <w:i/>
          <w:sz w:val="24"/>
        </w:rPr>
        <w:t>Australia Ltd</w:t>
      </w:r>
      <w:r w:rsidRPr="00CD2B08">
        <w:rPr>
          <w:rFonts w:ascii="Times New Roman" w:hAnsi="Times New Roman"/>
          <w:sz w:val="24"/>
        </w:rPr>
        <w:t xml:space="preserve"> [2017] FCA</w:t>
      </w:r>
      <w:r>
        <w:rPr>
          <w:rFonts w:ascii="Times New Roman" w:hAnsi="Times New Roman"/>
          <w:sz w:val="24"/>
        </w:rPr>
        <w:t> </w:t>
      </w:r>
      <w:r w:rsidRPr="00CD2B08">
        <w:rPr>
          <w:rFonts w:ascii="Times New Roman" w:hAnsi="Times New Roman"/>
          <w:sz w:val="24"/>
        </w:rPr>
        <w:t xml:space="preserve">947 at [71]; </w:t>
      </w:r>
      <w:proofErr w:type="spellStart"/>
      <w:r w:rsidRPr="00CD2B08">
        <w:rPr>
          <w:rFonts w:ascii="Times New Roman" w:hAnsi="Times New Roman"/>
          <w:i/>
          <w:sz w:val="24"/>
        </w:rPr>
        <w:t>Perera</w:t>
      </w:r>
      <w:proofErr w:type="spellEnd"/>
      <w:r w:rsidRPr="00CD2B08">
        <w:rPr>
          <w:rFonts w:ascii="Times New Roman" w:hAnsi="Times New Roman"/>
          <w:i/>
          <w:sz w:val="24"/>
        </w:rPr>
        <w:t xml:space="preserve"> v </w:t>
      </w:r>
      <w:proofErr w:type="spellStart"/>
      <w:r w:rsidRPr="00CD2B08">
        <w:rPr>
          <w:rFonts w:ascii="Times New Roman" w:hAnsi="Times New Roman"/>
          <w:i/>
          <w:sz w:val="24"/>
        </w:rPr>
        <w:t>GetSwift</w:t>
      </w:r>
      <w:proofErr w:type="spellEnd"/>
      <w:r w:rsidRPr="00CD2B08">
        <w:rPr>
          <w:rFonts w:ascii="Times New Roman" w:hAnsi="Times New Roman"/>
          <w:i/>
          <w:sz w:val="24"/>
        </w:rPr>
        <w:t xml:space="preserve"> Ltd </w:t>
      </w:r>
      <w:r w:rsidRPr="00CD2B08">
        <w:rPr>
          <w:rFonts w:ascii="Times New Roman" w:hAnsi="Times New Roman"/>
          <w:sz w:val="24"/>
        </w:rPr>
        <w:t>(2018) 263 FCR 1 at 48-49 [169] ("</w:t>
      </w:r>
      <w:proofErr w:type="spellStart"/>
      <w:r w:rsidRPr="00CD2B08">
        <w:rPr>
          <w:rFonts w:ascii="Times New Roman" w:hAnsi="Times New Roman"/>
          <w:i/>
          <w:sz w:val="24"/>
        </w:rPr>
        <w:t>GetSwift</w:t>
      </w:r>
      <w:proofErr w:type="spellEnd"/>
      <w:r w:rsidRPr="00CD2B08">
        <w:rPr>
          <w:rFonts w:ascii="Times New Roman" w:hAnsi="Times New Roman"/>
          <w:i/>
          <w:sz w:val="24"/>
        </w:rPr>
        <w:t xml:space="preserve"> First Instance</w:t>
      </w:r>
      <w:r w:rsidRPr="00CD2B08">
        <w:rPr>
          <w:rFonts w:ascii="Times New Roman" w:hAnsi="Times New Roman"/>
          <w:sz w:val="24"/>
        </w:rPr>
        <w:t>").</w:t>
      </w:r>
    </w:p>
  </w:footnote>
  <w:footnote w:id="59">
    <w:p w14:paraId="746F4810"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But see </w:t>
      </w:r>
      <w:r w:rsidRPr="00CD2B08">
        <w:rPr>
          <w:rFonts w:ascii="Times New Roman" w:hAnsi="Times New Roman"/>
          <w:i/>
          <w:sz w:val="24"/>
        </w:rPr>
        <w:t>BMW Australia Ltd v Brewster</w:t>
      </w:r>
      <w:r w:rsidRPr="00CD2B08">
        <w:rPr>
          <w:rFonts w:ascii="Times New Roman" w:hAnsi="Times New Roman"/>
          <w:sz w:val="24"/>
        </w:rPr>
        <w:t xml:space="preserve"> (2019) 94 ALJR 51; 374 ALR 627.</w:t>
      </w:r>
    </w:p>
  </w:footnote>
  <w:footnote w:id="60">
    <w:p w14:paraId="6C2C81A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The nature and scope of the causes of action advanced and relevant case theories.</w:t>
      </w:r>
    </w:p>
  </w:footnote>
  <w:footnote w:id="61">
    <w:p w14:paraId="0276CD8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The size of the respective classes, the extent of any bookbuild, the experience of legal practitioners and funders and availability of resources, the state of progress of the proceedings, and the conduct of the representative plaintiffs to date.</w:t>
      </w:r>
    </w:p>
  </w:footnote>
  <w:footnote w:id="62">
    <w:p w14:paraId="22B81A4D"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(1882) 22 Ch D 397.</w:t>
      </w:r>
    </w:p>
  </w:footnote>
  <w:footnote w:id="63">
    <w:p w14:paraId="0BD5B66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(1996) 185 CLR 571.</w:t>
      </w:r>
    </w:p>
  </w:footnote>
  <w:footnote w:id="64">
    <w:p w14:paraId="20C40B6D"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(1976) 50 ALJR 589; 9 ALR 509.</w:t>
      </w:r>
    </w:p>
  </w:footnote>
  <w:footnote w:id="65">
    <w:p w14:paraId="1BF7254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The power in s 67 of the CPA is expressed to be subject to the rules of the court.</w:t>
      </w:r>
    </w:p>
  </w:footnote>
  <w:footnote w:id="66">
    <w:p w14:paraId="735EA022"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proofErr w:type="spellStart"/>
      <w:r w:rsidRPr="00CD2B08">
        <w:rPr>
          <w:rFonts w:ascii="Times New Roman" w:hAnsi="Times New Roman"/>
          <w:sz w:val="24"/>
        </w:rPr>
        <w:t>eg</w:t>
      </w:r>
      <w:proofErr w:type="spellEnd"/>
      <w:r w:rsidRPr="00CD2B08">
        <w:rPr>
          <w:rFonts w:ascii="Times New Roman" w:hAnsi="Times New Roman"/>
          <w:sz w:val="24"/>
        </w:rPr>
        <w:t xml:space="preserve">, </w:t>
      </w:r>
      <w:proofErr w:type="spellStart"/>
      <w:r w:rsidRPr="00CD2B08">
        <w:rPr>
          <w:rFonts w:ascii="Times New Roman" w:hAnsi="Times New Roman"/>
          <w:i/>
          <w:sz w:val="24"/>
        </w:rPr>
        <w:t>Moubarak</w:t>
      </w:r>
      <w:proofErr w:type="spellEnd"/>
      <w:r w:rsidRPr="00CD2B08">
        <w:rPr>
          <w:rFonts w:ascii="Times New Roman" w:hAnsi="Times New Roman"/>
          <w:i/>
          <w:sz w:val="24"/>
        </w:rPr>
        <w:t xml:space="preserve"> by his tutor </w:t>
      </w:r>
      <w:proofErr w:type="spellStart"/>
      <w:r w:rsidRPr="00CD2B08">
        <w:rPr>
          <w:rFonts w:ascii="Times New Roman" w:hAnsi="Times New Roman"/>
          <w:i/>
          <w:sz w:val="24"/>
        </w:rPr>
        <w:t>Coorey</w:t>
      </w:r>
      <w:proofErr w:type="spellEnd"/>
      <w:r w:rsidRPr="00CD2B08">
        <w:rPr>
          <w:rFonts w:ascii="Times New Roman" w:hAnsi="Times New Roman"/>
          <w:i/>
          <w:sz w:val="24"/>
        </w:rPr>
        <w:t xml:space="preserve"> v Holt </w:t>
      </w:r>
      <w:r w:rsidRPr="00CD2B08">
        <w:rPr>
          <w:rFonts w:ascii="Times New Roman" w:hAnsi="Times New Roman"/>
          <w:sz w:val="24"/>
        </w:rPr>
        <w:t>(2019) 100 NSWLR 218 at 233 [69]</w:t>
      </w:r>
      <w:r w:rsidRPr="00CD2B08">
        <w:rPr>
          <w:rFonts w:ascii="Times New Roman" w:hAnsi="Times New Roman"/>
          <w:sz w:val="24"/>
        </w:rPr>
        <w:noBreakHyphen/>
        <w:t xml:space="preserve">[70], quoting </w:t>
      </w:r>
      <w:r w:rsidRPr="00CD2B08">
        <w:rPr>
          <w:rFonts w:ascii="Times New Roman" w:hAnsi="Times New Roman"/>
          <w:i/>
          <w:sz w:val="24"/>
        </w:rPr>
        <w:t>New South Wales v Plaintiff A</w:t>
      </w:r>
      <w:r w:rsidRPr="00CD2B08">
        <w:rPr>
          <w:rFonts w:ascii="Times New Roman" w:hAnsi="Times New Roman"/>
          <w:sz w:val="24"/>
        </w:rPr>
        <w:t xml:space="preserve"> [2012] NSWCA 248 at [15].</w:t>
      </w:r>
      <w:r>
        <w:rPr>
          <w:rFonts w:ascii="Times New Roman" w:hAnsi="Times New Roman"/>
          <w:sz w:val="24"/>
        </w:rPr>
        <w:t xml:space="preserve"> </w:t>
      </w:r>
    </w:p>
  </w:footnote>
  <w:footnote w:id="67">
    <w:p w14:paraId="10323C2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proofErr w:type="spellStart"/>
      <w:r w:rsidRPr="00CD2B08">
        <w:rPr>
          <w:rFonts w:ascii="Times New Roman" w:hAnsi="Times New Roman"/>
          <w:i/>
          <w:sz w:val="24"/>
        </w:rPr>
        <w:t>Jago</w:t>
      </w:r>
      <w:proofErr w:type="spellEnd"/>
      <w:r w:rsidRPr="00CD2B08">
        <w:rPr>
          <w:rFonts w:ascii="Times New Roman" w:hAnsi="Times New Roman"/>
          <w:i/>
          <w:sz w:val="24"/>
        </w:rPr>
        <w:t xml:space="preserve"> v District Court (NSW)</w:t>
      </w:r>
      <w:r w:rsidRPr="00CD2B08">
        <w:rPr>
          <w:rFonts w:ascii="Times New Roman" w:hAnsi="Times New Roman"/>
          <w:sz w:val="24"/>
        </w:rPr>
        <w:t xml:space="preserve"> (1989) 168 CLR 23 at 74; </w:t>
      </w:r>
      <w:proofErr w:type="spellStart"/>
      <w:r w:rsidRPr="00CD2B08">
        <w:rPr>
          <w:rFonts w:ascii="Times New Roman" w:hAnsi="Times New Roman"/>
          <w:i/>
          <w:sz w:val="24"/>
        </w:rPr>
        <w:t>Batistatos</w:t>
      </w:r>
      <w:proofErr w:type="spellEnd"/>
      <w:r w:rsidRPr="00CD2B08">
        <w:rPr>
          <w:rFonts w:ascii="Times New Roman" w:hAnsi="Times New Roman"/>
          <w:i/>
          <w:sz w:val="24"/>
        </w:rPr>
        <w:t xml:space="preserve"> v Roads and Traffic Authority (NSW)</w:t>
      </w:r>
      <w:r w:rsidRPr="00CD2B08">
        <w:rPr>
          <w:rFonts w:ascii="Times New Roman" w:hAnsi="Times New Roman"/>
          <w:sz w:val="24"/>
        </w:rPr>
        <w:t xml:space="preserve"> (2006) 226 CLR 256 at 266</w:t>
      </w:r>
      <w:r w:rsidRPr="00CD2B08">
        <w:rPr>
          <w:rFonts w:ascii="Times New Roman" w:hAnsi="Times New Roman"/>
          <w:sz w:val="24"/>
        </w:rPr>
        <w:noBreakHyphen/>
        <w:t>267 [14]</w:t>
      </w:r>
      <w:r w:rsidRPr="00CD2B08">
        <w:rPr>
          <w:rFonts w:ascii="Times New Roman" w:hAnsi="Times New Roman"/>
          <w:sz w:val="24"/>
        </w:rPr>
        <w:noBreakHyphen/>
        <w:t>[15].</w:t>
      </w:r>
    </w:p>
  </w:footnote>
  <w:footnote w:id="68">
    <w:p w14:paraId="723A6B1F"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Mao v AMP Superannuation Ltd </w:t>
      </w:r>
      <w:r w:rsidRPr="00CD2B08">
        <w:rPr>
          <w:rFonts w:ascii="Times New Roman" w:hAnsi="Times New Roman"/>
          <w:sz w:val="24"/>
        </w:rPr>
        <w:t>[2016] NSWSC 722 at [43];</w:t>
      </w:r>
      <w:r w:rsidRPr="00CD2B08">
        <w:rPr>
          <w:rFonts w:ascii="Times New Roman" w:hAnsi="Times New Roman"/>
          <w:i/>
          <w:sz w:val="24"/>
        </w:rPr>
        <w:t xml:space="preserve"> </w:t>
      </w:r>
      <w:proofErr w:type="spellStart"/>
      <w:r w:rsidRPr="00CD2B08">
        <w:rPr>
          <w:rFonts w:ascii="Times New Roman" w:hAnsi="Times New Roman"/>
          <w:i/>
          <w:sz w:val="24"/>
        </w:rPr>
        <w:t>Moubarak</w:t>
      </w:r>
      <w:proofErr w:type="spellEnd"/>
      <w:r w:rsidRPr="00CD2B08">
        <w:rPr>
          <w:rFonts w:ascii="Times New Roman" w:hAnsi="Times New Roman"/>
          <w:i/>
          <w:sz w:val="24"/>
        </w:rPr>
        <w:t xml:space="preserve"> </w:t>
      </w:r>
      <w:r w:rsidRPr="00CD2B08">
        <w:rPr>
          <w:rFonts w:ascii="Times New Roman" w:hAnsi="Times New Roman"/>
          <w:sz w:val="24"/>
        </w:rPr>
        <w:t>(2019) 100</w:t>
      </w:r>
      <w:r>
        <w:rPr>
          <w:rFonts w:ascii="Times New Roman" w:hAnsi="Times New Roman"/>
          <w:sz w:val="24"/>
        </w:rPr>
        <w:t> </w:t>
      </w:r>
      <w:r w:rsidRPr="00CD2B08">
        <w:rPr>
          <w:rFonts w:ascii="Times New Roman" w:hAnsi="Times New Roman"/>
          <w:sz w:val="24"/>
        </w:rPr>
        <w:t xml:space="preserve">NSWLR 218 at 233 [69], quoting </w:t>
      </w:r>
      <w:r w:rsidRPr="00CD2B08">
        <w:rPr>
          <w:rFonts w:ascii="Times New Roman" w:hAnsi="Times New Roman"/>
          <w:i/>
          <w:sz w:val="24"/>
        </w:rPr>
        <w:t>Plaintiff A</w:t>
      </w:r>
      <w:r w:rsidRPr="00CD2B08">
        <w:rPr>
          <w:rFonts w:ascii="Times New Roman" w:hAnsi="Times New Roman"/>
          <w:sz w:val="24"/>
        </w:rPr>
        <w:t xml:space="preserve"> [2012] NSWCA 248 at [15]; </w:t>
      </w:r>
      <w:r w:rsidRPr="00CD2B08">
        <w:rPr>
          <w:rFonts w:ascii="Times New Roman" w:hAnsi="Times New Roman"/>
          <w:i/>
          <w:sz w:val="24"/>
        </w:rPr>
        <w:t>South</w:t>
      </w:r>
      <w:r>
        <w:rPr>
          <w:rFonts w:ascii="Times New Roman" w:hAnsi="Times New Roman"/>
          <w:i/>
          <w:sz w:val="24"/>
        </w:rPr>
        <w:t> </w:t>
      </w:r>
      <w:r w:rsidRPr="00CD2B08">
        <w:rPr>
          <w:rFonts w:ascii="Times New Roman" w:hAnsi="Times New Roman"/>
          <w:i/>
          <w:sz w:val="24"/>
        </w:rPr>
        <w:t>Eastern Sydney Local Health District v Lazarus</w:t>
      </w:r>
      <w:r w:rsidRPr="00CD2B08">
        <w:rPr>
          <w:rFonts w:ascii="Times New Roman" w:hAnsi="Times New Roman"/>
          <w:sz w:val="24"/>
        </w:rPr>
        <w:t xml:space="preserve"> [2019] NSWSC 649 at [14].</w:t>
      </w:r>
      <w:r>
        <w:rPr>
          <w:rFonts w:ascii="Times New Roman" w:hAnsi="Times New Roman"/>
          <w:sz w:val="24"/>
        </w:rPr>
        <w:t xml:space="preserve"> </w:t>
      </w:r>
    </w:p>
  </w:footnote>
  <w:footnote w:id="69">
    <w:p w14:paraId="462C84FD"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58(2)(b)(</w:t>
      </w:r>
      <w:proofErr w:type="spellStart"/>
      <w:r w:rsidRPr="00CD2B08">
        <w:rPr>
          <w:rFonts w:ascii="Times New Roman" w:hAnsi="Times New Roman"/>
          <w:sz w:val="24"/>
        </w:rPr>
        <w:t>i</w:t>
      </w:r>
      <w:proofErr w:type="spellEnd"/>
      <w:r w:rsidRPr="00CD2B08">
        <w:rPr>
          <w:rFonts w:ascii="Times New Roman" w:hAnsi="Times New Roman"/>
          <w:sz w:val="24"/>
        </w:rPr>
        <w:t>).</w:t>
      </w:r>
    </w:p>
  </w:footnote>
  <w:footnote w:id="70">
    <w:p w14:paraId="34F6BA26"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58(2)(b)(vi).</w:t>
      </w:r>
    </w:p>
  </w:footnote>
  <w:footnote w:id="71">
    <w:p w14:paraId="78500E48"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58(2)(b)(vii).</w:t>
      </w:r>
    </w:p>
  </w:footnote>
  <w:footnote w:id="72">
    <w:p w14:paraId="3240CF20"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Owners of "Shin Kobe Maru" v Empire Shipping Co Inc </w:t>
      </w:r>
      <w:r w:rsidRPr="00CD2B08">
        <w:rPr>
          <w:rFonts w:ascii="Times New Roman" w:hAnsi="Times New Roman"/>
          <w:sz w:val="24"/>
        </w:rPr>
        <w:t>(1994) 181 CLR 404 at 421.</w:t>
      </w:r>
      <w:r>
        <w:rPr>
          <w:rFonts w:ascii="Times New Roman" w:hAnsi="Times New Roman"/>
          <w:sz w:val="24"/>
        </w:rPr>
        <w:t xml:space="preserve"> </w:t>
      </w:r>
    </w:p>
  </w:footnote>
  <w:footnote w:id="73">
    <w:p w14:paraId="7B56D8E9"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generally </w:t>
      </w:r>
      <w:r w:rsidRPr="00CD2B08">
        <w:rPr>
          <w:rFonts w:ascii="Times New Roman" w:hAnsi="Times New Roman"/>
          <w:i/>
          <w:sz w:val="24"/>
        </w:rPr>
        <w:t xml:space="preserve">Brewster </w:t>
      </w:r>
      <w:r w:rsidRPr="00CD2B08">
        <w:rPr>
          <w:rFonts w:ascii="Times New Roman" w:hAnsi="Times New Roman"/>
          <w:sz w:val="24"/>
        </w:rPr>
        <w:t>(2019) 94 ALJR 51 at 66</w:t>
      </w:r>
      <w:r w:rsidRPr="00CD2B08">
        <w:rPr>
          <w:rFonts w:ascii="Times New Roman" w:hAnsi="Times New Roman"/>
          <w:sz w:val="24"/>
        </w:rPr>
        <w:noBreakHyphen/>
        <w:t>70 [60]</w:t>
      </w:r>
      <w:r w:rsidRPr="00CD2B08">
        <w:rPr>
          <w:rFonts w:ascii="Times New Roman" w:hAnsi="Times New Roman"/>
          <w:sz w:val="24"/>
        </w:rPr>
        <w:noBreakHyphen/>
        <w:t>[81], 80</w:t>
      </w:r>
      <w:r w:rsidRPr="00CD2B08">
        <w:rPr>
          <w:rFonts w:ascii="Times New Roman" w:hAnsi="Times New Roman"/>
          <w:sz w:val="24"/>
        </w:rPr>
        <w:noBreakHyphen/>
        <w:t>82 [136]</w:t>
      </w:r>
      <w:r w:rsidRPr="00CD2B08">
        <w:rPr>
          <w:rFonts w:ascii="Times New Roman" w:hAnsi="Times New Roman"/>
          <w:sz w:val="24"/>
        </w:rPr>
        <w:noBreakHyphen/>
        <w:t>[145]; 374 ALR 627 at 641</w:t>
      </w:r>
      <w:r w:rsidRPr="00CD2B08">
        <w:rPr>
          <w:rFonts w:ascii="Times New Roman" w:hAnsi="Times New Roman"/>
          <w:sz w:val="24"/>
        </w:rPr>
        <w:noBreakHyphen/>
        <w:t>646, 660</w:t>
      </w:r>
      <w:r w:rsidRPr="00CD2B08">
        <w:rPr>
          <w:rFonts w:ascii="Times New Roman" w:hAnsi="Times New Roman"/>
          <w:sz w:val="24"/>
        </w:rPr>
        <w:noBreakHyphen/>
        <w:t>663.</w:t>
      </w:r>
      <w:r>
        <w:rPr>
          <w:rFonts w:ascii="Times New Roman" w:hAnsi="Times New Roman"/>
          <w:sz w:val="24"/>
        </w:rPr>
        <w:t xml:space="preserve"> </w:t>
      </w:r>
    </w:p>
  </w:footnote>
  <w:footnote w:id="74">
    <w:p w14:paraId="4DCC5E20"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157(1)(a).</w:t>
      </w:r>
    </w:p>
  </w:footnote>
  <w:footnote w:id="75">
    <w:p w14:paraId="3443D8A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"[T]he claims of all those persons are in respect of, or arise out of, the same, similar</w:t>
      </w:r>
      <w:r>
        <w:rPr>
          <w:rFonts w:ascii="Times New Roman" w:hAnsi="Times New Roman"/>
          <w:sz w:val="24"/>
        </w:rPr>
        <w:t> </w:t>
      </w:r>
      <w:r w:rsidRPr="00CD2B08">
        <w:rPr>
          <w:rFonts w:ascii="Times New Roman" w:hAnsi="Times New Roman"/>
          <w:sz w:val="24"/>
        </w:rPr>
        <w:t>or related circumstances" and "the claims of all those persons give rise to a substantial common question of law or fact".</w:t>
      </w:r>
    </w:p>
  </w:footnote>
  <w:footnote w:id="76">
    <w:p w14:paraId="29DB4F2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Brewster </w:t>
      </w:r>
      <w:r w:rsidRPr="00CD2B08">
        <w:rPr>
          <w:rFonts w:ascii="Times New Roman" w:hAnsi="Times New Roman"/>
          <w:sz w:val="24"/>
        </w:rPr>
        <w:t>(2019) 94 ALJR 51 at 80 [136]; 374 ALR 627 at 660 (footnotes omitted).</w:t>
      </w:r>
      <w:r>
        <w:rPr>
          <w:rFonts w:ascii="Times New Roman" w:hAnsi="Times New Roman"/>
          <w:sz w:val="24"/>
        </w:rPr>
        <w:t xml:space="preserve"> </w:t>
      </w:r>
    </w:p>
  </w:footnote>
  <w:footnote w:id="77">
    <w:p w14:paraId="5D77F510"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Johns v Australian Securities Commission </w:t>
      </w:r>
      <w:r w:rsidRPr="00CD2B08">
        <w:rPr>
          <w:rFonts w:ascii="Times New Roman" w:hAnsi="Times New Roman"/>
          <w:sz w:val="24"/>
        </w:rPr>
        <w:t xml:space="preserve">(1993) 178 CLR 408 at 452; </w:t>
      </w:r>
      <w:r w:rsidRPr="00CD2B08">
        <w:rPr>
          <w:rFonts w:ascii="Times New Roman" w:hAnsi="Times New Roman"/>
          <w:i/>
          <w:sz w:val="24"/>
        </w:rPr>
        <w:t xml:space="preserve">Project Blue Sky Inc v Australian Broadcasting Authority </w:t>
      </w:r>
      <w:r w:rsidRPr="00CD2B08">
        <w:rPr>
          <w:rFonts w:ascii="Times New Roman" w:hAnsi="Times New Roman"/>
          <w:sz w:val="24"/>
        </w:rPr>
        <w:t>(1998) 194 CLR 355 at 381</w:t>
      </w:r>
      <w:r w:rsidRPr="00CD2B08">
        <w:rPr>
          <w:rFonts w:ascii="Times New Roman" w:hAnsi="Times New Roman"/>
          <w:sz w:val="24"/>
        </w:rPr>
        <w:noBreakHyphen/>
        <w:t>382 [69]</w:t>
      </w:r>
      <w:r w:rsidRPr="00CD2B08">
        <w:rPr>
          <w:rFonts w:ascii="Times New Roman" w:hAnsi="Times New Roman"/>
          <w:sz w:val="24"/>
        </w:rPr>
        <w:noBreakHyphen/>
        <w:t>[70].</w:t>
      </w:r>
      <w:r>
        <w:rPr>
          <w:rFonts w:ascii="Times New Roman" w:hAnsi="Times New Roman"/>
          <w:sz w:val="24"/>
        </w:rPr>
        <w:t xml:space="preserve"> </w:t>
      </w:r>
    </w:p>
  </w:footnote>
  <w:footnote w:id="78">
    <w:p w14:paraId="5E01509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New South Wales, Legislative Council, </w:t>
      </w:r>
      <w:r w:rsidRPr="00CD2B08">
        <w:rPr>
          <w:rFonts w:ascii="Times New Roman" w:hAnsi="Times New Roman"/>
          <w:i/>
          <w:sz w:val="24"/>
        </w:rPr>
        <w:t xml:space="preserve">Parliamentary Debates </w:t>
      </w:r>
      <w:r w:rsidRPr="00CD2B08">
        <w:rPr>
          <w:rFonts w:ascii="Times New Roman" w:hAnsi="Times New Roman"/>
          <w:sz w:val="24"/>
        </w:rPr>
        <w:t>(Hansard), 24 November 2010 at 28066.</w:t>
      </w:r>
      <w:r>
        <w:rPr>
          <w:rFonts w:ascii="Times New Roman" w:hAnsi="Times New Roman"/>
          <w:sz w:val="24"/>
        </w:rPr>
        <w:t xml:space="preserve"> </w:t>
      </w:r>
      <w:r w:rsidRPr="00CD2B08">
        <w:rPr>
          <w:rFonts w:ascii="Times New Roman" w:hAnsi="Times New Roman"/>
          <w:sz w:val="24"/>
        </w:rPr>
        <w:t xml:space="preserve">Part 10 of the CPA was substantially modelled on Pt IVA of the </w:t>
      </w:r>
      <w:r w:rsidRPr="00CD2B08">
        <w:rPr>
          <w:rFonts w:ascii="Times New Roman" w:hAnsi="Times New Roman"/>
          <w:i/>
          <w:sz w:val="24"/>
        </w:rPr>
        <w:t>Federal Court of Australia Act</w:t>
      </w:r>
      <w:r w:rsidRPr="00CD2B08">
        <w:rPr>
          <w:rFonts w:ascii="Times New Roman" w:hAnsi="Times New Roman"/>
          <w:sz w:val="24"/>
        </w:rPr>
        <w:t>, which was in turn introduced following Report 46 of the Australian Law Reform Commission ("ALRC"):</w:t>
      </w:r>
      <w:r>
        <w:rPr>
          <w:rFonts w:ascii="Times New Roman" w:hAnsi="Times New Roman"/>
          <w:sz w:val="24"/>
        </w:rPr>
        <w:t xml:space="preserve"> </w:t>
      </w:r>
      <w:r w:rsidRPr="00CD2B08">
        <w:rPr>
          <w:rFonts w:ascii="Times New Roman" w:hAnsi="Times New Roman"/>
          <w:sz w:val="24"/>
        </w:rPr>
        <w:t xml:space="preserve">ALRC, </w:t>
      </w:r>
      <w:r w:rsidRPr="00CD2B08">
        <w:rPr>
          <w:rFonts w:ascii="Times New Roman" w:hAnsi="Times New Roman"/>
          <w:i/>
          <w:sz w:val="24"/>
        </w:rPr>
        <w:t>Grouped Proceedings in the Federal Court</w:t>
      </w:r>
      <w:r w:rsidRPr="00CD2B08">
        <w:rPr>
          <w:rFonts w:ascii="Times New Roman" w:hAnsi="Times New Roman"/>
          <w:sz w:val="24"/>
        </w:rPr>
        <w:t>, Report No 46 (1988).</w:t>
      </w:r>
      <w:r>
        <w:rPr>
          <w:rFonts w:ascii="Times New Roman" w:hAnsi="Times New Roman"/>
          <w:sz w:val="24"/>
        </w:rPr>
        <w:t xml:space="preserve"> </w:t>
      </w:r>
      <w:r w:rsidRPr="00CD2B08">
        <w:rPr>
          <w:rFonts w:ascii="Times New Roman" w:hAnsi="Times New Roman"/>
          <w:sz w:val="24"/>
        </w:rPr>
        <w:t xml:space="preserve">See also Australia, Senate, </w:t>
      </w:r>
      <w:r w:rsidRPr="00CD2B08">
        <w:rPr>
          <w:rFonts w:ascii="Times New Roman" w:hAnsi="Times New Roman"/>
          <w:i/>
          <w:sz w:val="24"/>
        </w:rPr>
        <w:t>Parliamentary Debates</w:t>
      </w:r>
      <w:r w:rsidRPr="00CD2B08">
        <w:rPr>
          <w:rFonts w:ascii="Times New Roman" w:hAnsi="Times New Roman"/>
          <w:sz w:val="24"/>
        </w:rPr>
        <w:t xml:space="preserve"> (Hansard), 12 September 1991 at 1448; </w:t>
      </w:r>
      <w:r w:rsidRPr="00CD2B08">
        <w:rPr>
          <w:rFonts w:ascii="Times New Roman" w:hAnsi="Times New Roman"/>
          <w:i/>
          <w:sz w:val="24"/>
        </w:rPr>
        <w:t>Brewster</w:t>
      </w:r>
      <w:r w:rsidRPr="00CD2B08">
        <w:rPr>
          <w:rFonts w:ascii="Times New Roman" w:hAnsi="Times New Roman"/>
          <w:sz w:val="24"/>
        </w:rPr>
        <w:t xml:space="preserve"> (2019) 94 ALJR 51 at 70-71 [82]; 374 ALR 627 at 647.</w:t>
      </w:r>
    </w:p>
  </w:footnote>
  <w:footnote w:id="79">
    <w:p w14:paraId="737E5CCA" w14:textId="77777777" w:rsidR="009A3DE4" w:rsidRPr="00CD2B08" w:rsidRDefault="009A3DE4" w:rsidP="00CD2B08">
      <w:pPr>
        <w:pStyle w:val="FootnoteText"/>
        <w:spacing w:line="280" w:lineRule="exact"/>
        <w:ind w:right="0"/>
        <w:jc w:val="both"/>
        <w:rPr>
          <w:rFonts w:ascii="Times New Roman" w:hAnsi="Times New Roman"/>
          <w:i/>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Uniform Civil Procedure Rules 2005 </w:t>
      </w:r>
      <w:r w:rsidRPr="00CD2B08">
        <w:rPr>
          <w:rFonts w:ascii="Times New Roman" w:hAnsi="Times New Roman"/>
          <w:sz w:val="24"/>
        </w:rPr>
        <w:t xml:space="preserve">(NSW), </w:t>
      </w:r>
      <w:proofErr w:type="spellStart"/>
      <w:r w:rsidRPr="00CD2B08">
        <w:rPr>
          <w:rFonts w:ascii="Times New Roman" w:hAnsi="Times New Roman"/>
          <w:sz w:val="24"/>
        </w:rPr>
        <w:t>rr</w:t>
      </w:r>
      <w:proofErr w:type="spellEnd"/>
      <w:r w:rsidRPr="00CD2B08">
        <w:rPr>
          <w:rFonts w:ascii="Times New Roman" w:hAnsi="Times New Roman"/>
          <w:sz w:val="24"/>
        </w:rPr>
        <w:t> 7.4 and 7.5 as in force on 3 March 2011 ("</w:t>
      </w:r>
      <w:r w:rsidRPr="00CD2B08">
        <w:rPr>
          <w:rFonts w:ascii="Times New Roman" w:hAnsi="Times New Roman"/>
          <w:i/>
          <w:sz w:val="24"/>
        </w:rPr>
        <w:t>UCPR</w:t>
      </w:r>
      <w:r w:rsidRPr="00CD2B08">
        <w:rPr>
          <w:rFonts w:ascii="Times New Roman" w:hAnsi="Times New Roman"/>
          <w:sz w:val="24"/>
        </w:rPr>
        <w:t>").</w:t>
      </w:r>
    </w:p>
  </w:footnote>
  <w:footnote w:id="80">
    <w:p w14:paraId="51BAB5B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New South Wales, Legislative Council, </w:t>
      </w:r>
      <w:r w:rsidRPr="00CD2B08">
        <w:rPr>
          <w:rFonts w:ascii="Times New Roman" w:hAnsi="Times New Roman"/>
          <w:i/>
          <w:sz w:val="24"/>
        </w:rPr>
        <w:t xml:space="preserve">Parliamentary Debates </w:t>
      </w:r>
      <w:r w:rsidRPr="00CD2B08">
        <w:rPr>
          <w:rFonts w:ascii="Times New Roman" w:hAnsi="Times New Roman"/>
          <w:sz w:val="24"/>
        </w:rPr>
        <w:t>(Hansard), 24 November 2010 at 20866-20867.</w:t>
      </w:r>
    </w:p>
  </w:footnote>
  <w:footnote w:id="81">
    <w:p w14:paraId="02D9B234"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Brewster</w:t>
      </w:r>
      <w:r w:rsidRPr="00CD2B08">
        <w:rPr>
          <w:rFonts w:ascii="Times New Roman" w:hAnsi="Times New Roman"/>
          <w:sz w:val="24"/>
        </w:rPr>
        <w:t xml:space="preserve"> (2019) 94 ALJR 51 at 70-71 [82]; 374 ALR 627 at 647.</w:t>
      </w:r>
    </w:p>
  </w:footnote>
  <w:footnote w:id="82">
    <w:p w14:paraId="7496395F"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162(2).</w:t>
      </w:r>
    </w:p>
  </w:footnote>
  <w:footnote w:id="83">
    <w:p w14:paraId="4223F27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162(4).</w:t>
      </w:r>
    </w:p>
  </w:footnote>
  <w:footnote w:id="84">
    <w:p w14:paraId="7819A0D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166(1)(a).</w:t>
      </w:r>
    </w:p>
  </w:footnote>
  <w:footnote w:id="85">
    <w:p w14:paraId="0A3D0BC4"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166(1)(c).</w:t>
      </w:r>
    </w:p>
  </w:footnote>
  <w:footnote w:id="86">
    <w:p w14:paraId="62F90AC9"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166(1)(d).</w:t>
      </w:r>
    </w:p>
  </w:footnote>
  <w:footnote w:id="87">
    <w:p w14:paraId="071F9DC9"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166(1)(e).</w:t>
      </w:r>
    </w:p>
  </w:footnote>
  <w:footnote w:id="88">
    <w:p w14:paraId="62F4D68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166(2)(a).</w:t>
      </w:r>
    </w:p>
  </w:footnote>
  <w:footnote w:id="89">
    <w:p w14:paraId="65D7B158"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166(2)(b).</w:t>
      </w:r>
      <w:r>
        <w:rPr>
          <w:rFonts w:ascii="Times New Roman" w:hAnsi="Times New Roman"/>
          <w:sz w:val="24"/>
        </w:rPr>
        <w:t xml:space="preserve"> </w:t>
      </w:r>
      <w:r w:rsidRPr="00CD2B08">
        <w:rPr>
          <w:rFonts w:ascii="Times New Roman" w:hAnsi="Times New Roman"/>
          <w:sz w:val="24"/>
        </w:rPr>
        <w:t>The phrase "litigation funding arrangement" is not defined.</w:t>
      </w:r>
    </w:p>
  </w:footnote>
  <w:footnote w:id="90">
    <w:p w14:paraId="1EBB59CF"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Carnie v Esanda Finance Corporation Ltd </w:t>
      </w:r>
      <w:r w:rsidRPr="00CD2B08">
        <w:rPr>
          <w:rFonts w:ascii="Times New Roman" w:hAnsi="Times New Roman"/>
          <w:sz w:val="24"/>
        </w:rPr>
        <w:t xml:space="preserve">(1995) 182 CLR 398 at 408; </w:t>
      </w:r>
      <w:r w:rsidRPr="00CD2B08">
        <w:rPr>
          <w:rFonts w:ascii="Times New Roman" w:hAnsi="Times New Roman"/>
          <w:i/>
          <w:sz w:val="24"/>
        </w:rPr>
        <w:t xml:space="preserve">Mobil Oil Australia Pty Ltd v Victoria </w:t>
      </w:r>
      <w:r w:rsidRPr="00CD2B08">
        <w:rPr>
          <w:rFonts w:ascii="Times New Roman" w:hAnsi="Times New Roman"/>
          <w:sz w:val="24"/>
        </w:rPr>
        <w:t xml:space="preserve">(2002) 211 CLR 1 at 27 [21]; </w:t>
      </w:r>
      <w:r w:rsidRPr="00CD2B08">
        <w:rPr>
          <w:rFonts w:ascii="Times New Roman" w:hAnsi="Times New Roman"/>
          <w:i/>
          <w:sz w:val="24"/>
        </w:rPr>
        <w:t>Australian Securities and Investments Commission v Richards</w:t>
      </w:r>
      <w:r w:rsidRPr="00CD2B08">
        <w:rPr>
          <w:rFonts w:ascii="Times New Roman" w:hAnsi="Times New Roman"/>
          <w:sz w:val="24"/>
        </w:rPr>
        <w:t xml:space="preserve"> [2013] FCAFC 89 at [8</w:t>
      </w:r>
      <w:r w:rsidRPr="00CD2B08" w:rsidDel="00492512">
        <w:rPr>
          <w:rFonts w:ascii="Times New Roman" w:hAnsi="Times New Roman"/>
          <w:sz w:val="24"/>
        </w:rPr>
        <w:t>]</w:t>
      </w:r>
      <w:r w:rsidRPr="00CD2B08">
        <w:rPr>
          <w:rFonts w:ascii="Times New Roman" w:hAnsi="Times New Roman"/>
          <w:sz w:val="24"/>
        </w:rPr>
        <w:t>.</w:t>
      </w:r>
    </w:p>
  </w:footnote>
  <w:footnote w:id="91">
    <w:p w14:paraId="14710FB3"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Lopez v Star World Enterprises Pty Ltd </w:t>
      </w:r>
      <w:r w:rsidRPr="00CD2B08">
        <w:rPr>
          <w:rFonts w:ascii="Times New Roman" w:hAnsi="Times New Roman"/>
          <w:sz w:val="24"/>
        </w:rPr>
        <w:t>(1999) ATPR ¶41-678 at 42,670</w:t>
      </w:r>
      <w:r w:rsidRPr="00CD2B08">
        <w:rPr>
          <w:rFonts w:ascii="Times New Roman" w:hAnsi="Times New Roman"/>
          <w:i/>
          <w:sz w:val="24"/>
        </w:rPr>
        <w:t xml:space="preserve"> </w:t>
      </w:r>
      <w:r w:rsidRPr="00CD2B08">
        <w:rPr>
          <w:rFonts w:ascii="Times New Roman" w:hAnsi="Times New Roman"/>
          <w:sz w:val="24"/>
        </w:rPr>
        <w:t>[16</w:t>
      </w:r>
      <w:r w:rsidRPr="00CD2B08" w:rsidDel="00105158">
        <w:rPr>
          <w:rFonts w:ascii="Times New Roman" w:hAnsi="Times New Roman"/>
          <w:sz w:val="24"/>
        </w:rPr>
        <w:t>]</w:t>
      </w:r>
      <w:r w:rsidRPr="00CD2B08">
        <w:rPr>
          <w:rFonts w:ascii="Times New Roman" w:hAnsi="Times New Roman"/>
          <w:sz w:val="24"/>
        </w:rPr>
        <w:t>;</w:t>
      </w:r>
      <w:r w:rsidRPr="00CD2B08">
        <w:rPr>
          <w:rFonts w:ascii="Times New Roman" w:hAnsi="Times New Roman"/>
          <w:i/>
          <w:sz w:val="24"/>
        </w:rPr>
        <w:t xml:space="preserve"> Kelly</w:t>
      </w:r>
      <w:r>
        <w:rPr>
          <w:rFonts w:ascii="Times New Roman" w:hAnsi="Times New Roman"/>
          <w:i/>
          <w:sz w:val="24"/>
        </w:rPr>
        <w:t> </w:t>
      </w:r>
      <w:r w:rsidRPr="00CD2B08">
        <w:rPr>
          <w:rFonts w:ascii="Times New Roman" w:hAnsi="Times New Roman"/>
          <w:i/>
          <w:sz w:val="24"/>
        </w:rPr>
        <w:t xml:space="preserve">v Willmott Forests Ltd (In </w:t>
      </w:r>
      <w:proofErr w:type="spellStart"/>
      <w:r w:rsidRPr="00CD2B08">
        <w:rPr>
          <w:rFonts w:ascii="Times New Roman" w:hAnsi="Times New Roman"/>
          <w:i/>
          <w:sz w:val="24"/>
        </w:rPr>
        <w:t>liq</w:t>
      </w:r>
      <w:proofErr w:type="spellEnd"/>
      <w:r w:rsidRPr="00CD2B08">
        <w:rPr>
          <w:rFonts w:ascii="Times New Roman" w:hAnsi="Times New Roman"/>
          <w:i/>
          <w:sz w:val="24"/>
        </w:rPr>
        <w:t>) [No 4]</w:t>
      </w:r>
      <w:r w:rsidRPr="00CD2B08">
        <w:rPr>
          <w:rFonts w:ascii="Times New Roman" w:hAnsi="Times New Roman"/>
          <w:sz w:val="24"/>
        </w:rPr>
        <w:t xml:space="preserve"> (2016) 335 ALR 439 at 454 [63].</w:t>
      </w:r>
    </w:p>
  </w:footnote>
  <w:footnote w:id="92">
    <w:p w14:paraId="5074140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Brewster</w:t>
      </w:r>
      <w:r w:rsidRPr="00CD2B08">
        <w:rPr>
          <w:rFonts w:ascii="Times New Roman" w:hAnsi="Times New Roman"/>
          <w:sz w:val="24"/>
        </w:rPr>
        <w:t xml:space="preserve"> (2019) 94 ALJR 51 at 65 [51]; 374 ALR 627 at 639.</w:t>
      </w:r>
    </w:p>
  </w:footnote>
  <w:footnote w:id="93">
    <w:p w14:paraId="10312DC2"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proofErr w:type="spellStart"/>
      <w:r w:rsidRPr="00CD2B08">
        <w:rPr>
          <w:rFonts w:ascii="Times New Roman" w:hAnsi="Times New Roman"/>
          <w:sz w:val="24"/>
        </w:rPr>
        <w:t>eg</w:t>
      </w:r>
      <w:proofErr w:type="spellEnd"/>
      <w:r w:rsidRPr="00CD2B08">
        <w:rPr>
          <w:rFonts w:ascii="Times New Roman" w:hAnsi="Times New Roman"/>
          <w:sz w:val="24"/>
        </w:rPr>
        <w:t xml:space="preserve">, </w:t>
      </w:r>
      <w:r w:rsidRPr="00CD2B08">
        <w:rPr>
          <w:rFonts w:ascii="Times New Roman" w:hAnsi="Times New Roman"/>
          <w:i/>
          <w:sz w:val="24"/>
        </w:rPr>
        <w:t>Federal Rules of Civil Procedure</w:t>
      </w:r>
      <w:r w:rsidRPr="00CD2B08">
        <w:rPr>
          <w:rFonts w:ascii="Times New Roman" w:hAnsi="Times New Roman"/>
          <w:sz w:val="24"/>
        </w:rPr>
        <w:t xml:space="preserve"> (US), r 23; </w:t>
      </w:r>
      <w:r w:rsidRPr="00CD2B08">
        <w:rPr>
          <w:rFonts w:ascii="Times New Roman" w:hAnsi="Times New Roman"/>
          <w:i/>
          <w:sz w:val="24"/>
        </w:rPr>
        <w:t>Class Proceedings Act 1992</w:t>
      </w:r>
      <w:r w:rsidRPr="00CD2B08">
        <w:rPr>
          <w:rFonts w:ascii="Times New Roman" w:hAnsi="Times New Roman"/>
          <w:sz w:val="24"/>
        </w:rPr>
        <w:t xml:space="preserve"> (</w:t>
      </w:r>
      <w:proofErr w:type="spellStart"/>
      <w:r w:rsidRPr="00CD2B08">
        <w:rPr>
          <w:rFonts w:ascii="Times New Roman" w:hAnsi="Times New Roman"/>
          <w:sz w:val="24"/>
        </w:rPr>
        <w:t>Ont</w:t>
      </w:r>
      <w:proofErr w:type="spellEnd"/>
      <w:r w:rsidRPr="00CD2B08">
        <w:rPr>
          <w:rFonts w:ascii="Times New Roman" w:hAnsi="Times New Roman"/>
          <w:sz w:val="24"/>
        </w:rPr>
        <w:t>), ss 12 and 13.</w:t>
      </w:r>
      <w:r>
        <w:rPr>
          <w:rFonts w:ascii="Times New Roman" w:hAnsi="Times New Roman"/>
          <w:sz w:val="24"/>
        </w:rPr>
        <w:t xml:space="preserve"> </w:t>
      </w:r>
      <w:r w:rsidRPr="00CD2B08">
        <w:rPr>
          <w:rFonts w:ascii="Times New Roman" w:hAnsi="Times New Roman"/>
          <w:sz w:val="24"/>
        </w:rPr>
        <w:t xml:space="preserve">See also </w:t>
      </w:r>
      <w:r w:rsidRPr="00CD2B08">
        <w:rPr>
          <w:rFonts w:ascii="Times New Roman" w:hAnsi="Times New Roman"/>
          <w:i/>
          <w:sz w:val="24"/>
        </w:rPr>
        <w:t xml:space="preserve">Competition Act 1998 </w:t>
      </w:r>
      <w:r w:rsidRPr="00CD2B08">
        <w:rPr>
          <w:rFonts w:ascii="Times New Roman" w:hAnsi="Times New Roman"/>
          <w:sz w:val="24"/>
        </w:rPr>
        <w:t xml:space="preserve">(UK), ss 47A and 47B and </w:t>
      </w:r>
      <w:r w:rsidRPr="00CD2B08">
        <w:rPr>
          <w:rFonts w:ascii="Times New Roman" w:hAnsi="Times New Roman"/>
          <w:i/>
          <w:sz w:val="24"/>
        </w:rPr>
        <w:t xml:space="preserve">Competition Appeal Tribunal Rules 2015 </w:t>
      </w:r>
      <w:r w:rsidRPr="00CD2B08">
        <w:rPr>
          <w:rFonts w:ascii="Times New Roman" w:hAnsi="Times New Roman"/>
          <w:sz w:val="24"/>
        </w:rPr>
        <w:t xml:space="preserve">(UK), Pt 5, considered in </w:t>
      </w:r>
      <w:r>
        <w:rPr>
          <w:rFonts w:ascii="Times New Roman" w:hAnsi="Times New Roman"/>
          <w:i/>
          <w:sz w:val="24"/>
        </w:rPr>
        <w:t xml:space="preserve">Merricks v </w:t>
      </w:r>
      <w:r w:rsidRPr="00CD2B08">
        <w:rPr>
          <w:rFonts w:ascii="Times New Roman" w:hAnsi="Times New Roman"/>
          <w:i/>
          <w:sz w:val="24"/>
        </w:rPr>
        <w:t xml:space="preserve">Mastercard Inc </w:t>
      </w:r>
      <w:r w:rsidRPr="00CD2B08">
        <w:rPr>
          <w:rFonts w:ascii="Times New Roman" w:hAnsi="Times New Roman"/>
          <w:sz w:val="24"/>
        </w:rPr>
        <w:t>[202</w:t>
      </w:r>
      <w:r>
        <w:rPr>
          <w:rFonts w:ascii="Times New Roman" w:hAnsi="Times New Roman"/>
          <w:sz w:val="24"/>
        </w:rPr>
        <w:t>1</w:t>
      </w:r>
      <w:r w:rsidRPr="00CD2B08">
        <w:rPr>
          <w:rFonts w:ascii="Times New Roman" w:hAnsi="Times New Roman"/>
          <w:sz w:val="24"/>
        </w:rPr>
        <w:t xml:space="preserve">] </w:t>
      </w:r>
      <w:r>
        <w:rPr>
          <w:rFonts w:ascii="Times New Roman" w:hAnsi="Times New Roman"/>
          <w:sz w:val="24"/>
        </w:rPr>
        <w:t>Bus LR 25</w:t>
      </w:r>
      <w:r w:rsidRPr="00CD2B08">
        <w:rPr>
          <w:rFonts w:ascii="Times New Roman" w:hAnsi="Times New Roman"/>
          <w:sz w:val="24"/>
        </w:rPr>
        <w:t>.</w:t>
      </w:r>
    </w:p>
  </w:footnote>
  <w:footnote w:id="94">
    <w:p w14:paraId="49B51D74"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ALRC, </w:t>
      </w:r>
      <w:r w:rsidRPr="00CD2B08">
        <w:rPr>
          <w:rFonts w:ascii="Times New Roman" w:hAnsi="Times New Roman"/>
          <w:i/>
          <w:sz w:val="24"/>
        </w:rPr>
        <w:t>Grouped Proceedings in the Federal Court</w:t>
      </w:r>
      <w:r w:rsidRPr="00CD2B08">
        <w:rPr>
          <w:rFonts w:ascii="Times New Roman" w:hAnsi="Times New Roman"/>
          <w:sz w:val="24"/>
        </w:rPr>
        <w:t>, Report No 46 (1988) at 63-64 [147].</w:t>
      </w:r>
      <w:r>
        <w:rPr>
          <w:rFonts w:ascii="Times New Roman" w:hAnsi="Times New Roman"/>
          <w:sz w:val="24"/>
        </w:rPr>
        <w:t xml:space="preserve"> </w:t>
      </w:r>
      <w:r w:rsidRPr="00CD2B08">
        <w:rPr>
          <w:rFonts w:ascii="Times New Roman" w:hAnsi="Times New Roman"/>
          <w:sz w:val="24"/>
        </w:rPr>
        <w:t xml:space="preserve">See </w:t>
      </w:r>
      <w:r w:rsidRPr="00CD2B08">
        <w:rPr>
          <w:rFonts w:ascii="Times New Roman" w:hAnsi="Times New Roman"/>
          <w:i/>
          <w:sz w:val="24"/>
        </w:rPr>
        <w:t xml:space="preserve">Bellamy's </w:t>
      </w:r>
      <w:r w:rsidRPr="00CD2B08">
        <w:rPr>
          <w:rFonts w:ascii="Times New Roman" w:hAnsi="Times New Roman"/>
          <w:sz w:val="24"/>
        </w:rPr>
        <w:t xml:space="preserve">[2017] FCA 947 at [54]; </w:t>
      </w:r>
      <w:proofErr w:type="spellStart"/>
      <w:r w:rsidRPr="00CD2B08">
        <w:rPr>
          <w:rFonts w:ascii="Times New Roman" w:hAnsi="Times New Roman"/>
          <w:i/>
          <w:sz w:val="24"/>
        </w:rPr>
        <w:t>Perera</w:t>
      </w:r>
      <w:proofErr w:type="spellEnd"/>
      <w:r w:rsidRPr="00CD2B08">
        <w:rPr>
          <w:rFonts w:ascii="Times New Roman" w:hAnsi="Times New Roman"/>
          <w:i/>
          <w:sz w:val="24"/>
        </w:rPr>
        <w:t xml:space="preserve"> v </w:t>
      </w:r>
      <w:proofErr w:type="spellStart"/>
      <w:r w:rsidRPr="00CD2B08">
        <w:rPr>
          <w:rFonts w:ascii="Times New Roman" w:hAnsi="Times New Roman"/>
          <w:i/>
          <w:sz w:val="24"/>
        </w:rPr>
        <w:t>GetSwift</w:t>
      </w:r>
      <w:proofErr w:type="spellEnd"/>
      <w:r w:rsidRPr="00CD2B08">
        <w:rPr>
          <w:rFonts w:ascii="Times New Roman" w:hAnsi="Times New Roman"/>
          <w:i/>
          <w:sz w:val="24"/>
        </w:rPr>
        <w:t xml:space="preserve"> Ltd </w:t>
      </w:r>
      <w:r w:rsidRPr="00CD2B08">
        <w:rPr>
          <w:rFonts w:ascii="Times New Roman" w:hAnsi="Times New Roman"/>
          <w:sz w:val="24"/>
        </w:rPr>
        <w:t>(2018) 263</w:t>
      </w:r>
      <w:r>
        <w:rPr>
          <w:rFonts w:ascii="Times New Roman" w:hAnsi="Times New Roman"/>
          <w:sz w:val="24"/>
        </w:rPr>
        <w:t> </w:t>
      </w:r>
      <w:r w:rsidRPr="00CD2B08">
        <w:rPr>
          <w:rFonts w:ascii="Times New Roman" w:hAnsi="Times New Roman"/>
          <w:sz w:val="24"/>
        </w:rPr>
        <w:t>FCR 92 at 137 [196].</w:t>
      </w:r>
    </w:p>
  </w:footnote>
  <w:footnote w:id="95">
    <w:p w14:paraId="4437CAE6"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ALRC, </w:t>
      </w:r>
      <w:r w:rsidRPr="00CD2B08">
        <w:rPr>
          <w:rFonts w:ascii="Times New Roman" w:hAnsi="Times New Roman"/>
          <w:i/>
          <w:sz w:val="24"/>
        </w:rPr>
        <w:t>Grouped Proceedings in the Federal Court</w:t>
      </w:r>
      <w:r w:rsidRPr="00CD2B08">
        <w:rPr>
          <w:rFonts w:ascii="Times New Roman" w:hAnsi="Times New Roman"/>
          <w:sz w:val="24"/>
        </w:rPr>
        <w:t>, Report No 46 (1988) at 63-64 [146]-[147].</w:t>
      </w:r>
    </w:p>
  </w:footnote>
  <w:footnote w:id="96">
    <w:p w14:paraId="2B6FB8A4"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ALRC, </w:t>
      </w:r>
      <w:r w:rsidRPr="00CD2B08">
        <w:rPr>
          <w:rFonts w:ascii="Times New Roman" w:hAnsi="Times New Roman"/>
          <w:i/>
          <w:sz w:val="24"/>
        </w:rPr>
        <w:t>Integrity, Fairness and Efficiency – An Inquiry into Class Action Proceedings and Third-Party Litigation Funders</w:t>
      </w:r>
      <w:r w:rsidRPr="00CD2B08">
        <w:rPr>
          <w:rFonts w:ascii="Times New Roman" w:hAnsi="Times New Roman"/>
          <w:sz w:val="24"/>
        </w:rPr>
        <w:t>, Report No 134 (2018) at 102 [4.51].</w:t>
      </w:r>
    </w:p>
  </w:footnote>
  <w:footnote w:id="97">
    <w:p w14:paraId="780B324F"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[1984] AC 398 at 426.</w:t>
      </w:r>
      <w:r>
        <w:rPr>
          <w:rFonts w:ascii="Times New Roman" w:hAnsi="Times New Roman"/>
          <w:sz w:val="24"/>
        </w:rPr>
        <w:t xml:space="preserve"> </w:t>
      </w:r>
      <w:r w:rsidRPr="00CD2B08">
        <w:rPr>
          <w:rFonts w:ascii="Times New Roman" w:hAnsi="Times New Roman"/>
          <w:sz w:val="24"/>
        </w:rPr>
        <w:t xml:space="preserve">See also </w:t>
      </w:r>
      <w:r w:rsidRPr="00CD2B08">
        <w:rPr>
          <w:rFonts w:ascii="Times New Roman" w:hAnsi="Times New Roman"/>
          <w:i/>
          <w:sz w:val="24"/>
        </w:rPr>
        <w:t>EI Du Pont de Nemours &amp; Co v Agnew</w:t>
      </w:r>
      <w:r w:rsidRPr="00CD2B08">
        <w:rPr>
          <w:rFonts w:ascii="Times New Roman" w:hAnsi="Times New Roman"/>
          <w:sz w:val="24"/>
        </w:rPr>
        <w:t xml:space="preserve"> [1987] 2</w:t>
      </w:r>
      <w:r>
        <w:rPr>
          <w:rFonts w:ascii="Times New Roman" w:hAnsi="Times New Roman"/>
          <w:sz w:val="24"/>
        </w:rPr>
        <w:t> </w:t>
      </w:r>
      <w:r w:rsidRPr="00CD2B08">
        <w:rPr>
          <w:rFonts w:ascii="Times New Roman" w:hAnsi="Times New Roman"/>
          <w:sz w:val="24"/>
        </w:rPr>
        <w:t xml:space="preserve">Lloyd's Rep 585 at 593; </w:t>
      </w:r>
      <w:proofErr w:type="spellStart"/>
      <w:r w:rsidRPr="00CD2B08">
        <w:rPr>
          <w:rFonts w:ascii="Times New Roman" w:hAnsi="Times New Roman"/>
          <w:i/>
          <w:sz w:val="24"/>
        </w:rPr>
        <w:t>GetSwift</w:t>
      </w:r>
      <w:proofErr w:type="spellEnd"/>
      <w:r w:rsidRPr="00CD2B08">
        <w:rPr>
          <w:rFonts w:ascii="Times New Roman" w:hAnsi="Times New Roman"/>
          <w:i/>
          <w:sz w:val="24"/>
        </w:rPr>
        <w:t xml:space="preserve"> </w:t>
      </w:r>
      <w:r w:rsidRPr="00CD2B08">
        <w:rPr>
          <w:rFonts w:ascii="Times New Roman" w:hAnsi="Times New Roman"/>
          <w:sz w:val="24"/>
        </w:rPr>
        <w:t xml:space="preserve">(2018) 263 FCR 92 at 153 [279]; </w:t>
      </w:r>
      <w:proofErr w:type="spellStart"/>
      <w:r w:rsidRPr="00CD2B08">
        <w:rPr>
          <w:rFonts w:ascii="Times New Roman" w:hAnsi="Times New Roman"/>
          <w:i/>
          <w:sz w:val="24"/>
        </w:rPr>
        <w:t>Wileypark</w:t>
      </w:r>
      <w:proofErr w:type="spellEnd"/>
      <w:r w:rsidRPr="00CD2B08">
        <w:rPr>
          <w:rFonts w:ascii="Times New Roman" w:hAnsi="Times New Roman"/>
          <w:sz w:val="24"/>
        </w:rPr>
        <w:t xml:space="preserve"> (2018) 265 FCR 1 at 8 [18].</w:t>
      </w:r>
    </w:p>
  </w:footnote>
  <w:footnote w:id="98">
    <w:p w14:paraId="6095EC8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(1855) 5 HLC 416 at 437-439 [10 ER 961 at 970-971].</w:t>
      </w:r>
    </w:p>
  </w:footnote>
  <w:footnote w:id="99">
    <w:p w14:paraId="729F92D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(1997) 189 CLR 345 at 393-394.</w:t>
      </w:r>
    </w:p>
  </w:footnote>
  <w:footnote w:id="100">
    <w:p w14:paraId="6ED12ADA"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(1996) 185 CLR 571 at 591.</w:t>
      </w:r>
    </w:p>
  </w:footnote>
  <w:footnote w:id="101">
    <w:p w14:paraId="6965EAFF"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(1882) 22 Ch D 397.</w:t>
      </w:r>
    </w:p>
  </w:footnote>
  <w:footnote w:id="102">
    <w:p w14:paraId="05F537F2"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(1976) 50 ALJR 589 at 592; 9 ALR 509 at 514.</w:t>
      </w:r>
    </w:p>
  </w:footnote>
  <w:footnote w:id="103">
    <w:p w14:paraId="2B6FE35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(1990) 171 CLR 538 at 564-565.</w:t>
      </w:r>
    </w:p>
  </w:footnote>
  <w:footnote w:id="104">
    <w:p w14:paraId="7E70F1FE"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(1976) 50 ALJR 589; 9 ALR 509.</w:t>
      </w:r>
    </w:p>
  </w:footnote>
  <w:footnote w:id="105">
    <w:p w14:paraId="4E008D5E"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(2018) 263 FCR 92 at 127 [155].</w:t>
      </w:r>
    </w:p>
  </w:footnote>
  <w:footnote w:id="106">
    <w:p w14:paraId="063C1ECD"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proofErr w:type="spellStart"/>
      <w:r w:rsidRPr="00CD2B08">
        <w:rPr>
          <w:rFonts w:ascii="Times New Roman" w:hAnsi="Times New Roman"/>
          <w:i/>
          <w:sz w:val="24"/>
        </w:rPr>
        <w:t>Sparry's</w:t>
      </w:r>
      <w:proofErr w:type="spellEnd"/>
      <w:r w:rsidRPr="00CD2B08">
        <w:rPr>
          <w:rFonts w:ascii="Times New Roman" w:hAnsi="Times New Roman"/>
          <w:i/>
          <w:sz w:val="24"/>
        </w:rPr>
        <w:t xml:space="preserve"> Case</w:t>
      </w:r>
      <w:r w:rsidRPr="00CD2B08">
        <w:rPr>
          <w:rFonts w:ascii="Times New Roman" w:hAnsi="Times New Roman"/>
          <w:sz w:val="24"/>
        </w:rPr>
        <w:t xml:space="preserve"> (1589) 5 Co Rep 61a at 61a [77 ER 148 at 148] (footnote omitted).</w:t>
      </w:r>
    </w:p>
  </w:footnote>
  <w:footnote w:id="107">
    <w:p w14:paraId="4B76552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r w:rsidRPr="00CD2B08">
        <w:rPr>
          <w:rFonts w:ascii="Times New Roman" w:hAnsi="Times New Roman"/>
          <w:i/>
          <w:sz w:val="24"/>
        </w:rPr>
        <w:t>Fitter v Veal</w:t>
      </w:r>
      <w:r w:rsidRPr="00CD2B08">
        <w:rPr>
          <w:rFonts w:ascii="Times New Roman" w:hAnsi="Times New Roman"/>
          <w:sz w:val="24"/>
        </w:rPr>
        <w:t xml:space="preserve"> (1701) 12 Mod 542 [88 ER 1506].</w:t>
      </w:r>
      <w:r>
        <w:rPr>
          <w:rFonts w:ascii="Times New Roman" w:hAnsi="Times New Roman"/>
          <w:sz w:val="24"/>
        </w:rPr>
        <w:t xml:space="preserve"> </w:t>
      </w:r>
      <w:proofErr w:type="spellStart"/>
      <w:r w:rsidRPr="00CD2B08">
        <w:rPr>
          <w:rFonts w:ascii="Times New Roman" w:hAnsi="Times New Roman"/>
          <w:sz w:val="24"/>
        </w:rPr>
        <w:t>cf</w:t>
      </w:r>
      <w:proofErr w:type="spellEnd"/>
      <w:r w:rsidRPr="00CD2B08">
        <w:rPr>
          <w:rFonts w:ascii="Times New Roman" w:hAnsi="Times New Roman"/>
          <w:sz w:val="24"/>
        </w:rPr>
        <w:t xml:space="preserve"> Burrows, </w:t>
      </w:r>
      <w:r w:rsidRPr="00CD2B08">
        <w:rPr>
          <w:rFonts w:ascii="Times New Roman" w:hAnsi="Times New Roman"/>
          <w:i/>
          <w:sz w:val="24"/>
        </w:rPr>
        <w:t>Remedies for Torts, Breach of Contract, and Equitable Wrongs</w:t>
      </w:r>
      <w:r w:rsidRPr="00CD2B08">
        <w:rPr>
          <w:rFonts w:ascii="Times New Roman" w:hAnsi="Times New Roman"/>
          <w:sz w:val="24"/>
        </w:rPr>
        <w:t>, 4th ed (2019) at 163-164.</w:t>
      </w:r>
    </w:p>
  </w:footnote>
  <w:footnote w:id="108">
    <w:p w14:paraId="15AE4364"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r>
      <w:r w:rsidRPr="00CD2B08">
        <w:rPr>
          <w:rFonts w:ascii="Times New Roman" w:hAnsi="Times New Roman"/>
          <w:i/>
          <w:sz w:val="24"/>
        </w:rPr>
        <w:t>Moyle v West</w:t>
      </w:r>
      <w:r w:rsidRPr="00CD2B08">
        <w:rPr>
          <w:rFonts w:ascii="Times New Roman" w:hAnsi="Times New Roman"/>
          <w:sz w:val="24"/>
        </w:rPr>
        <w:t xml:space="preserve"> (1553) 1 Dyer 92b at 93a [73 ER 201 at 202]; </w:t>
      </w:r>
      <w:r w:rsidRPr="00CD2B08">
        <w:rPr>
          <w:rFonts w:ascii="Times New Roman" w:hAnsi="Times New Roman"/>
          <w:i/>
          <w:sz w:val="24"/>
        </w:rPr>
        <w:t>White v Willis</w:t>
      </w:r>
      <w:r w:rsidRPr="00CD2B08">
        <w:rPr>
          <w:rFonts w:ascii="Times New Roman" w:hAnsi="Times New Roman"/>
          <w:sz w:val="24"/>
        </w:rPr>
        <w:t xml:space="preserve"> (1759) 2</w:t>
      </w:r>
      <w:r>
        <w:rPr>
          <w:rFonts w:ascii="Times New Roman" w:hAnsi="Times New Roman"/>
          <w:sz w:val="24"/>
        </w:rPr>
        <w:t> </w:t>
      </w:r>
      <w:proofErr w:type="spellStart"/>
      <w:r w:rsidRPr="00CD2B08">
        <w:rPr>
          <w:rFonts w:ascii="Times New Roman" w:hAnsi="Times New Roman"/>
          <w:sz w:val="24"/>
        </w:rPr>
        <w:t>Wils</w:t>
      </w:r>
      <w:proofErr w:type="spellEnd"/>
      <w:r w:rsidRPr="00CD2B08">
        <w:rPr>
          <w:rFonts w:ascii="Times New Roman" w:hAnsi="Times New Roman"/>
          <w:sz w:val="24"/>
        </w:rPr>
        <w:t> KB 87 at 87</w:t>
      </w:r>
      <w:r w:rsidRPr="00CD2B08">
        <w:rPr>
          <w:rFonts w:ascii="Times New Roman" w:hAnsi="Times New Roman"/>
          <w:sz w:val="24"/>
        </w:rPr>
        <w:noBreakHyphen/>
        <w:t xml:space="preserve">88 [95 ER 701 at 701]; </w:t>
      </w:r>
      <w:r w:rsidRPr="00CD2B08">
        <w:rPr>
          <w:rFonts w:ascii="Times New Roman" w:hAnsi="Times New Roman"/>
          <w:i/>
          <w:sz w:val="24"/>
        </w:rPr>
        <w:t>Harley v Greenwood</w:t>
      </w:r>
      <w:r w:rsidRPr="00CD2B08">
        <w:rPr>
          <w:rFonts w:ascii="Times New Roman" w:hAnsi="Times New Roman"/>
          <w:sz w:val="24"/>
        </w:rPr>
        <w:t xml:space="preserve"> (1821) 5 B &amp; </w:t>
      </w:r>
      <w:proofErr w:type="spellStart"/>
      <w:r w:rsidRPr="00CD2B08">
        <w:rPr>
          <w:rFonts w:ascii="Times New Roman" w:hAnsi="Times New Roman"/>
          <w:sz w:val="24"/>
        </w:rPr>
        <w:t>Ald</w:t>
      </w:r>
      <w:proofErr w:type="spellEnd"/>
      <w:r w:rsidRPr="00CD2B08">
        <w:rPr>
          <w:rFonts w:ascii="Times New Roman" w:hAnsi="Times New Roman"/>
          <w:sz w:val="24"/>
        </w:rPr>
        <w:t xml:space="preserve"> 95 at 101</w:t>
      </w:r>
      <w:r w:rsidRPr="00CD2B08">
        <w:rPr>
          <w:rFonts w:ascii="Times New Roman" w:hAnsi="Times New Roman"/>
          <w:sz w:val="24"/>
        </w:rPr>
        <w:noBreakHyphen/>
        <w:t xml:space="preserve">102 [106 ER 1128 at 1131]; </w:t>
      </w:r>
      <w:proofErr w:type="spellStart"/>
      <w:r w:rsidRPr="00CD2B08">
        <w:rPr>
          <w:rFonts w:ascii="Times New Roman" w:hAnsi="Times New Roman"/>
          <w:i/>
          <w:sz w:val="24"/>
        </w:rPr>
        <w:t>Ostell</w:t>
      </w:r>
      <w:proofErr w:type="spellEnd"/>
      <w:r w:rsidRPr="00CD2B08">
        <w:rPr>
          <w:rFonts w:ascii="Times New Roman" w:hAnsi="Times New Roman"/>
          <w:i/>
          <w:sz w:val="24"/>
        </w:rPr>
        <w:t xml:space="preserve"> v Lepage</w:t>
      </w:r>
      <w:r w:rsidRPr="00CD2B08">
        <w:rPr>
          <w:rFonts w:ascii="Times New Roman" w:hAnsi="Times New Roman"/>
          <w:sz w:val="24"/>
        </w:rPr>
        <w:t xml:space="preserve"> (1851) 5 De G &amp; </w:t>
      </w:r>
      <w:proofErr w:type="spellStart"/>
      <w:r w:rsidRPr="00CD2B08">
        <w:rPr>
          <w:rFonts w:ascii="Times New Roman" w:hAnsi="Times New Roman"/>
          <w:sz w:val="24"/>
        </w:rPr>
        <w:t>Sm</w:t>
      </w:r>
      <w:proofErr w:type="spellEnd"/>
      <w:r w:rsidRPr="00CD2B08">
        <w:rPr>
          <w:rFonts w:ascii="Times New Roman" w:hAnsi="Times New Roman"/>
          <w:sz w:val="24"/>
        </w:rPr>
        <w:t xml:space="preserve"> 95 at 105 [64 ER 1034 at 1038].</w:t>
      </w:r>
      <w:r>
        <w:rPr>
          <w:rFonts w:ascii="Times New Roman" w:hAnsi="Times New Roman"/>
          <w:sz w:val="24"/>
        </w:rPr>
        <w:t xml:space="preserve"> </w:t>
      </w:r>
      <w:r w:rsidRPr="00CD2B08">
        <w:rPr>
          <w:rFonts w:ascii="Times New Roman" w:hAnsi="Times New Roman"/>
          <w:sz w:val="24"/>
        </w:rPr>
        <w:t xml:space="preserve">See Bullen and </w:t>
      </w:r>
      <w:proofErr w:type="spellStart"/>
      <w:r w:rsidRPr="00CD2B08">
        <w:rPr>
          <w:rFonts w:ascii="Times New Roman" w:hAnsi="Times New Roman"/>
          <w:sz w:val="24"/>
        </w:rPr>
        <w:t>Leake</w:t>
      </w:r>
      <w:proofErr w:type="spellEnd"/>
      <w:r w:rsidRPr="00CD2B08">
        <w:rPr>
          <w:rFonts w:ascii="Times New Roman" w:hAnsi="Times New Roman"/>
          <w:sz w:val="24"/>
        </w:rPr>
        <w:t xml:space="preserve">, </w:t>
      </w:r>
      <w:r w:rsidRPr="00CD2B08">
        <w:rPr>
          <w:rFonts w:ascii="Times New Roman" w:hAnsi="Times New Roman"/>
          <w:i/>
          <w:sz w:val="24"/>
        </w:rPr>
        <w:t>Precedents of Pleadings in Personal Actions in The Superior Courts of Common Law</w:t>
      </w:r>
      <w:r w:rsidRPr="00CD2B08">
        <w:rPr>
          <w:rFonts w:ascii="Times New Roman" w:hAnsi="Times New Roman"/>
          <w:sz w:val="24"/>
        </w:rPr>
        <w:t>, 3rd ed (1868) at 473</w:t>
      </w:r>
      <w:r w:rsidRPr="00CD2B08">
        <w:rPr>
          <w:rFonts w:ascii="Times New Roman" w:hAnsi="Times New Roman"/>
          <w:sz w:val="24"/>
        </w:rPr>
        <w:noBreakHyphen/>
        <w:t>474.</w:t>
      </w:r>
    </w:p>
  </w:footnote>
  <w:footnote w:id="109">
    <w:p w14:paraId="595C14F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t xml:space="preserve">(1747) 3 </w:t>
      </w:r>
      <w:proofErr w:type="spellStart"/>
      <w:r w:rsidRPr="00CD2B08">
        <w:rPr>
          <w:rFonts w:ascii="Times New Roman" w:hAnsi="Times New Roman"/>
          <w:sz w:val="24"/>
        </w:rPr>
        <w:t>Atk</w:t>
      </w:r>
      <w:proofErr w:type="spellEnd"/>
      <w:r w:rsidRPr="00CD2B08">
        <w:rPr>
          <w:rFonts w:ascii="Times New Roman" w:hAnsi="Times New Roman"/>
          <w:sz w:val="24"/>
        </w:rPr>
        <w:t xml:space="preserve"> 587 at 589 [26 ER 1138 at 1140].</w:t>
      </w:r>
    </w:p>
  </w:footnote>
  <w:footnote w:id="110">
    <w:p w14:paraId="3C9D2611"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r>
      <w:proofErr w:type="spellStart"/>
      <w:r w:rsidRPr="00CD2B08">
        <w:rPr>
          <w:rFonts w:ascii="Times New Roman" w:hAnsi="Times New Roman"/>
          <w:sz w:val="24"/>
        </w:rPr>
        <w:t>Beames</w:t>
      </w:r>
      <w:proofErr w:type="spellEnd"/>
      <w:r w:rsidRPr="00CD2B08">
        <w:rPr>
          <w:rFonts w:ascii="Times New Roman" w:hAnsi="Times New Roman"/>
          <w:sz w:val="24"/>
        </w:rPr>
        <w:t xml:space="preserve">, </w:t>
      </w:r>
      <w:r w:rsidRPr="00CD2B08">
        <w:rPr>
          <w:rFonts w:ascii="Times New Roman" w:hAnsi="Times New Roman"/>
          <w:i/>
          <w:sz w:val="24"/>
        </w:rPr>
        <w:t>The General Orders of the High Court of Chancery: From the Year 1600 to the Present Period</w:t>
      </w:r>
      <w:r w:rsidRPr="00CD2B08">
        <w:rPr>
          <w:rFonts w:ascii="Times New Roman" w:hAnsi="Times New Roman"/>
          <w:sz w:val="24"/>
        </w:rPr>
        <w:t xml:space="preserve"> (1815) at 11</w:t>
      </w:r>
      <w:r w:rsidRPr="00CD2B08">
        <w:rPr>
          <w:rFonts w:ascii="Times New Roman" w:hAnsi="Times New Roman"/>
          <w:sz w:val="24"/>
        </w:rPr>
        <w:noBreakHyphen/>
        <w:t xml:space="preserve">12, O 18; </w:t>
      </w:r>
      <w:proofErr w:type="spellStart"/>
      <w:r w:rsidRPr="00CD2B08">
        <w:rPr>
          <w:rFonts w:ascii="Times New Roman" w:hAnsi="Times New Roman"/>
          <w:sz w:val="24"/>
        </w:rPr>
        <w:t>Bohun</w:t>
      </w:r>
      <w:proofErr w:type="spellEnd"/>
      <w:r w:rsidRPr="00CD2B08">
        <w:rPr>
          <w:rFonts w:ascii="Times New Roman" w:hAnsi="Times New Roman"/>
          <w:sz w:val="24"/>
        </w:rPr>
        <w:t xml:space="preserve">, </w:t>
      </w:r>
      <w:r w:rsidRPr="00CD2B08">
        <w:rPr>
          <w:rFonts w:ascii="Times New Roman" w:hAnsi="Times New Roman"/>
          <w:i/>
          <w:sz w:val="24"/>
        </w:rPr>
        <w:t xml:space="preserve">Cursus </w:t>
      </w:r>
      <w:proofErr w:type="spellStart"/>
      <w:r w:rsidRPr="00CD2B08">
        <w:rPr>
          <w:rFonts w:ascii="Times New Roman" w:hAnsi="Times New Roman"/>
          <w:i/>
          <w:sz w:val="24"/>
        </w:rPr>
        <w:t>Cancellariae</w:t>
      </w:r>
      <w:proofErr w:type="spellEnd"/>
      <w:r w:rsidRPr="00CD2B08">
        <w:rPr>
          <w:rFonts w:ascii="Times New Roman" w:hAnsi="Times New Roman"/>
          <w:i/>
          <w:sz w:val="24"/>
        </w:rPr>
        <w:t>; Or, the</w:t>
      </w:r>
      <w:r>
        <w:rPr>
          <w:rFonts w:ascii="Times New Roman" w:hAnsi="Times New Roman"/>
          <w:i/>
          <w:sz w:val="24"/>
        </w:rPr>
        <w:t> </w:t>
      </w:r>
      <w:r w:rsidRPr="00CD2B08">
        <w:rPr>
          <w:rFonts w:ascii="Times New Roman" w:hAnsi="Times New Roman"/>
          <w:i/>
          <w:sz w:val="24"/>
        </w:rPr>
        <w:t>Course of Proceedings In the High Court of Chancery</w:t>
      </w:r>
      <w:r w:rsidRPr="00CD2B08">
        <w:rPr>
          <w:rFonts w:ascii="Times New Roman" w:hAnsi="Times New Roman"/>
          <w:sz w:val="24"/>
        </w:rPr>
        <w:t xml:space="preserve">, 2nd ed (1723) at 349; </w:t>
      </w:r>
      <w:r w:rsidRPr="00CD2B08">
        <w:rPr>
          <w:rFonts w:ascii="Times New Roman" w:hAnsi="Times New Roman"/>
          <w:i/>
          <w:sz w:val="24"/>
        </w:rPr>
        <w:t>Jones</w:t>
      </w:r>
      <w:r>
        <w:rPr>
          <w:rFonts w:ascii="Times New Roman" w:hAnsi="Times New Roman"/>
          <w:i/>
          <w:sz w:val="24"/>
        </w:rPr>
        <w:t> </w:t>
      </w:r>
      <w:r w:rsidRPr="00CD2B08">
        <w:rPr>
          <w:rFonts w:ascii="Times New Roman" w:hAnsi="Times New Roman"/>
          <w:i/>
          <w:sz w:val="24"/>
        </w:rPr>
        <w:t>v Earl of Strafford</w:t>
      </w:r>
      <w:r w:rsidRPr="00CD2B08">
        <w:rPr>
          <w:rFonts w:ascii="Times New Roman" w:hAnsi="Times New Roman"/>
          <w:sz w:val="24"/>
        </w:rPr>
        <w:t xml:space="preserve"> (1730) 3 P </w:t>
      </w:r>
      <w:proofErr w:type="spellStart"/>
      <w:r w:rsidRPr="00CD2B08">
        <w:rPr>
          <w:rFonts w:ascii="Times New Roman" w:hAnsi="Times New Roman"/>
          <w:sz w:val="24"/>
        </w:rPr>
        <w:t>Wms</w:t>
      </w:r>
      <w:proofErr w:type="spellEnd"/>
      <w:r w:rsidRPr="00CD2B08">
        <w:rPr>
          <w:rFonts w:ascii="Times New Roman" w:hAnsi="Times New Roman"/>
          <w:sz w:val="24"/>
        </w:rPr>
        <w:t xml:space="preserve"> 79 at 90 [24 ER 977 at 980</w:t>
      </w:r>
      <w:r w:rsidRPr="00CD2B08">
        <w:rPr>
          <w:rFonts w:ascii="Times New Roman" w:hAnsi="Times New Roman"/>
          <w:sz w:val="24"/>
        </w:rPr>
        <w:noBreakHyphen/>
        <w:t xml:space="preserve">981]; </w:t>
      </w:r>
      <w:proofErr w:type="spellStart"/>
      <w:r w:rsidRPr="00CD2B08">
        <w:rPr>
          <w:rFonts w:ascii="Times New Roman" w:hAnsi="Times New Roman"/>
          <w:i/>
          <w:sz w:val="24"/>
        </w:rPr>
        <w:t>Carwick</w:t>
      </w:r>
      <w:proofErr w:type="spellEnd"/>
      <w:r>
        <w:rPr>
          <w:rFonts w:ascii="Times New Roman" w:hAnsi="Times New Roman"/>
          <w:i/>
          <w:sz w:val="24"/>
        </w:rPr>
        <w:t> </w:t>
      </w:r>
      <w:r w:rsidRPr="00CD2B08">
        <w:rPr>
          <w:rFonts w:ascii="Times New Roman" w:hAnsi="Times New Roman"/>
          <w:i/>
          <w:sz w:val="24"/>
        </w:rPr>
        <w:t>v Young</w:t>
      </w:r>
      <w:r w:rsidRPr="00CD2B08">
        <w:rPr>
          <w:rFonts w:ascii="Times New Roman" w:hAnsi="Times New Roman"/>
          <w:sz w:val="24"/>
        </w:rPr>
        <w:t xml:space="preserve"> (1818) 2 Swans 239 at 243</w:t>
      </w:r>
      <w:r w:rsidRPr="00CD2B08">
        <w:rPr>
          <w:rFonts w:ascii="Times New Roman" w:hAnsi="Times New Roman"/>
          <w:sz w:val="24"/>
        </w:rPr>
        <w:noBreakHyphen/>
        <w:t xml:space="preserve">244 [36 ER 606 at 608]; </w:t>
      </w:r>
      <w:proofErr w:type="spellStart"/>
      <w:r w:rsidRPr="00CD2B08">
        <w:rPr>
          <w:rFonts w:ascii="Times New Roman" w:hAnsi="Times New Roman"/>
          <w:i/>
          <w:sz w:val="24"/>
        </w:rPr>
        <w:t>Ostell</w:t>
      </w:r>
      <w:proofErr w:type="spellEnd"/>
      <w:r w:rsidRPr="00CD2B08">
        <w:rPr>
          <w:rFonts w:ascii="Times New Roman" w:hAnsi="Times New Roman"/>
          <w:i/>
          <w:sz w:val="24"/>
        </w:rPr>
        <w:t xml:space="preserve"> </w:t>
      </w:r>
      <w:r w:rsidRPr="00CD2B08">
        <w:rPr>
          <w:rFonts w:ascii="Times New Roman" w:hAnsi="Times New Roman"/>
          <w:sz w:val="24"/>
        </w:rPr>
        <w:t xml:space="preserve">(1851) 5 De G &amp; </w:t>
      </w:r>
      <w:proofErr w:type="spellStart"/>
      <w:r w:rsidRPr="00CD2B08">
        <w:rPr>
          <w:rFonts w:ascii="Times New Roman" w:hAnsi="Times New Roman"/>
          <w:sz w:val="24"/>
        </w:rPr>
        <w:t>Sm</w:t>
      </w:r>
      <w:proofErr w:type="spellEnd"/>
      <w:r w:rsidRPr="00CD2B08">
        <w:rPr>
          <w:rFonts w:ascii="Times New Roman" w:hAnsi="Times New Roman"/>
          <w:sz w:val="24"/>
        </w:rPr>
        <w:t xml:space="preserve"> 95 at 105 [64 ER 1034 at 1038].</w:t>
      </w:r>
    </w:p>
  </w:footnote>
  <w:footnote w:id="111">
    <w:p w14:paraId="73CA27F3"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r>
      <w:r w:rsidRPr="00CD2B08">
        <w:rPr>
          <w:rFonts w:ascii="Times New Roman" w:hAnsi="Times New Roman"/>
          <w:i/>
          <w:sz w:val="24"/>
        </w:rPr>
        <w:t>Pieters v Thompson</w:t>
      </w:r>
      <w:r w:rsidRPr="00CD2B08">
        <w:rPr>
          <w:rFonts w:ascii="Times New Roman" w:hAnsi="Times New Roman"/>
          <w:sz w:val="24"/>
        </w:rPr>
        <w:t xml:space="preserve"> (1815) G Coop 294 at 294 [35 ER 563 at 563]. </w:t>
      </w:r>
    </w:p>
  </w:footnote>
  <w:footnote w:id="112">
    <w:p w14:paraId="2D6B83F3"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r>
      <w:r w:rsidRPr="00CD2B08">
        <w:rPr>
          <w:rFonts w:ascii="Times New Roman" w:hAnsi="Times New Roman"/>
          <w:i/>
          <w:sz w:val="24"/>
        </w:rPr>
        <w:t>Wedderburn v Wedderburn</w:t>
      </w:r>
      <w:r w:rsidRPr="00CD2B08">
        <w:rPr>
          <w:rFonts w:ascii="Times New Roman" w:hAnsi="Times New Roman"/>
          <w:sz w:val="24"/>
        </w:rPr>
        <w:t xml:space="preserve"> (1840) 2 </w:t>
      </w:r>
      <w:proofErr w:type="spellStart"/>
      <w:r w:rsidRPr="00CD2B08">
        <w:rPr>
          <w:rFonts w:ascii="Times New Roman" w:hAnsi="Times New Roman"/>
          <w:sz w:val="24"/>
        </w:rPr>
        <w:t>Beav</w:t>
      </w:r>
      <w:proofErr w:type="spellEnd"/>
      <w:r w:rsidRPr="00CD2B08">
        <w:rPr>
          <w:rFonts w:ascii="Times New Roman" w:hAnsi="Times New Roman"/>
          <w:sz w:val="24"/>
        </w:rPr>
        <w:t xml:space="preserve"> 208 at 213</w:t>
      </w:r>
      <w:r w:rsidRPr="00CD2B08">
        <w:rPr>
          <w:rFonts w:ascii="Times New Roman" w:hAnsi="Times New Roman"/>
          <w:sz w:val="24"/>
        </w:rPr>
        <w:noBreakHyphen/>
        <w:t>214 [48 ER 1159 at 1161</w:t>
      </w:r>
      <w:r w:rsidRPr="00CD2B08">
        <w:rPr>
          <w:rFonts w:ascii="Times New Roman" w:hAnsi="Times New Roman"/>
          <w:sz w:val="24"/>
        </w:rPr>
        <w:noBreakHyphen/>
        <w:t>1162].</w:t>
      </w:r>
    </w:p>
  </w:footnote>
  <w:footnote w:id="113">
    <w:p w14:paraId="10B1BFB2"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r>
      <w:r w:rsidRPr="00CD2B08">
        <w:rPr>
          <w:rFonts w:ascii="Times New Roman" w:hAnsi="Times New Roman"/>
          <w:i/>
          <w:sz w:val="24"/>
        </w:rPr>
        <w:t>Wedderburn</w:t>
      </w:r>
      <w:r w:rsidRPr="00CD2B08" w:rsidDel="00AF5AEE">
        <w:rPr>
          <w:rFonts w:ascii="Times New Roman" w:hAnsi="Times New Roman"/>
          <w:sz w:val="24"/>
        </w:rPr>
        <w:t xml:space="preserve"> </w:t>
      </w:r>
      <w:r w:rsidRPr="00CD2B08">
        <w:rPr>
          <w:rFonts w:ascii="Times New Roman" w:hAnsi="Times New Roman"/>
          <w:sz w:val="24"/>
        </w:rPr>
        <w:t xml:space="preserve">(1840) 2 </w:t>
      </w:r>
      <w:proofErr w:type="spellStart"/>
      <w:r w:rsidRPr="00CD2B08">
        <w:rPr>
          <w:rFonts w:ascii="Times New Roman" w:hAnsi="Times New Roman"/>
          <w:sz w:val="24"/>
        </w:rPr>
        <w:t>Beav</w:t>
      </w:r>
      <w:proofErr w:type="spellEnd"/>
      <w:r w:rsidRPr="00CD2B08">
        <w:rPr>
          <w:rFonts w:ascii="Times New Roman" w:hAnsi="Times New Roman"/>
          <w:sz w:val="24"/>
        </w:rPr>
        <w:t xml:space="preserve"> 208 at 210 [48 ER 1159 at 1160].</w:t>
      </w:r>
      <w:r>
        <w:rPr>
          <w:rFonts w:ascii="Times New Roman" w:hAnsi="Times New Roman"/>
          <w:sz w:val="24"/>
        </w:rPr>
        <w:t xml:space="preserve"> </w:t>
      </w:r>
      <w:r w:rsidRPr="00CD2B08">
        <w:rPr>
          <w:rFonts w:ascii="Times New Roman" w:hAnsi="Times New Roman"/>
          <w:sz w:val="24"/>
        </w:rPr>
        <w:t xml:space="preserve">See also </w:t>
      </w:r>
      <w:r w:rsidRPr="00CD2B08">
        <w:rPr>
          <w:rFonts w:ascii="Times New Roman" w:hAnsi="Times New Roman"/>
          <w:i/>
          <w:sz w:val="24"/>
        </w:rPr>
        <w:t xml:space="preserve">Harrison v Gurney </w:t>
      </w:r>
      <w:r w:rsidRPr="00CD2B08">
        <w:rPr>
          <w:rFonts w:ascii="Times New Roman" w:hAnsi="Times New Roman"/>
          <w:sz w:val="24"/>
        </w:rPr>
        <w:t xml:space="preserve">(1821) 2 Jac &amp; W 563 at 564-565 [37 ER 743 at 744]; </w:t>
      </w:r>
      <w:r w:rsidRPr="00CD2B08">
        <w:rPr>
          <w:rFonts w:ascii="Times New Roman" w:hAnsi="Times New Roman"/>
          <w:i/>
          <w:sz w:val="24"/>
        </w:rPr>
        <w:t xml:space="preserve">Booth v </w:t>
      </w:r>
      <w:proofErr w:type="spellStart"/>
      <w:r w:rsidRPr="00CD2B08">
        <w:rPr>
          <w:rFonts w:ascii="Times New Roman" w:hAnsi="Times New Roman"/>
          <w:i/>
          <w:sz w:val="24"/>
        </w:rPr>
        <w:t>Leycester</w:t>
      </w:r>
      <w:proofErr w:type="spellEnd"/>
      <w:r w:rsidRPr="00CD2B08">
        <w:rPr>
          <w:rFonts w:ascii="Times New Roman" w:hAnsi="Times New Roman"/>
          <w:i/>
          <w:sz w:val="24"/>
        </w:rPr>
        <w:t xml:space="preserve"> </w:t>
      </w:r>
      <w:r w:rsidRPr="00CD2B08">
        <w:rPr>
          <w:rFonts w:ascii="Times New Roman" w:hAnsi="Times New Roman"/>
          <w:sz w:val="24"/>
        </w:rPr>
        <w:t>(1837) 1 Keen 579 at 580 [48 ER 430 at 431]</w:t>
      </w:r>
      <w:r w:rsidRPr="00CD2B08" w:rsidDel="001131EA">
        <w:rPr>
          <w:rFonts w:ascii="Times New Roman" w:hAnsi="Times New Roman"/>
          <w:sz w:val="24"/>
        </w:rPr>
        <w:t>.</w:t>
      </w:r>
    </w:p>
  </w:footnote>
  <w:footnote w:id="114">
    <w:p w14:paraId="0E13CEE8"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t>(1855) 5 HLC 416 at 437 [10 ER 961 at 970].</w:t>
      </w:r>
    </w:p>
  </w:footnote>
  <w:footnote w:id="115">
    <w:p w14:paraId="28F55973"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t>(1882) 22 Ch D 397 at 400.</w:t>
      </w:r>
    </w:p>
  </w:footnote>
  <w:footnote w:id="116">
    <w:p w14:paraId="677548F9"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r>
      <w:r w:rsidRPr="00CD2B08">
        <w:rPr>
          <w:rFonts w:ascii="Times New Roman" w:hAnsi="Times New Roman"/>
          <w:i/>
          <w:sz w:val="24"/>
        </w:rPr>
        <w:t xml:space="preserve">McHenry </w:t>
      </w:r>
      <w:r w:rsidRPr="00CD2B08">
        <w:rPr>
          <w:rFonts w:ascii="Times New Roman" w:hAnsi="Times New Roman"/>
          <w:sz w:val="24"/>
        </w:rPr>
        <w:t>(1882) 22 Ch D 397 at 399</w:t>
      </w:r>
      <w:r w:rsidRPr="00CD2B08">
        <w:rPr>
          <w:rFonts w:ascii="Times New Roman" w:hAnsi="Times New Roman"/>
          <w:sz w:val="24"/>
        </w:rPr>
        <w:noBreakHyphen/>
        <w:t>400.</w:t>
      </w:r>
      <w:r>
        <w:rPr>
          <w:rFonts w:ascii="Times New Roman" w:hAnsi="Times New Roman"/>
          <w:sz w:val="24"/>
        </w:rPr>
        <w:t xml:space="preserve"> </w:t>
      </w:r>
      <w:r w:rsidRPr="00CD2B08">
        <w:rPr>
          <w:rFonts w:ascii="Times New Roman" w:hAnsi="Times New Roman"/>
          <w:sz w:val="24"/>
        </w:rPr>
        <w:t xml:space="preserve">See also </w:t>
      </w:r>
      <w:r w:rsidRPr="00CD2B08">
        <w:rPr>
          <w:rFonts w:ascii="Times New Roman" w:hAnsi="Times New Roman"/>
          <w:i/>
          <w:sz w:val="24"/>
        </w:rPr>
        <w:t xml:space="preserve">Peruvian Guano Co v </w:t>
      </w:r>
      <w:proofErr w:type="spellStart"/>
      <w:r w:rsidRPr="00CD2B08">
        <w:rPr>
          <w:rFonts w:ascii="Times New Roman" w:hAnsi="Times New Roman"/>
          <w:i/>
          <w:sz w:val="24"/>
        </w:rPr>
        <w:t>Bockwoldt</w:t>
      </w:r>
      <w:proofErr w:type="spellEnd"/>
      <w:r w:rsidRPr="00CD2B08">
        <w:rPr>
          <w:rFonts w:ascii="Times New Roman" w:hAnsi="Times New Roman"/>
          <w:sz w:val="24"/>
        </w:rPr>
        <w:t xml:space="preserve"> (1883) 23 Ch D 225 at 232.</w:t>
      </w:r>
    </w:p>
  </w:footnote>
  <w:footnote w:id="117">
    <w:p w14:paraId="197D5B24"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(1885) 10 PD 141 at 145-147, 153.</w:t>
      </w:r>
    </w:p>
  </w:footnote>
  <w:footnote w:id="118">
    <w:p w14:paraId="791E300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t>(1885) 10 PD 141 at 148.</w:t>
      </w:r>
    </w:p>
  </w:footnote>
  <w:footnote w:id="119">
    <w:p w14:paraId="162515A6"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t>(1885) 10 PD 141 at 153.</w:t>
      </w:r>
    </w:p>
  </w:footnote>
  <w:footnote w:id="120">
    <w:p w14:paraId="27BC2F16"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t xml:space="preserve">See, </w:t>
      </w:r>
      <w:proofErr w:type="spellStart"/>
      <w:r w:rsidRPr="00CD2B08">
        <w:rPr>
          <w:rFonts w:ascii="Times New Roman" w:hAnsi="Times New Roman"/>
          <w:sz w:val="24"/>
        </w:rPr>
        <w:t>eg</w:t>
      </w:r>
      <w:proofErr w:type="spellEnd"/>
      <w:r w:rsidRPr="00CD2B08">
        <w:rPr>
          <w:rFonts w:ascii="Times New Roman" w:hAnsi="Times New Roman"/>
          <w:sz w:val="24"/>
        </w:rPr>
        <w:t xml:space="preserve">, </w:t>
      </w:r>
      <w:r w:rsidRPr="00CD2B08">
        <w:rPr>
          <w:rFonts w:ascii="Times New Roman" w:hAnsi="Times New Roman"/>
          <w:i/>
          <w:sz w:val="24"/>
        </w:rPr>
        <w:t>The "</w:t>
      </w:r>
      <w:proofErr w:type="spellStart"/>
      <w:r w:rsidRPr="00CD2B08">
        <w:rPr>
          <w:rFonts w:ascii="Times New Roman" w:hAnsi="Times New Roman"/>
          <w:i/>
          <w:sz w:val="24"/>
        </w:rPr>
        <w:t>Hartlepool</w:t>
      </w:r>
      <w:proofErr w:type="spellEnd"/>
      <w:r w:rsidRPr="00CD2B08">
        <w:rPr>
          <w:rFonts w:ascii="Times New Roman" w:hAnsi="Times New Roman"/>
          <w:i/>
          <w:sz w:val="24"/>
        </w:rPr>
        <w:t>"</w:t>
      </w:r>
      <w:r w:rsidRPr="00CD2B08">
        <w:rPr>
          <w:rFonts w:ascii="Times New Roman" w:hAnsi="Times New Roman"/>
          <w:sz w:val="24"/>
        </w:rPr>
        <w:t xml:space="preserve"> (1950) 84 </w:t>
      </w:r>
      <w:proofErr w:type="spellStart"/>
      <w:r w:rsidRPr="00CD2B08">
        <w:rPr>
          <w:rFonts w:ascii="Times New Roman" w:hAnsi="Times New Roman"/>
          <w:sz w:val="24"/>
        </w:rPr>
        <w:t>Ll</w:t>
      </w:r>
      <w:proofErr w:type="spellEnd"/>
      <w:r w:rsidRPr="00CD2B08">
        <w:rPr>
          <w:rFonts w:ascii="Times New Roman" w:hAnsi="Times New Roman"/>
          <w:sz w:val="24"/>
        </w:rPr>
        <w:t xml:space="preserve"> L Rep 145 at 146; </w:t>
      </w:r>
      <w:r w:rsidRPr="00CD2B08">
        <w:rPr>
          <w:rFonts w:ascii="Times New Roman" w:hAnsi="Times New Roman"/>
          <w:i/>
          <w:sz w:val="24"/>
        </w:rPr>
        <w:t>The Soya Margareta</w:t>
      </w:r>
      <w:r w:rsidRPr="00CD2B08">
        <w:rPr>
          <w:rFonts w:ascii="Times New Roman" w:hAnsi="Times New Roman"/>
          <w:sz w:val="24"/>
        </w:rPr>
        <w:t xml:space="preserve"> [1961] 1 WLR 709 at 716-717; [1960] 2 All ER 756 at 762.</w:t>
      </w:r>
    </w:p>
  </w:footnote>
  <w:footnote w:id="121">
    <w:p w14:paraId="7967382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proofErr w:type="spellStart"/>
      <w:r w:rsidRPr="00CD2B08">
        <w:rPr>
          <w:rFonts w:ascii="Times New Roman" w:hAnsi="Times New Roman"/>
          <w:sz w:val="24"/>
        </w:rPr>
        <w:t>eg</w:t>
      </w:r>
      <w:proofErr w:type="spellEnd"/>
      <w:r w:rsidRPr="00CD2B08">
        <w:rPr>
          <w:rFonts w:ascii="Times New Roman" w:hAnsi="Times New Roman"/>
          <w:sz w:val="24"/>
        </w:rPr>
        <w:t xml:space="preserve">, </w:t>
      </w:r>
      <w:r w:rsidRPr="00CD2B08">
        <w:rPr>
          <w:rFonts w:ascii="Times New Roman" w:hAnsi="Times New Roman"/>
          <w:i/>
          <w:sz w:val="24"/>
        </w:rPr>
        <w:t xml:space="preserve">Henry </w:t>
      </w:r>
      <w:r w:rsidRPr="00CD2B08">
        <w:rPr>
          <w:rFonts w:ascii="Times New Roman" w:hAnsi="Times New Roman"/>
          <w:sz w:val="24"/>
        </w:rPr>
        <w:t xml:space="preserve">(1996) 185 CLR 571 at 591; </w:t>
      </w:r>
      <w:r w:rsidRPr="00CD2B08">
        <w:rPr>
          <w:rFonts w:ascii="Times New Roman" w:hAnsi="Times New Roman"/>
          <w:i/>
          <w:sz w:val="24"/>
        </w:rPr>
        <w:t xml:space="preserve">CSR </w:t>
      </w:r>
      <w:r w:rsidRPr="00CD2B08">
        <w:rPr>
          <w:rFonts w:ascii="Times New Roman" w:hAnsi="Times New Roman"/>
          <w:sz w:val="24"/>
        </w:rPr>
        <w:t xml:space="preserve">(1997) 189 CLR 345 at 393, quoting </w:t>
      </w:r>
      <w:r w:rsidRPr="00CD2B08">
        <w:rPr>
          <w:rFonts w:ascii="Times New Roman" w:hAnsi="Times New Roman"/>
          <w:i/>
          <w:sz w:val="24"/>
        </w:rPr>
        <w:t>Carron Iron</w:t>
      </w:r>
      <w:r w:rsidRPr="00CD2B08" w:rsidDel="006A790D">
        <w:rPr>
          <w:rFonts w:ascii="Times New Roman" w:hAnsi="Times New Roman"/>
          <w:i/>
          <w:sz w:val="24"/>
        </w:rPr>
        <w:t xml:space="preserve"> </w:t>
      </w:r>
      <w:r w:rsidRPr="00CD2B08">
        <w:rPr>
          <w:rFonts w:ascii="Times New Roman" w:hAnsi="Times New Roman"/>
          <w:sz w:val="24"/>
        </w:rPr>
        <w:t>(1855) 5 HLC 416 at 437 [10 ER 961 at 970].</w:t>
      </w:r>
    </w:p>
  </w:footnote>
  <w:footnote w:id="122">
    <w:p w14:paraId="07E23638"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(1997) 189 CLR 345 at 391.</w:t>
      </w:r>
    </w:p>
  </w:footnote>
  <w:footnote w:id="123">
    <w:p w14:paraId="0C46B42D"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(1988) 165 CLR 197.</w:t>
      </w:r>
    </w:p>
  </w:footnote>
  <w:footnote w:id="124">
    <w:p w14:paraId="0F7ACDCF"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(1988) 165 CLR 197 at 247-248.</w:t>
      </w:r>
    </w:p>
  </w:footnote>
  <w:footnote w:id="125">
    <w:p w14:paraId="75363F29"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(1990) 171 CLR 538 at 564-565.</w:t>
      </w:r>
    </w:p>
  </w:footnote>
  <w:footnote w:id="126">
    <w:p w14:paraId="3D21F43E"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(1996) 185 CLR 571 at 587, 592-593.</w:t>
      </w:r>
    </w:p>
  </w:footnote>
  <w:footnote w:id="127">
    <w:p w14:paraId="5AA3BB2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(1997) 189 CLR 345 at 390-391, 400-401.</w:t>
      </w:r>
    </w:p>
  </w:footnote>
  <w:footnote w:id="128">
    <w:p w14:paraId="56508038"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(1996) 185 CLR 571 at 591.</w:t>
      </w:r>
    </w:p>
  </w:footnote>
  <w:footnote w:id="129">
    <w:p w14:paraId="6953BA22"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(1996) 185 CLR 571 at 591.</w:t>
      </w:r>
    </w:p>
  </w:footnote>
  <w:footnote w:id="130">
    <w:p w14:paraId="4C18A9BB"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Henry </w:t>
      </w:r>
      <w:r w:rsidRPr="00CD2B08">
        <w:rPr>
          <w:rFonts w:ascii="Times New Roman" w:hAnsi="Times New Roman"/>
          <w:sz w:val="24"/>
        </w:rPr>
        <w:t>(1996) 185 CLR 571 at 592-593.</w:t>
      </w:r>
      <w:r>
        <w:rPr>
          <w:rFonts w:ascii="Times New Roman" w:hAnsi="Times New Roman"/>
          <w:sz w:val="24"/>
        </w:rPr>
        <w:t xml:space="preserve"> </w:t>
      </w:r>
      <w:r w:rsidRPr="00CD2B08">
        <w:rPr>
          <w:rFonts w:ascii="Times New Roman" w:hAnsi="Times New Roman"/>
          <w:sz w:val="24"/>
        </w:rPr>
        <w:t xml:space="preserve">See also </w:t>
      </w:r>
      <w:r w:rsidRPr="00CD2B08">
        <w:rPr>
          <w:rFonts w:ascii="Times New Roman" w:hAnsi="Times New Roman"/>
          <w:i/>
          <w:sz w:val="24"/>
        </w:rPr>
        <w:t xml:space="preserve">De </w:t>
      </w:r>
      <w:proofErr w:type="spellStart"/>
      <w:r w:rsidRPr="00CD2B08">
        <w:rPr>
          <w:rFonts w:ascii="Times New Roman" w:hAnsi="Times New Roman"/>
          <w:i/>
          <w:sz w:val="24"/>
        </w:rPr>
        <w:t>Dampierre</w:t>
      </w:r>
      <w:proofErr w:type="spellEnd"/>
      <w:r w:rsidRPr="00CD2B08">
        <w:rPr>
          <w:rFonts w:ascii="Times New Roman" w:hAnsi="Times New Roman"/>
          <w:i/>
          <w:sz w:val="24"/>
        </w:rPr>
        <w:t xml:space="preserve"> v De </w:t>
      </w:r>
      <w:proofErr w:type="spellStart"/>
      <w:r w:rsidRPr="00CD2B08">
        <w:rPr>
          <w:rFonts w:ascii="Times New Roman" w:hAnsi="Times New Roman"/>
          <w:i/>
          <w:sz w:val="24"/>
        </w:rPr>
        <w:t>Dampierre</w:t>
      </w:r>
      <w:proofErr w:type="spellEnd"/>
      <w:r w:rsidRPr="00CD2B08">
        <w:rPr>
          <w:rFonts w:ascii="Times New Roman" w:hAnsi="Times New Roman"/>
          <w:i/>
          <w:sz w:val="24"/>
        </w:rPr>
        <w:t xml:space="preserve"> </w:t>
      </w:r>
      <w:r w:rsidRPr="00CD2B08">
        <w:rPr>
          <w:rFonts w:ascii="Times New Roman" w:hAnsi="Times New Roman"/>
          <w:sz w:val="24"/>
        </w:rPr>
        <w:t>[1988] AC 92 at 108.</w:t>
      </w:r>
    </w:p>
  </w:footnote>
  <w:footnote w:id="131">
    <w:p w14:paraId="69343CAE"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(1878) 9 Ch D 459 at 462</w:t>
      </w:r>
      <w:r w:rsidRPr="00CD2B08">
        <w:rPr>
          <w:rFonts w:ascii="Times New Roman" w:hAnsi="Times New Roman"/>
          <w:sz w:val="24"/>
        </w:rPr>
        <w:noBreakHyphen/>
        <w:t>463.</w:t>
      </w:r>
    </w:p>
  </w:footnote>
  <w:footnote w:id="132">
    <w:p w14:paraId="1408BF92"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(1880) 5 CPD 339 at 340, 342.</w:t>
      </w:r>
    </w:p>
  </w:footnote>
  <w:footnote w:id="133">
    <w:p w14:paraId="2EAA0E2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r>
      <w:r w:rsidRPr="00CD2B08">
        <w:rPr>
          <w:rFonts w:ascii="Times New Roman" w:hAnsi="Times New Roman"/>
          <w:i/>
          <w:sz w:val="24"/>
        </w:rPr>
        <w:t xml:space="preserve">Bennett </w:t>
      </w:r>
      <w:r w:rsidRPr="00CD2B08">
        <w:rPr>
          <w:rFonts w:ascii="Times New Roman" w:hAnsi="Times New Roman"/>
          <w:sz w:val="24"/>
        </w:rPr>
        <w:t>(1880) 5 CPD 339 at 341.</w:t>
      </w:r>
    </w:p>
  </w:footnote>
  <w:footnote w:id="134">
    <w:p w14:paraId="4CED6D91"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r>
      <w:r w:rsidRPr="00CD2B08">
        <w:rPr>
          <w:rFonts w:ascii="Times New Roman" w:hAnsi="Times New Roman"/>
          <w:i/>
          <w:sz w:val="24"/>
        </w:rPr>
        <w:t xml:space="preserve">Bennett </w:t>
      </w:r>
      <w:r w:rsidRPr="00CD2B08">
        <w:rPr>
          <w:rFonts w:ascii="Times New Roman" w:hAnsi="Times New Roman"/>
          <w:sz w:val="24"/>
        </w:rPr>
        <w:t>(1880) 5 CPD 339 at 344 (footnote omitted).</w:t>
      </w:r>
    </w:p>
  </w:footnote>
  <w:footnote w:id="135">
    <w:p w14:paraId="4B91427F"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t>(1882) 22 Ch D 397 at 404.</w:t>
      </w:r>
      <w:r>
        <w:rPr>
          <w:rFonts w:ascii="Times New Roman" w:hAnsi="Times New Roman"/>
          <w:sz w:val="24"/>
        </w:rPr>
        <w:t xml:space="preserve"> </w:t>
      </w:r>
      <w:r w:rsidRPr="00CD2B08">
        <w:rPr>
          <w:rFonts w:ascii="Times New Roman" w:hAnsi="Times New Roman"/>
          <w:sz w:val="24"/>
        </w:rPr>
        <w:t xml:space="preserve">See also </w:t>
      </w:r>
      <w:r w:rsidRPr="00CD2B08">
        <w:rPr>
          <w:rFonts w:ascii="Times New Roman" w:hAnsi="Times New Roman"/>
          <w:i/>
          <w:sz w:val="24"/>
        </w:rPr>
        <w:t xml:space="preserve">Commissioners of Sewers of the City of London v </w:t>
      </w:r>
      <w:proofErr w:type="spellStart"/>
      <w:r w:rsidRPr="00CD2B08">
        <w:rPr>
          <w:rFonts w:ascii="Times New Roman" w:hAnsi="Times New Roman"/>
          <w:i/>
          <w:sz w:val="24"/>
        </w:rPr>
        <w:t>Gellatly</w:t>
      </w:r>
      <w:proofErr w:type="spellEnd"/>
      <w:r w:rsidRPr="00CD2B08">
        <w:rPr>
          <w:rFonts w:ascii="Times New Roman" w:hAnsi="Times New Roman"/>
          <w:sz w:val="24"/>
        </w:rPr>
        <w:t xml:space="preserve"> (1876) 3 Ch D 610 at 615; </w:t>
      </w:r>
      <w:r w:rsidRPr="00CD2B08">
        <w:rPr>
          <w:rFonts w:ascii="Times New Roman" w:hAnsi="Times New Roman"/>
          <w:i/>
          <w:sz w:val="24"/>
        </w:rPr>
        <w:t>Templeton v Leviathan Pty Ltd</w:t>
      </w:r>
      <w:r w:rsidRPr="00CD2B08">
        <w:rPr>
          <w:rFonts w:ascii="Times New Roman" w:hAnsi="Times New Roman"/>
          <w:sz w:val="24"/>
        </w:rPr>
        <w:t xml:space="preserve"> (1921) 30 CLR 34 at 76.</w:t>
      </w:r>
      <w:r>
        <w:rPr>
          <w:rFonts w:ascii="Times New Roman" w:hAnsi="Times New Roman"/>
          <w:sz w:val="24"/>
        </w:rPr>
        <w:t xml:space="preserve"> </w:t>
      </w:r>
      <w:proofErr w:type="spellStart"/>
      <w:r w:rsidRPr="00CD2B08">
        <w:rPr>
          <w:rFonts w:ascii="Times New Roman" w:hAnsi="Times New Roman"/>
          <w:sz w:val="24"/>
        </w:rPr>
        <w:t>cf</w:t>
      </w:r>
      <w:proofErr w:type="spellEnd"/>
      <w:r w:rsidRPr="00CD2B08">
        <w:rPr>
          <w:rFonts w:ascii="Times New Roman" w:hAnsi="Times New Roman"/>
          <w:sz w:val="24"/>
        </w:rPr>
        <w:t> </w:t>
      </w:r>
      <w:r w:rsidRPr="00CD2B08">
        <w:rPr>
          <w:rFonts w:ascii="Times New Roman" w:hAnsi="Times New Roman"/>
          <w:i/>
          <w:sz w:val="24"/>
        </w:rPr>
        <w:t>Reynolds v Reynolds</w:t>
      </w:r>
      <w:r w:rsidRPr="00CD2B08">
        <w:rPr>
          <w:rFonts w:ascii="Times New Roman" w:hAnsi="Times New Roman"/>
          <w:sz w:val="24"/>
        </w:rPr>
        <w:t xml:space="preserve"> [1977] 2 NSWLR 295 at 307.</w:t>
      </w:r>
    </w:p>
  </w:footnote>
  <w:footnote w:id="136">
    <w:p w14:paraId="1EB0CE6B"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(1882) 22 Ch D 397 at 401.</w:t>
      </w:r>
    </w:p>
  </w:footnote>
  <w:footnote w:id="137">
    <w:p w14:paraId="7FEB8EE6"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Amos v Chadwick </w:t>
      </w:r>
      <w:r w:rsidRPr="00CD2B08">
        <w:rPr>
          <w:rFonts w:ascii="Times New Roman" w:hAnsi="Times New Roman"/>
          <w:sz w:val="24"/>
        </w:rPr>
        <w:t xml:space="preserve">(1877) 4 Ch D 869 at 872; </w:t>
      </w:r>
      <w:r w:rsidRPr="00CD2B08">
        <w:rPr>
          <w:rFonts w:ascii="Times New Roman" w:hAnsi="Times New Roman"/>
          <w:i/>
          <w:sz w:val="24"/>
        </w:rPr>
        <w:t xml:space="preserve">Bennett </w:t>
      </w:r>
      <w:r w:rsidRPr="00CD2B08">
        <w:rPr>
          <w:rFonts w:ascii="Times New Roman" w:hAnsi="Times New Roman"/>
          <w:sz w:val="24"/>
        </w:rPr>
        <w:t>(1880) 5 CPD 339 at 342.</w:t>
      </w:r>
    </w:p>
  </w:footnote>
  <w:footnote w:id="138">
    <w:p w14:paraId="0AD5F7F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(1880) 5 CPD 339 at 341, 344.</w:t>
      </w:r>
    </w:p>
  </w:footnote>
  <w:footnote w:id="139">
    <w:p w14:paraId="4D9622C8"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(1882) 22 Ch D 397 at 404.</w:t>
      </w:r>
    </w:p>
  </w:footnote>
  <w:footnote w:id="140">
    <w:p w14:paraId="13C13604"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See [</w:t>
      </w:r>
      <w:r>
        <w:rPr>
          <w:rFonts w:ascii="Times New Roman" w:hAnsi="Times New Roman"/>
          <w:sz w:val="24"/>
        </w:rPr>
        <w:t>9</w:t>
      </w:r>
      <w:r w:rsidRPr="00CD2B08">
        <w:rPr>
          <w:rFonts w:ascii="Times New Roman" w:hAnsi="Times New Roman"/>
          <w:sz w:val="24"/>
        </w:rPr>
        <w:t>1] above.</w:t>
      </w:r>
    </w:p>
  </w:footnote>
  <w:footnote w:id="141">
    <w:p w14:paraId="7641E562"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Carron Iron</w:t>
      </w:r>
      <w:r w:rsidRPr="00CD2B08">
        <w:rPr>
          <w:rFonts w:ascii="Times New Roman" w:hAnsi="Times New Roman"/>
          <w:sz w:val="24"/>
        </w:rPr>
        <w:t xml:space="preserve"> (1855) 5 HLC 416 at 437 [10 ER 961 at 970].</w:t>
      </w:r>
      <w:r>
        <w:rPr>
          <w:rFonts w:ascii="Times New Roman" w:hAnsi="Times New Roman"/>
          <w:sz w:val="24"/>
        </w:rPr>
        <w:t xml:space="preserve"> </w:t>
      </w:r>
      <w:r w:rsidRPr="00CD2B08">
        <w:rPr>
          <w:rFonts w:ascii="Times New Roman" w:hAnsi="Times New Roman"/>
          <w:sz w:val="24"/>
        </w:rPr>
        <w:t xml:space="preserve">See also </w:t>
      </w:r>
      <w:r w:rsidRPr="00CD2B08">
        <w:rPr>
          <w:rFonts w:ascii="Times New Roman" w:hAnsi="Times New Roman"/>
          <w:i/>
          <w:sz w:val="24"/>
        </w:rPr>
        <w:t xml:space="preserve">McHenry </w:t>
      </w:r>
      <w:r w:rsidRPr="00CD2B08">
        <w:rPr>
          <w:rFonts w:ascii="Times New Roman" w:hAnsi="Times New Roman"/>
          <w:sz w:val="24"/>
        </w:rPr>
        <w:t>(1882) 22 Ch D 397 at 405.</w:t>
      </w:r>
    </w:p>
  </w:footnote>
  <w:footnote w:id="142">
    <w:p w14:paraId="5909C7B4"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Carron Iron</w:t>
      </w:r>
      <w:r w:rsidRPr="00CD2B08">
        <w:rPr>
          <w:rFonts w:ascii="Times New Roman" w:hAnsi="Times New Roman"/>
          <w:sz w:val="24"/>
        </w:rPr>
        <w:t xml:space="preserve"> (1855) 5 HLC 416 at 439 [10 ER 961 at 971].</w:t>
      </w:r>
    </w:p>
  </w:footnote>
  <w:footnote w:id="143">
    <w:p w14:paraId="673F1BD4"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Carron Iron</w:t>
      </w:r>
      <w:r w:rsidRPr="00CD2B08">
        <w:rPr>
          <w:rFonts w:ascii="Times New Roman" w:hAnsi="Times New Roman"/>
          <w:sz w:val="24"/>
        </w:rPr>
        <w:t xml:space="preserve"> (1855) 5 HLC 416 at 439 [10 ER 961 at 971].</w:t>
      </w:r>
    </w:p>
  </w:footnote>
  <w:footnote w:id="144">
    <w:p w14:paraId="7B1B933E"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Carron Iron</w:t>
      </w:r>
      <w:r w:rsidRPr="00CD2B08">
        <w:rPr>
          <w:rFonts w:ascii="Times New Roman" w:hAnsi="Times New Roman"/>
          <w:sz w:val="24"/>
        </w:rPr>
        <w:t xml:space="preserve"> (1855) 5 HLC 416 at 437-438 [10 ER 961 at 970].</w:t>
      </w:r>
    </w:p>
  </w:footnote>
  <w:footnote w:id="145">
    <w:p w14:paraId="6BEC9BB2"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Carron Iron</w:t>
      </w:r>
      <w:r w:rsidRPr="00CD2B08">
        <w:rPr>
          <w:rFonts w:ascii="Times New Roman" w:hAnsi="Times New Roman"/>
          <w:sz w:val="24"/>
        </w:rPr>
        <w:t xml:space="preserve"> (1855) 5 HLC 416 at 438 [10 ER 961 at 971].</w:t>
      </w:r>
    </w:p>
  </w:footnote>
  <w:footnote w:id="146">
    <w:p w14:paraId="6F1DE456"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proofErr w:type="spellStart"/>
      <w:r w:rsidRPr="00CD2B08">
        <w:rPr>
          <w:rFonts w:ascii="Times New Roman" w:hAnsi="Times New Roman"/>
          <w:sz w:val="24"/>
        </w:rPr>
        <w:t>eg</w:t>
      </w:r>
      <w:proofErr w:type="spellEnd"/>
      <w:r w:rsidRPr="00CD2B08">
        <w:rPr>
          <w:rFonts w:ascii="Times New Roman" w:hAnsi="Times New Roman"/>
          <w:sz w:val="24"/>
        </w:rPr>
        <w:t xml:space="preserve">, </w:t>
      </w:r>
      <w:r w:rsidRPr="00CD2B08">
        <w:rPr>
          <w:rFonts w:ascii="Times New Roman" w:hAnsi="Times New Roman"/>
          <w:i/>
          <w:sz w:val="24"/>
        </w:rPr>
        <w:t xml:space="preserve">Johnson Tiles Pty Ltd v Esso Australia Ltd </w:t>
      </w:r>
      <w:r w:rsidRPr="00CD2B08">
        <w:rPr>
          <w:rFonts w:ascii="Times New Roman" w:hAnsi="Times New Roman"/>
          <w:sz w:val="24"/>
        </w:rPr>
        <w:t xml:space="preserve">(1999) ATPR ¶41-679; </w:t>
      </w:r>
      <w:r w:rsidRPr="00CD2B08">
        <w:rPr>
          <w:rFonts w:ascii="Times New Roman" w:hAnsi="Times New Roman"/>
          <w:i/>
          <w:sz w:val="24"/>
        </w:rPr>
        <w:t xml:space="preserve">Kirby v Centro Properties Ltd </w:t>
      </w:r>
      <w:r w:rsidRPr="00CD2B08">
        <w:rPr>
          <w:rFonts w:ascii="Times New Roman" w:hAnsi="Times New Roman"/>
          <w:sz w:val="24"/>
        </w:rPr>
        <w:t xml:space="preserve">(2008) 253 ALR 65; </w:t>
      </w:r>
      <w:r w:rsidRPr="00CD2B08">
        <w:rPr>
          <w:rFonts w:ascii="Times New Roman" w:hAnsi="Times New Roman"/>
          <w:i/>
          <w:sz w:val="24"/>
        </w:rPr>
        <w:t>Smith v Australian Executor Trustees Ltd</w:t>
      </w:r>
      <w:r w:rsidRPr="00CD2B08">
        <w:rPr>
          <w:rFonts w:ascii="Times New Roman" w:hAnsi="Times New Roman"/>
          <w:sz w:val="24"/>
        </w:rPr>
        <w:t xml:space="preserve"> [2016] NSWSC 17; </w:t>
      </w:r>
      <w:r w:rsidRPr="00CD2B08">
        <w:rPr>
          <w:rFonts w:ascii="Times New Roman" w:hAnsi="Times New Roman"/>
          <w:i/>
          <w:sz w:val="24"/>
        </w:rPr>
        <w:t>Bellamy's</w:t>
      </w:r>
      <w:r w:rsidRPr="00CD2B08" w:rsidDel="00437BD4">
        <w:rPr>
          <w:rFonts w:ascii="Times New Roman" w:hAnsi="Times New Roman"/>
          <w:i/>
          <w:sz w:val="24"/>
        </w:rPr>
        <w:t xml:space="preserve"> </w:t>
      </w:r>
      <w:r w:rsidRPr="00CD2B08">
        <w:rPr>
          <w:rFonts w:ascii="Times New Roman" w:hAnsi="Times New Roman"/>
          <w:sz w:val="24"/>
        </w:rPr>
        <w:t xml:space="preserve">[2017] FCA 947; </w:t>
      </w:r>
      <w:r w:rsidRPr="00CD2B08">
        <w:rPr>
          <w:rFonts w:ascii="Times New Roman" w:hAnsi="Times New Roman"/>
          <w:i/>
          <w:sz w:val="24"/>
        </w:rPr>
        <w:t xml:space="preserve">Cantor v Audi Australia Pty Ltd [No 2] </w:t>
      </w:r>
      <w:r w:rsidRPr="00CD2B08">
        <w:rPr>
          <w:rFonts w:ascii="Times New Roman" w:hAnsi="Times New Roman"/>
          <w:sz w:val="24"/>
        </w:rPr>
        <w:t xml:space="preserve">[2017] FCA 1042; </w:t>
      </w:r>
      <w:proofErr w:type="spellStart"/>
      <w:r w:rsidRPr="00CD2B08">
        <w:rPr>
          <w:rFonts w:ascii="Times New Roman" w:hAnsi="Times New Roman"/>
          <w:i/>
          <w:sz w:val="24"/>
        </w:rPr>
        <w:t>GetSwift</w:t>
      </w:r>
      <w:proofErr w:type="spellEnd"/>
      <w:r w:rsidRPr="00CD2B08">
        <w:rPr>
          <w:rFonts w:ascii="Times New Roman" w:hAnsi="Times New Roman"/>
          <w:i/>
          <w:sz w:val="24"/>
        </w:rPr>
        <w:t xml:space="preserve"> </w:t>
      </w:r>
      <w:r w:rsidRPr="00CD2B08">
        <w:rPr>
          <w:rFonts w:ascii="Times New Roman" w:hAnsi="Times New Roman"/>
          <w:sz w:val="24"/>
        </w:rPr>
        <w:t xml:space="preserve">(2018) 263 FCR 92; </w:t>
      </w:r>
      <w:proofErr w:type="spellStart"/>
      <w:r w:rsidRPr="00CD2B08">
        <w:rPr>
          <w:rFonts w:ascii="Times New Roman" w:hAnsi="Times New Roman"/>
          <w:i/>
          <w:sz w:val="24"/>
        </w:rPr>
        <w:t>Wileypark</w:t>
      </w:r>
      <w:proofErr w:type="spellEnd"/>
      <w:r w:rsidRPr="00CD2B08">
        <w:rPr>
          <w:rFonts w:ascii="Times New Roman" w:hAnsi="Times New Roman"/>
          <w:sz w:val="24"/>
        </w:rPr>
        <w:t xml:space="preserve"> (2018) 265 FCR 1.</w:t>
      </w:r>
    </w:p>
  </w:footnote>
  <w:footnote w:id="147">
    <w:p w14:paraId="68CDAE00"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ab/>
        <w:t>These include:</w:t>
      </w:r>
      <w:r>
        <w:rPr>
          <w:rFonts w:ascii="Times New Roman" w:hAnsi="Times New Roman"/>
          <w:sz w:val="24"/>
        </w:rPr>
        <w:t xml:space="preserve"> </w:t>
      </w:r>
      <w:r w:rsidRPr="00CD2B08">
        <w:rPr>
          <w:rFonts w:ascii="Times New Roman" w:hAnsi="Times New Roman"/>
          <w:sz w:val="24"/>
        </w:rPr>
        <w:t>consolidating the proceedings; de-classing one or more of the proceedings; holding a joint trial of all proceedings with each left constituted as open class proceedings; and closing the classes in one or more of the proceedings but leaving one of the proceedings as an open class proceeding, with a joint trial of all:</w:t>
      </w:r>
      <w:r>
        <w:rPr>
          <w:rFonts w:ascii="Times New Roman" w:hAnsi="Times New Roman"/>
          <w:sz w:val="24"/>
        </w:rPr>
        <w:t xml:space="preserve"> </w:t>
      </w:r>
      <w:r w:rsidRPr="00CD2B08">
        <w:rPr>
          <w:rFonts w:ascii="Times New Roman" w:hAnsi="Times New Roman"/>
          <w:sz w:val="24"/>
        </w:rPr>
        <w:t xml:space="preserve">see, </w:t>
      </w:r>
      <w:proofErr w:type="spellStart"/>
      <w:r w:rsidRPr="00CD2B08">
        <w:rPr>
          <w:rFonts w:ascii="Times New Roman" w:hAnsi="Times New Roman"/>
          <w:sz w:val="24"/>
        </w:rPr>
        <w:t>eg</w:t>
      </w:r>
      <w:proofErr w:type="spellEnd"/>
      <w:r w:rsidRPr="00CD2B08">
        <w:rPr>
          <w:rFonts w:ascii="Times New Roman" w:hAnsi="Times New Roman"/>
          <w:sz w:val="24"/>
        </w:rPr>
        <w:t xml:space="preserve">, </w:t>
      </w:r>
      <w:r w:rsidRPr="00CD2B08">
        <w:rPr>
          <w:rFonts w:ascii="Times New Roman" w:hAnsi="Times New Roman"/>
          <w:i/>
          <w:sz w:val="24"/>
        </w:rPr>
        <w:t>Bellamy's</w:t>
      </w:r>
      <w:r w:rsidRPr="00CD2B08">
        <w:rPr>
          <w:rFonts w:ascii="Times New Roman" w:hAnsi="Times New Roman"/>
          <w:sz w:val="24"/>
        </w:rPr>
        <w:t xml:space="preserve"> [2017] FCA 947 at [9</w:t>
      </w:r>
      <w:r w:rsidRPr="00CD2B08" w:rsidDel="003D37F7">
        <w:rPr>
          <w:rFonts w:ascii="Times New Roman" w:hAnsi="Times New Roman"/>
          <w:sz w:val="24"/>
        </w:rPr>
        <w:t>]</w:t>
      </w:r>
      <w:r w:rsidRPr="00CD2B08">
        <w:rPr>
          <w:rFonts w:ascii="Times New Roman" w:hAnsi="Times New Roman"/>
          <w:sz w:val="24"/>
        </w:rPr>
        <w:t xml:space="preserve">; </w:t>
      </w:r>
      <w:r w:rsidRPr="00CD2B08">
        <w:rPr>
          <w:rFonts w:ascii="Times New Roman" w:hAnsi="Times New Roman"/>
          <w:i/>
          <w:sz w:val="24"/>
        </w:rPr>
        <w:t xml:space="preserve">Cantor </w:t>
      </w:r>
      <w:r w:rsidRPr="00CD2B08">
        <w:rPr>
          <w:rFonts w:ascii="Times New Roman" w:hAnsi="Times New Roman"/>
          <w:sz w:val="24"/>
        </w:rPr>
        <w:t xml:space="preserve">[2017] FCA 1042 at [75]; </w:t>
      </w:r>
      <w:proofErr w:type="spellStart"/>
      <w:r w:rsidRPr="00CD2B08">
        <w:rPr>
          <w:rFonts w:ascii="Times New Roman" w:hAnsi="Times New Roman"/>
          <w:i/>
          <w:sz w:val="24"/>
        </w:rPr>
        <w:t>GetSwift</w:t>
      </w:r>
      <w:proofErr w:type="spellEnd"/>
      <w:r w:rsidRPr="00CD2B08">
        <w:rPr>
          <w:rFonts w:ascii="Times New Roman" w:hAnsi="Times New Roman"/>
          <w:i/>
          <w:sz w:val="24"/>
        </w:rPr>
        <w:t xml:space="preserve"> </w:t>
      </w:r>
      <w:r w:rsidRPr="00CD2B08">
        <w:rPr>
          <w:rFonts w:ascii="Times New Roman" w:hAnsi="Times New Roman"/>
          <w:sz w:val="24"/>
        </w:rPr>
        <w:t>(2018) 263 FCR 92 at 105</w:t>
      </w:r>
      <w:r w:rsidRPr="00CD2B08">
        <w:rPr>
          <w:rFonts w:ascii="Times New Roman" w:hAnsi="Times New Roman"/>
          <w:sz w:val="24"/>
        </w:rPr>
        <w:noBreakHyphen/>
        <w:t xml:space="preserve">110 [44]-[70]; </w:t>
      </w:r>
      <w:r w:rsidRPr="00CD2B08">
        <w:rPr>
          <w:rFonts w:ascii="Times New Roman" w:hAnsi="Times New Roman"/>
          <w:i/>
          <w:sz w:val="24"/>
        </w:rPr>
        <w:t xml:space="preserve">Southernwood v Brambles Ltd </w:t>
      </w:r>
      <w:r w:rsidRPr="00CD2B08">
        <w:rPr>
          <w:rFonts w:ascii="Times New Roman" w:hAnsi="Times New Roman"/>
          <w:sz w:val="24"/>
        </w:rPr>
        <w:t>(2019) 137</w:t>
      </w:r>
      <w:r>
        <w:rPr>
          <w:rFonts w:ascii="Times New Roman" w:hAnsi="Times New Roman"/>
          <w:sz w:val="24"/>
        </w:rPr>
        <w:t> </w:t>
      </w:r>
      <w:r w:rsidRPr="00CD2B08">
        <w:rPr>
          <w:rFonts w:ascii="Times New Roman" w:hAnsi="Times New Roman"/>
          <w:sz w:val="24"/>
        </w:rPr>
        <w:t xml:space="preserve">ACSR 540 at 545 [20]; </w:t>
      </w:r>
      <w:proofErr w:type="spellStart"/>
      <w:r w:rsidRPr="00CD2B08">
        <w:rPr>
          <w:rFonts w:ascii="Times New Roman" w:hAnsi="Times New Roman"/>
          <w:i/>
          <w:sz w:val="24"/>
        </w:rPr>
        <w:t>Wigmans</w:t>
      </w:r>
      <w:proofErr w:type="spellEnd"/>
      <w:r w:rsidRPr="00CD2B08">
        <w:rPr>
          <w:rFonts w:ascii="Times New Roman" w:hAnsi="Times New Roman"/>
          <w:i/>
          <w:sz w:val="24"/>
        </w:rPr>
        <w:t xml:space="preserve"> v AMP Ltd</w:t>
      </w:r>
      <w:r w:rsidRPr="00CD2B08">
        <w:rPr>
          <w:rFonts w:ascii="Times New Roman" w:hAnsi="Times New Roman"/>
          <w:sz w:val="24"/>
        </w:rPr>
        <w:t xml:space="preserve"> (2019) 373 ALR 323 at 326 [7]</w:t>
      </w:r>
      <w:r w:rsidRPr="00CD2B08" w:rsidDel="001269B0">
        <w:rPr>
          <w:rFonts w:ascii="Times New Roman" w:hAnsi="Times New Roman"/>
          <w:sz w:val="24"/>
        </w:rPr>
        <w:t>.</w:t>
      </w:r>
      <w:r>
        <w:rPr>
          <w:rFonts w:ascii="Times New Roman" w:hAnsi="Times New Roman"/>
          <w:sz w:val="24"/>
        </w:rPr>
        <w:t xml:space="preserve"> </w:t>
      </w:r>
    </w:p>
  </w:footnote>
  <w:footnote w:id="148">
    <w:p w14:paraId="3599327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Union Steamship Co of New Zealand Ltd v The </w:t>
      </w:r>
      <w:proofErr w:type="spellStart"/>
      <w:r w:rsidRPr="00CD2B08">
        <w:rPr>
          <w:rFonts w:ascii="Times New Roman" w:hAnsi="Times New Roman"/>
          <w:i/>
          <w:sz w:val="24"/>
        </w:rPr>
        <w:t>Caradale</w:t>
      </w:r>
      <w:proofErr w:type="spellEnd"/>
      <w:r w:rsidRPr="00CD2B08">
        <w:rPr>
          <w:rFonts w:ascii="Times New Roman" w:hAnsi="Times New Roman"/>
          <w:sz w:val="24"/>
        </w:rPr>
        <w:t xml:space="preserve"> (1937) 56 CLR 277 at 281.</w:t>
      </w:r>
    </w:p>
  </w:footnote>
  <w:footnote w:id="149">
    <w:p w14:paraId="5131810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(2018) 263 FCR 92 at 126 [150].</w:t>
      </w:r>
    </w:p>
  </w:footnote>
  <w:footnote w:id="150">
    <w:p w14:paraId="732FD12A"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proofErr w:type="spellStart"/>
      <w:r w:rsidRPr="00CD2B08">
        <w:rPr>
          <w:rFonts w:ascii="Times New Roman" w:hAnsi="Times New Roman"/>
          <w:i/>
          <w:sz w:val="24"/>
        </w:rPr>
        <w:t>Wigmans</w:t>
      </w:r>
      <w:proofErr w:type="spellEnd"/>
      <w:r w:rsidRPr="00CD2B08">
        <w:rPr>
          <w:rFonts w:ascii="Times New Roman" w:hAnsi="Times New Roman"/>
          <w:i/>
          <w:sz w:val="24"/>
        </w:rPr>
        <w:t xml:space="preserve"> </w:t>
      </w:r>
      <w:r w:rsidRPr="00CD2B08">
        <w:rPr>
          <w:rFonts w:ascii="Times New Roman" w:hAnsi="Times New Roman"/>
          <w:sz w:val="24"/>
        </w:rPr>
        <w:t>(2019) 373 ALR 323 at 341 [83].</w:t>
      </w:r>
    </w:p>
  </w:footnote>
  <w:footnote w:id="151">
    <w:p w14:paraId="0C78407B"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58(2)(b)(ii).</w:t>
      </w:r>
    </w:p>
  </w:footnote>
  <w:footnote w:id="152">
    <w:p w14:paraId="7C4E6AD9"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proofErr w:type="spellStart"/>
      <w:r w:rsidRPr="00CD2B08">
        <w:rPr>
          <w:rFonts w:ascii="Times New Roman" w:hAnsi="Times New Roman"/>
          <w:sz w:val="24"/>
        </w:rPr>
        <w:t>eg</w:t>
      </w:r>
      <w:proofErr w:type="spellEnd"/>
      <w:r w:rsidRPr="00CD2B08">
        <w:rPr>
          <w:rFonts w:ascii="Times New Roman" w:hAnsi="Times New Roman"/>
          <w:sz w:val="24"/>
        </w:rPr>
        <w:t xml:space="preserve">, </w:t>
      </w:r>
      <w:proofErr w:type="spellStart"/>
      <w:r w:rsidRPr="00CD2B08">
        <w:rPr>
          <w:rFonts w:ascii="Times New Roman" w:hAnsi="Times New Roman"/>
          <w:i/>
          <w:sz w:val="24"/>
        </w:rPr>
        <w:t>GetSwift</w:t>
      </w:r>
      <w:proofErr w:type="spellEnd"/>
      <w:r w:rsidRPr="00CD2B08">
        <w:rPr>
          <w:rFonts w:ascii="Times New Roman" w:hAnsi="Times New Roman"/>
          <w:i/>
          <w:sz w:val="24"/>
        </w:rPr>
        <w:t xml:space="preserve"> First Instance </w:t>
      </w:r>
      <w:r w:rsidRPr="00CD2B08">
        <w:rPr>
          <w:rFonts w:ascii="Times New Roman" w:hAnsi="Times New Roman"/>
          <w:sz w:val="24"/>
        </w:rPr>
        <w:t xml:space="preserve">(2018) 263 FCR 1 at 48-49 [169]; </w:t>
      </w:r>
      <w:proofErr w:type="spellStart"/>
      <w:r w:rsidRPr="00CD2B08">
        <w:rPr>
          <w:rFonts w:ascii="Times New Roman" w:hAnsi="Times New Roman"/>
          <w:i/>
          <w:sz w:val="24"/>
        </w:rPr>
        <w:t>GetSwift</w:t>
      </w:r>
      <w:proofErr w:type="spellEnd"/>
      <w:r w:rsidRPr="00CD2B08">
        <w:rPr>
          <w:rFonts w:ascii="Times New Roman" w:hAnsi="Times New Roman"/>
          <w:i/>
          <w:sz w:val="24"/>
        </w:rPr>
        <w:t xml:space="preserve"> </w:t>
      </w:r>
      <w:r w:rsidRPr="00CD2B08">
        <w:rPr>
          <w:rFonts w:ascii="Times New Roman" w:hAnsi="Times New Roman"/>
          <w:sz w:val="24"/>
        </w:rPr>
        <w:t>(2018) 263 FCR 92 at 136 [195].</w:t>
      </w:r>
    </w:p>
  </w:footnote>
  <w:footnote w:id="153">
    <w:p w14:paraId="67660190"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See [</w:t>
      </w:r>
      <w:r>
        <w:rPr>
          <w:rFonts w:ascii="Times New Roman" w:hAnsi="Times New Roman"/>
          <w:sz w:val="24"/>
        </w:rPr>
        <w:t>6</w:t>
      </w:r>
      <w:r w:rsidRPr="00CD2B08">
        <w:rPr>
          <w:rFonts w:ascii="Times New Roman" w:hAnsi="Times New Roman"/>
          <w:sz w:val="24"/>
        </w:rPr>
        <w:t>0] above.</w:t>
      </w:r>
    </w:p>
  </w:footnote>
  <w:footnote w:id="154">
    <w:p w14:paraId="4F56DF88"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Shin Kobe Maru</w:t>
      </w:r>
      <w:r w:rsidRPr="00CD2B08" w:rsidDel="00950C13">
        <w:rPr>
          <w:rFonts w:ascii="Times New Roman" w:hAnsi="Times New Roman"/>
          <w:i/>
          <w:sz w:val="24"/>
        </w:rPr>
        <w:t xml:space="preserve"> </w:t>
      </w:r>
      <w:r w:rsidRPr="00CD2B08">
        <w:rPr>
          <w:rFonts w:ascii="Times New Roman" w:hAnsi="Times New Roman"/>
          <w:sz w:val="24"/>
        </w:rPr>
        <w:t xml:space="preserve">(1994) 181 CLR 404 at 421; </w:t>
      </w:r>
      <w:r w:rsidRPr="00CD2B08">
        <w:rPr>
          <w:rFonts w:ascii="Times New Roman" w:hAnsi="Times New Roman"/>
          <w:i/>
          <w:sz w:val="24"/>
        </w:rPr>
        <w:t>Australian Building and Construction Commissioner v Construction, Forestry, Mining and Energy Union</w:t>
      </w:r>
      <w:r w:rsidRPr="00CD2B08">
        <w:rPr>
          <w:rFonts w:ascii="Times New Roman" w:hAnsi="Times New Roman"/>
          <w:sz w:val="24"/>
        </w:rPr>
        <w:t xml:space="preserve"> (2018) 262 CLR 157 at 190</w:t>
      </w:r>
      <w:r w:rsidRPr="00CD2B08">
        <w:rPr>
          <w:rFonts w:ascii="Times New Roman" w:hAnsi="Times New Roman"/>
          <w:sz w:val="24"/>
        </w:rPr>
        <w:noBreakHyphen/>
        <w:t xml:space="preserve">191 [103]; </w:t>
      </w:r>
      <w:r w:rsidRPr="00CD2B08">
        <w:rPr>
          <w:rFonts w:ascii="Times New Roman" w:hAnsi="Times New Roman"/>
          <w:i/>
          <w:sz w:val="24"/>
        </w:rPr>
        <w:t xml:space="preserve">Brewster </w:t>
      </w:r>
      <w:r w:rsidRPr="00CD2B08">
        <w:rPr>
          <w:rFonts w:ascii="Times New Roman" w:hAnsi="Times New Roman"/>
          <w:sz w:val="24"/>
        </w:rPr>
        <w:t xml:space="preserve">(2019) 94 ALJR 51 at 64 [43]; 374 ALR 627 at 637, quoting </w:t>
      </w:r>
      <w:r w:rsidRPr="00CD2B08">
        <w:rPr>
          <w:rFonts w:ascii="Times New Roman" w:hAnsi="Times New Roman"/>
          <w:i/>
          <w:sz w:val="24"/>
        </w:rPr>
        <w:t xml:space="preserve">Wong v </w:t>
      </w:r>
      <w:proofErr w:type="spellStart"/>
      <w:r w:rsidRPr="00CD2B08">
        <w:rPr>
          <w:rFonts w:ascii="Times New Roman" w:hAnsi="Times New Roman"/>
          <w:i/>
          <w:sz w:val="24"/>
        </w:rPr>
        <w:t>Silkfield</w:t>
      </w:r>
      <w:proofErr w:type="spellEnd"/>
      <w:r w:rsidRPr="00CD2B08">
        <w:rPr>
          <w:rFonts w:ascii="Times New Roman" w:hAnsi="Times New Roman"/>
          <w:i/>
          <w:sz w:val="24"/>
        </w:rPr>
        <w:t xml:space="preserve"> Pty Ltd </w:t>
      </w:r>
      <w:r w:rsidRPr="00CD2B08">
        <w:rPr>
          <w:rFonts w:ascii="Times New Roman" w:hAnsi="Times New Roman"/>
          <w:sz w:val="24"/>
        </w:rPr>
        <w:t>(1999) 199 CLR 255 at 261 [</w:t>
      </w:r>
      <w:r w:rsidRPr="00CD2B08" w:rsidDel="00F644EF">
        <w:rPr>
          <w:rFonts w:ascii="Times New Roman" w:hAnsi="Times New Roman"/>
          <w:sz w:val="24"/>
        </w:rPr>
        <w:t>1</w:t>
      </w:r>
      <w:r w:rsidRPr="00CD2B08">
        <w:rPr>
          <w:rFonts w:ascii="Times New Roman" w:hAnsi="Times New Roman"/>
          <w:sz w:val="24"/>
        </w:rPr>
        <w:t>2].</w:t>
      </w:r>
    </w:p>
  </w:footnote>
  <w:footnote w:id="155">
    <w:p w14:paraId="52CA45AA"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CPA, s 166(2)(b). </w:t>
      </w:r>
    </w:p>
  </w:footnote>
  <w:footnote w:id="156">
    <w:p w14:paraId="34DF5BC2"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Macedonian Orthodox Community Church St </w:t>
      </w:r>
      <w:proofErr w:type="spellStart"/>
      <w:r w:rsidRPr="00CD2B08">
        <w:rPr>
          <w:rFonts w:ascii="Times New Roman" w:hAnsi="Times New Roman"/>
          <w:i/>
          <w:sz w:val="24"/>
        </w:rPr>
        <w:t>Petka</w:t>
      </w:r>
      <w:proofErr w:type="spellEnd"/>
      <w:r w:rsidRPr="00CD2B08">
        <w:rPr>
          <w:rFonts w:ascii="Times New Roman" w:hAnsi="Times New Roman"/>
          <w:i/>
          <w:sz w:val="24"/>
        </w:rPr>
        <w:t xml:space="preserve"> Inc v His Eminence </w:t>
      </w:r>
      <w:proofErr w:type="spellStart"/>
      <w:r w:rsidRPr="00CD2B08">
        <w:rPr>
          <w:rFonts w:ascii="Times New Roman" w:hAnsi="Times New Roman"/>
          <w:i/>
          <w:sz w:val="24"/>
        </w:rPr>
        <w:t>Petar</w:t>
      </w:r>
      <w:proofErr w:type="spellEnd"/>
      <w:r w:rsidRPr="00CD2B08">
        <w:rPr>
          <w:rFonts w:ascii="Times New Roman" w:hAnsi="Times New Roman"/>
          <w:i/>
          <w:sz w:val="24"/>
        </w:rPr>
        <w:t xml:space="preserve"> Diocesan Bishop of Macedonian Orthodox Diocese of Australia and New Zealand </w:t>
      </w:r>
      <w:r w:rsidRPr="00CD2B08">
        <w:rPr>
          <w:rFonts w:ascii="Times New Roman" w:hAnsi="Times New Roman"/>
          <w:sz w:val="24"/>
        </w:rPr>
        <w:t>(2008) 237 CLR 66 at 85-86 [44]-[45].</w:t>
      </w:r>
      <w:r>
        <w:rPr>
          <w:rFonts w:ascii="Times New Roman" w:hAnsi="Times New Roman"/>
          <w:sz w:val="24"/>
        </w:rPr>
        <w:t xml:space="preserve"> </w:t>
      </w:r>
      <w:r w:rsidRPr="00CD2B08">
        <w:rPr>
          <w:rFonts w:ascii="Times New Roman" w:hAnsi="Times New Roman"/>
          <w:sz w:val="24"/>
        </w:rPr>
        <w:t xml:space="preserve">See </w:t>
      </w:r>
      <w:r w:rsidRPr="00CD2B08">
        <w:rPr>
          <w:rFonts w:ascii="Times New Roman" w:hAnsi="Times New Roman"/>
          <w:i/>
          <w:sz w:val="24"/>
        </w:rPr>
        <w:t xml:space="preserve">In re </w:t>
      </w:r>
      <w:proofErr w:type="spellStart"/>
      <w:r w:rsidRPr="00CD2B08">
        <w:rPr>
          <w:rFonts w:ascii="Times New Roman" w:hAnsi="Times New Roman"/>
          <w:i/>
          <w:sz w:val="24"/>
        </w:rPr>
        <w:t>Dallaway</w:t>
      </w:r>
      <w:proofErr w:type="spellEnd"/>
      <w:r w:rsidRPr="00CD2B08">
        <w:rPr>
          <w:rFonts w:ascii="Times New Roman" w:hAnsi="Times New Roman"/>
          <w:i/>
          <w:sz w:val="24"/>
        </w:rPr>
        <w:t xml:space="preserve"> </w:t>
      </w:r>
      <w:r w:rsidRPr="00CD2B08">
        <w:rPr>
          <w:rFonts w:ascii="Times New Roman" w:hAnsi="Times New Roman"/>
          <w:sz w:val="24"/>
        </w:rPr>
        <w:t xml:space="preserve">[1982] 1 WLR 756 at 759; [1982] 3 All ER 118 at 121; </w:t>
      </w:r>
      <w:r w:rsidRPr="00CD2B08">
        <w:rPr>
          <w:rFonts w:ascii="Times New Roman" w:hAnsi="Times New Roman"/>
          <w:i/>
          <w:sz w:val="24"/>
        </w:rPr>
        <w:t xml:space="preserve">In re Evans </w:t>
      </w:r>
      <w:r w:rsidRPr="00CD2B08">
        <w:rPr>
          <w:rFonts w:ascii="Times New Roman" w:hAnsi="Times New Roman"/>
          <w:sz w:val="24"/>
        </w:rPr>
        <w:t>[1986] 1 WLR 101 at 107; [1985] 3</w:t>
      </w:r>
      <w:r>
        <w:rPr>
          <w:rFonts w:ascii="Times New Roman" w:hAnsi="Times New Roman"/>
          <w:sz w:val="24"/>
        </w:rPr>
        <w:t> </w:t>
      </w:r>
      <w:r w:rsidRPr="00CD2B08">
        <w:rPr>
          <w:rFonts w:ascii="Times New Roman" w:hAnsi="Times New Roman"/>
          <w:sz w:val="24"/>
        </w:rPr>
        <w:t>All ER 289 at 293.</w:t>
      </w:r>
      <w:r>
        <w:rPr>
          <w:rFonts w:ascii="Times New Roman" w:hAnsi="Times New Roman"/>
          <w:sz w:val="24"/>
        </w:rPr>
        <w:t xml:space="preserve"> </w:t>
      </w:r>
      <w:r w:rsidRPr="00CD2B08">
        <w:rPr>
          <w:rFonts w:ascii="Times New Roman" w:hAnsi="Times New Roman"/>
          <w:sz w:val="24"/>
        </w:rPr>
        <w:t xml:space="preserve">See also </w:t>
      </w:r>
      <w:r w:rsidRPr="00CD2B08">
        <w:rPr>
          <w:rFonts w:ascii="Times New Roman" w:hAnsi="Times New Roman"/>
          <w:i/>
          <w:sz w:val="24"/>
        </w:rPr>
        <w:t xml:space="preserve">Alsop Wilkinson v Neary </w:t>
      </w:r>
      <w:r w:rsidRPr="00CD2B08">
        <w:rPr>
          <w:rFonts w:ascii="Times New Roman" w:hAnsi="Times New Roman"/>
          <w:sz w:val="24"/>
        </w:rPr>
        <w:t>[1996] 1 WLR 1220 at 1224</w:t>
      </w:r>
      <w:r>
        <w:rPr>
          <w:rFonts w:ascii="Times New Roman" w:hAnsi="Times New Roman"/>
          <w:sz w:val="24"/>
        </w:rPr>
        <w:noBreakHyphen/>
      </w:r>
      <w:r w:rsidRPr="00CD2B08">
        <w:rPr>
          <w:rFonts w:ascii="Times New Roman" w:hAnsi="Times New Roman"/>
          <w:sz w:val="24"/>
        </w:rPr>
        <w:t>1225; [1995] 1 All ER 431 at 434</w:t>
      </w:r>
      <w:r w:rsidRPr="00CD2B08">
        <w:rPr>
          <w:rFonts w:ascii="Times New Roman" w:hAnsi="Times New Roman"/>
          <w:sz w:val="24"/>
        </w:rPr>
        <w:noBreakHyphen/>
        <w:t xml:space="preserve">435; </w:t>
      </w:r>
      <w:r w:rsidRPr="00CD2B08">
        <w:rPr>
          <w:rFonts w:ascii="Times New Roman" w:hAnsi="Times New Roman"/>
          <w:i/>
          <w:sz w:val="24"/>
        </w:rPr>
        <w:t xml:space="preserve">Application of Macedonian Orthodox Community Church St </w:t>
      </w:r>
      <w:proofErr w:type="spellStart"/>
      <w:r w:rsidRPr="00CD2B08">
        <w:rPr>
          <w:rFonts w:ascii="Times New Roman" w:hAnsi="Times New Roman"/>
          <w:i/>
          <w:sz w:val="24"/>
        </w:rPr>
        <w:t>Petka</w:t>
      </w:r>
      <w:proofErr w:type="spellEnd"/>
      <w:r w:rsidRPr="00CD2B08">
        <w:rPr>
          <w:rFonts w:ascii="Times New Roman" w:hAnsi="Times New Roman"/>
          <w:i/>
          <w:sz w:val="24"/>
        </w:rPr>
        <w:t xml:space="preserve"> Inc [No 3]</w:t>
      </w:r>
      <w:r w:rsidRPr="00CD2B08">
        <w:rPr>
          <w:rFonts w:ascii="Times New Roman" w:hAnsi="Times New Roman"/>
          <w:sz w:val="24"/>
        </w:rPr>
        <w:t xml:space="preserve"> [2006] NSWSC 1247 at [62].</w:t>
      </w:r>
    </w:p>
  </w:footnote>
  <w:footnote w:id="157">
    <w:p w14:paraId="77CFE283"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Corporations Act</w:t>
      </w:r>
      <w:r w:rsidRPr="00CD2B08">
        <w:rPr>
          <w:rFonts w:ascii="Times New Roman" w:hAnsi="Times New Roman"/>
          <w:sz w:val="24"/>
        </w:rPr>
        <w:t>, Sch 2, ss 90-15 and 90-20.</w:t>
      </w:r>
      <w:r>
        <w:rPr>
          <w:rFonts w:ascii="Times New Roman" w:hAnsi="Times New Roman"/>
          <w:sz w:val="24"/>
        </w:rPr>
        <w:t xml:space="preserve"> </w:t>
      </w:r>
      <w:r w:rsidRPr="00CD2B08">
        <w:rPr>
          <w:rFonts w:ascii="Times New Roman" w:hAnsi="Times New Roman"/>
          <w:sz w:val="24"/>
        </w:rPr>
        <w:t>See </w:t>
      </w:r>
      <w:r w:rsidRPr="00CD2B08">
        <w:rPr>
          <w:rFonts w:ascii="Times New Roman" w:hAnsi="Times New Roman"/>
          <w:i/>
          <w:sz w:val="24"/>
        </w:rPr>
        <w:t xml:space="preserve">Re Great Southern Managers Australia Ltd (In </w:t>
      </w:r>
      <w:proofErr w:type="spellStart"/>
      <w:r w:rsidRPr="00CD2B08">
        <w:rPr>
          <w:rFonts w:ascii="Times New Roman" w:hAnsi="Times New Roman"/>
          <w:i/>
          <w:sz w:val="24"/>
        </w:rPr>
        <w:t>liq</w:t>
      </w:r>
      <w:proofErr w:type="spellEnd"/>
      <w:r w:rsidRPr="00CD2B08">
        <w:rPr>
          <w:rFonts w:ascii="Times New Roman" w:hAnsi="Times New Roman"/>
          <w:i/>
          <w:sz w:val="24"/>
        </w:rPr>
        <w:t>); Ex </w:t>
      </w:r>
      <w:proofErr w:type="spellStart"/>
      <w:r w:rsidRPr="00CD2B08">
        <w:rPr>
          <w:rFonts w:ascii="Times New Roman" w:hAnsi="Times New Roman"/>
          <w:i/>
          <w:sz w:val="24"/>
        </w:rPr>
        <w:t>parte</w:t>
      </w:r>
      <w:proofErr w:type="spellEnd"/>
      <w:r w:rsidRPr="00CD2B08">
        <w:rPr>
          <w:rFonts w:ascii="Times New Roman" w:hAnsi="Times New Roman"/>
          <w:i/>
          <w:sz w:val="24"/>
        </w:rPr>
        <w:t xml:space="preserve"> Jones </w:t>
      </w:r>
      <w:r w:rsidRPr="00CD2B08">
        <w:rPr>
          <w:rFonts w:ascii="Times New Roman" w:hAnsi="Times New Roman"/>
          <w:sz w:val="24"/>
        </w:rPr>
        <w:t>(2014) 9 BFRA 555 at 568</w:t>
      </w:r>
      <w:r w:rsidRPr="00CD2B08">
        <w:rPr>
          <w:rFonts w:ascii="Times New Roman" w:hAnsi="Times New Roman"/>
          <w:sz w:val="24"/>
        </w:rPr>
        <w:noBreakHyphen/>
        <w:t xml:space="preserve">569 [63]; </w:t>
      </w:r>
      <w:r w:rsidRPr="00CD2B08">
        <w:rPr>
          <w:rFonts w:ascii="Times New Roman" w:hAnsi="Times New Roman"/>
          <w:i/>
          <w:sz w:val="24"/>
        </w:rPr>
        <w:t>Re</w:t>
      </w:r>
      <w:r>
        <w:rPr>
          <w:rFonts w:ascii="Times New Roman" w:hAnsi="Times New Roman"/>
          <w:i/>
          <w:sz w:val="24"/>
        </w:rPr>
        <w:t> </w:t>
      </w:r>
      <w:r w:rsidRPr="00CD2B08">
        <w:rPr>
          <w:rFonts w:ascii="Times New Roman" w:hAnsi="Times New Roman"/>
          <w:i/>
          <w:sz w:val="24"/>
        </w:rPr>
        <w:t xml:space="preserve">McDermott and Potts </w:t>
      </w:r>
      <w:r w:rsidRPr="00CD2B08">
        <w:rPr>
          <w:rFonts w:ascii="Times New Roman" w:hAnsi="Times New Roman"/>
          <w:sz w:val="24"/>
        </w:rPr>
        <w:t>[2019] VSCA 23 at [90].</w:t>
      </w:r>
    </w:p>
  </w:footnote>
  <w:footnote w:id="158">
    <w:p w14:paraId="7D31AEE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Leigh re King Bros </w:t>
      </w:r>
      <w:r w:rsidRPr="00CD2B08">
        <w:rPr>
          <w:rFonts w:ascii="Times New Roman" w:hAnsi="Times New Roman"/>
          <w:sz w:val="24"/>
        </w:rPr>
        <w:t xml:space="preserve">[2006] NSWSC 315 at [25]; </w:t>
      </w:r>
      <w:r w:rsidRPr="00CD2B08">
        <w:rPr>
          <w:rFonts w:ascii="Times New Roman" w:hAnsi="Times New Roman"/>
          <w:i/>
          <w:sz w:val="24"/>
        </w:rPr>
        <w:t xml:space="preserve">Fortress Credit Corporation (Australia) II Pty Ltd v Fletcher </w:t>
      </w:r>
      <w:r w:rsidRPr="00CD2B08">
        <w:rPr>
          <w:rFonts w:ascii="Times New Roman" w:hAnsi="Times New Roman"/>
          <w:sz w:val="24"/>
        </w:rPr>
        <w:t xml:space="preserve">(2011) 281 ALR 38 at 43 [24]; </w:t>
      </w:r>
      <w:r w:rsidRPr="00CD2B08">
        <w:rPr>
          <w:rFonts w:ascii="Times New Roman" w:hAnsi="Times New Roman"/>
          <w:i/>
          <w:sz w:val="24"/>
        </w:rPr>
        <w:t>Deputy Commissioner of Taxation, in the matter of ACN 154 520 199 Pty Ltd (In </w:t>
      </w:r>
      <w:proofErr w:type="spellStart"/>
      <w:r w:rsidRPr="00CD2B08">
        <w:rPr>
          <w:rFonts w:ascii="Times New Roman" w:hAnsi="Times New Roman"/>
          <w:i/>
          <w:sz w:val="24"/>
        </w:rPr>
        <w:t>liq</w:t>
      </w:r>
      <w:proofErr w:type="spellEnd"/>
      <w:r w:rsidRPr="00CD2B08">
        <w:rPr>
          <w:rFonts w:ascii="Times New Roman" w:hAnsi="Times New Roman"/>
          <w:i/>
          <w:sz w:val="24"/>
        </w:rPr>
        <w:t>) v ACN</w:t>
      </w:r>
      <w:r>
        <w:rPr>
          <w:rFonts w:ascii="Times New Roman" w:hAnsi="Times New Roman"/>
          <w:i/>
          <w:sz w:val="24"/>
        </w:rPr>
        <w:t> </w:t>
      </w:r>
      <w:r w:rsidRPr="00CD2B08">
        <w:rPr>
          <w:rFonts w:ascii="Times New Roman" w:hAnsi="Times New Roman"/>
          <w:i/>
          <w:sz w:val="24"/>
        </w:rPr>
        <w:t xml:space="preserve">154 520 199 Pty Ltd (In </w:t>
      </w:r>
      <w:proofErr w:type="spellStart"/>
      <w:r w:rsidRPr="00CD2B08">
        <w:rPr>
          <w:rFonts w:ascii="Times New Roman" w:hAnsi="Times New Roman"/>
          <w:i/>
          <w:sz w:val="24"/>
        </w:rPr>
        <w:t>liq</w:t>
      </w:r>
      <w:proofErr w:type="spellEnd"/>
      <w:r w:rsidRPr="00CD2B08">
        <w:rPr>
          <w:rFonts w:ascii="Times New Roman" w:hAnsi="Times New Roman"/>
          <w:i/>
          <w:sz w:val="24"/>
        </w:rPr>
        <w:t xml:space="preserve">) [No 2] </w:t>
      </w:r>
      <w:r w:rsidRPr="00CD2B08">
        <w:rPr>
          <w:rFonts w:ascii="Times New Roman" w:hAnsi="Times New Roman"/>
          <w:sz w:val="24"/>
        </w:rPr>
        <w:t>[2017] FCA 755 at [26].</w:t>
      </w:r>
    </w:p>
  </w:footnote>
  <w:footnote w:id="159">
    <w:p w14:paraId="760FC2BC"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Application by Beaumont </w:t>
      </w:r>
      <w:r w:rsidRPr="00CD2B08">
        <w:rPr>
          <w:rFonts w:ascii="Times New Roman" w:hAnsi="Times New Roman"/>
          <w:sz w:val="24"/>
        </w:rPr>
        <w:t xml:space="preserve">[2018] NSWSC 1705 at [13]-[18]. </w:t>
      </w:r>
    </w:p>
  </w:footnote>
  <w:footnote w:id="160">
    <w:p w14:paraId="55AE9903"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proofErr w:type="spellStart"/>
      <w:r w:rsidRPr="00CD2B08">
        <w:rPr>
          <w:rFonts w:ascii="Times New Roman" w:hAnsi="Times New Roman"/>
          <w:sz w:val="24"/>
        </w:rPr>
        <w:t>eg</w:t>
      </w:r>
      <w:proofErr w:type="spellEnd"/>
      <w:r w:rsidRPr="00CD2B08">
        <w:rPr>
          <w:rFonts w:ascii="Times New Roman" w:hAnsi="Times New Roman"/>
          <w:sz w:val="24"/>
        </w:rPr>
        <w:t xml:space="preserve">, </w:t>
      </w:r>
      <w:r w:rsidRPr="00CD2B08">
        <w:rPr>
          <w:rFonts w:ascii="Times New Roman" w:hAnsi="Times New Roman"/>
          <w:i/>
          <w:sz w:val="24"/>
        </w:rPr>
        <w:t xml:space="preserve">Permanent Trustee Co Ltd v Mills </w:t>
      </w:r>
      <w:r w:rsidRPr="00CD2B08">
        <w:rPr>
          <w:rFonts w:ascii="Times New Roman" w:hAnsi="Times New Roman"/>
          <w:sz w:val="24"/>
        </w:rPr>
        <w:t xml:space="preserve">(2007) 71 NSWLR 1 at 5 [29]; </w:t>
      </w:r>
      <w:r w:rsidRPr="00CD2B08">
        <w:rPr>
          <w:rFonts w:ascii="Times New Roman" w:hAnsi="Times New Roman"/>
          <w:i/>
          <w:sz w:val="24"/>
        </w:rPr>
        <w:t xml:space="preserve">Fisher by her tutor Fisher v Marin </w:t>
      </w:r>
      <w:r w:rsidRPr="00CD2B08">
        <w:rPr>
          <w:rFonts w:ascii="Times New Roman" w:hAnsi="Times New Roman"/>
          <w:sz w:val="24"/>
        </w:rPr>
        <w:t xml:space="preserve">[2008] NSWSC 1357 at [29]; </w:t>
      </w:r>
      <w:proofErr w:type="spellStart"/>
      <w:r w:rsidRPr="00CD2B08">
        <w:rPr>
          <w:rFonts w:ascii="Times New Roman" w:hAnsi="Times New Roman"/>
          <w:i/>
          <w:sz w:val="24"/>
        </w:rPr>
        <w:t>Elderfield</w:t>
      </w:r>
      <w:proofErr w:type="spellEnd"/>
      <w:r w:rsidRPr="00CD2B08">
        <w:rPr>
          <w:rFonts w:ascii="Times New Roman" w:hAnsi="Times New Roman"/>
          <w:i/>
          <w:sz w:val="24"/>
        </w:rPr>
        <w:t xml:space="preserve"> (by her litigation guardian </w:t>
      </w:r>
      <w:proofErr w:type="spellStart"/>
      <w:r w:rsidRPr="00CD2B08">
        <w:rPr>
          <w:rFonts w:ascii="Times New Roman" w:hAnsi="Times New Roman"/>
          <w:i/>
          <w:sz w:val="24"/>
        </w:rPr>
        <w:t>Visentin</w:t>
      </w:r>
      <w:proofErr w:type="spellEnd"/>
      <w:r w:rsidRPr="00CD2B08">
        <w:rPr>
          <w:rFonts w:ascii="Times New Roman" w:hAnsi="Times New Roman"/>
          <w:i/>
          <w:sz w:val="24"/>
        </w:rPr>
        <w:t xml:space="preserve">) v Transport Accident Commission </w:t>
      </w:r>
      <w:r w:rsidRPr="00CD2B08">
        <w:rPr>
          <w:rFonts w:ascii="Times New Roman" w:hAnsi="Times New Roman"/>
          <w:sz w:val="24"/>
        </w:rPr>
        <w:t xml:space="preserve">(2010) 55 MVR 206 at 209 [20]; </w:t>
      </w:r>
      <w:r w:rsidRPr="00CD2B08">
        <w:rPr>
          <w:rFonts w:ascii="Times New Roman" w:hAnsi="Times New Roman"/>
          <w:i/>
          <w:sz w:val="24"/>
        </w:rPr>
        <w:t xml:space="preserve">Stephens-Sidebottom v Victoria (Department of Education and Early Childhood Development) </w:t>
      </w:r>
      <w:r w:rsidRPr="00CD2B08">
        <w:rPr>
          <w:rFonts w:ascii="Times New Roman" w:hAnsi="Times New Roman"/>
          <w:sz w:val="24"/>
        </w:rPr>
        <w:t xml:space="preserve">[2011] FCA 893 at [12]; </w:t>
      </w:r>
      <w:r w:rsidRPr="00CD2B08">
        <w:rPr>
          <w:rFonts w:ascii="Times New Roman" w:hAnsi="Times New Roman"/>
          <w:i/>
          <w:sz w:val="24"/>
        </w:rPr>
        <w:t>Fairhurst (</w:t>
      </w:r>
      <w:proofErr w:type="spellStart"/>
      <w:r w:rsidRPr="00CD2B08">
        <w:rPr>
          <w:rFonts w:ascii="Times New Roman" w:hAnsi="Times New Roman"/>
          <w:i/>
          <w:sz w:val="24"/>
        </w:rPr>
        <w:t>bht</w:t>
      </w:r>
      <w:proofErr w:type="spellEnd"/>
      <w:r w:rsidRPr="00CD2B08">
        <w:rPr>
          <w:rFonts w:ascii="Times New Roman" w:hAnsi="Times New Roman"/>
          <w:i/>
          <w:sz w:val="24"/>
        </w:rPr>
        <w:t xml:space="preserve"> NSW Trustee and Guardian) v Fairhurst</w:t>
      </w:r>
      <w:r w:rsidRPr="00CD2B08">
        <w:rPr>
          <w:rFonts w:ascii="Times New Roman" w:hAnsi="Times New Roman"/>
          <w:sz w:val="24"/>
        </w:rPr>
        <w:t xml:space="preserve"> [2012] NSWSC 388 at [30]-[38].</w:t>
      </w:r>
    </w:p>
  </w:footnote>
  <w:footnote w:id="161">
    <w:p w14:paraId="2630E58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See [</w:t>
      </w:r>
      <w:r>
        <w:rPr>
          <w:rFonts w:ascii="Times New Roman" w:hAnsi="Times New Roman"/>
          <w:sz w:val="24"/>
        </w:rPr>
        <w:t>6</w:t>
      </w:r>
      <w:r w:rsidRPr="00CD2B08">
        <w:rPr>
          <w:rFonts w:ascii="Times New Roman" w:hAnsi="Times New Roman"/>
          <w:sz w:val="24"/>
        </w:rPr>
        <w:t>3] above.</w:t>
      </w:r>
    </w:p>
  </w:footnote>
  <w:footnote w:id="162">
    <w:p w14:paraId="3CE232ED"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proofErr w:type="spellStart"/>
      <w:r w:rsidRPr="00CD2B08">
        <w:rPr>
          <w:rFonts w:ascii="Times New Roman" w:hAnsi="Times New Roman"/>
          <w:i/>
          <w:sz w:val="24"/>
        </w:rPr>
        <w:t>Wigmans</w:t>
      </w:r>
      <w:proofErr w:type="spellEnd"/>
      <w:r w:rsidRPr="00CD2B08">
        <w:rPr>
          <w:rFonts w:ascii="Times New Roman" w:hAnsi="Times New Roman"/>
          <w:i/>
          <w:sz w:val="24"/>
        </w:rPr>
        <w:t xml:space="preserve"> </w:t>
      </w:r>
      <w:r w:rsidRPr="00CD2B08">
        <w:rPr>
          <w:rFonts w:ascii="Times New Roman" w:hAnsi="Times New Roman"/>
          <w:sz w:val="24"/>
        </w:rPr>
        <w:t>(2019) 373 ALR 323 at 344 [95].</w:t>
      </w:r>
      <w:r>
        <w:rPr>
          <w:rFonts w:ascii="Times New Roman" w:hAnsi="Times New Roman"/>
          <w:sz w:val="24"/>
        </w:rPr>
        <w:t xml:space="preserve"> </w:t>
      </w:r>
      <w:r w:rsidRPr="00CD2B08">
        <w:rPr>
          <w:rFonts w:ascii="Times New Roman" w:hAnsi="Times New Roman"/>
          <w:sz w:val="24"/>
        </w:rPr>
        <w:t xml:space="preserve">See also </w:t>
      </w:r>
      <w:proofErr w:type="spellStart"/>
      <w:r w:rsidRPr="00CD2B08">
        <w:rPr>
          <w:rFonts w:ascii="Times New Roman" w:hAnsi="Times New Roman"/>
          <w:i/>
          <w:sz w:val="24"/>
        </w:rPr>
        <w:t>Wileypark</w:t>
      </w:r>
      <w:proofErr w:type="spellEnd"/>
      <w:r w:rsidRPr="00CD2B08">
        <w:rPr>
          <w:rFonts w:ascii="Times New Roman" w:hAnsi="Times New Roman"/>
          <w:sz w:val="24"/>
        </w:rPr>
        <w:t xml:space="preserve"> (2018) 265 FCR 1 at 8 [17]. </w:t>
      </w:r>
    </w:p>
  </w:footnote>
  <w:footnote w:id="163">
    <w:p w14:paraId="4CC8817E"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proofErr w:type="spellStart"/>
      <w:r w:rsidRPr="00CD2B08">
        <w:rPr>
          <w:rFonts w:ascii="Times New Roman" w:hAnsi="Times New Roman"/>
          <w:i/>
          <w:sz w:val="24"/>
        </w:rPr>
        <w:t>Wileypark</w:t>
      </w:r>
      <w:proofErr w:type="spellEnd"/>
      <w:r w:rsidRPr="00CD2B08">
        <w:rPr>
          <w:rFonts w:ascii="Times New Roman" w:hAnsi="Times New Roman"/>
          <w:sz w:val="24"/>
        </w:rPr>
        <w:t xml:space="preserve"> (2018) 265 FCR 1 at 8 [18]; </w:t>
      </w:r>
      <w:r w:rsidRPr="00CD2B08">
        <w:rPr>
          <w:rFonts w:ascii="Times New Roman" w:hAnsi="Times New Roman"/>
          <w:i/>
          <w:sz w:val="24"/>
        </w:rPr>
        <w:t xml:space="preserve">Kelly v Scenic Tours Pty Ltd </w:t>
      </w:r>
      <w:r w:rsidRPr="00CD2B08">
        <w:rPr>
          <w:rFonts w:ascii="Times New Roman" w:hAnsi="Times New Roman"/>
          <w:sz w:val="24"/>
        </w:rPr>
        <w:t xml:space="preserve">[2019] NSWSC 1266 at [97]; </w:t>
      </w:r>
      <w:proofErr w:type="spellStart"/>
      <w:r w:rsidRPr="00CD2B08">
        <w:rPr>
          <w:rFonts w:ascii="Times New Roman" w:hAnsi="Times New Roman"/>
          <w:i/>
          <w:sz w:val="24"/>
        </w:rPr>
        <w:t>Wigmans</w:t>
      </w:r>
      <w:proofErr w:type="spellEnd"/>
      <w:r w:rsidRPr="00CD2B08">
        <w:rPr>
          <w:rFonts w:ascii="Times New Roman" w:hAnsi="Times New Roman"/>
          <w:sz w:val="24"/>
        </w:rPr>
        <w:t xml:space="preserve"> (2019) 373 ALR 323 at 337 [62]; </w:t>
      </w:r>
      <w:r w:rsidRPr="00CD2B08">
        <w:rPr>
          <w:rFonts w:ascii="Times New Roman" w:hAnsi="Times New Roman"/>
          <w:i/>
          <w:sz w:val="24"/>
        </w:rPr>
        <w:t xml:space="preserve">Stallard v Treasury Wine Estates Ltd </w:t>
      </w:r>
      <w:r w:rsidRPr="00CD2B08">
        <w:rPr>
          <w:rFonts w:ascii="Times New Roman" w:hAnsi="Times New Roman"/>
          <w:sz w:val="24"/>
        </w:rPr>
        <w:t>[2020] VSC 679 at [20].</w:t>
      </w:r>
    </w:p>
  </w:footnote>
  <w:footnote w:id="164">
    <w:p w14:paraId="431C9EFB"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r w:rsidRPr="00CD2B08">
        <w:rPr>
          <w:rFonts w:ascii="Times New Roman" w:hAnsi="Times New Roman"/>
          <w:i/>
          <w:sz w:val="24"/>
        </w:rPr>
        <w:t xml:space="preserve">Tomlinson v Ramsey Food Processing Pty Ltd </w:t>
      </w:r>
      <w:r w:rsidRPr="00CD2B08">
        <w:rPr>
          <w:rFonts w:ascii="Times New Roman" w:hAnsi="Times New Roman"/>
          <w:sz w:val="24"/>
        </w:rPr>
        <w:t xml:space="preserve">(2015) 256 CLR 507 at 524 [40]; </w:t>
      </w:r>
      <w:proofErr w:type="spellStart"/>
      <w:r w:rsidRPr="00CD2B08">
        <w:rPr>
          <w:rStyle w:val="Emphasis"/>
          <w:rFonts w:ascii="Times New Roman" w:hAnsi="Times New Roman"/>
          <w:sz w:val="24"/>
        </w:rPr>
        <w:t>Dyczynski</w:t>
      </w:r>
      <w:proofErr w:type="spellEnd"/>
      <w:r w:rsidRPr="00CD2B08">
        <w:rPr>
          <w:rStyle w:val="Emphasis"/>
          <w:rFonts w:ascii="Times New Roman" w:hAnsi="Times New Roman"/>
          <w:sz w:val="24"/>
        </w:rPr>
        <w:t xml:space="preserve"> v Gibson </w:t>
      </w:r>
      <w:r w:rsidRPr="00CD2B08">
        <w:rPr>
          <w:rFonts w:ascii="Times New Roman" w:hAnsi="Times New Roman"/>
          <w:sz w:val="24"/>
        </w:rPr>
        <w:t>(2020) 381 ALR 1 at 50 [209].</w:t>
      </w:r>
    </w:p>
  </w:footnote>
  <w:footnote w:id="165">
    <w:p w14:paraId="3C0BE5B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Kirby </w:t>
      </w:r>
      <w:r w:rsidRPr="00CD2B08">
        <w:rPr>
          <w:rFonts w:ascii="Times New Roman" w:hAnsi="Times New Roman"/>
          <w:sz w:val="24"/>
        </w:rPr>
        <w:t xml:space="preserve">(2008) 253 ALR 65 at 67 [4]-[6], 68 [9], 72 [30], [32]; </w:t>
      </w:r>
      <w:proofErr w:type="spellStart"/>
      <w:r w:rsidRPr="00CD2B08">
        <w:rPr>
          <w:rFonts w:ascii="Times New Roman" w:hAnsi="Times New Roman"/>
          <w:i/>
          <w:sz w:val="24"/>
        </w:rPr>
        <w:t>Wileypark</w:t>
      </w:r>
      <w:proofErr w:type="spellEnd"/>
      <w:r w:rsidRPr="00CD2B08">
        <w:rPr>
          <w:rFonts w:ascii="Times New Roman" w:hAnsi="Times New Roman"/>
          <w:sz w:val="24"/>
        </w:rPr>
        <w:t xml:space="preserve"> (2018) 265</w:t>
      </w:r>
      <w:r>
        <w:rPr>
          <w:rFonts w:ascii="Times New Roman" w:hAnsi="Times New Roman"/>
          <w:sz w:val="24"/>
        </w:rPr>
        <w:t> </w:t>
      </w:r>
      <w:r w:rsidRPr="00CD2B08">
        <w:rPr>
          <w:rFonts w:ascii="Times New Roman" w:hAnsi="Times New Roman"/>
          <w:sz w:val="24"/>
        </w:rPr>
        <w:t>FCR 1 at 4 [2], 8 [15].</w:t>
      </w:r>
      <w:r>
        <w:rPr>
          <w:rFonts w:ascii="Times New Roman" w:hAnsi="Times New Roman"/>
          <w:sz w:val="24"/>
        </w:rPr>
        <w:t xml:space="preserve"> </w:t>
      </w:r>
      <w:r w:rsidRPr="00CD2B08">
        <w:rPr>
          <w:rFonts w:ascii="Times New Roman" w:hAnsi="Times New Roman"/>
          <w:sz w:val="24"/>
        </w:rPr>
        <w:t xml:space="preserve">See also </w:t>
      </w:r>
      <w:proofErr w:type="spellStart"/>
      <w:r w:rsidRPr="00CD2B08">
        <w:rPr>
          <w:rFonts w:ascii="Times New Roman" w:hAnsi="Times New Roman"/>
          <w:i/>
          <w:sz w:val="24"/>
        </w:rPr>
        <w:t>GetSwift</w:t>
      </w:r>
      <w:proofErr w:type="spellEnd"/>
      <w:r w:rsidRPr="00CD2B08">
        <w:rPr>
          <w:rFonts w:ascii="Times New Roman" w:hAnsi="Times New Roman"/>
          <w:i/>
          <w:sz w:val="24"/>
        </w:rPr>
        <w:t xml:space="preserve"> </w:t>
      </w:r>
      <w:r w:rsidRPr="00CD2B08">
        <w:rPr>
          <w:rFonts w:ascii="Times New Roman" w:hAnsi="Times New Roman"/>
          <w:sz w:val="24"/>
        </w:rPr>
        <w:t xml:space="preserve">(2018) 263 FCR 92 at 120-121 [119]; </w:t>
      </w:r>
      <w:proofErr w:type="spellStart"/>
      <w:r w:rsidRPr="00CD2B08">
        <w:rPr>
          <w:rFonts w:ascii="Times New Roman" w:hAnsi="Times New Roman"/>
          <w:i/>
          <w:sz w:val="24"/>
        </w:rPr>
        <w:t>Impiombato</w:t>
      </w:r>
      <w:proofErr w:type="spellEnd"/>
      <w:r w:rsidRPr="00CD2B08">
        <w:rPr>
          <w:rFonts w:ascii="Times New Roman" w:hAnsi="Times New Roman"/>
          <w:i/>
          <w:sz w:val="24"/>
        </w:rPr>
        <w:t xml:space="preserve"> v BHP Billiton Ltd [No 2] </w:t>
      </w:r>
      <w:r w:rsidRPr="00CD2B08">
        <w:rPr>
          <w:rFonts w:ascii="Times New Roman" w:hAnsi="Times New Roman"/>
          <w:sz w:val="24"/>
        </w:rPr>
        <w:t xml:space="preserve">(2018) 364 ALR 162 at 186 [111]; </w:t>
      </w:r>
      <w:proofErr w:type="spellStart"/>
      <w:r w:rsidRPr="00CD2B08">
        <w:rPr>
          <w:rFonts w:ascii="Times New Roman" w:hAnsi="Times New Roman"/>
          <w:i/>
          <w:sz w:val="24"/>
        </w:rPr>
        <w:t>Wigmans</w:t>
      </w:r>
      <w:proofErr w:type="spellEnd"/>
      <w:r w:rsidRPr="00CD2B08">
        <w:rPr>
          <w:rFonts w:ascii="Times New Roman" w:hAnsi="Times New Roman"/>
          <w:i/>
          <w:sz w:val="24"/>
        </w:rPr>
        <w:t xml:space="preserve"> v AMP Ltd </w:t>
      </w:r>
      <w:r w:rsidRPr="00CD2B08">
        <w:rPr>
          <w:rFonts w:ascii="Times New Roman" w:hAnsi="Times New Roman"/>
          <w:sz w:val="24"/>
        </w:rPr>
        <w:t xml:space="preserve">[2019] NSWSC 603 at [335]; </w:t>
      </w:r>
      <w:r w:rsidRPr="00CD2B08">
        <w:rPr>
          <w:rFonts w:ascii="Times New Roman" w:hAnsi="Times New Roman"/>
          <w:i/>
          <w:sz w:val="24"/>
        </w:rPr>
        <w:t xml:space="preserve">Stallard </w:t>
      </w:r>
      <w:r w:rsidRPr="00CD2B08">
        <w:rPr>
          <w:rFonts w:ascii="Times New Roman" w:hAnsi="Times New Roman"/>
          <w:sz w:val="24"/>
        </w:rPr>
        <w:t xml:space="preserve">[2020] VSC 679 at [5]; </w:t>
      </w:r>
      <w:r>
        <w:rPr>
          <w:rFonts w:ascii="Times New Roman" w:hAnsi="Times New Roman"/>
          <w:i/>
          <w:sz w:val="24"/>
        </w:rPr>
        <w:t>Merricks</w:t>
      </w:r>
      <w:r w:rsidRPr="00CD2B08">
        <w:rPr>
          <w:rFonts w:ascii="Times New Roman" w:hAnsi="Times New Roman"/>
          <w:i/>
          <w:sz w:val="24"/>
        </w:rPr>
        <w:t xml:space="preserve"> </w:t>
      </w:r>
      <w:r w:rsidRPr="00CD2B08">
        <w:rPr>
          <w:rFonts w:ascii="Times New Roman" w:hAnsi="Times New Roman"/>
          <w:sz w:val="24"/>
        </w:rPr>
        <w:t>[202</w:t>
      </w:r>
      <w:r>
        <w:rPr>
          <w:rFonts w:ascii="Times New Roman" w:hAnsi="Times New Roman"/>
          <w:sz w:val="24"/>
        </w:rPr>
        <w:t>1</w:t>
      </w:r>
      <w:r w:rsidRPr="00CD2B08">
        <w:rPr>
          <w:rFonts w:ascii="Times New Roman" w:hAnsi="Times New Roman"/>
          <w:sz w:val="24"/>
        </w:rPr>
        <w:t xml:space="preserve">] </w:t>
      </w:r>
      <w:r>
        <w:rPr>
          <w:rFonts w:ascii="Times New Roman" w:hAnsi="Times New Roman"/>
          <w:sz w:val="24"/>
        </w:rPr>
        <w:t>Bus LR 25</w:t>
      </w:r>
      <w:r w:rsidRPr="00CD2B08">
        <w:rPr>
          <w:rFonts w:ascii="Times New Roman" w:hAnsi="Times New Roman"/>
          <w:sz w:val="24"/>
        </w:rPr>
        <w:t xml:space="preserve"> at </w:t>
      </w:r>
      <w:r>
        <w:rPr>
          <w:rFonts w:ascii="Times New Roman" w:hAnsi="Times New Roman"/>
          <w:sz w:val="24"/>
        </w:rPr>
        <w:t xml:space="preserve">57 </w:t>
      </w:r>
      <w:r w:rsidRPr="00CD2B08">
        <w:rPr>
          <w:rFonts w:ascii="Times New Roman" w:hAnsi="Times New Roman"/>
          <w:sz w:val="24"/>
        </w:rPr>
        <w:t>[98].</w:t>
      </w:r>
    </w:p>
  </w:footnote>
  <w:footnote w:id="166">
    <w:p w14:paraId="2F7871DA"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UCPR</w:t>
      </w:r>
      <w:r w:rsidRPr="00CD2B08">
        <w:rPr>
          <w:rFonts w:ascii="Times New Roman" w:hAnsi="Times New Roman"/>
          <w:sz w:val="24"/>
        </w:rPr>
        <w:t xml:space="preserve">, </w:t>
      </w:r>
      <w:proofErr w:type="spellStart"/>
      <w:r w:rsidRPr="00CD2B08">
        <w:rPr>
          <w:rFonts w:ascii="Times New Roman" w:hAnsi="Times New Roman"/>
          <w:sz w:val="24"/>
        </w:rPr>
        <w:t>rr</w:t>
      </w:r>
      <w:proofErr w:type="spellEnd"/>
      <w:r w:rsidRPr="00CD2B08">
        <w:rPr>
          <w:rFonts w:ascii="Times New Roman" w:hAnsi="Times New Roman"/>
          <w:sz w:val="24"/>
        </w:rPr>
        <w:t> 20.14 and 20.17.</w:t>
      </w:r>
    </w:p>
  </w:footnote>
  <w:footnote w:id="167">
    <w:p w14:paraId="3AB47FE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UCPR</w:t>
      </w:r>
      <w:r w:rsidRPr="00CD2B08">
        <w:rPr>
          <w:rFonts w:ascii="Times New Roman" w:hAnsi="Times New Roman"/>
          <w:sz w:val="24"/>
        </w:rPr>
        <w:t>, r 20.13.</w:t>
      </w:r>
    </w:p>
  </w:footnote>
  <w:footnote w:id="168">
    <w:p w14:paraId="399B943D"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UCPR</w:t>
      </w:r>
      <w:r w:rsidRPr="00CD2B08">
        <w:rPr>
          <w:rFonts w:ascii="Times New Roman" w:hAnsi="Times New Roman"/>
          <w:sz w:val="24"/>
        </w:rPr>
        <w:t xml:space="preserve">, </w:t>
      </w:r>
      <w:proofErr w:type="spellStart"/>
      <w:r w:rsidRPr="00CD2B08">
        <w:rPr>
          <w:rFonts w:ascii="Times New Roman" w:hAnsi="Times New Roman"/>
          <w:sz w:val="24"/>
        </w:rPr>
        <w:t>rr</w:t>
      </w:r>
      <w:proofErr w:type="spellEnd"/>
      <w:r w:rsidRPr="00CD2B08">
        <w:rPr>
          <w:rFonts w:ascii="Times New Roman" w:hAnsi="Times New Roman"/>
          <w:sz w:val="24"/>
        </w:rPr>
        <w:t xml:space="preserve"> 20.23 and 20.24.</w:t>
      </w:r>
      <w:r>
        <w:rPr>
          <w:rFonts w:ascii="Times New Roman" w:hAnsi="Times New Roman"/>
          <w:sz w:val="24"/>
        </w:rPr>
        <w:t xml:space="preserve"> </w:t>
      </w:r>
      <w:r w:rsidRPr="00CD2B08">
        <w:rPr>
          <w:rFonts w:ascii="Times New Roman" w:hAnsi="Times New Roman"/>
          <w:sz w:val="24"/>
        </w:rPr>
        <w:t xml:space="preserve">See also </w:t>
      </w:r>
      <w:r w:rsidRPr="00CD2B08">
        <w:rPr>
          <w:rFonts w:ascii="Times New Roman" w:hAnsi="Times New Roman"/>
          <w:i/>
          <w:sz w:val="24"/>
        </w:rPr>
        <w:t>Super Pty Ltd v SJP Formwork (Aust) Pty Ltd</w:t>
      </w:r>
      <w:r w:rsidRPr="00CD2B08">
        <w:rPr>
          <w:rFonts w:ascii="Times New Roman" w:hAnsi="Times New Roman"/>
          <w:sz w:val="24"/>
        </w:rPr>
        <w:t xml:space="preserve"> (1992) 29 NSWLR 549 at 563-564; </w:t>
      </w:r>
      <w:proofErr w:type="spellStart"/>
      <w:r w:rsidRPr="00CD2B08">
        <w:rPr>
          <w:rFonts w:ascii="Times New Roman" w:hAnsi="Times New Roman"/>
          <w:i/>
          <w:sz w:val="24"/>
        </w:rPr>
        <w:t>Wenco</w:t>
      </w:r>
      <w:proofErr w:type="spellEnd"/>
      <w:r w:rsidRPr="00CD2B08">
        <w:rPr>
          <w:rFonts w:ascii="Times New Roman" w:hAnsi="Times New Roman"/>
          <w:i/>
          <w:sz w:val="24"/>
        </w:rPr>
        <w:t xml:space="preserve"> Industrial Pty Ltd v W </w:t>
      </w:r>
      <w:proofErr w:type="spellStart"/>
      <w:r w:rsidRPr="00CD2B08">
        <w:rPr>
          <w:rFonts w:ascii="Times New Roman" w:hAnsi="Times New Roman"/>
          <w:i/>
          <w:sz w:val="24"/>
        </w:rPr>
        <w:t>W</w:t>
      </w:r>
      <w:proofErr w:type="spellEnd"/>
      <w:r w:rsidRPr="00CD2B08">
        <w:rPr>
          <w:rFonts w:ascii="Times New Roman" w:hAnsi="Times New Roman"/>
          <w:i/>
          <w:sz w:val="24"/>
        </w:rPr>
        <w:t xml:space="preserve"> Industries Pty Ltd</w:t>
      </w:r>
      <w:r w:rsidRPr="00CD2B08">
        <w:rPr>
          <w:rFonts w:ascii="Times New Roman" w:hAnsi="Times New Roman"/>
          <w:sz w:val="24"/>
        </w:rPr>
        <w:t xml:space="preserve"> (2009) 25 VR 119 at 126-127 [17]; </w:t>
      </w:r>
      <w:r w:rsidRPr="00CD2B08">
        <w:rPr>
          <w:rFonts w:ascii="Times New Roman" w:hAnsi="Times New Roman"/>
          <w:i/>
          <w:sz w:val="24"/>
        </w:rPr>
        <w:t>Illawarra Hotel Co Pty Ltd v Walton Construction Pty Ltd</w:t>
      </w:r>
      <w:r w:rsidRPr="00CD2B08">
        <w:rPr>
          <w:rFonts w:ascii="Times New Roman" w:hAnsi="Times New Roman"/>
          <w:sz w:val="24"/>
        </w:rPr>
        <w:t xml:space="preserve"> (2013) 84 NSWLR 410 at 412-414 [15]-[16].</w:t>
      </w:r>
    </w:p>
  </w:footnote>
  <w:footnote w:id="169">
    <w:p w14:paraId="2092C167"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proofErr w:type="spellStart"/>
      <w:r w:rsidRPr="00CD2B08">
        <w:rPr>
          <w:rFonts w:ascii="Times New Roman" w:hAnsi="Times New Roman"/>
          <w:sz w:val="24"/>
        </w:rPr>
        <w:t>eg</w:t>
      </w:r>
      <w:proofErr w:type="spellEnd"/>
      <w:r w:rsidRPr="00CD2B08">
        <w:rPr>
          <w:rFonts w:ascii="Times New Roman" w:hAnsi="Times New Roman"/>
          <w:sz w:val="24"/>
        </w:rPr>
        <w:t xml:space="preserve">, </w:t>
      </w:r>
      <w:r w:rsidRPr="00CD2B08">
        <w:rPr>
          <w:rFonts w:ascii="Times New Roman" w:hAnsi="Times New Roman"/>
          <w:i/>
          <w:sz w:val="24"/>
        </w:rPr>
        <w:t xml:space="preserve">Matthews v AusNet Electricity Services Pty Ltd (Ruling No 40) </w:t>
      </w:r>
      <w:r w:rsidRPr="00CD2B08">
        <w:rPr>
          <w:rFonts w:ascii="Times New Roman" w:hAnsi="Times New Roman"/>
          <w:sz w:val="24"/>
        </w:rPr>
        <w:t>[2015] VSC</w:t>
      </w:r>
      <w:r>
        <w:rPr>
          <w:rFonts w:ascii="Times New Roman" w:hAnsi="Times New Roman"/>
          <w:sz w:val="24"/>
        </w:rPr>
        <w:t> </w:t>
      </w:r>
      <w:r w:rsidRPr="00CD2B08">
        <w:rPr>
          <w:rFonts w:ascii="Times New Roman" w:hAnsi="Times New Roman"/>
          <w:sz w:val="24"/>
        </w:rPr>
        <w:t xml:space="preserve">131 at [29]; </w:t>
      </w:r>
      <w:proofErr w:type="spellStart"/>
      <w:r w:rsidRPr="00CD2B08">
        <w:rPr>
          <w:rFonts w:ascii="Times New Roman" w:hAnsi="Times New Roman"/>
          <w:i/>
          <w:sz w:val="24"/>
        </w:rPr>
        <w:t>Downie</w:t>
      </w:r>
      <w:proofErr w:type="spellEnd"/>
      <w:r w:rsidRPr="00CD2B08">
        <w:rPr>
          <w:rFonts w:ascii="Times New Roman" w:hAnsi="Times New Roman"/>
          <w:i/>
          <w:sz w:val="24"/>
        </w:rPr>
        <w:t xml:space="preserve"> v Spiral Foods Pty Ltd </w:t>
      </w:r>
      <w:r w:rsidRPr="00CD2B08">
        <w:rPr>
          <w:rFonts w:ascii="Times New Roman" w:hAnsi="Times New Roman"/>
          <w:sz w:val="24"/>
        </w:rPr>
        <w:t xml:space="preserve">[2016] VSC 411 at [20]; </w:t>
      </w:r>
      <w:r w:rsidRPr="00CD2B08">
        <w:rPr>
          <w:rFonts w:ascii="Times New Roman" w:hAnsi="Times New Roman"/>
          <w:i/>
          <w:sz w:val="24"/>
        </w:rPr>
        <w:t xml:space="preserve">Dillon v RBS Group (Australia) Pty Ltd [No 2] </w:t>
      </w:r>
      <w:r w:rsidRPr="00CD2B08">
        <w:rPr>
          <w:rFonts w:ascii="Times New Roman" w:hAnsi="Times New Roman"/>
          <w:sz w:val="24"/>
        </w:rPr>
        <w:t xml:space="preserve">[2018] FCA 395 at [66]; </w:t>
      </w:r>
      <w:proofErr w:type="spellStart"/>
      <w:r w:rsidRPr="00CD2B08">
        <w:rPr>
          <w:rFonts w:ascii="Times New Roman" w:hAnsi="Times New Roman"/>
          <w:i/>
          <w:sz w:val="24"/>
        </w:rPr>
        <w:t>Caason</w:t>
      </w:r>
      <w:proofErr w:type="spellEnd"/>
      <w:r w:rsidRPr="00CD2B08">
        <w:rPr>
          <w:rFonts w:ascii="Times New Roman" w:hAnsi="Times New Roman"/>
          <w:i/>
          <w:sz w:val="24"/>
        </w:rPr>
        <w:t xml:space="preserve"> Investments Pty Ltd v Cao [No 2] </w:t>
      </w:r>
      <w:r w:rsidRPr="00CD2B08">
        <w:rPr>
          <w:rFonts w:ascii="Times New Roman" w:hAnsi="Times New Roman"/>
          <w:sz w:val="24"/>
        </w:rPr>
        <w:t xml:space="preserve">[2018] FCA 527 at [122]-[123]; </w:t>
      </w:r>
      <w:r w:rsidRPr="00CD2B08">
        <w:rPr>
          <w:rFonts w:ascii="Times New Roman" w:hAnsi="Times New Roman"/>
          <w:i/>
          <w:sz w:val="24"/>
        </w:rPr>
        <w:t xml:space="preserve">Money Max Int Pty Ltd v QBE Insurance Group Ltd </w:t>
      </w:r>
      <w:r w:rsidRPr="00CD2B08">
        <w:rPr>
          <w:rFonts w:ascii="Times New Roman" w:hAnsi="Times New Roman"/>
          <w:sz w:val="24"/>
        </w:rPr>
        <w:t>(2018) 358 ALR 382 at 416 [156].</w:t>
      </w:r>
    </w:p>
  </w:footnote>
  <w:footnote w:id="170">
    <w:p w14:paraId="39124CB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Kirk, "The Case for Contradictors in Approving Class Action Settlements" (2018) 92 </w:t>
      </w:r>
      <w:r w:rsidRPr="00CD2B08">
        <w:rPr>
          <w:rFonts w:ascii="Times New Roman" w:hAnsi="Times New Roman"/>
          <w:i/>
          <w:sz w:val="24"/>
        </w:rPr>
        <w:t>Australian Law Journal</w:t>
      </w:r>
      <w:r w:rsidRPr="00CD2B08">
        <w:rPr>
          <w:rFonts w:ascii="Times New Roman" w:hAnsi="Times New Roman"/>
          <w:sz w:val="24"/>
        </w:rPr>
        <w:t xml:space="preserve"> 716 at 728.</w:t>
      </w:r>
    </w:p>
  </w:footnote>
  <w:footnote w:id="171">
    <w:p w14:paraId="0E158FC0"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For examples of the appointment of contradictors to protect the interests of group members in representative proceedings, see </w:t>
      </w:r>
      <w:r w:rsidRPr="00CD2B08">
        <w:rPr>
          <w:rFonts w:ascii="Times New Roman" w:hAnsi="Times New Roman"/>
          <w:i/>
          <w:sz w:val="24"/>
        </w:rPr>
        <w:t xml:space="preserve">King v AG Australia Holdings Ltd </w:t>
      </w:r>
      <w:r w:rsidRPr="00CD2B08">
        <w:rPr>
          <w:rFonts w:ascii="Times New Roman" w:hAnsi="Times New Roman"/>
          <w:sz w:val="24"/>
        </w:rPr>
        <w:t xml:space="preserve">[2003] FCA 1420 at [15]; </w:t>
      </w:r>
      <w:proofErr w:type="spellStart"/>
      <w:r w:rsidRPr="00CD2B08">
        <w:rPr>
          <w:rFonts w:ascii="Times New Roman" w:hAnsi="Times New Roman"/>
          <w:i/>
          <w:sz w:val="24"/>
        </w:rPr>
        <w:t>Dorajay</w:t>
      </w:r>
      <w:proofErr w:type="spellEnd"/>
      <w:r w:rsidRPr="00CD2B08">
        <w:rPr>
          <w:rFonts w:ascii="Times New Roman" w:hAnsi="Times New Roman"/>
          <w:i/>
          <w:sz w:val="24"/>
        </w:rPr>
        <w:t xml:space="preserve"> Pty Ltd v Aristocrat Leisure Ltd </w:t>
      </w:r>
      <w:r w:rsidRPr="00CD2B08">
        <w:rPr>
          <w:rFonts w:ascii="Times New Roman" w:hAnsi="Times New Roman"/>
          <w:sz w:val="24"/>
        </w:rPr>
        <w:t xml:space="preserve">(2008) 67 ACSR 569 at 574 [11]; </w:t>
      </w:r>
      <w:r w:rsidRPr="00CD2B08">
        <w:rPr>
          <w:rFonts w:ascii="Times New Roman" w:hAnsi="Times New Roman"/>
          <w:i/>
          <w:sz w:val="24"/>
        </w:rPr>
        <w:t xml:space="preserve">Kelly v Willmott Forests </w:t>
      </w:r>
      <w:r w:rsidRPr="00CD2B08">
        <w:rPr>
          <w:rFonts w:ascii="Times New Roman" w:hAnsi="Times New Roman"/>
          <w:sz w:val="24"/>
        </w:rPr>
        <w:t>(2016) 335 ALR 439 at 443</w:t>
      </w:r>
      <w:r w:rsidRPr="00CD2B08">
        <w:rPr>
          <w:rFonts w:ascii="Times New Roman" w:hAnsi="Times New Roman"/>
          <w:sz w:val="24"/>
        </w:rPr>
        <w:noBreakHyphen/>
        <w:t>444 [4].</w:t>
      </w:r>
    </w:p>
  </w:footnote>
  <w:footnote w:id="172">
    <w:p w14:paraId="6C3883FA" w14:textId="77777777" w:rsidR="009A3DE4" w:rsidRPr="00CD2B08" w:rsidRDefault="009A3DE4" w:rsidP="00CD2B08">
      <w:pPr>
        <w:pStyle w:val="FootnoteText"/>
        <w:spacing w:line="280" w:lineRule="exact"/>
        <w:ind w:right="0"/>
        <w:jc w:val="both"/>
        <w:rPr>
          <w:rFonts w:ascii="Times New Roman" w:hAnsi="Times New Roman"/>
          <w:i/>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Legal Profession Uniform Law </w:t>
      </w:r>
      <w:r w:rsidRPr="00CD2B08">
        <w:rPr>
          <w:rFonts w:ascii="Times New Roman" w:hAnsi="Times New Roman"/>
          <w:sz w:val="24"/>
        </w:rPr>
        <w:t>(NSW), ss 199 and 200.</w:t>
      </w:r>
      <w:r>
        <w:rPr>
          <w:rFonts w:ascii="Times New Roman" w:hAnsi="Times New Roman"/>
          <w:sz w:val="24"/>
        </w:rPr>
        <w:t xml:space="preserve"> </w:t>
      </w:r>
      <w:r w:rsidRPr="00CD2B08">
        <w:rPr>
          <w:rFonts w:ascii="Times New Roman" w:hAnsi="Times New Roman"/>
          <w:sz w:val="24"/>
        </w:rPr>
        <w:t>See, </w:t>
      </w:r>
      <w:proofErr w:type="spellStart"/>
      <w:r w:rsidRPr="00CD2B08">
        <w:rPr>
          <w:rFonts w:ascii="Times New Roman" w:hAnsi="Times New Roman"/>
          <w:sz w:val="24"/>
        </w:rPr>
        <w:t>eg</w:t>
      </w:r>
      <w:proofErr w:type="spellEnd"/>
      <w:r w:rsidRPr="00CD2B08">
        <w:rPr>
          <w:rFonts w:ascii="Times New Roman" w:hAnsi="Times New Roman"/>
          <w:sz w:val="24"/>
        </w:rPr>
        <w:t>, </w:t>
      </w:r>
      <w:r w:rsidRPr="00CD2B08">
        <w:rPr>
          <w:rFonts w:ascii="Times New Roman" w:hAnsi="Times New Roman"/>
          <w:i/>
          <w:sz w:val="24"/>
        </w:rPr>
        <w:t xml:space="preserve">Kelly v Willmott Forests </w:t>
      </w:r>
      <w:r w:rsidRPr="00CD2B08">
        <w:rPr>
          <w:rFonts w:ascii="Times New Roman" w:hAnsi="Times New Roman"/>
          <w:sz w:val="24"/>
        </w:rPr>
        <w:t>(2016) 335 ALR 439 at 443</w:t>
      </w:r>
      <w:r w:rsidRPr="00CD2B08">
        <w:rPr>
          <w:rFonts w:ascii="Times New Roman" w:hAnsi="Times New Roman"/>
          <w:sz w:val="24"/>
        </w:rPr>
        <w:noBreakHyphen/>
        <w:t xml:space="preserve">444 [4]. </w:t>
      </w:r>
    </w:p>
  </w:footnote>
  <w:footnote w:id="173">
    <w:p w14:paraId="4F2BF5BF"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proofErr w:type="spellStart"/>
      <w:r w:rsidRPr="00CD2B08">
        <w:rPr>
          <w:rFonts w:ascii="Times New Roman" w:hAnsi="Times New Roman"/>
          <w:sz w:val="24"/>
        </w:rPr>
        <w:t>eg</w:t>
      </w:r>
      <w:proofErr w:type="spellEnd"/>
      <w:r w:rsidRPr="00CD2B08">
        <w:rPr>
          <w:rFonts w:ascii="Times New Roman" w:hAnsi="Times New Roman"/>
          <w:sz w:val="24"/>
        </w:rPr>
        <w:t>, CPA, ss 162, 171, 173, 175, 176.</w:t>
      </w:r>
      <w:r>
        <w:rPr>
          <w:rFonts w:ascii="Times New Roman" w:hAnsi="Times New Roman"/>
          <w:sz w:val="24"/>
        </w:rPr>
        <w:t xml:space="preserve"> </w:t>
      </w:r>
      <w:r w:rsidRPr="00CD2B08">
        <w:rPr>
          <w:rFonts w:ascii="Times New Roman" w:hAnsi="Times New Roman"/>
          <w:sz w:val="24"/>
        </w:rPr>
        <w:t xml:space="preserve">See also </w:t>
      </w:r>
      <w:proofErr w:type="spellStart"/>
      <w:r w:rsidRPr="00CD2B08">
        <w:rPr>
          <w:rFonts w:ascii="Times New Roman" w:hAnsi="Times New Roman"/>
          <w:sz w:val="24"/>
        </w:rPr>
        <w:t>fn</w:t>
      </w:r>
      <w:proofErr w:type="spellEnd"/>
      <w:r w:rsidRPr="00CD2B08">
        <w:rPr>
          <w:rFonts w:ascii="Times New Roman" w:hAnsi="Times New Roman"/>
          <w:sz w:val="24"/>
        </w:rPr>
        <w:t xml:space="preserve"> </w:t>
      </w:r>
      <w:r>
        <w:rPr>
          <w:rFonts w:ascii="Times New Roman" w:hAnsi="Times New Roman"/>
          <w:sz w:val="24"/>
        </w:rPr>
        <w:t>89</w:t>
      </w:r>
      <w:r w:rsidRPr="00CD2B08">
        <w:rPr>
          <w:rFonts w:ascii="Times New Roman" w:hAnsi="Times New Roman"/>
          <w:sz w:val="24"/>
        </w:rPr>
        <w:t xml:space="preserve"> above.</w:t>
      </w:r>
    </w:p>
  </w:footnote>
  <w:footnote w:id="174">
    <w:p w14:paraId="647F77D3"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r w:rsidRPr="00CD2B08">
        <w:rPr>
          <w:rFonts w:ascii="Times New Roman" w:hAnsi="Times New Roman"/>
          <w:i/>
          <w:sz w:val="24"/>
        </w:rPr>
        <w:t xml:space="preserve">Kirby </w:t>
      </w:r>
      <w:r w:rsidRPr="00CD2B08">
        <w:rPr>
          <w:rFonts w:ascii="Times New Roman" w:hAnsi="Times New Roman"/>
          <w:sz w:val="24"/>
        </w:rPr>
        <w:t xml:space="preserve">(2008) 253 ALR 65 at 67 [6], 72 [30], [32]; </w:t>
      </w:r>
      <w:proofErr w:type="spellStart"/>
      <w:r w:rsidRPr="00CD2B08">
        <w:rPr>
          <w:rFonts w:ascii="Times New Roman" w:hAnsi="Times New Roman"/>
          <w:i/>
          <w:sz w:val="24"/>
        </w:rPr>
        <w:t>Wileypark</w:t>
      </w:r>
      <w:proofErr w:type="spellEnd"/>
      <w:r w:rsidRPr="00CD2B08">
        <w:rPr>
          <w:rFonts w:ascii="Times New Roman" w:hAnsi="Times New Roman"/>
          <w:sz w:val="24"/>
        </w:rPr>
        <w:t xml:space="preserve"> (2018) 265 FCR 1 at 8 [15].</w:t>
      </w:r>
    </w:p>
  </w:footnote>
  <w:footnote w:id="175">
    <w:p w14:paraId="0924D8E2"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 xml:space="preserve">See, </w:t>
      </w:r>
      <w:proofErr w:type="spellStart"/>
      <w:r w:rsidRPr="00CD2B08">
        <w:rPr>
          <w:rFonts w:ascii="Times New Roman" w:hAnsi="Times New Roman"/>
          <w:sz w:val="24"/>
        </w:rPr>
        <w:t>eg</w:t>
      </w:r>
      <w:proofErr w:type="spellEnd"/>
      <w:r w:rsidRPr="00CD2B08">
        <w:rPr>
          <w:rFonts w:ascii="Times New Roman" w:hAnsi="Times New Roman"/>
          <w:sz w:val="24"/>
        </w:rPr>
        <w:t xml:space="preserve">, </w:t>
      </w:r>
      <w:proofErr w:type="spellStart"/>
      <w:r w:rsidRPr="00CD2B08">
        <w:rPr>
          <w:rFonts w:ascii="Times New Roman" w:hAnsi="Times New Roman"/>
          <w:i/>
          <w:sz w:val="24"/>
        </w:rPr>
        <w:t>Darwalla</w:t>
      </w:r>
      <w:proofErr w:type="spellEnd"/>
      <w:r w:rsidRPr="00CD2B08">
        <w:rPr>
          <w:rFonts w:ascii="Times New Roman" w:hAnsi="Times New Roman"/>
          <w:i/>
          <w:sz w:val="24"/>
        </w:rPr>
        <w:t xml:space="preserve"> Milling Co Pty Ltd v F Hoffman-La Roche Ltd [No 2]</w:t>
      </w:r>
      <w:r w:rsidRPr="00CD2B08">
        <w:rPr>
          <w:rFonts w:ascii="Times New Roman" w:hAnsi="Times New Roman"/>
          <w:sz w:val="24"/>
        </w:rPr>
        <w:t xml:space="preserve"> (2006) 236</w:t>
      </w:r>
      <w:r>
        <w:rPr>
          <w:rFonts w:ascii="Times New Roman" w:hAnsi="Times New Roman"/>
          <w:sz w:val="24"/>
        </w:rPr>
        <w:t> </w:t>
      </w:r>
      <w:r w:rsidRPr="00CD2B08">
        <w:rPr>
          <w:rFonts w:ascii="Times New Roman" w:hAnsi="Times New Roman"/>
          <w:sz w:val="24"/>
        </w:rPr>
        <w:t>ALR 322 at 329-331 [20]</w:t>
      </w:r>
      <w:r w:rsidRPr="00CD2B08">
        <w:rPr>
          <w:rFonts w:ascii="Times New Roman" w:hAnsi="Times New Roman"/>
          <w:sz w:val="24"/>
        </w:rPr>
        <w:noBreakHyphen/>
        <w:t xml:space="preserve">[24]; </w:t>
      </w:r>
      <w:r w:rsidRPr="00CD2B08">
        <w:rPr>
          <w:rFonts w:ascii="Times New Roman" w:hAnsi="Times New Roman"/>
          <w:i/>
          <w:sz w:val="24"/>
        </w:rPr>
        <w:t>Collin v Aspen Pharmacare Australia Pty Ltd</w:t>
      </w:r>
      <w:r w:rsidRPr="00CD2B08">
        <w:rPr>
          <w:rFonts w:ascii="Times New Roman" w:hAnsi="Times New Roman"/>
          <w:sz w:val="24"/>
        </w:rPr>
        <w:t xml:space="preserve"> [2013] FCA 952 at [3]; </w:t>
      </w:r>
      <w:proofErr w:type="spellStart"/>
      <w:r w:rsidRPr="00CD2B08">
        <w:rPr>
          <w:rFonts w:ascii="Times New Roman" w:hAnsi="Times New Roman"/>
          <w:i/>
          <w:sz w:val="24"/>
        </w:rPr>
        <w:t>Inabu</w:t>
      </w:r>
      <w:proofErr w:type="spellEnd"/>
      <w:r w:rsidRPr="00CD2B08">
        <w:rPr>
          <w:rFonts w:ascii="Times New Roman" w:hAnsi="Times New Roman"/>
          <w:i/>
          <w:sz w:val="24"/>
        </w:rPr>
        <w:t xml:space="preserve"> Pty Ltd v Leighton Holdings Ltd</w:t>
      </w:r>
      <w:r w:rsidRPr="00CD2B08">
        <w:rPr>
          <w:rFonts w:ascii="Times New Roman" w:hAnsi="Times New Roman"/>
          <w:sz w:val="24"/>
        </w:rPr>
        <w:t xml:space="preserve"> [2014] FCA 622; </w:t>
      </w:r>
      <w:r w:rsidRPr="00CD2B08">
        <w:rPr>
          <w:rFonts w:ascii="Times New Roman" w:hAnsi="Times New Roman"/>
          <w:i/>
          <w:sz w:val="24"/>
        </w:rPr>
        <w:t>Brett Cattle Co Pty Ltd v Minister for Agriculture [No 3]</w:t>
      </w:r>
      <w:r w:rsidRPr="00CD2B08">
        <w:rPr>
          <w:rFonts w:ascii="Times New Roman" w:hAnsi="Times New Roman"/>
          <w:sz w:val="24"/>
        </w:rPr>
        <w:t xml:space="preserve"> [2020] FCA 1628.</w:t>
      </w:r>
      <w:r>
        <w:rPr>
          <w:rFonts w:ascii="Times New Roman" w:hAnsi="Times New Roman"/>
          <w:sz w:val="24"/>
        </w:rPr>
        <w:t xml:space="preserve"> </w:t>
      </w:r>
      <w:r w:rsidRPr="00CD2B08">
        <w:rPr>
          <w:rFonts w:ascii="Times New Roman" w:hAnsi="Times New Roman"/>
          <w:sz w:val="24"/>
        </w:rPr>
        <w:t>See</w:t>
      </w:r>
      <w:r>
        <w:rPr>
          <w:rFonts w:ascii="Times New Roman" w:hAnsi="Times New Roman"/>
          <w:sz w:val="24"/>
        </w:rPr>
        <w:t> </w:t>
      </w:r>
      <w:r w:rsidRPr="00CD2B08">
        <w:rPr>
          <w:rFonts w:ascii="Times New Roman" w:hAnsi="Times New Roman"/>
          <w:sz w:val="24"/>
        </w:rPr>
        <w:t xml:space="preserve">also </w:t>
      </w:r>
      <w:proofErr w:type="spellStart"/>
      <w:r w:rsidRPr="00CD2B08">
        <w:rPr>
          <w:rFonts w:ascii="Times New Roman" w:hAnsi="Times New Roman"/>
          <w:i/>
          <w:sz w:val="24"/>
        </w:rPr>
        <w:t>Lenthall</w:t>
      </w:r>
      <w:proofErr w:type="spellEnd"/>
      <w:r w:rsidRPr="00CD2B08">
        <w:rPr>
          <w:rFonts w:ascii="Times New Roman" w:hAnsi="Times New Roman"/>
          <w:i/>
          <w:sz w:val="24"/>
        </w:rPr>
        <w:t xml:space="preserve"> v Westpac Banking Corporation [No 2]</w:t>
      </w:r>
      <w:r w:rsidRPr="00CD2B08">
        <w:rPr>
          <w:rFonts w:ascii="Times New Roman" w:hAnsi="Times New Roman"/>
          <w:sz w:val="24"/>
        </w:rPr>
        <w:t xml:space="preserve"> (2020) 144 ACSR 573 at 588 [49]</w:t>
      </w:r>
      <w:r>
        <w:rPr>
          <w:rFonts w:ascii="Times New Roman" w:hAnsi="Times New Roman"/>
          <w:sz w:val="24"/>
        </w:rPr>
        <w:noBreakHyphen/>
      </w:r>
      <w:r w:rsidRPr="00CD2B08">
        <w:rPr>
          <w:rFonts w:ascii="Times New Roman" w:hAnsi="Times New Roman"/>
          <w:sz w:val="24"/>
        </w:rPr>
        <w:t>[50].</w:t>
      </w:r>
    </w:p>
  </w:footnote>
  <w:footnote w:id="176">
    <w:p w14:paraId="65A119E9"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175(1)(a).</w:t>
      </w:r>
    </w:p>
  </w:footnote>
  <w:footnote w:id="177">
    <w:p w14:paraId="706BE83E"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CPA, s 175(4).</w:t>
      </w:r>
    </w:p>
  </w:footnote>
  <w:footnote w:id="178">
    <w:p w14:paraId="76B9823D"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r>
      <w:r w:rsidRPr="00CD2B08">
        <w:rPr>
          <w:rFonts w:ascii="Times New Roman" w:hAnsi="Times New Roman"/>
          <w:i/>
          <w:sz w:val="24"/>
        </w:rPr>
        <w:t xml:space="preserve">Kirby </w:t>
      </w:r>
      <w:r w:rsidRPr="00CD2B08">
        <w:rPr>
          <w:rFonts w:ascii="Times New Roman" w:hAnsi="Times New Roman"/>
          <w:sz w:val="24"/>
        </w:rPr>
        <w:t xml:space="preserve">(2008) 253 ALR 65 at 73 [34]; </w:t>
      </w:r>
      <w:r w:rsidRPr="00CD2B08">
        <w:rPr>
          <w:rFonts w:ascii="Times New Roman" w:hAnsi="Times New Roman"/>
          <w:i/>
          <w:sz w:val="24"/>
        </w:rPr>
        <w:t>Bellamy's</w:t>
      </w:r>
      <w:r w:rsidRPr="00CD2B08">
        <w:rPr>
          <w:rFonts w:ascii="Times New Roman" w:hAnsi="Times New Roman"/>
          <w:sz w:val="24"/>
        </w:rPr>
        <w:t xml:space="preserve"> [2017] FCA 947 at [23]; </w:t>
      </w:r>
      <w:proofErr w:type="spellStart"/>
      <w:r w:rsidRPr="00CD2B08">
        <w:rPr>
          <w:rFonts w:ascii="Times New Roman" w:hAnsi="Times New Roman"/>
          <w:i/>
          <w:sz w:val="24"/>
        </w:rPr>
        <w:t>GetSwift</w:t>
      </w:r>
      <w:proofErr w:type="spellEnd"/>
      <w:r w:rsidRPr="00CD2B08">
        <w:rPr>
          <w:rFonts w:ascii="Times New Roman" w:hAnsi="Times New Roman"/>
          <w:i/>
          <w:sz w:val="24"/>
        </w:rPr>
        <w:t xml:space="preserve"> </w:t>
      </w:r>
      <w:r w:rsidRPr="00CD2B08">
        <w:rPr>
          <w:rFonts w:ascii="Times New Roman" w:hAnsi="Times New Roman"/>
          <w:sz w:val="24"/>
        </w:rPr>
        <w:t>(2018) 263 FCR 92 at 102 [32(d)].</w:t>
      </w:r>
    </w:p>
  </w:footnote>
  <w:footnote w:id="179">
    <w:p w14:paraId="45C657C5" w14:textId="77777777" w:rsidR="009A3DE4" w:rsidRPr="00CD2B08" w:rsidRDefault="009A3DE4" w:rsidP="00CD2B08">
      <w:pPr>
        <w:pStyle w:val="FootnoteText"/>
        <w:spacing w:line="280" w:lineRule="exact"/>
        <w:ind w:right="0"/>
        <w:jc w:val="both"/>
        <w:rPr>
          <w:rFonts w:ascii="Times New Roman" w:hAnsi="Times New Roman"/>
          <w:sz w:val="24"/>
        </w:rPr>
      </w:pPr>
      <w:r w:rsidRPr="00CD2B08">
        <w:rPr>
          <w:rStyle w:val="FootnoteReference"/>
          <w:rFonts w:ascii="Times New Roman" w:hAnsi="Times New Roman"/>
          <w:sz w:val="22"/>
          <w:vertAlign w:val="baseline"/>
        </w:rPr>
        <w:footnoteRef/>
      </w:r>
      <w:r w:rsidRPr="00CD2B08">
        <w:rPr>
          <w:rFonts w:ascii="Times New Roman" w:hAnsi="Times New Roman"/>
          <w:sz w:val="24"/>
        </w:rPr>
        <w:t xml:space="preserve"> </w:t>
      </w:r>
      <w:r w:rsidRPr="00CD2B08">
        <w:rPr>
          <w:rFonts w:ascii="Times New Roman" w:hAnsi="Times New Roman"/>
          <w:sz w:val="24"/>
        </w:rPr>
        <w:tab/>
        <w:t>See [</w:t>
      </w:r>
      <w:r>
        <w:rPr>
          <w:rFonts w:ascii="Times New Roman" w:hAnsi="Times New Roman"/>
          <w:sz w:val="24"/>
        </w:rPr>
        <w:t>112</w:t>
      </w:r>
      <w:r w:rsidRPr="00CD2B08">
        <w:rPr>
          <w:rFonts w:ascii="Times New Roman" w:hAnsi="Times New Roman"/>
          <w:sz w:val="24"/>
        </w:rPr>
        <w:t>]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BB03" w14:textId="77777777" w:rsidR="0008166C" w:rsidRPr="00204543" w:rsidRDefault="0008166C" w:rsidP="00204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DA22" w14:textId="22BC6BA6" w:rsidR="0008166C" w:rsidRPr="00204543" w:rsidRDefault="00204543" w:rsidP="0020454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9B7A" w14:textId="39B69EF7" w:rsidR="00B54A1B" w:rsidRPr="00204543" w:rsidRDefault="00B54A1B" w:rsidP="002045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E2F8" w14:textId="77777777" w:rsidR="00204543" w:rsidRPr="0008166C" w:rsidRDefault="00204543" w:rsidP="0008166C">
    <w:pPr>
      <w:pStyle w:val="Header"/>
      <w:tabs>
        <w:tab w:val="clear" w:pos="4153"/>
        <w:tab w:val="clear" w:pos="8306"/>
        <w:tab w:val="right" w:pos="1304"/>
      </w:tabs>
      <w:spacing w:line="280" w:lineRule="exact"/>
      <w:ind w:firstLine="0"/>
      <w:rPr>
        <w:rFonts w:ascii="Times New Roman" w:hAnsi="Times New Roman"/>
        <w:i/>
        <w:sz w:val="22"/>
      </w:rPr>
    </w:pPr>
    <w:r w:rsidRPr="0008166C">
      <w:rPr>
        <w:rFonts w:ascii="Times New Roman" w:hAnsi="Times New Roman"/>
        <w:i/>
        <w:sz w:val="22"/>
      </w:rPr>
      <w:t>Kiefel</w:t>
    </w:r>
    <w:r w:rsidRPr="0008166C">
      <w:rPr>
        <w:rFonts w:ascii="Times New Roman" w:hAnsi="Times New Roman"/>
        <w:i/>
        <w:sz w:val="22"/>
      </w:rPr>
      <w:tab/>
      <w:t>CJ</w:t>
    </w:r>
  </w:p>
  <w:p w14:paraId="44CD044F" w14:textId="77777777" w:rsidR="00204543" w:rsidRDefault="00204543" w:rsidP="0008166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082B17BB" w14:textId="77777777" w:rsidR="00204543" w:rsidRDefault="00204543" w:rsidP="0008166C">
    <w:pPr>
      <w:pStyle w:val="Header"/>
      <w:tabs>
        <w:tab w:val="clear" w:pos="4153"/>
        <w:tab w:val="clear" w:pos="8306"/>
        <w:tab w:val="right" w:pos="1304"/>
      </w:tabs>
      <w:spacing w:line="280" w:lineRule="exact"/>
      <w:ind w:firstLine="0"/>
      <w:rPr>
        <w:rFonts w:ascii="Times New Roman" w:hAnsi="Times New Roman"/>
        <w:i/>
        <w:sz w:val="22"/>
      </w:rPr>
    </w:pPr>
  </w:p>
  <w:p w14:paraId="783A09EB" w14:textId="77777777" w:rsidR="00204543" w:rsidRDefault="00204543" w:rsidP="0008166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59B63EC" w14:textId="77777777" w:rsidR="00204543" w:rsidRPr="0008166C" w:rsidRDefault="00204543" w:rsidP="0008166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22F4" w14:textId="77777777" w:rsidR="00204543" w:rsidRPr="0008166C" w:rsidRDefault="00204543" w:rsidP="0008166C">
    <w:pPr>
      <w:pStyle w:val="Header"/>
      <w:tabs>
        <w:tab w:val="clear" w:pos="4153"/>
        <w:tab w:val="clear" w:pos="8306"/>
        <w:tab w:val="left" w:pos="7200"/>
        <w:tab w:val="right" w:pos="8504"/>
      </w:tabs>
      <w:spacing w:line="280" w:lineRule="exact"/>
      <w:jc w:val="right"/>
      <w:rPr>
        <w:rFonts w:ascii="Times New Roman" w:hAnsi="Times New Roman"/>
        <w:i/>
        <w:sz w:val="22"/>
      </w:rPr>
    </w:pPr>
    <w:r w:rsidRPr="0008166C">
      <w:rPr>
        <w:rFonts w:ascii="Times New Roman" w:hAnsi="Times New Roman"/>
        <w:i/>
        <w:sz w:val="22"/>
      </w:rPr>
      <w:tab/>
      <w:t>Kiefel</w:t>
    </w:r>
    <w:r w:rsidRPr="0008166C">
      <w:rPr>
        <w:rFonts w:ascii="Times New Roman" w:hAnsi="Times New Roman"/>
        <w:i/>
        <w:sz w:val="22"/>
      </w:rPr>
      <w:tab/>
      <w:t>CJ</w:t>
    </w:r>
  </w:p>
  <w:p w14:paraId="47A0D08B" w14:textId="77777777" w:rsidR="00204543" w:rsidRDefault="00204543" w:rsidP="0008166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7F6D3F88" w14:textId="77777777" w:rsidR="00204543" w:rsidRDefault="00204543" w:rsidP="0008166C">
    <w:pPr>
      <w:pStyle w:val="Header"/>
      <w:tabs>
        <w:tab w:val="clear" w:pos="4153"/>
        <w:tab w:val="clear" w:pos="8306"/>
        <w:tab w:val="left" w:pos="7200"/>
        <w:tab w:val="right" w:pos="8504"/>
      </w:tabs>
      <w:spacing w:line="280" w:lineRule="exact"/>
      <w:jc w:val="right"/>
      <w:rPr>
        <w:rFonts w:ascii="Times New Roman" w:hAnsi="Times New Roman"/>
        <w:i/>
        <w:sz w:val="22"/>
      </w:rPr>
    </w:pPr>
  </w:p>
  <w:p w14:paraId="1D2B38D9" w14:textId="77777777" w:rsidR="00204543" w:rsidRDefault="00204543" w:rsidP="0008166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E309ACD" w14:textId="77777777" w:rsidR="00204543" w:rsidRPr="0008166C" w:rsidRDefault="00204543" w:rsidP="0008166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F61F" w14:textId="77777777" w:rsidR="00204543" w:rsidRDefault="00204543" w:rsidP="0008166C">
    <w:pPr>
      <w:pStyle w:val="Header"/>
      <w:tabs>
        <w:tab w:val="clear" w:pos="4153"/>
        <w:tab w:val="clear" w:pos="8306"/>
        <w:tab w:val="center" w:pos="1134"/>
      </w:tabs>
      <w:spacing w:line="280" w:lineRule="exact"/>
      <w:ind w:firstLine="0"/>
      <w:rPr>
        <w:rFonts w:ascii="Times New Roman" w:hAnsi="Times New Roman"/>
        <w:i/>
        <w:sz w:val="22"/>
      </w:rPr>
    </w:pPr>
  </w:p>
  <w:p w14:paraId="739CD9CD" w14:textId="77777777" w:rsidR="00204543" w:rsidRDefault="00204543" w:rsidP="0008166C">
    <w:pPr>
      <w:pStyle w:val="Header"/>
      <w:tabs>
        <w:tab w:val="clear" w:pos="4153"/>
        <w:tab w:val="clear" w:pos="8306"/>
        <w:tab w:val="center" w:pos="1134"/>
      </w:tabs>
      <w:spacing w:line="280" w:lineRule="exact"/>
      <w:ind w:firstLine="0"/>
      <w:rPr>
        <w:rFonts w:ascii="Times New Roman" w:hAnsi="Times New Roman"/>
        <w:i/>
        <w:sz w:val="22"/>
      </w:rPr>
    </w:pPr>
  </w:p>
  <w:p w14:paraId="635C85CE" w14:textId="77777777" w:rsidR="00204543" w:rsidRDefault="00204543" w:rsidP="0008166C">
    <w:pPr>
      <w:pStyle w:val="Header"/>
      <w:tabs>
        <w:tab w:val="clear" w:pos="4153"/>
        <w:tab w:val="clear" w:pos="8306"/>
        <w:tab w:val="center" w:pos="1134"/>
      </w:tabs>
      <w:spacing w:line="280" w:lineRule="exact"/>
      <w:ind w:firstLine="0"/>
      <w:rPr>
        <w:rFonts w:ascii="Times New Roman" w:hAnsi="Times New Roman"/>
        <w:i/>
        <w:sz w:val="22"/>
      </w:rPr>
    </w:pPr>
  </w:p>
  <w:p w14:paraId="6F86253F" w14:textId="77777777" w:rsidR="00204543" w:rsidRDefault="00204543" w:rsidP="0008166C">
    <w:pPr>
      <w:pStyle w:val="Header"/>
      <w:tabs>
        <w:tab w:val="clear" w:pos="4153"/>
        <w:tab w:val="clear" w:pos="8306"/>
        <w:tab w:val="center" w:pos="1134"/>
      </w:tabs>
      <w:spacing w:line="280" w:lineRule="exact"/>
      <w:ind w:firstLine="0"/>
      <w:rPr>
        <w:rFonts w:ascii="Times New Roman" w:hAnsi="Times New Roman"/>
        <w:i/>
        <w:sz w:val="22"/>
      </w:rPr>
    </w:pPr>
  </w:p>
  <w:p w14:paraId="084FD3EE" w14:textId="77777777" w:rsidR="00204543" w:rsidRPr="0008166C" w:rsidRDefault="00204543" w:rsidP="0008166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F2E9" w14:textId="77777777" w:rsidR="00CD2B08" w:rsidRPr="00CD2B08" w:rsidRDefault="009A3DE4" w:rsidP="00CD2B08">
    <w:pPr>
      <w:pStyle w:val="Header"/>
      <w:tabs>
        <w:tab w:val="clear" w:pos="4153"/>
        <w:tab w:val="clear" w:pos="8306"/>
        <w:tab w:val="right" w:pos="1304"/>
      </w:tabs>
      <w:spacing w:line="280" w:lineRule="exact"/>
      <w:ind w:firstLine="0"/>
      <w:rPr>
        <w:rFonts w:ascii="Times New Roman" w:hAnsi="Times New Roman"/>
        <w:i/>
        <w:sz w:val="22"/>
      </w:rPr>
    </w:pPr>
    <w:r w:rsidRPr="00CD2B08">
      <w:rPr>
        <w:rFonts w:ascii="Times New Roman" w:hAnsi="Times New Roman"/>
        <w:i/>
        <w:sz w:val="22"/>
      </w:rPr>
      <w:t>Gageler</w:t>
    </w:r>
    <w:r w:rsidRPr="00CD2B08">
      <w:rPr>
        <w:rFonts w:ascii="Times New Roman" w:hAnsi="Times New Roman"/>
        <w:i/>
        <w:sz w:val="22"/>
      </w:rPr>
      <w:tab/>
      <w:t>J</w:t>
    </w:r>
  </w:p>
  <w:p w14:paraId="6270C662" w14:textId="77777777" w:rsidR="00CD2B08" w:rsidRPr="00CD2B08" w:rsidRDefault="009A3DE4" w:rsidP="00CD2B08">
    <w:pPr>
      <w:pStyle w:val="Header"/>
      <w:tabs>
        <w:tab w:val="clear" w:pos="4153"/>
        <w:tab w:val="clear" w:pos="8306"/>
        <w:tab w:val="right" w:pos="1304"/>
      </w:tabs>
      <w:spacing w:line="280" w:lineRule="exact"/>
      <w:ind w:firstLine="0"/>
      <w:rPr>
        <w:rFonts w:ascii="Times New Roman" w:hAnsi="Times New Roman"/>
        <w:i/>
        <w:sz w:val="22"/>
      </w:rPr>
    </w:pPr>
    <w:r w:rsidRPr="00CD2B08">
      <w:rPr>
        <w:rFonts w:ascii="Times New Roman" w:hAnsi="Times New Roman"/>
        <w:i/>
        <w:sz w:val="22"/>
      </w:rPr>
      <w:t>Gordon</w:t>
    </w:r>
    <w:r w:rsidRPr="00CD2B08">
      <w:rPr>
        <w:rFonts w:ascii="Times New Roman" w:hAnsi="Times New Roman"/>
        <w:i/>
        <w:sz w:val="22"/>
      </w:rPr>
      <w:tab/>
      <w:t>J</w:t>
    </w:r>
  </w:p>
  <w:p w14:paraId="1B779377" w14:textId="77777777" w:rsidR="00CD2B08" w:rsidRDefault="009A3DE4" w:rsidP="00CD2B0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5610B5B" w14:textId="77777777" w:rsidR="00CD2B08" w:rsidRDefault="00204543" w:rsidP="00CD2B08">
    <w:pPr>
      <w:pStyle w:val="Header"/>
      <w:tabs>
        <w:tab w:val="clear" w:pos="4153"/>
        <w:tab w:val="clear" w:pos="8306"/>
        <w:tab w:val="right" w:pos="1304"/>
      </w:tabs>
      <w:spacing w:line="280" w:lineRule="exact"/>
      <w:ind w:firstLine="0"/>
      <w:rPr>
        <w:rFonts w:ascii="Times New Roman" w:hAnsi="Times New Roman"/>
        <w:i/>
        <w:sz w:val="22"/>
      </w:rPr>
    </w:pPr>
  </w:p>
  <w:p w14:paraId="06FD74B5" w14:textId="77777777" w:rsidR="00CD2B08" w:rsidRDefault="009A3DE4" w:rsidP="00CD2B0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47304A4" w14:textId="77777777" w:rsidR="00CD2B08" w:rsidRPr="00CD2B08" w:rsidRDefault="00204543" w:rsidP="00CD2B0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43A1" w14:textId="77777777" w:rsidR="00CD2B08" w:rsidRPr="00CD2B08" w:rsidRDefault="009A3DE4" w:rsidP="00CD2B08">
    <w:pPr>
      <w:pStyle w:val="Header"/>
      <w:tabs>
        <w:tab w:val="clear" w:pos="4153"/>
        <w:tab w:val="clear" w:pos="8306"/>
        <w:tab w:val="left" w:pos="7200"/>
        <w:tab w:val="right" w:pos="8504"/>
      </w:tabs>
      <w:spacing w:line="280" w:lineRule="exact"/>
      <w:jc w:val="right"/>
      <w:rPr>
        <w:rFonts w:ascii="Times New Roman" w:hAnsi="Times New Roman"/>
        <w:i/>
        <w:sz w:val="22"/>
      </w:rPr>
    </w:pPr>
    <w:r w:rsidRPr="00CD2B08">
      <w:rPr>
        <w:rFonts w:ascii="Times New Roman" w:hAnsi="Times New Roman"/>
        <w:i/>
        <w:sz w:val="22"/>
      </w:rPr>
      <w:tab/>
      <w:t>Gageler</w:t>
    </w:r>
    <w:r w:rsidRPr="00CD2B08">
      <w:rPr>
        <w:rFonts w:ascii="Times New Roman" w:hAnsi="Times New Roman"/>
        <w:i/>
        <w:sz w:val="22"/>
      </w:rPr>
      <w:tab/>
      <w:t>J</w:t>
    </w:r>
  </w:p>
  <w:p w14:paraId="558F3C0C" w14:textId="77777777" w:rsidR="00CD2B08" w:rsidRPr="00CD2B08" w:rsidRDefault="009A3DE4" w:rsidP="00CD2B08">
    <w:pPr>
      <w:pStyle w:val="Header"/>
      <w:tabs>
        <w:tab w:val="clear" w:pos="4153"/>
        <w:tab w:val="clear" w:pos="8306"/>
        <w:tab w:val="left" w:pos="7200"/>
        <w:tab w:val="right" w:pos="8504"/>
      </w:tabs>
      <w:spacing w:line="280" w:lineRule="exact"/>
      <w:jc w:val="right"/>
      <w:rPr>
        <w:rFonts w:ascii="Times New Roman" w:hAnsi="Times New Roman"/>
        <w:i/>
        <w:sz w:val="22"/>
      </w:rPr>
    </w:pPr>
    <w:r w:rsidRPr="00CD2B08">
      <w:rPr>
        <w:rFonts w:ascii="Times New Roman" w:hAnsi="Times New Roman"/>
        <w:i/>
        <w:sz w:val="22"/>
      </w:rPr>
      <w:tab/>
      <w:t>Gordon</w:t>
    </w:r>
    <w:r w:rsidRPr="00CD2B08">
      <w:rPr>
        <w:rFonts w:ascii="Times New Roman" w:hAnsi="Times New Roman"/>
        <w:i/>
        <w:sz w:val="22"/>
      </w:rPr>
      <w:tab/>
      <w:t>J</w:t>
    </w:r>
  </w:p>
  <w:p w14:paraId="72FF79EA" w14:textId="77777777" w:rsidR="00CD2B08" w:rsidRDefault="009A3DE4" w:rsidP="00CD2B0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DF4F2E1" w14:textId="77777777" w:rsidR="00CD2B08" w:rsidRDefault="00204543" w:rsidP="00CD2B08">
    <w:pPr>
      <w:pStyle w:val="Header"/>
      <w:tabs>
        <w:tab w:val="clear" w:pos="4153"/>
        <w:tab w:val="clear" w:pos="8306"/>
        <w:tab w:val="left" w:pos="7200"/>
        <w:tab w:val="right" w:pos="8504"/>
      </w:tabs>
      <w:spacing w:line="280" w:lineRule="exact"/>
      <w:jc w:val="right"/>
      <w:rPr>
        <w:rFonts w:ascii="Times New Roman" w:hAnsi="Times New Roman"/>
        <w:i/>
        <w:sz w:val="22"/>
      </w:rPr>
    </w:pPr>
  </w:p>
  <w:p w14:paraId="491678BB" w14:textId="77777777" w:rsidR="00CD2B08" w:rsidRDefault="009A3DE4" w:rsidP="00CD2B0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E227359" w14:textId="77777777" w:rsidR="00CD2B08" w:rsidRPr="00CD2B08" w:rsidRDefault="00204543" w:rsidP="00CD2B0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5DDD" w14:textId="77777777" w:rsidR="00CD2B08" w:rsidRDefault="00204543" w:rsidP="00CD2B08">
    <w:pPr>
      <w:pStyle w:val="Header"/>
      <w:tabs>
        <w:tab w:val="clear" w:pos="4153"/>
        <w:tab w:val="clear" w:pos="8306"/>
        <w:tab w:val="center" w:pos="1134"/>
      </w:tabs>
      <w:spacing w:line="280" w:lineRule="exact"/>
      <w:ind w:firstLine="0"/>
      <w:rPr>
        <w:rFonts w:ascii="Times New Roman" w:hAnsi="Times New Roman"/>
        <w:i/>
        <w:sz w:val="22"/>
      </w:rPr>
    </w:pPr>
  </w:p>
  <w:p w14:paraId="780AA65F" w14:textId="77777777" w:rsidR="00CD2B08" w:rsidRDefault="00204543" w:rsidP="00CD2B08">
    <w:pPr>
      <w:pStyle w:val="Header"/>
      <w:tabs>
        <w:tab w:val="clear" w:pos="4153"/>
        <w:tab w:val="clear" w:pos="8306"/>
        <w:tab w:val="center" w:pos="1134"/>
      </w:tabs>
      <w:spacing w:line="280" w:lineRule="exact"/>
      <w:ind w:firstLine="0"/>
      <w:rPr>
        <w:rFonts w:ascii="Times New Roman" w:hAnsi="Times New Roman"/>
        <w:i/>
        <w:sz w:val="22"/>
      </w:rPr>
    </w:pPr>
  </w:p>
  <w:p w14:paraId="4B9D8877" w14:textId="77777777" w:rsidR="00CD2B08" w:rsidRDefault="00204543" w:rsidP="00CD2B08">
    <w:pPr>
      <w:pStyle w:val="Header"/>
      <w:tabs>
        <w:tab w:val="clear" w:pos="4153"/>
        <w:tab w:val="clear" w:pos="8306"/>
        <w:tab w:val="center" w:pos="1134"/>
      </w:tabs>
      <w:spacing w:line="280" w:lineRule="exact"/>
      <w:ind w:firstLine="0"/>
      <w:rPr>
        <w:rFonts w:ascii="Times New Roman" w:hAnsi="Times New Roman"/>
        <w:i/>
        <w:sz w:val="22"/>
      </w:rPr>
    </w:pPr>
  </w:p>
  <w:p w14:paraId="7589241B" w14:textId="77777777" w:rsidR="00CD2B08" w:rsidRDefault="00204543" w:rsidP="00CD2B08">
    <w:pPr>
      <w:pStyle w:val="Header"/>
      <w:tabs>
        <w:tab w:val="clear" w:pos="4153"/>
        <w:tab w:val="clear" w:pos="8306"/>
        <w:tab w:val="center" w:pos="1134"/>
      </w:tabs>
      <w:spacing w:line="280" w:lineRule="exact"/>
      <w:ind w:firstLine="0"/>
      <w:rPr>
        <w:rFonts w:ascii="Times New Roman" w:hAnsi="Times New Roman"/>
        <w:i/>
        <w:sz w:val="22"/>
      </w:rPr>
    </w:pPr>
  </w:p>
  <w:p w14:paraId="293B08B6" w14:textId="77777777" w:rsidR="00CD2B08" w:rsidRDefault="00204543" w:rsidP="00CD2B08">
    <w:pPr>
      <w:pStyle w:val="Header"/>
      <w:tabs>
        <w:tab w:val="clear" w:pos="4153"/>
        <w:tab w:val="clear" w:pos="8306"/>
        <w:tab w:val="center" w:pos="1134"/>
      </w:tabs>
      <w:spacing w:line="280" w:lineRule="exact"/>
      <w:ind w:firstLine="0"/>
      <w:rPr>
        <w:rFonts w:ascii="Times New Roman" w:hAnsi="Times New Roman"/>
        <w:i/>
        <w:sz w:val="22"/>
      </w:rPr>
    </w:pPr>
  </w:p>
  <w:p w14:paraId="58C9ECFB" w14:textId="77777777" w:rsidR="001E3B17" w:rsidRPr="00CD2B08" w:rsidRDefault="00204543" w:rsidP="00CD2B0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DBFE2BC2"/>
    <w:lvl w:ilvl="0">
      <w:start w:val="1"/>
      <w:numFmt w:val="upperLetter"/>
      <w:lvlText w:val="%1"/>
      <w:lvlJc w:val="left"/>
      <w:pPr>
        <w:ind w:left="720" w:hanging="720"/>
      </w:pPr>
      <w:rPr>
        <w:rFonts w:hint="default"/>
        <w:b/>
        <w:i w:val="0"/>
      </w:rPr>
    </w:lvl>
    <w:lvl w:ilvl="1">
      <w:start w:val="1"/>
      <w:numFmt w:val="decimal"/>
      <w:lvlRestart w:val="0"/>
      <w:lvlText w:val="%2"/>
      <w:lvlJc w:val="left"/>
      <w:pPr>
        <w:ind w:left="2564"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86"/>
    <w:rsid w:val="00000CE5"/>
    <w:rsid w:val="000011C9"/>
    <w:rsid w:val="00002069"/>
    <w:rsid w:val="000020B8"/>
    <w:rsid w:val="000026A3"/>
    <w:rsid w:val="00002CE6"/>
    <w:rsid w:val="0000316A"/>
    <w:rsid w:val="00003525"/>
    <w:rsid w:val="00003C2E"/>
    <w:rsid w:val="000049B7"/>
    <w:rsid w:val="00006EAB"/>
    <w:rsid w:val="00007001"/>
    <w:rsid w:val="00007A5B"/>
    <w:rsid w:val="0001215A"/>
    <w:rsid w:val="000125A5"/>
    <w:rsid w:val="000131A6"/>
    <w:rsid w:val="000137EC"/>
    <w:rsid w:val="00014244"/>
    <w:rsid w:val="00014766"/>
    <w:rsid w:val="00014956"/>
    <w:rsid w:val="00014B34"/>
    <w:rsid w:val="00014C0D"/>
    <w:rsid w:val="000160E6"/>
    <w:rsid w:val="000168C9"/>
    <w:rsid w:val="00016B0E"/>
    <w:rsid w:val="00016C20"/>
    <w:rsid w:val="00016DBB"/>
    <w:rsid w:val="00017144"/>
    <w:rsid w:val="00017223"/>
    <w:rsid w:val="000173D7"/>
    <w:rsid w:val="0001740A"/>
    <w:rsid w:val="00017489"/>
    <w:rsid w:val="000200E5"/>
    <w:rsid w:val="00020374"/>
    <w:rsid w:val="00020CA4"/>
    <w:rsid w:val="00020CC9"/>
    <w:rsid w:val="0002233B"/>
    <w:rsid w:val="00022B56"/>
    <w:rsid w:val="00022CD1"/>
    <w:rsid w:val="000234D9"/>
    <w:rsid w:val="00023EFD"/>
    <w:rsid w:val="00024782"/>
    <w:rsid w:val="000250AF"/>
    <w:rsid w:val="00025490"/>
    <w:rsid w:val="0002561E"/>
    <w:rsid w:val="00026047"/>
    <w:rsid w:val="00026694"/>
    <w:rsid w:val="0002676D"/>
    <w:rsid w:val="000268E1"/>
    <w:rsid w:val="00026EB5"/>
    <w:rsid w:val="00027C25"/>
    <w:rsid w:val="00027E04"/>
    <w:rsid w:val="000301A9"/>
    <w:rsid w:val="00030516"/>
    <w:rsid w:val="000313DD"/>
    <w:rsid w:val="000345B2"/>
    <w:rsid w:val="0003575A"/>
    <w:rsid w:val="00035A57"/>
    <w:rsid w:val="000360EB"/>
    <w:rsid w:val="00036292"/>
    <w:rsid w:val="0003681A"/>
    <w:rsid w:val="00037A5F"/>
    <w:rsid w:val="00037D87"/>
    <w:rsid w:val="00037DCE"/>
    <w:rsid w:val="000400D7"/>
    <w:rsid w:val="00040594"/>
    <w:rsid w:val="00041508"/>
    <w:rsid w:val="000419FD"/>
    <w:rsid w:val="000423AF"/>
    <w:rsid w:val="00043D2C"/>
    <w:rsid w:val="00044182"/>
    <w:rsid w:val="0004450C"/>
    <w:rsid w:val="00044666"/>
    <w:rsid w:val="00045092"/>
    <w:rsid w:val="000462DD"/>
    <w:rsid w:val="000463C4"/>
    <w:rsid w:val="000464E8"/>
    <w:rsid w:val="00046812"/>
    <w:rsid w:val="00046B05"/>
    <w:rsid w:val="00047EC0"/>
    <w:rsid w:val="00050CC5"/>
    <w:rsid w:val="00050EC5"/>
    <w:rsid w:val="00051409"/>
    <w:rsid w:val="00052478"/>
    <w:rsid w:val="000526D2"/>
    <w:rsid w:val="0005272D"/>
    <w:rsid w:val="000531B5"/>
    <w:rsid w:val="000537E8"/>
    <w:rsid w:val="00054798"/>
    <w:rsid w:val="0005483C"/>
    <w:rsid w:val="00054BD0"/>
    <w:rsid w:val="00054C8C"/>
    <w:rsid w:val="00055ACD"/>
    <w:rsid w:val="00056B8F"/>
    <w:rsid w:val="00056F27"/>
    <w:rsid w:val="00056FAB"/>
    <w:rsid w:val="000573AF"/>
    <w:rsid w:val="00057459"/>
    <w:rsid w:val="000579CA"/>
    <w:rsid w:val="000602C1"/>
    <w:rsid w:val="000612F7"/>
    <w:rsid w:val="0006169E"/>
    <w:rsid w:val="000626FD"/>
    <w:rsid w:val="00063386"/>
    <w:rsid w:val="000639D8"/>
    <w:rsid w:val="0006432B"/>
    <w:rsid w:val="00064542"/>
    <w:rsid w:val="000652CE"/>
    <w:rsid w:val="000653D4"/>
    <w:rsid w:val="00065740"/>
    <w:rsid w:val="000667B8"/>
    <w:rsid w:val="000672E4"/>
    <w:rsid w:val="000700EA"/>
    <w:rsid w:val="00070AA6"/>
    <w:rsid w:val="00070C55"/>
    <w:rsid w:val="00071C35"/>
    <w:rsid w:val="00072449"/>
    <w:rsid w:val="00072F01"/>
    <w:rsid w:val="000730E7"/>
    <w:rsid w:val="00073A00"/>
    <w:rsid w:val="00074C72"/>
    <w:rsid w:val="00075A50"/>
    <w:rsid w:val="00075B2A"/>
    <w:rsid w:val="00075F50"/>
    <w:rsid w:val="00076AAA"/>
    <w:rsid w:val="00076CF2"/>
    <w:rsid w:val="00077539"/>
    <w:rsid w:val="00077705"/>
    <w:rsid w:val="000800F0"/>
    <w:rsid w:val="0008050C"/>
    <w:rsid w:val="00080AD8"/>
    <w:rsid w:val="00080D77"/>
    <w:rsid w:val="0008166C"/>
    <w:rsid w:val="00081718"/>
    <w:rsid w:val="00083644"/>
    <w:rsid w:val="00084046"/>
    <w:rsid w:val="0008435D"/>
    <w:rsid w:val="00084B79"/>
    <w:rsid w:val="00085200"/>
    <w:rsid w:val="0008558C"/>
    <w:rsid w:val="00085796"/>
    <w:rsid w:val="0008583B"/>
    <w:rsid w:val="00085F13"/>
    <w:rsid w:val="00086149"/>
    <w:rsid w:val="00086707"/>
    <w:rsid w:val="00091334"/>
    <w:rsid w:val="00091ECA"/>
    <w:rsid w:val="0009230B"/>
    <w:rsid w:val="00092574"/>
    <w:rsid w:val="000930E1"/>
    <w:rsid w:val="0009319E"/>
    <w:rsid w:val="000936AB"/>
    <w:rsid w:val="000940A6"/>
    <w:rsid w:val="0009509E"/>
    <w:rsid w:val="00095437"/>
    <w:rsid w:val="000959C6"/>
    <w:rsid w:val="00095FB6"/>
    <w:rsid w:val="000961AB"/>
    <w:rsid w:val="000964D9"/>
    <w:rsid w:val="000966FA"/>
    <w:rsid w:val="00097BB4"/>
    <w:rsid w:val="00097DC3"/>
    <w:rsid w:val="00097EB6"/>
    <w:rsid w:val="000A1A8F"/>
    <w:rsid w:val="000A2653"/>
    <w:rsid w:val="000A28D4"/>
    <w:rsid w:val="000A2DEF"/>
    <w:rsid w:val="000A2EB4"/>
    <w:rsid w:val="000A3085"/>
    <w:rsid w:val="000A3A69"/>
    <w:rsid w:val="000A3DA0"/>
    <w:rsid w:val="000A43C8"/>
    <w:rsid w:val="000A45C7"/>
    <w:rsid w:val="000A4932"/>
    <w:rsid w:val="000A4A59"/>
    <w:rsid w:val="000A51EC"/>
    <w:rsid w:val="000A609A"/>
    <w:rsid w:val="000A63C6"/>
    <w:rsid w:val="000A7336"/>
    <w:rsid w:val="000A776F"/>
    <w:rsid w:val="000A77D8"/>
    <w:rsid w:val="000B0C02"/>
    <w:rsid w:val="000B1286"/>
    <w:rsid w:val="000B1D2D"/>
    <w:rsid w:val="000B28BC"/>
    <w:rsid w:val="000B2E56"/>
    <w:rsid w:val="000B32BA"/>
    <w:rsid w:val="000B37B0"/>
    <w:rsid w:val="000B4304"/>
    <w:rsid w:val="000B4630"/>
    <w:rsid w:val="000B491E"/>
    <w:rsid w:val="000B497F"/>
    <w:rsid w:val="000B56ED"/>
    <w:rsid w:val="000B570C"/>
    <w:rsid w:val="000B6844"/>
    <w:rsid w:val="000B70C9"/>
    <w:rsid w:val="000B710D"/>
    <w:rsid w:val="000B7558"/>
    <w:rsid w:val="000C04DC"/>
    <w:rsid w:val="000C0593"/>
    <w:rsid w:val="000C0651"/>
    <w:rsid w:val="000C0D98"/>
    <w:rsid w:val="000C13A5"/>
    <w:rsid w:val="000C1400"/>
    <w:rsid w:val="000C5217"/>
    <w:rsid w:val="000C55E1"/>
    <w:rsid w:val="000C7430"/>
    <w:rsid w:val="000C77B9"/>
    <w:rsid w:val="000C7DA8"/>
    <w:rsid w:val="000D0561"/>
    <w:rsid w:val="000D1692"/>
    <w:rsid w:val="000D190B"/>
    <w:rsid w:val="000D230D"/>
    <w:rsid w:val="000D25E6"/>
    <w:rsid w:val="000D2878"/>
    <w:rsid w:val="000D28D4"/>
    <w:rsid w:val="000D3C6E"/>
    <w:rsid w:val="000D3DFA"/>
    <w:rsid w:val="000D5EF8"/>
    <w:rsid w:val="000D7022"/>
    <w:rsid w:val="000D7311"/>
    <w:rsid w:val="000D7976"/>
    <w:rsid w:val="000D7FC2"/>
    <w:rsid w:val="000E0433"/>
    <w:rsid w:val="000E1860"/>
    <w:rsid w:val="000E3A3A"/>
    <w:rsid w:val="000E461B"/>
    <w:rsid w:val="000E53EB"/>
    <w:rsid w:val="000E59C0"/>
    <w:rsid w:val="000E65F7"/>
    <w:rsid w:val="000E6FEA"/>
    <w:rsid w:val="000E7043"/>
    <w:rsid w:val="000E761D"/>
    <w:rsid w:val="000E77B4"/>
    <w:rsid w:val="000F0414"/>
    <w:rsid w:val="000F057E"/>
    <w:rsid w:val="000F1345"/>
    <w:rsid w:val="000F281B"/>
    <w:rsid w:val="000F2A50"/>
    <w:rsid w:val="000F3D2A"/>
    <w:rsid w:val="000F447D"/>
    <w:rsid w:val="000F497D"/>
    <w:rsid w:val="000F4A6F"/>
    <w:rsid w:val="000F510A"/>
    <w:rsid w:val="000F5110"/>
    <w:rsid w:val="000F5B67"/>
    <w:rsid w:val="000F5E3F"/>
    <w:rsid w:val="000F67F7"/>
    <w:rsid w:val="000F6AC2"/>
    <w:rsid w:val="000F6F39"/>
    <w:rsid w:val="000F76AE"/>
    <w:rsid w:val="000F7705"/>
    <w:rsid w:val="000F770D"/>
    <w:rsid w:val="001001B9"/>
    <w:rsid w:val="0010020F"/>
    <w:rsid w:val="0010062B"/>
    <w:rsid w:val="00101115"/>
    <w:rsid w:val="0010120F"/>
    <w:rsid w:val="001013FE"/>
    <w:rsid w:val="0010151F"/>
    <w:rsid w:val="00101BF6"/>
    <w:rsid w:val="00102254"/>
    <w:rsid w:val="00103043"/>
    <w:rsid w:val="001033AB"/>
    <w:rsid w:val="00103942"/>
    <w:rsid w:val="001044C6"/>
    <w:rsid w:val="00104A24"/>
    <w:rsid w:val="00104E56"/>
    <w:rsid w:val="00104F28"/>
    <w:rsid w:val="00104FC4"/>
    <w:rsid w:val="001050F9"/>
    <w:rsid w:val="00105E2A"/>
    <w:rsid w:val="0010648D"/>
    <w:rsid w:val="00106493"/>
    <w:rsid w:val="00106E75"/>
    <w:rsid w:val="0010702C"/>
    <w:rsid w:val="0010730D"/>
    <w:rsid w:val="00107DCC"/>
    <w:rsid w:val="00110970"/>
    <w:rsid w:val="00111568"/>
    <w:rsid w:val="00111617"/>
    <w:rsid w:val="001120C0"/>
    <w:rsid w:val="0011239F"/>
    <w:rsid w:val="0011291A"/>
    <w:rsid w:val="00112BCB"/>
    <w:rsid w:val="00112E54"/>
    <w:rsid w:val="001150BF"/>
    <w:rsid w:val="00115EB0"/>
    <w:rsid w:val="001168F2"/>
    <w:rsid w:val="00117E0E"/>
    <w:rsid w:val="00117F97"/>
    <w:rsid w:val="00120070"/>
    <w:rsid w:val="00120207"/>
    <w:rsid w:val="00120828"/>
    <w:rsid w:val="00120EB6"/>
    <w:rsid w:val="00121B1D"/>
    <w:rsid w:val="00123BF9"/>
    <w:rsid w:val="00123C1B"/>
    <w:rsid w:val="0012423E"/>
    <w:rsid w:val="001243CF"/>
    <w:rsid w:val="00125B08"/>
    <w:rsid w:val="00125B67"/>
    <w:rsid w:val="00125D83"/>
    <w:rsid w:val="00125E3C"/>
    <w:rsid w:val="00126CCC"/>
    <w:rsid w:val="001270EF"/>
    <w:rsid w:val="001272A2"/>
    <w:rsid w:val="0013033C"/>
    <w:rsid w:val="0013090B"/>
    <w:rsid w:val="00130FBD"/>
    <w:rsid w:val="001317E1"/>
    <w:rsid w:val="00132195"/>
    <w:rsid w:val="001322ED"/>
    <w:rsid w:val="001325F8"/>
    <w:rsid w:val="00132B56"/>
    <w:rsid w:val="0013359B"/>
    <w:rsid w:val="00133E7E"/>
    <w:rsid w:val="00133E85"/>
    <w:rsid w:val="0013456F"/>
    <w:rsid w:val="001347C6"/>
    <w:rsid w:val="00135FA8"/>
    <w:rsid w:val="00141312"/>
    <w:rsid w:val="00141C0A"/>
    <w:rsid w:val="00141CC7"/>
    <w:rsid w:val="00142072"/>
    <w:rsid w:val="001425D1"/>
    <w:rsid w:val="0014270A"/>
    <w:rsid w:val="00142D0E"/>
    <w:rsid w:val="00142D1F"/>
    <w:rsid w:val="00142F68"/>
    <w:rsid w:val="00143CB2"/>
    <w:rsid w:val="00143FCB"/>
    <w:rsid w:val="001455A3"/>
    <w:rsid w:val="00145627"/>
    <w:rsid w:val="00145B30"/>
    <w:rsid w:val="00145E6D"/>
    <w:rsid w:val="00146978"/>
    <w:rsid w:val="00146A41"/>
    <w:rsid w:val="00147814"/>
    <w:rsid w:val="00147C46"/>
    <w:rsid w:val="00150AD8"/>
    <w:rsid w:val="00150B66"/>
    <w:rsid w:val="00151679"/>
    <w:rsid w:val="00151C17"/>
    <w:rsid w:val="00151EA8"/>
    <w:rsid w:val="0015202D"/>
    <w:rsid w:val="00152467"/>
    <w:rsid w:val="0015312F"/>
    <w:rsid w:val="0015318E"/>
    <w:rsid w:val="00153C6B"/>
    <w:rsid w:val="0015429A"/>
    <w:rsid w:val="00154A30"/>
    <w:rsid w:val="00155301"/>
    <w:rsid w:val="00155ADF"/>
    <w:rsid w:val="00156480"/>
    <w:rsid w:val="0015684C"/>
    <w:rsid w:val="001572D3"/>
    <w:rsid w:val="00162D5B"/>
    <w:rsid w:val="001630F1"/>
    <w:rsid w:val="00163C98"/>
    <w:rsid w:val="00163D92"/>
    <w:rsid w:val="00163EDD"/>
    <w:rsid w:val="00164144"/>
    <w:rsid w:val="00164763"/>
    <w:rsid w:val="0016512D"/>
    <w:rsid w:val="001656F4"/>
    <w:rsid w:val="00165D5C"/>
    <w:rsid w:val="00165F14"/>
    <w:rsid w:val="00165FB8"/>
    <w:rsid w:val="001702BC"/>
    <w:rsid w:val="00170801"/>
    <w:rsid w:val="00170888"/>
    <w:rsid w:val="00170C00"/>
    <w:rsid w:val="00172ADE"/>
    <w:rsid w:val="00172B4A"/>
    <w:rsid w:val="00172BD4"/>
    <w:rsid w:val="00172FDA"/>
    <w:rsid w:val="00173FCB"/>
    <w:rsid w:val="0017470A"/>
    <w:rsid w:val="00174D3D"/>
    <w:rsid w:val="00174F16"/>
    <w:rsid w:val="00175391"/>
    <w:rsid w:val="00175703"/>
    <w:rsid w:val="001758DE"/>
    <w:rsid w:val="00175BAB"/>
    <w:rsid w:val="0017618D"/>
    <w:rsid w:val="00176D25"/>
    <w:rsid w:val="001775C4"/>
    <w:rsid w:val="00177E54"/>
    <w:rsid w:val="00177E97"/>
    <w:rsid w:val="0018041C"/>
    <w:rsid w:val="00181585"/>
    <w:rsid w:val="00181946"/>
    <w:rsid w:val="00181E5D"/>
    <w:rsid w:val="001825BC"/>
    <w:rsid w:val="0018342E"/>
    <w:rsid w:val="001840C2"/>
    <w:rsid w:val="00184B46"/>
    <w:rsid w:val="00184C11"/>
    <w:rsid w:val="001853D3"/>
    <w:rsid w:val="00185939"/>
    <w:rsid w:val="00186663"/>
    <w:rsid w:val="001876F6"/>
    <w:rsid w:val="00187E76"/>
    <w:rsid w:val="0019055B"/>
    <w:rsid w:val="0019070F"/>
    <w:rsid w:val="00190D46"/>
    <w:rsid w:val="001913DB"/>
    <w:rsid w:val="0019146D"/>
    <w:rsid w:val="0019227A"/>
    <w:rsid w:val="00193FF7"/>
    <w:rsid w:val="00194510"/>
    <w:rsid w:val="0019477A"/>
    <w:rsid w:val="001953B1"/>
    <w:rsid w:val="001957A5"/>
    <w:rsid w:val="00195F96"/>
    <w:rsid w:val="001963C0"/>
    <w:rsid w:val="001965B6"/>
    <w:rsid w:val="00197956"/>
    <w:rsid w:val="00197C13"/>
    <w:rsid w:val="001A0356"/>
    <w:rsid w:val="001A0535"/>
    <w:rsid w:val="001A116A"/>
    <w:rsid w:val="001A12BD"/>
    <w:rsid w:val="001A1D46"/>
    <w:rsid w:val="001A26A1"/>
    <w:rsid w:val="001A38B8"/>
    <w:rsid w:val="001A3AFE"/>
    <w:rsid w:val="001A446E"/>
    <w:rsid w:val="001A4D0C"/>
    <w:rsid w:val="001A527E"/>
    <w:rsid w:val="001A5C43"/>
    <w:rsid w:val="001A5F99"/>
    <w:rsid w:val="001A69AE"/>
    <w:rsid w:val="001A6FEF"/>
    <w:rsid w:val="001A7521"/>
    <w:rsid w:val="001B0B0A"/>
    <w:rsid w:val="001B13F8"/>
    <w:rsid w:val="001B17A8"/>
    <w:rsid w:val="001B2A30"/>
    <w:rsid w:val="001B2CAF"/>
    <w:rsid w:val="001B33BF"/>
    <w:rsid w:val="001B466C"/>
    <w:rsid w:val="001B46F3"/>
    <w:rsid w:val="001B48B4"/>
    <w:rsid w:val="001B4923"/>
    <w:rsid w:val="001B50CA"/>
    <w:rsid w:val="001B5B48"/>
    <w:rsid w:val="001B63C6"/>
    <w:rsid w:val="001B7D74"/>
    <w:rsid w:val="001C034F"/>
    <w:rsid w:val="001C2A24"/>
    <w:rsid w:val="001C3C12"/>
    <w:rsid w:val="001C3E19"/>
    <w:rsid w:val="001C4036"/>
    <w:rsid w:val="001C48D4"/>
    <w:rsid w:val="001C49A0"/>
    <w:rsid w:val="001C4D1F"/>
    <w:rsid w:val="001C64DC"/>
    <w:rsid w:val="001C771C"/>
    <w:rsid w:val="001C7A8A"/>
    <w:rsid w:val="001C7C93"/>
    <w:rsid w:val="001C7CEB"/>
    <w:rsid w:val="001D05F2"/>
    <w:rsid w:val="001D06F9"/>
    <w:rsid w:val="001D0C62"/>
    <w:rsid w:val="001D0CA4"/>
    <w:rsid w:val="001D12FE"/>
    <w:rsid w:val="001D1660"/>
    <w:rsid w:val="001D24D0"/>
    <w:rsid w:val="001D2F17"/>
    <w:rsid w:val="001D36CD"/>
    <w:rsid w:val="001D3C7B"/>
    <w:rsid w:val="001D4150"/>
    <w:rsid w:val="001D4F49"/>
    <w:rsid w:val="001D5E5A"/>
    <w:rsid w:val="001D609E"/>
    <w:rsid w:val="001D7026"/>
    <w:rsid w:val="001D7236"/>
    <w:rsid w:val="001D75E6"/>
    <w:rsid w:val="001D7982"/>
    <w:rsid w:val="001E0311"/>
    <w:rsid w:val="001E07A0"/>
    <w:rsid w:val="001E0AAD"/>
    <w:rsid w:val="001E0F75"/>
    <w:rsid w:val="001E132D"/>
    <w:rsid w:val="001E1D3D"/>
    <w:rsid w:val="001E4281"/>
    <w:rsid w:val="001E47D1"/>
    <w:rsid w:val="001E54E9"/>
    <w:rsid w:val="001E5B6E"/>
    <w:rsid w:val="001E5CDB"/>
    <w:rsid w:val="001E6785"/>
    <w:rsid w:val="001E6A64"/>
    <w:rsid w:val="001E6F0D"/>
    <w:rsid w:val="001E75C5"/>
    <w:rsid w:val="001E7E17"/>
    <w:rsid w:val="001F1B93"/>
    <w:rsid w:val="001F2D35"/>
    <w:rsid w:val="001F384B"/>
    <w:rsid w:val="001F3F2A"/>
    <w:rsid w:val="001F42E9"/>
    <w:rsid w:val="001F49ED"/>
    <w:rsid w:val="001F66B5"/>
    <w:rsid w:val="001F69C2"/>
    <w:rsid w:val="001F6AF2"/>
    <w:rsid w:val="001F752A"/>
    <w:rsid w:val="002005D1"/>
    <w:rsid w:val="002006A6"/>
    <w:rsid w:val="0020217E"/>
    <w:rsid w:val="002023D6"/>
    <w:rsid w:val="0020271B"/>
    <w:rsid w:val="0020330E"/>
    <w:rsid w:val="0020362C"/>
    <w:rsid w:val="00203D6B"/>
    <w:rsid w:val="00204031"/>
    <w:rsid w:val="00204543"/>
    <w:rsid w:val="002048D1"/>
    <w:rsid w:val="00205308"/>
    <w:rsid w:val="00205D32"/>
    <w:rsid w:val="00206574"/>
    <w:rsid w:val="00206BA6"/>
    <w:rsid w:val="00206BBC"/>
    <w:rsid w:val="002071F7"/>
    <w:rsid w:val="00207606"/>
    <w:rsid w:val="002079CB"/>
    <w:rsid w:val="00207F60"/>
    <w:rsid w:val="00210562"/>
    <w:rsid w:val="0021096E"/>
    <w:rsid w:val="00210DE8"/>
    <w:rsid w:val="00211D73"/>
    <w:rsid w:val="00212A3E"/>
    <w:rsid w:val="002131F1"/>
    <w:rsid w:val="0021358B"/>
    <w:rsid w:val="00214401"/>
    <w:rsid w:val="00214BF2"/>
    <w:rsid w:val="00215A7F"/>
    <w:rsid w:val="00216522"/>
    <w:rsid w:val="00216F39"/>
    <w:rsid w:val="0021716E"/>
    <w:rsid w:val="002207C8"/>
    <w:rsid w:val="00220D7E"/>
    <w:rsid w:val="0022154E"/>
    <w:rsid w:val="00221D19"/>
    <w:rsid w:val="00222B0D"/>
    <w:rsid w:val="0022438A"/>
    <w:rsid w:val="0022550E"/>
    <w:rsid w:val="00225D41"/>
    <w:rsid w:val="00226256"/>
    <w:rsid w:val="0022666B"/>
    <w:rsid w:val="00226D62"/>
    <w:rsid w:val="00226DD5"/>
    <w:rsid w:val="00227280"/>
    <w:rsid w:val="0022734D"/>
    <w:rsid w:val="00231828"/>
    <w:rsid w:val="00232089"/>
    <w:rsid w:val="002333FC"/>
    <w:rsid w:val="00233C48"/>
    <w:rsid w:val="00234315"/>
    <w:rsid w:val="0023447F"/>
    <w:rsid w:val="00234D54"/>
    <w:rsid w:val="002350B3"/>
    <w:rsid w:val="00235242"/>
    <w:rsid w:val="00235DB2"/>
    <w:rsid w:val="00236F1F"/>
    <w:rsid w:val="0023798E"/>
    <w:rsid w:val="00237CE3"/>
    <w:rsid w:val="002403A9"/>
    <w:rsid w:val="002416CA"/>
    <w:rsid w:val="00241E6D"/>
    <w:rsid w:val="00242DB2"/>
    <w:rsid w:val="00242EE4"/>
    <w:rsid w:val="0024368C"/>
    <w:rsid w:val="0024462E"/>
    <w:rsid w:val="002447BA"/>
    <w:rsid w:val="00244844"/>
    <w:rsid w:val="00245986"/>
    <w:rsid w:val="00245A0C"/>
    <w:rsid w:val="0024619E"/>
    <w:rsid w:val="00246627"/>
    <w:rsid w:val="002474FA"/>
    <w:rsid w:val="00247B87"/>
    <w:rsid w:val="00251A5F"/>
    <w:rsid w:val="00251EC4"/>
    <w:rsid w:val="002522AF"/>
    <w:rsid w:val="00252F80"/>
    <w:rsid w:val="00253193"/>
    <w:rsid w:val="00253493"/>
    <w:rsid w:val="002535EB"/>
    <w:rsid w:val="002541CC"/>
    <w:rsid w:val="0025530B"/>
    <w:rsid w:val="00255716"/>
    <w:rsid w:val="00255B55"/>
    <w:rsid w:val="002569B8"/>
    <w:rsid w:val="00257AFB"/>
    <w:rsid w:val="00257E1F"/>
    <w:rsid w:val="00257E5B"/>
    <w:rsid w:val="00260206"/>
    <w:rsid w:val="002603F7"/>
    <w:rsid w:val="00261033"/>
    <w:rsid w:val="0026293D"/>
    <w:rsid w:val="002638E2"/>
    <w:rsid w:val="00263937"/>
    <w:rsid w:val="00263CB5"/>
    <w:rsid w:val="0026461F"/>
    <w:rsid w:val="00264E8B"/>
    <w:rsid w:val="002655FA"/>
    <w:rsid w:val="002656B6"/>
    <w:rsid w:val="00265982"/>
    <w:rsid w:val="00266472"/>
    <w:rsid w:val="00270014"/>
    <w:rsid w:val="0027007E"/>
    <w:rsid w:val="00270154"/>
    <w:rsid w:val="00270247"/>
    <w:rsid w:val="002707C0"/>
    <w:rsid w:val="002708CE"/>
    <w:rsid w:val="00271692"/>
    <w:rsid w:val="00271F70"/>
    <w:rsid w:val="002720A8"/>
    <w:rsid w:val="0027266C"/>
    <w:rsid w:val="00272A03"/>
    <w:rsid w:val="0027408B"/>
    <w:rsid w:val="00275AF0"/>
    <w:rsid w:val="00276B56"/>
    <w:rsid w:val="00277798"/>
    <w:rsid w:val="002777ED"/>
    <w:rsid w:val="00280022"/>
    <w:rsid w:val="00280F46"/>
    <w:rsid w:val="002810AE"/>
    <w:rsid w:val="00281392"/>
    <w:rsid w:val="002819FD"/>
    <w:rsid w:val="00282405"/>
    <w:rsid w:val="00282D08"/>
    <w:rsid w:val="00282EA0"/>
    <w:rsid w:val="00284949"/>
    <w:rsid w:val="002850CE"/>
    <w:rsid w:val="00285295"/>
    <w:rsid w:val="0028583A"/>
    <w:rsid w:val="00285B80"/>
    <w:rsid w:val="00287368"/>
    <w:rsid w:val="00287873"/>
    <w:rsid w:val="00287FEE"/>
    <w:rsid w:val="00290983"/>
    <w:rsid w:val="002910AC"/>
    <w:rsid w:val="00291342"/>
    <w:rsid w:val="002916CC"/>
    <w:rsid w:val="0029247E"/>
    <w:rsid w:val="0029278C"/>
    <w:rsid w:val="00292CEB"/>
    <w:rsid w:val="00292E65"/>
    <w:rsid w:val="00294A59"/>
    <w:rsid w:val="00294CB9"/>
    <w:rsid w:val="00295D8B"/>
    <w:rsid w:val="002965B4"/>
    <w:rsid w:val="0029697C"/>
    <w:rsid w:val="002974F9"/>
    <w:rsid w:val="00297523"/>
    <w:rsid w:val="0029766A"/>
    <w:rsid w:val="002979F1"/>
    <w:rsid w:val="002A11AA"/>
    <w:rsid w:val="002A13E1"/>
    <w:rsid w:val="002A2BC8"/>
    <w:rsid w:val="002A3248"/>
    <w:rsid w:val="002A3426"/>
    <w:rsid w:val="002A3CEA"/>
    <w:rsid w:val="002A47DA"/>
    <w:rsid w:val="002A5222"/>
    <w:rsid w:val="002A7B23"/>
    <w:rsid w:val="002A7C45"/>
    <w:rsid w:val="002B0665"/>
    <w:rsid w:val="002B0846"/>
    <w:rsid w:val="002B1006"/>
    <w:rsid w:val="002B1225"/>
    <w:rsid w:val="002B1304"/>
    <w:rsid w:val="002B1E64"/>
    <w:rsid w:val="002B212B"/>
    <w:rsid w:val="002B2679"/>
    <w:rsid w:val="002B2F86"/>
    <w:rsid w:val="002B3361"/>
    <w:rsid w:val="002B396D"/>
    <w:rsid w:val="002B3BFC"/>
    <w:rsid w:val="002B3D49"/>
    <w:rsid w:val="002B47A1"/>
    <w:rsid w:val="002B5CEA"/>
    <w:rsid w:val="002B6A86"/>
    <w:rsid w:val="002C0C1A"/>
    <w:rsid w:val="002C1AB0"/>
    <w:rsid w:val="002C1BFE"/>
    <w:rsid w:val="002C2E96"/>
    <w:rsid w:val="002C3B6F"/>
    <w:rsid w:val="002C4171"/>
    <w:rsid w:val="002C468D"/>
    <w:rsid w:val="002C4823"/>
    <w:rsid w:val="002C5168"/>
    <w:rsid w:val="002C53AE"/>
    <w:rsid w:val="002C55C1"/>
    <w:rsid w:val="002C5981"/>
    <w:rsid w:val="002C5F49"/>
    <w:rsid w:val="002C62ED"/>
    <w:rsid w:val="002C69B0"/>
    <w:rsid w:val="002C771E"/>
    <w:rsid w:val="002C7C09"/>
    <w:rsid w:val="002D025C"/>
    <w:rsid w:val="002D0410"/>
    <w:rsid w:val="002D05CB"/>
    <w:rsid w:val="002D0899"/>
    <w:rsid w:val="002D09FF"/>
    <w:rsid w:val="002D1707"/>
    <w:rsid w:val="002D17E2"/>
    <w:rsid w:val="002D1A2F"/>
    <w:rsid w:val="002D1AA1"/>
    <w:rsid w:val="002D1D87"/>
    <w:rsid w:val="002D2830"/>
    <w:rsid w:val="002D2BA6"/>
    <w:rsid w:val="002D3568"/>
    <w:rsid w:val="002D3F5B"/>
    <w:rsid w:val="002D427A"/>
    <w:rsid w:val="002D4BDB"/>
    <w:rsid w:val="002D5D09"/>
    <w:rsid w:val="002D7906"/>
    <w:rsid w:val="002E0DCC"/>
    <w:rsid w:val="002E0EC8"/>
    <w:rsid w:val="002E1025"/>
    <w:rsid w:val="002E16AD"/>
    <w:rsid w:val="002E25E6"/>
    <w:rsid w:val="002E278F"/>
    <w:rsid w:val="002E3400"/>
    <w:rsid w:val="002E3B4D"/>
    <w:rsid w:val="002E46B1"/>
    <w:rsid w:val="002E49A7"/>
    <w:rsid w:val="002E7C44"/>
    <w:rsid w:val="002F0522"/>
    <w:rsid w:val="002F0601"/>
    <w:rsid w:val="002F0734"/>
    <w:rsid w:val="002F0AA8"/>
    <w:rsid w:val="002F18BF"/>
    <w:rsid w:val="002F2942"/>
    <w:rsid w:val="002F2F10"/>
    <w:rsid w:val="002F35C4"/>
    <w:rsid w:val="002F3CBC"/>
    <w:rsid w:val="002F435C"/>
    <w:rsid w:val="002F5E68"/>
    <w:rsid w:val="002F6870"/>
    <w:rsid w:val="002F6D6C"/>
    <w:rsid w:val="002F7226"/>
    <w:rsid w:val="0030008B"/>
    <w:rsid w:val="00300A3E"/>
    <w:rsid w:val="0030174C"/>
    <w:rsid w:val="00301975"/>
    <w:rsid w:val="00302048"/>
    <w:rsid w:val="00303067"/>
    <w:rsid w:val="00303E26"/>
    <w:rsid w:val="003046C3"/>
    <w:rsid w:val="00304B0F"/>
    <w:rsid w:val="0030542C"/>
    <w:rsid w:val="003062D5"/>
    <w:rsid w:val="00306EA2"/>
    <w:rsid w:val="00307360"/>
    <w:rsid w:val="00310418"/>
    <w:rsid w:val="00310A50"/>
    <w:rsid w:val="00312091"/>
    <w:rsid w:val="0031252C"/>
    <w:rsid w:val="00312781"/>
    <w:rsid w:val="00312995"/>
    <w:rsid w:val="00312FFC"/>
    <w:rsid w:val="00313225"/>
    <w:rsid w:val="00313B16"/>
    <w:rsid w:val="00314732"/>
    <w:rsid w:val="00314C3B"/>
    <w:rsid w:val="003150BF"/>
    <w:rsid w:val="003150CE"/>
    <w:rsid w:val="00315C40"/>
    <w:rsid w:val="00315E92"/>
    <w:rsid w:val="00316464"/>
    <w:rsid w:val="003172C7"/>
    <w:rsid w:val="00317627"/>
    <w:rsid w:val="00317914"/>
    <w:rsid w:val="00320F68"/>
    <w:rsid w:val="0032115F"/>
    <w:rsid w:val="00322080"/>
    <w:rsid w:val="0032222B"/>
    <w:rsid w:val="00322324"/>
    <w:rsid w:val="00323B9E"/>
    <w:rsid w:val="003248C0"/>
    <w:rsid w:val="00324D87"/>
    <w:rsid w:val="00325CF6"/>
    <w:rsid w:val="003266C5"/>
    <w:rsid w:val="003269AE"/>
    <w:rsid w:val="00326EFF"/>
    <w:rsid w:val="00327E44"/>
    <w:rsid w:val="003303BE"/>
    <w:rsid w:val="00330804"/>
    <w:rsid w:val="003326B5"/>
    <w:rsid w:val="003334E8"/>
    <w:rsid w:val="0033352A"/>
    <w:rsid w:val="00334566"/>
    <w:rsid w:val="003348D5"/>
    <w:rsid w:val="00334A6B"/>
    <w:rsid w:val="003354FC"/>
    <w:rsid w:val="003360C7"/>
    <w:rsid w:val="003366B2"/>
    <w:rsid w:val="00336F3F"/>
    <w:rsid w:val="003376E4"/>
    <w:rsid w:val="003379D7"/>
    <w:rsid w:val="00337F52"/>
    <w:rsid w:val="00340066"/>
    <w:rsid w:val="00340A69"/>
    <w:rsid w:val="003413E0"/>
    <w:rsid w:val="00341F66"/>
    <w:rsid w:val="003424CD"/>
    <w:rsid w:val="0034288B"/>
    <w:rsid w:val="00342D41"/>
    <w:rsid w:val="0034332B"/>
    <w:rsid w:val="003438C4"/>
    <w:rsid w:val="00343DF9"/>
    <w:rsid w:val="00343E9B"/>
    <w:rsid w:val="0034508D"/>
    <w:rsid w:val="00345171"/>
    <w:rsid w:val="0034545F"/>
    <w:rsid w:val="00345C50"/>
    <w:rsid w:val="00345E7D"/>
    <w:rsid w:val="0034600A"/>
    <w:rsid w:val="0034681C"/>
    <w:rsid w:val="00346F84"/>
    <w:rsid w:val="0035086B"/>
    <w:rsid w:val="00350BC3"/>
    <w:rsid w:val="003513FC"/>
    <w:rsid w:val="00351598"/>
    <w:rsid w:val="00351DCE"/>
    <w:rsid w:val="00352179"/>
    <w:rsid w:val="00352E32"/>
    <w:rsid w:val="003539E3"/>
    <w:rsid w:val="00353FF4"/>
    <w:rsid w:val="00354169"/>
    <w:rsid w:val="00354F00"/>
    <w:rsid w:val="00354F89"/>
    <w:rsid w:val="00355F4A"/>
    <w:rsid w:val="003562B9"/>
    <w:rsid w:val="00356435"/>
    <w:rsid w:val="00356A21"/>
    <w:rsid w:val="003600A8"/>
    <w:rsid w:val="00360A6D"/>
    <w:rsid w:val="0036101B"/>
    <w:rsid w:val="003619ED"/>
    <w:rsid w:val="00361F26"/>
    <w:rsid w:val="003625A1"/>
    <w:rsid w:val="0036262D"/>
    <w:rsid w:val="00362F72"/>
    <w:rsid w:val="00363E90"/>
    <w:rsid w:val="00363EDC"/>
    <w:rsid w:val="00364A58"/>
    <w:rsid w:val="00365C5C"/>
    <w:rsid w:val="00365E66"/>
    <w:rsid w:val="0036649F"/>
    <w:rsid w:val="00366524"/>
    <w:rsid w:val="00366779"/>
    <w:rsid w:val="00366828"/>
    <w:rsid w:val="00366DCB"/>
    <w:rsid w:val="00366F85"/>
    <w:rsid w:val="003674A3"/>
    <w:rsid w:val="00370BC0"/>
    <w:rsid w:val="00371D78"/>
    <w:rsid w:val="003721AD"/>
    <w:rsid w:val="00373531"/>
    <w:rsid w:val="003739F7"/>
    <w:rsid w:val="00373E58"/>
    <w:rsid w:val="00373ED3"/>
    <w:rsid w:val="003745FC"/>
    <w:rsid w:val="00374FE6"/>
    <w:rsid w:val="00375AE9"/>
    <w:rsid w:val="00376073"/>
    <w:rsid w:val="003768D3"/>
    <w:rsid w:val="00376F37"/>
    <w:rsid w:val="00377452"/>
    <w:rsid w:val="00377490"/>
    <w:rsid w:val="00380431"/>
    <w:rsid w:val="00380FC7"/>
    <w:rsid w:val="00381223"/>
    <w:rsid w:val="00381849"/>
    <w:rsid w:val="00381B98"/>
    <w:rsid w:val="003822E7"/>
    <w:rsid w:val="0038250E"/>
    <w:rsid w:val="00382B13"/>
    <w:rsid w:val="00383764"/>
    <w:rsid w:val="00383F1F"/>
    <w:rsid w:val="00384530"/>
    <w:rsid w:val="003848B7"/>
    <w:rsid w:val="00384F36"/>
    <w:rsid w:val="00385271"/>
    <w:rsid w:val="003853D7"/>
    <w:rsid w:val="0038706D"/>
    <w:rsid w:val="00387263"/>
    <w:rsid w:val="00387D24"/>
    <w:rsid w:val="00391AB7"/>
    <w:rsid w:val="00392127"/>
    <w:rsid w:val="0039226E"/>
    <w:rsid w:val="003923E3"/>
    <w:rsid w:val="00392CC8"/>
    <w:rsid w:val="00392E6F"/>
    <w:rsid w:val="00395ABC"/>
    <w:rsid w:val="00395D8D"/>
    <w:rsid w:val="003A0250"/>
    <w:rsid w:val="003A047D"/>
    <w:rsid w:val="003A0925"/>
    <w:rsid w:val="003A1364"/>
    <w:rsid w:val="003A1BF7"/>
    <w:rsid w:val="003A1E9C"/>
    <w:rsid w:val="003A2017"/>
    <w:rsid w:val="003A2234"/>
    <w:rsid w:val="003A293D"/>
    <w:rsid w:val="003A3998"/>
    <w:rsid w:val="003A4156"/>
    <w:rsid w:val="003A42CD"/>
    <w:rsid w:val="003A48CC"/>
    <w:rsid w:val="003A6679"/>
    <w:rsid w:val="003A72EF"/>
    <w:rsid w:val="003A7D5E"/>
    <w:rsid w:val="003A7F13"/>
    <w:rsid w:val="003A7FB9"/>
    <w:rsid w:val="003B02A1"/>
    <w:rsid w:val="003B1025"/>
    <w:rsid w:val="003B2729"/>
    <w:rsid w:val="003B27DF"/>
    <w:rsid w:val="003B2FCE"/>
    <w:rsid w:val="003B3711"/>
    <w:rsid w:val="003B4EED"/>
    <w:rsid w:val="003B5231"/>
    <w:rsid w:val="003B5D47"/>
    <w:rsid w:val="003B5FB3"/>
    <w:rsid w:val="003B6208"/>
    <w:rsid w:val="003B6834"/>
    <w:rsid w:val="003B69E1"/>
    <w:rsid w:val="003B6B2C"/>
    <w:rsid w:val="003B6C1B"/>
    <w:rsid w:val="003B6E63"/>
    <w:rsid w:val="003C0D22"/>
    <w:rsid w:val="003C14AD"/>
    <w:rsid w:val="003C266A"/>
    <w:rsid w:val="003C34E1"/>
    <w:rsid w:val="003C45E1"/>
    <w:rsid w:val="003C602A"/>
    <w:rsid w:val="003C76DE"/>
    <w:rsid w:val="003D00C2"/>
    <w:rsid w:val="003D0A9C"/>
    <w:rsid w:val="003D1759"/>
    <w:rsid w:val="003D1782"/>
    <w:rsid w:val="003D1896"/>
    <w:rsid w:val="003D1BC0"/>
    <w:rsid w:val="003D28D1"/>
    <w:rsid w:val="003D3171"/>
    <w:rsid w:val="003D3811"/>
    <w:rsid w:val="003D3B14"/>
    <w:rsid w:val="003D4B16"/>
    <w:rsid w:val="003D4EC1"/>
    <w:rsid w:val="003D56CF"/>
    <w:rsid w:val="003D5815"/>
    <w:rsid w:val="003D62F7"/>
    <w:rsid w:val="003D64D0"/>
    <w:rsid w:val="003E00F6"/>
    <w:rsid w:val="003E0BB5"/>
    <w:rsid w:val="003E0F08"/>
    <w:rsid w:val="003E1035"/>
    <w:rsid w:val="003E1171"/>
    <w:rsid w:val="003E17F2"/>
    <w:rsid w:val="003E19F7"/>
    <w:rsid w:val="003E1EB2"/>
    <w:rsid w:val="003E4550"/>
    <w:rsid w:val="003E492C"/>
    <w:rsid w:val="003E569B"/>
    <w:rsid w:val="003E5876"/>
    <w:rsid w:val="003E5987"/>
    <w:rsid w:val="003E5BA9"/>
    <w:rsid w:val="003E5C49"/>
    <w:rsid w:val="003E63DC"/>
    <w:rsid w:val="003E6920"/>
    <w:rsid w:val="003E698B"/>
    <w:rsid w:val="003E6AB5"/>
    <w:rsid w:val="003E710D"/>
    <w:rsid w:val="003E7A9C"/>
    <w:rsid w:val="003F0935"/>
    <w:rsid w:val="003F1618"/>
    <w:rsid w:val="003F1857"/>
    <w:rsid w:val="003F1E7F"/>
    <w:rsid w:val="003F29D1"/>
    <w:rsid w:val="003F328F"/>
    <w:rsid w:val="003F3960"/>
    <w:rsid w:val="003F479A"/>
    <w:rsid w:val="003F531A"/>
    <w:rsid w:val="003F6910"/>
    <w:rsid w:val="003F74E6"/>
    <w:rsid w:val="003F7C9E"/>
    <w:rsid w:val="0040023D"/>
    <w:rsid w:val="004007A7"/>
    <w:rsid w:val="00402042"/>
    <w:rsid w:val="0040217C"/>
    <w:rsid w:val="004025E8"/>
    <w:rsid w:val="00402768"/>
    <w:rsid w:val="00402B7F"/>
    <w:rsid w:val="004038CD"/>
    <w:rsid w:val="00403DEE"/>
    <w:rsid w:val="00404731"/>
    <w:rsid w:val="004049A3"/>
    <w:rsid w:val="00404C36"/>
    <w:rsid w:val="00404F64"/>
    <w:rsid w:val="0040571F"/>
    <w:rsid w:val="00405F96"/>
    <w:rsid w:val="004067A8"/>
    <w:rsid w:val="00406F38"/>
    <w:rsid w:val="004073D4"/>
    <w:rsid w:val="00407AF1"/>
    <w:rsid w:val="00407B7A"/>
    <w:rsid w:val="004107CA"/>
    <w:rsid w:val="004109B2"/>
    <w:rsid w:val="00410B9F"/>
    <w:rsid w:val="00410BB0"/>
    <w:rsid w:val="00410F7B"/>
    <w:rsid w:val="004111BC"/>
    <w:rsid w:val="004114CB"/>
    <w:rsid w:val="00411D8E"/>
    <w:rsid w:val="004125F4"/>
    <w:rsid w:val="004126D4"/>
    <w:rsid w:val="0041468C"/>
    <w:rsid w:val="00414703"/>
    <w:rsid w:val="00415388"/>
    <w:rsid w:val="00415844"/>
    <w:rsid w:val="00415920"/>
    <w:rsid w:val="00415D1A"/>
    <w:rsid w:val="00415D2B"/>
    <w:rsid w:val="00416B5C"/>
    <w:rsid w:val="00416C0A"/>
    <w:rsid w:val="00417267"/>
    <w:rsid w:val="0042042C"/>
    <w:rsid w:val="00421445"/>
    <w:rsid w:val="00421941"/>
    <w:rsid w:val="00421EC5"/>
    <w:rsid w:val="00423679"/>
    <w:rsid w:val="00423FC6"/>
    <w:rsid w:val="00424DE2"/>
    <w:rsid w:val="0042566F"/>
    <w:rsid w:val="00425DA9"/>
    <w:rsid w:val="00425FEF"/>
    <w:rsid w:val="00426FD4"/>
    <w:rsid w:val="004273FA"/>
    <w:rsid w:val="004275AF"/>
    <w:rsid w:val="00430A17"/>
    <w:rsid w:val="00430ACD"/>
    <w:rsid w:val="004314E0"/>
    <w:rsid w:val="004322BC"/>
    <w:rsid w:val="00432528"/>
    <w:rsid w:val="00432836"/>
    <w:rsid w:val="004336AD"/>
    <w:rsid w:val="00433BF1"/>
    <w:rsid w:val="00434775"/>
    <w:rsid w:val="004348D9"/>
    <w:rsid w:val="00435285"/>
    <w:rsid w:val="00435EA9"/>
    <w:rsid w:val="004360A6"/>
    <w:rsid w:val="004368F3"/>
    <w:rsid w:val="004373D1"/>
    <w:rsid w:val="0043778D"/>
    <w:rsid w:val="004404A7"/>
    <w:rsid w:val="004407A7"/>
    <w:rsid w:val="00440987"/>
    <w:rsid w:val="0044103F"/>
    <w:rsid w:val="004415B3"/>
    <w:rsid w:val="00441BAE"/>
    <w:rsid w:val="00442E92"/>
    <w:rsid w:val="0044445D"/>
    <w:rsid w:val="004454C2"/>
    <w:rsid w:val="004457D5"/>
    <w:rsid w:val="004459F4"/>
    <w:rsid w:val="00446FFC"/>
    <w:rsid w:val="00447347"/>
    <w:rsid w:val="00447F33"/>
    <w:rsid w:val="00450A27"/>
    <w:rsid w:val="004517D3"/>
    <w:rsid w:val="00451ADC"/>
    <w:rsid w:val="00451EC2"/>
    <w:rsid w:val="00452745"/>
    <w:rsid w:val="00452E5A"/>
    <w:rsid w:val="004535BD"/>
    <w:rsid w:val="00453D37"/>
    <w:rsid w:val="00454060"/>
    <w:rsid w:val="00454A48"/>
    <w:rsid w:val="00456038"/>
    <w:rsid w:val="00456982"/>
    <w:rsid w:val="00456A07"/>
    <w:rsid w:val="0045713D"/>
    <w:rsid w:val="0045735C"/>
    <w:rsid w:val="00457520"/>
    <w:rsid w:val="00457EBF"/>
    <w:rsid w:val="004609E6"/>
    <w:rsid w:val="0046187A"/>
    <w:rsid w:val="0046189F"/>
    <w:rsid w:val="0046234A"/>
    <w:rsid w:val="004625D5"/>
    <w:rsid w:val="00462BFE"/>
    <w:rsid w:val="004631B9"/>
    <w:rsid w:val="0046332B"/>
    <w:rsid w:val="00463357"/>
    <w:rsid w:val="00463438"/>
    <w:rsid w:val="00463A04"/>
    <w:rsid w:val="00464CA7"/>
    <w:rsid w:val="00465255"/>
    <w:rsid w:val="00466C40"/>
    <w:rsid w:val="00470B49"/>
    <w:rsid w:val="00471ABE"/>
    <w:rsid w:val="00472BCF"/>
    <w:rsid w:val="00473399"/>
    <w:rsid w:val="004733EC"/>
    <w:rsid w:val="00473718"/>
    <w:rsid w:val="00473869"/>
    <w:rsid w:val="0047410E"/>
    <w:rsid w:val="00474922"/>
    <w:rsid w:val="00477015"/>
    <w:rsid w:val="0048054A"/>
    <w:rsid w:val="004818E8"/>
    <w:rsid w:val="004820D0"/>
    <w:rsid w:val="004825FD"/>
    <w:rsid w:val="00482680"/>
    <w:rsid w:val="00482F67"/>
    <w:rsid w:val="00483006"/>
    <w:rsid w:val="00483058"/>
    <w:rsid w:val="004839F2"/>
    <w:rsid w:val="00484211"/>
    <w:rsid w:val="00484915"/>
    <w:rsid w:val="00484DFD"/>
    <w:rsid w:val="00485051"/>
    <w:rsid w:val="00485619"/>
    <w:rsid w:val="004856CC"/>
    <w:rsid w:val="00485961"/>
    <w:rsid w:val="00486CE8"/>
    <w:rsid w:val="00487387"/>
    <w:rsid w:val="004904E7"/>
    <w:rsid w:val="00490780"/>
    <w:rsid w:val="00490F3F"/>
    <w:rsid w:val="004919FD"/>
    <w:rsid w:val="00491DA8"/>
    <w:rsid w:val="00491FED"/>
    <w:rsid w:val="00492923"/>
    <w:rsid w:val="00492D2E"/>
    <w:rsid w:val="0049319B"/>
    <w:rsid w:val="00495FAE"/>
    <w:rsid w:val="0049620E"/>
    <w:rsid w:val="00497B54"/>
    <w:rsid w:val="004A0601"/>
    <w:rsid w:val="004A0C6E"/>
    <w:rsid w:val="004A1019"/>
    <w:rsid w:val="004A132C"/>
    <w:rsid w:val="004A2245"/>
    <w:rsid w:val="004A360E"/>
    <w:rsid w:val="004A375F"/>
    <w:rsid w:val="004A420F"/>
    <w:rsid w:val="004A6091"/>
    <w:rsid w:val="004A6407"/>
    <w:rsid w:val="004A6631"/>
    <w:rsid w:val="004A6EEC"/>
    <w:rsid w:val="004A6F4C"/>
    <w:rsid w:val="004A779B"/>
    <w:rsid w:val="004B0494"/>
    <w:rsid w:val="004B0FE9"/>
    <w:rsid w:val="004B22F2"/>
    <w:rsid w:val="004B26D9"/>
    <w:rsid w:val="004B275D"/>
    <w:rsid w:val="004B27A9"/>
    <w:rsid w:val="004B2C5E"/>
    <w:rsid w:val="004B2EE6"/>
    <w:rsid w:val="004B3DF4"/>
    <w:rsid w:val="004B41EB"/>
    <w:rsid w:val="004B434C"/>
    <w:rsid w:val="004B4419"/>
    <w:rsid w:val="004B4A7C"/>
    <w:rsid w:val="004B4F90"/>
    <w:rsid w:val="004B5621"/>
    <w:rsid w:val="004B7044"/>
    <w:rsid w:val="004B774B"/>
    <w:rsid w:val="004C0409"/>
    <w:rsid w:val="004C05C5"/>
    <w:rsid w:val="004C0BAF"/>
    <w:rsid w:val="004C17DC"/>
    <w:rsid w:val="004C1A13"/>
    <w:rsid w:val="004C1C05"/>
    <w:rsid w:val="004C2922"/>
    <w:rsid w:val="004C2FBE"/>
    <w:rsid w:val="004C3219"/>
    <w:rsid w:val="004C4262"/>
    <w:rsid w:val="004C4587"/>
    <w:rsid w:val="004C4629"/>
    <w:rsid w:val="004C4B71"/>
    <w:rsid w:val="004C5350"/>
    <w:rsid w:val="004C563F"/>
    <w:rsid w:val="004C5724"/>
    <w:rsid w:val="004C656A"/>
    <w:rsid w:val="004C66DF"/>
    <w:rsid w:val="004C73BE"/>
    <w:rsid w:val="004C7A40"/>
    <w:rsid w:val="004C7C35"/>
    <w:rsid w:val="004D0090"/>
    <w:rsid w:val="004D0856"/>
    <w:rsid w:val="004D087E"/>
    <w:rsid w:val="004D0F4E"/>
    <w:rsid w:val="004D19DB"/>
    <w:rsid w:val="004D1E88"/>
    <w:rsid w:val="004D201B"/>
    <w:rsid w:val="004D3CD7"/>
    <w:rsid w:val="004D4500"/>
    <w:rsid w:val="004D4547"/>
    <w:rsid w:val="004D5662"/>
    <w:rsid w:val="004D57A0"/>
    <w:rsid w:val="004D58DE"/>
    <w:rsid w:val="004D5E17"/>
    <w:rsid w:val="004D5F58"/>
    <w:rsid w:val="004D63E2"/>
    <w:rsid w:val="004D6669"/>
    <w:rsid w:val="004D676D"/>
    <w:rsid w:val="004E07D3"/>
    <w:rsid w:val="004E0967"/>
    <w:rsid w:val="004E1D68"/>
    <w:rsid w:val="004E3582"/>
    <w:rsid w:val="004E3DDC"/>
    <w:rsid w:val="004E3F30"/>
    <w:rsid w:val="004E46F8"/>
    <w:rsid w:val="004E48B9"/>
    <w:rsid w:val="004E50C8"/>
    <w:rsid w:val="004E5391"/>
    <w:rsid w:val="004E653E"/>
    <w:rsid w:val="004E65F5"/>
    <w:rsid w:val="004E6E93"/>
    <w:rsid w:val="004E75F8"/>
    <w:rsid w:val="004E7CBA"/>
    <w:rsid w:val="004F03EE"/>
    <w:rsid w:val="004F0CBF"/>
    <w:rsid w:val="004F0F1F"/>
    <w:rsid w:val="004F1A79"/>
    <w:rsid w:val="004F2196"/>
    <w:rsid w:val="004F24ED"/>
    <w:rsid w:val="004F2D77"/>
    <w:rsid w:val="004F3E28"/>
    <w:rsid w:val="004F4022"/>
    <w:rsid w:val="004F4077"/>
    <w:rsid w:val="004F40B3"/>
    <w:rsid w:val="004F4CDF"/>
    <w:rsid w:val="004F5B4A"/>
    <w:rsid w:val="004F5BC7"/>
    <w:rsid w:val="004F621F"/>
    <w:rsid w:val="004F71CB"/>
    <w:rsid w:val="004F76A2"/>
    <w:rsid w:val="005009A7"/>
    <w:rsid w:val="00500C4F"/>
    <w:rsid w:val="0050236C"/>
    <w:rsid w:val="00502C06"/>
    <w:rsid w:val="00502EAE"/>
    <w:rsid w:val="00503A1B"/>
    <w:rsid w:val="00504595"/>
    <w:rsid w:val="00504C80"/>
    <w:rsid w:val="0050500F"/>
    <w:rsid w:val="00505279"/>
    <w:rsid w:val="005063E1"/>
    <w:rsid w:val="00506549"/>
    <w:rsid w:val="0050657C"/>
    <w:rsid w:val="005065AC"/>
    <w:rsid w:val="00507CC5"/>
    <w:rsid w:val="005101D2"/>
    <w:rsid w:val="005101D7"/>
    <w:rsid w:val="00510C95"/>
    <w:rsid w:val="005127B5"/>
    <w:rsid w:val="0051315C"/>
    <w:rsid w:val="005138D2"/>
    <w:rsid w:val="00514B07"/>
    <w:rsid w:val="00514CA5"/>
    <w:rsid w:val="00515D63"/>
    <w:rsid w:val="00516038"/>
    <w:rsid w:val="00516BBB"/>
    <w:rsid w:val="00517DF0"/>
    <w:rsid w:val="0052061F"/>
    <w:rsid w:val="005211A6"/>
    <w:rsid w:val="00522B59"/>
    <w:rsid w:val="00522CAE"/>
    <w:rsid w:val="005230E5"/>
    <w:rsid w:val="005234EE"/>
    <w:rsid w:val="00523E83"/>
    <w:rsid w:val="00523F57"/>
    <w:rsid w:val="0052431D"/>
    <w:rsid w:val="005248BB"/>
    <w:rsid w:val="00525AA8"/>
    <w:rsid w:val="00525EBA"/>
    <w:rsid w:val="00526031"/>
    <w:rsid w:val="00526B25"/>
    <w:rsid w:val="00526CE4"/>
    <w:rsid w:val="00526FFB"/>
    <w:rsid w:val="005308A5"/>
    <w:rsid w:val="00530C01"/>
    <w:rsid w:val="00531190"/>
    <w:rsid w:val="00531316"/>
    <w:rsid w:val="005314E9"/>
    <w:rsid w:val="00531723"/>
    <w:rsid w:val="0053241E"/>
    <w:rsid w:val="0053275E"/>
    <w:rsid w:val="00532B42"/>
    <w:rsid w:val="00533C9A"/>
    <w:rsid w:val="0053531C"/>
    <w:rsid w:val="00535C11"/>
    <w:rsid w:val="0053702F"/>
    <w:rsid w:val="00537369"/>
    <w:rsid w:val="00537E18"/>
    <w:rsid w:val="00537E22"/>
    <w:rsid w:val="00540253"/>
    <w:rsid w:val="005403B7"/>
    <w:rsid w:val="00541EF9"/>
    <w:rsid w:val="005431CF"/>
    <w:rsid w:val="005438A5"/>
    <w:rsid w:val="00543D0A"/>
    <w:rsid w:val="00544D7D"/>
    <w:rsid w:val="00545181"/>
    <w:rsid w:val="0054538F"/>
    <w:rsid w:val="005454E3"/>
    <w:rsid w:val="005454F3"/>
    <w:rsid w:val="005455E5"/>
    <w:rsid w:val="00545B9A"/>
    <w:rsid w:val="00546051"/>
    <w:rsid w:val="0054681B"/>
    <w:rsid w:val="00546C24"/>
    <w:rsid w:val="00546D83"/>
    <w:rsid w:val="0054779A"/>
    <w:rsid w:val="00547AC7"/>
    <w:rsid w:val="00547BA1"/>
    <w:rsid w:val="00550EE5"/>
    <w:rsid w:val="005518D3"/>
    <w:rsid w:val="00552645"/>
    <w:rsid w:val="00552FDC"/>
    <w:rsid w:val="005541EE"/>
    <w:rsid w:val="005551DB"/>
    <w:rsid w:val="00555589"/>
    <w:rsid w:val="00555B59"/>
    <w:rsid w:val="00555DAE"/>
    <w:rsid w:val="005565B9"/>
    <w:rsid w:val="00557CB1"/>
    <w:rsid w:val="00560853"/>
    <w:rsid w:val="0056091E"/>
    <w:rsid w:val="00561371"/>
    <w:rsid w:val="0056172D"/>
    <w:rsid w:val="00561930"/>
    <w:rsid w:val="005634AF"/>
    <w:rsid w:val="005635F3"/>
    <w:rsid w:val="005636A8"/>
    <w:rsid w:val="00563955"/>
    <w:rsid w:val="00563F0B"/>
    <w:rsid w:val="00564027"/>
    <w:rsid w:val="0056402A"/>
    <w:rsid w:val="0056411C"/>
    <w:rsid w:val="00564270"/>
    <w:rsid w:val="005648C9"/>
    <w:rsid w:val="00565479"/>
    <w:rsid w:val="005658AA"/>
    <w:rsid w:val="00565ABC"/>
    <w:rsid w:val="00565B4C"/>
    <w:rsid w:val="00565DD1"/>
    <w:rsid w:val="005663FF"/>
    <w:rsid w:val="005669DC"/>
    <w:rsid w:val="00566BBB"/>
    <w:rsid w:val="005677E5"/>
    <w:rsid w:val="00567848"/>
    <w:rsid w:val="00570482"/>
    <w:rsid w:val="00570630"/>
    <w:rsid w:val="00570D24"/>
    <w:rsid w:val="00572036"/>
    <w:rsid w:val="005730E5"/>
    <w:rsid w:val="005733E1"/>
    <w:rsid w:val="00574016"/>
    <w:rsid w:val="005742BF"/>
    <w:rsid w:val="00574C1A"/>
    <w:rsid w:val="00575AD1"/>
    <w:rsid w:val="00576299"/>
    <w:rsid w:val="005764F0"/>
    <w:rsid w:val="00576667"/>
    <w:rsid w:val="00576BE9"/>
    <w:rsid w:val="00577AE7"/>
    <w:rsid w:val="00580EEB"/>
    <w:rsid w:val="00580FCF"/>
    <w:rsid w:val="00581946"/>
    <w:rsid w:val="00582297"/>
    <w:rsid w:val="00582380"/>
    <w:rsid w:val="00583544"/>
    <w:rsid w:val="00583673"/>
    <w:rsid w:val="00583A93"/>
    <w:rsid w:val="00583D08"/>
    <w:rsid w:val="00583F01"/>
    <w:rsid w:val="005841C6"/>
    <w:rsid w:val="0058537E"/>
    <w:rsid w:val="005859B1"/>
    <w:rsid w:val="00585D56"/>
    <w:rsid w:val="00586421"/>
    <w:rsid w:val="005871FA"/>
    <w:rsid w:val="00587215"/>
    <w:rsid w:val="00587BE7"/>
    <w:rsid w:val="00587CBC"/>
    <w:rsid w:val="00587ECB"/>
    <w:rsid w:val="00590552"/>
    <w:rsid w:val="00590C7C"/>
    <w:rsid w:val="005939AE"/>
    <w:rsid w:val="0059476D"/>
    <w:rsid w:val="0059478D"/>
    <w:rsid w:val="0059498F"/>
    <w:rsid w:val="0059499A"/>
    <w:rsid w:val="00595DF1"/>
    <w:rsid w:val="0059601C"/>
    <w:rsid w:val="0059609D"/>
    <w:rsid w:val="0059633E"/>
    <w:rsid w:val="00596524"/>
    <w:rsid w:val="005967BF"/>
    <w:rsid w:val="00596D1D"/>
    <w:rsid w:val="00597D35"/>
    <w:rsid w:val="005A0B72"/>
    <w:rsid w:val="005A2CCE"/>
    <w:rsid w:val="005A2E59"/>
    <w:rsid w:val="005A4A36"/>
    <w:rsid w:val="005A6D6D"/>
    <w:rsid w:val="005A7264"/>
    <w:rsid w:val="005B06CA"/>
    <w:rsid w:val="005B0DEF"/>
    <w:rsid w:val="005B1601"/>
    <w:rsid w:val="005B2115"/>
    <w:rsid w:val="005B29B4"/>
    <w:rsid w:val="005B3580"/>
    <w:rsid w:val="005B3D40"/>
    <w:rsid w:val="005B4957"/>
    <w:rsid w:val="005B4CFC"/>
    <w:rsid w:val="005B4DFD"/>
    <w:rsid w:val="005B58B0"/>
    <w:rsid w:val="005B5C9B"/>
    <w:rsid w:val="005B5F37"/>
    <w:rsid w:val="005B6135"/>
    <w:rsid w:val="005B62A1"/>
    <w:rsid w:val="005B63AB"/>
    <w:rsid w:val="005B68B3"/>
    <w:rsid w:val="005B75E0"/>
    <w:rsid w:val="005B79CD"/>
    <w:rsid w:val="005B7FF5"/>
    <w:rsid w:val="005C0298"/>
    <w:rsid w:val="005C05EC"/>
    <w:rsid w:val="005C0769"/>
    <w:rsid w:val="005C09D5"/>
    <w:rsid w:val="005C1C50"/>
    <w:rsid w:val="005C1F49"/>
    <w:rsid w:val="005C21B6"/>
    <w:rsid w:val="005C238B"/>
    <w:rsid w:val="005C34E6"/>
    <w:rsid w:val="005C360A"/>
    <w:rsid w:val="005C5C71"/>
    <w:rsid w:val="005C5DBB"/>
    <w:rsid w:val="005C61D1"/>
    <w:rsid w:val="005C6CBE"/>
    <w:rsid w:val="005D0066"/>
    <w:rsid w:val="005D05E5"/>
    <w:rsid w:val="005D0774"/>
    <w:rsid w:val="005D1DBD"/>
    <w:rsid w:val="005D221C"/>
    <w:rsid w:val="005D28DE"/>
    <w:rsid w:val="005D2A43"/>
    <w:rsid w:val="005D2BAA"/>
    <w:rsid w:val="005D372E"/>
    <w:rsid w:val="005D37EF"/>
    <w:rsid w:val="005D38A5"/>
    <w:rsid w:val="005D471A"/>
    <w:rsid w:val="005D4C37"/>
    <w:rsid w:val="005D4E4E"/>
    <w:rsid w:val="005D4F28"/>
    <w:rsid w:val="005D519B"/>
    <w:rsid w:val="005D53B4"/>
    <w:rsid w:val="005D571D"/>
    <w:rsid w:val="005D57E4"/>
    <w:rsid w:val="005D6603"/>
    <w:rsid w:val="005D6A60"/>
    <w:rsid w:val="005D6EA0"/>
    <w:rsid w:val="005D75D3"/>
    <w:rsid w:val="005E00B5"/>
    <w:rsid w:val="005E0300"/>
    <w:rsid w:val="005E0922"/>
    <w:rsid w:val="005E2FAB"/>
    <w:rsid w:val="005E3003"/>
    <w:rsid w:val="005E3B27"/>
    <w:rsid w:val="005E4394"/>
    <w:rsid w:val="005E4980"/>
    <w:rsid w:val="005E498E"/>
    <w:rsid w:val="005E49D7"/>
    <w:rsid w:val="005E4B5B"/>
    <w:rsid w:val="005E6EF1"/>
    <w:rsid w:val="005E727F"/>
    <w:rsid w:val="005E7B36"/>
    <w:rsid w:val="005F02E6"/>
    <w:rsid w:val="005F051F"/>
    <w:rsid w:val="005F0896"/>
    <w:rsid w:val="005F0DA5"/>
    <w:rsid w:val="005F0E19"/>
    <w:rsid w:val="005F10F1"/>
    <w:rsid w:val="005F1456"/>
    <w:rsid w:val="005F1911"/>
    <w:rsid w:val="005F25C4"/>
    <w:rsid w:val="005F2CBA"/>
    <w:rsid w:val="005F3175"/>
    <w:rsid w:val="005F3216"/>
    <w:rsid w:val="005F3320"/>
    <w:rsid w:val="005F353A"/>
    <w:rsid w:val="005F3F4E"/>
    <w:rsid w:val="005F4335"/>
    <w:rsid w:val="005F457F"/>
    <w:rsid w:val="005F4DAC"/>
    <w:rsid w:val="005F4DFE"/>
    <w:rsid w:val="005F4EF9"/>
    <w:rsid w:val="005F4FA3"/>
    <w:rsid w:val="005F60E0"/>
    <w:rsid w:val="005F75B1"/>
    <w:rsid w:val="005F7FBE"/>
    <w:rsid w:val="00600441"/>
    <w:rsid w:val="00600BBD"/>
    <w:rsid w:val="006015AE"/>
    <w:rsid w:val="006015FD"/>
    <w:rsid w:val="006017B1"/>
    <w:rsid w:val="00601D57"/>
    <w:rsid w:val="00602354"/>
    <w:rsid w:val="0060247E"/>
    <w:rsid w:val="00602820"/>
    <w:rsid w:val="00602E9D"/>
    <w:rsid w:val="0060414D"/>
    <w:rsid w:val="00604CEF"/>
    <w:rsid w:val="00605979"/>
    <w:rsid w:val="0060622B"/>
    <w:rsid w:val="0060654C"/>
    <w:rsid w:val="0060685F"/>
    <w:rsid w:val="00606CF4"/>
    <w:rsid w:val="00607066"/>
    <w:rsid w:val="00607197"/>
    <w:rsid w:val="0060770E"/>
    <w:rsid w:val="0060788B"/>
    <w:rsid w:val="006079EB"/>
    <w:rsid w:val="00607A16"/>
    <w:rsid w:val="0061088E"/>
    <w:rsid w:val="006109F8"/>
    <w:rsid w:val="006125F0"/>
    <w:rsid w:val="00612C50"/>
    <w:rsid w:val="00612D47"/>
    <w:rsid w:val="0061348D"/>
    <w:rsid w:val="006140AC"/>
    <w:rsid w:val="00614158"/>
    <w:rsid w:val="006147EA"/>
    <w:rsid w:val="0061614C"/>
    <w:rsid w:val="0061733A"/>
    <w:rsid w:val="00617443"/>
    <w:rsid w:val="00617C2C"/>
    <w:rsid w:val="00617D44"/>
    <w:rsid w:val="00620CEF"/>
    <w:rsid w:val="006211B8"/>
    <w:rsid w:val="0062211F"/>
    <w:rsid w:val="00622285"/>
    <w:rsid w:val="00622BD3"/>
    <w:rsid w:val="00623075"/>
    <w:rsid w:val="006237CA"/>
    <w:rsid w:val="00623910"/>
    <w:rsid w:val="0062421E"/>
    <w:rsid w:val="00624A27"/>
    <w:rsid w:val="00624D74"/>
    <w:rsid w:val="00625530"/>
    <w:rsid w:val="006255ED"/>
    <w:rsid w:val="006257D5"/>
    <w:rsid w:val="00625DD5"/>
    <w:rsid w:val="00626224"/>
    <w:rsid w:val="00626352"/>
    <w:rsid w:val="00626CF2"/>
    <w:rsid w:val="0062716D"/>
    <w:rsid w:val="0062717E"/>
    <w:rsid w:val="00627AF2"/>
    <w:rsid w:val="00631101"/>
    <w:rsid w:val="006311AE"/>
    <w:rsid w:val="006318A6"/>
    <w:rsid w:val="00631D79"/>
    <w:rsid w:val="00632823"/>
    <w:rsid w:val="00632AE6"/>
    <w:rsid w:val="00632F94"/>
    <w:rsid w:val="00633139"/>
    <w:rsid w:val="0063461D"/>
    <w:rsid w:val="00634732"/>
    <w:rsid w:val="0063535C"/>
    <w:rsid w:val="006362E2"/>
    <w:rsid w:val="0063632F"/>
    <w:rsid w:val="0063718B"/>
    <w:rsid w:val="00637808"/>
    <w:rsid w:val="00637892"/>
    <w:rsid w:val="00637927"/>
    <w:rsid w:val="00640C29"/>
    <w:rsid w:val="00640EDE"/>
    <w:rsid w:val="006412BB"/>
    <w:rsid w:val="0064256F"/>
    <w:rsid w:val="00642A9C"/>
    <w:rsid w:val="006436A5"/>
    <w:rsid w:val="0064403A"/>
    <w:rsid w:val="00644887"/>
    <w:rsid w:val="0064515F"/>
    <w:rsid w:val="0064545F"/>
    <w:rsid w:val="00645A69"/>
    <w:rsid w:val="00645CE1"/>
    <w:rsid w:val="00647256"/>
    <w:rsid w:val="0064729A"/>
    <w:rsid w:val="00647E24"/>
    <w:rsid w:val="00647FCE"/>
    <w:rsid w:val="00650C56"/>
    <w:rsid w:val="00650D01"/>
    <w:rsid w:val="00651502"/>
    <w:rsid w:val="00652858"/>
    <w:rsid w:val="0065311C"/>
    <w:rsid w:val="0065314C"/>
    <w:rsid w:val="006534A7"/>
    <w:rsid w:val="0065394E"/>
    <w:rsid w:val="00654FEA"/>
    <w:rsid w:val="0065523D"/>
    <w:rsid w:val="006558DC"/>
    <w:rsid w:val="00655E50"/>
    <w:rsid w:val="00656B27"/>
    <w:rsid w:val="00657142"/>
    <w:rsid w:val="00657F8B"/>
    <w:rsid w:val="00660401"/>
    <w:rsid w:val="0066098E"/>
    <w:rsid w:val="00661583"/>
    <w:rsid w:val="006618FC"/>
    <w:rsid w:val="00663D00"/>
    <w:rsid w:val="00663E86"/>
    <w:rsid w:val="006641E2"/>
    <w:rsid w:val="00664320"/>
    <w:rsid w:val="006644F2"/>
    <w:rsid w:val="006648CE"/>
    <w:rsid w:val="0066508C"/>
    <w:rsid w:val="00665890"/>
    <w:rsid w:val="00665ED2"/>
    <w:rsid w:val="006671BC"/>
    <w:rsid w:val="00667F0D"/>
    <w:rsid w:val="006707D2"/>
    <w:rsid w:val="006707E6"/>
    <w:rsid w:val="006709A9"/>
    <w:rsid w:val="00671B7E"/>
    <w:rsid w:val="00672466"/>
    <w:rsid w:val="00672520"/>
    <w:rsid w:val="00672BD4"/>
    <w:rsid w:val="00672CF1"/>
    <w:rsid w:val="006731E9"/>
    <w:rsid w:val="006739FD"/>
    <w:rsid w:val="006743BB"/>
    <w:rsid w:val="0067441E"/>
    <w:rsid w:val="006758ED"/>
    <w:rsid w:val="00675B80"/>
    <w:rsid w:val="0067642E"/>
    <w:rsid w:val="00676675"/>
    <w:rsid w:val="006767BC"/>
    <w:rsid w:val="00677603"/>
    <w:rsid w:val="0067791F"/>
    <w:rsid w:val="00677C03"/>
    <w:rsid w:val="00677CAA"/>
    <w:rsid w:val="006806DC"/>
    <w:rsid w:val="00681D75"/>
    <w:rsid w:val="00681FCF"/>
    <w:rsid w:val="0068205B"/>
    <w:rsid w:val="0068242E"/>
    <w:rsid w:val="006828AE"/>
    <w:rsid w:val="0068293B"/>
    <w:rsid w:val="00682ADD"/>
    <w:rsid w:val="00682B95"/>
    <w:rsid w:val="00683803"/>
    <w:rsid w:val="006839DD"/>
    <w:rsid w:val="00683F18"/>
    <w:rsid w:val="00684BAF"/>
    <w:rsid w:val="00684EF1"/>
    <w:rsid w:val="006865FE"/>
    <w:rsid w:val="00687594"/>
    <w:rsid w:val="00693796"/>
    <w:rsid w:val="006947CC"/>
    <w:rsid w:val="00694A22"/>
    <w:rsid w:val="00694B38"/>
    <w:rsid w:val="0069569B"/>
    <w:rsid w:val="00695CED"/>
    <w:rsid w:val="00695EA3"/>
    <w:rsid w:val="006966A0"/>
    <w:rsid w:val="00696CF9"/>
    <w:rsid w:val="00696EBB"/>
    <w:rsid w:val="006972ED"/>
    <w:rsid w:val="006978B3"/>
    <w:rsid w:val="006A0F59"/>
    <w:rsid w:val="006A107A"/>
    <w:rsid w:val="006A18D8"/>
    <w:rsid w:val="006A1F10"/>
    <w:rsid w:val="006A2D57"/>
    <w:rsid w:val="006A4D4E"/>
    <w:rsid w:val="006A4DFA"/>
    <w:rsid w:val="006A5430"/>
    <w:rsid w:val="006A5566"/>
    <w:rsid w:val="006A5F88"/>
    <w:rsid w:val="006A6954"/>
    <w:rsid w:val="006A72FE"/>
    <w:rsid w:val="006A7315"/>
    <w:rsid w:val="006B1E71"/>
    <w:rsid w:val="006B2776"/>
    <w:rsid w:val="006B464D"/>
    <w:rsid w:val="006B4A48"/>
    <w:rsid w:val="006B4CCE"/>
    <w:rsid w:val="006B5169"/>
    <w:rsid w:val="006B5533"/>
    <w:rsid w:val="006B5B96"/>
    <w:rsid w:val="006B5C77"/>
    <w:rsid w:val="006B630A"/>
    <w:rsid w:val="006B6AB4"/>
    <w:rsid w:val="006B6D6A"/>
    <w:rsid w:val="006B6DE6"/>
    <w:rsid w:val="006B71A2"/>
    <w:rsid w:val="006B7364"/>
    <w:rsid w:val="006B7721"/>
    <w:rsid w:val="006B7827"/>
    <w:rsid w:val="006B7AC7"/>
    <w:rsid w:val="006C1577"/>
    <w:rsid w:val="006C28C5"/>
    <w:rsid w:val="006C4FBA"/>
    <w:rsid w:val="006C5ACD"/>
    <w:rsid w:val="006C5E36"/>
    <w:rsid w:val="006C6300"/>
    <w:rsid w:val="006C6F20"/>
    <w:rsid w:val="006C745C"/>
    <w:rsid w:val="006D0C4B"/>
    <w:rsid w:val="006D1544"/>
    <w:rsid w:val="006D20D8"/>
    <w:rsid w:val="006D24C8"/>
    <w:rsid w:val="006D2A97"/>
    <w:rsid w:val="006D2E8A"/>
    <w:rsid w:val="006D307C"/>
    <w:rsid w:val="006D36B7"/>
    <w:rsid w:val="006D3A49"/>
    <w:rsid w:val="006D3EFA"/>
    <w:rsid w:val="006D6B51"/>
    <w:rsid w:val="006E0C03"/>
    <w:rsid w:val="006E0C2E"/>
    <w:rsid w:val="006E16F1"/>
    <w:rsid w:val="006E2936"/>
    <w:rsid w:val="006E2D90"/>
    <w:rsid w:val="006E359B"/>
    <w:rsid w:val="006E363B"/>
    <w:rsid w:val="006E3F74"/>
    <w:rsid w:val="006E4101"/>
    <w:rsid w:val="006E4432"/>
    <w:rsid w:val="006E75BF"/>
    <w:rsid w:val="006E7A63"/>
    <w:rsid w:val="006E7DDE"/>
    <w:rsid w:val="006F07C8"/>
    <w:rsid w:val="006F07F5"/>
    <w:rsid w:val="006F0967"/>
    <w:rsid w:val="006F09B5"/>
    <w:rsid w:val="006F09C2"/>
    <w:rsid w:val="006F0CD9"/>
    <w:rsid w:val="006F1349"/>
    <w:rsid w:val="006F1420"/>
    <w:rsid w:val="006F1B61"/>
    <w:rsid w:val="006F1CAA"/>
    <w:rsid w:val="006F201F"/>
    <w:rsid w:val="006F2C03"/>
    <w:rsid w:val="006F2D6D"/>
    <w:rsid w:val="006F304D"/>
    <w:rsid w:val="006F3B8E"/>
    <w:rsid w:val="006F3FB2"/>
    <w:rsid w:val="006F4111"/>
    <w:rsid w:val="006F4649"/>
    <w:rsid w:val="006F48B3"/>
    <w:rsid w:val="006F48B8"/>
    <w:rsid w:val="006F4BDD"/>
    <w:rsid w:val="006F516D"/>
    <w:rsid w:val="006F553C"/>
    <w:rsid w:val="006F6258"/>
    <w:rsid w:val="006F65E1"/>
    <w:rsid w:val="006F67B9"/>
    <w:rsid w:val="006F7E7B"/>
    <w:rsid w:val="006F7F8E"/>
    <w:rsid w:val="00700D2D"/>
    <w:rsid w:val="00701552"/>
    <w:rsid w:val="007015F1"/>
    <w:rsid w:val="00701F6C"/>
    <w:rsid w:val="00702503"/>
    <w:rsid w:val="00702A7E"/>
    <w:rsid w:val="0070334E"/>
    <w:rsid w:val="00703437"/>
    <w:rsid w:val="00704FDE"/>
    <w:rsid w:val="00705448"/>
    <w:rsid w:val="00707037"/>
    <w:rsid w:val="0070784D"/>
    <w:rsid w:val="00707C9B"/>
    <w:rsid w:val="00707ECA"/>
    <w:rsid w:val="00710DD9"/>
    <w:rsid w:val="00711059"/>
    <w:rsid w:val="007120FD"/>
    <w:rsid w:val="007122EC"/>
    <w:rsid w:val="0071275A"/>
    <w:rsid w:val="00712FDE"/>
    <w:rsid w:val="00713FFB"/>
    <w:rsid w:val="00714504"/>
    <w:rsid w:val="00714A81"/>
    <w:rsid w:val="00714EF9"/>
    <w:rsid w:val="00715AB1"/>
    <w:rsid w:val="00716088"/>
    <w:rsid w:val="00716B56"/>
    <w:rsid w:val="0071742A"/>
    <w:rsid w:val="00717467"/>
    <w:rsid w:val="00720C9A"/>
    <w:rsid w:val="00720DFA"/>
    <w:rsid w:val="007212A1"/>
    <w:rsid w:val="00721E18"/>
    <w:rsid w:val="00722BD1"/>
    <w:rsid w:val="00724A82"/>
    <w:rsid w:val="00724EBB"/>
    <w:rsid w:val="0072509E"/>
    <w:rsid w:val="007256C5"/>
    <w:rsid w:val="00725EAD"/>
    <w:rsid w:val="00726582"/>
    <w:rsid w:val="00730137"/>
    <w:rsid w:val="007307B2"/>
    <w:rsid w:val="00730E8F"/>
    <w:rsid w:val="00731088"/>
    <w:rsid w:val="00731D48"/>
    <w:rsid w:val="00732340"/>
    <w:rsid w:val="00733403"/>
    <w:rsid w:val="0073367D"/>
    <w:rsid w:val="007342A6"/>
    <w:rsid w:val="00734484"/>
    <w:rsid w:val="0073466F"/>
    <w:rsid w:val="007349E0"/>
    <w:rsid w:val="00734C6B"/>
    <w:rsid w:val="0073551A"/>
    <w:rsid w:val="00735E54"/>
    <w:rsid w:val="00736517"/>
    <w:rsid w:val="00737086"/>
    <w:rsid w:val="0073790C"/>
    <w:rsid w:val="00737F07"/>
    <w:rsid w:val="00740CFC"/>
    <w:rsid w:val="007416A2"/>
    <w:rsid w:val="0074193B"/>
    <w:rsid w:val="00742076"/>
    <w:rsid w:val="00742117"/>
    <w:rsid w:val="007426CC"/>
    <w:rsid w:val="007443A4"/>
    <w:rsid w:val="007446AD"/>
    <w:rsid w:val="00744ADB"/>
    <w:rsid w:val="00745136"/>
    <w:rsid w:val="00745A15"/>
    <w:rsid w:val="00745DD2"/>
    <w:rsid w:val="0074696B"/>
    <w:rsid w:val="00750399"/>
    <w:rsid w:val="0075072F"/>
    <w:rsid w:val="00750BAD"/>
    <w:rsid w:val="00750F39"/>
    <w:rsid w:val="007511F0"/>
    <w:rsid w:val="00751354"/>
    <w:rsid w:val="00751544"/>
    <w:rsid w:val="00751A8A"/>
    <w:rsid w:val="00751DD3"/>
    <w:rsid w:val="00752013"/>
    <w:rsid w:val="00752796"/>
    <w:rsid w:val="00752A9A"/>
    <w:rsid w:val="00752F03"/>
    <w:rsid w:val="00754196"/>
    <w:rsid w:val="00754554"/>
    <w:rsid w:val="007549EF"/>
    <w:rsid w:val="00756909"/>
    <w:rsid w:val="00756A67"/>
    <w:rsid w:val="00757937"/>
    <w:rsid w:val="00760D10"/>
    <w:rsid w:val="00761487"/>
    <w:rsid w:val="00762108"/>
    <w:rsid w:val="00762DA8"/>
    <w:rsid w:val="0076351F"/>
    <w:rsid w:val="007644D7"/>
    <w:rsid w:val="00765885"/>
    <w:rsid w:val="0076643B"/>
    <w:rsid w:val="00766554"/>
    <w:rsid w:val="00766FF7"/>
    <w:rsid w:val="007677FD"/>
    <w:rsid w:val="00770E38"/>
    <w:rsid w:val="0077167E"/>
    <w:rsid w:val="0077185D"/>
    <w:rsid w:val="00771F6E"/>
    <w:rsid w:val="0077269D"/>
    <w:rsid w:val="00773AE9"/>
    <w:rsid w:val="00773EA2"/>
    <w:rsid w:val="00774371"/>
    <w:rsid w:val="007751DE"/>
    <w:rsid w:val="00775309"/>
    <w:rsid w:val="007753A4"/>
    <w:rsid w:val="007759D2"/>
    <w:rsid w:val="007759FC"/>
    <w:rsid w:val="00775A12"/>
    <w:rsid w:val="00775A7E"/>
    <w:rsid w:val="0077701F"/>
    <w:rsid w:val="0077774C"/>
    <w:rsid w:val="0078093A"/>
    <w:rsid w:val="00780CCD"/>
    <w:rsid w:val="0078133D"/>
    <w:rsid w:val="00781393"/>
    <w:rsid w:val="00781AE9"/>
    <w:rsid w:val="00781E34"/>
    <w:rsid w:val="00782A42"/>
    <w:rsid w:val="00782C43"/>
    <w:rsid w:val="00785785"/>
    <w:rsid w:val="00786B1B"/>
    <w:rsid w:val="0079029D"/>
    <w:rsid w:val="00790431"/>
    <w:rsid w:val="007905AA"/>
    <w:rsid w:val="0079069D"/>
    <w:rsid w:val="00791A39"/>
    <w:rsid w:val="00791DED"/>
    <w:rsid w:val="00792AA8"/>
    <w:rsid w:val="00792DD3"/>
    <w:rsid w:val="00792E47"/>
    <w:rsid w:val="00793AAD"/>
    <w:rsid w:val="00793AAE"/>
    <w:rsid w:val="00794972"/>
    <w:rsid w:val="00794D96"/>
    <w:rsid w:val="00795820"/>
    <w:rsid w:val="0079585A"/>
    <w:rsid w:val="00796EE7"/>
    <w:rsid w:val="00797022"/>
    <w:rsid w:val="00797840"/>
    <w:rsid w:val="007978D2"/>
    <w:rsid w:val="00797B8B"/>
    <w:rsid w:val="007A0533"/>
    <w:rsid w:val="007A12E1"/>
    <w:rsid w:val="007A1698"/>
    <w:rsid w:val="007A180C"/>
    <w:rsid w:val="007A23B1"/>
    <w:rsid w:val="007A2519"/>
    <w:rsid w:val="007A2C05"/>
    <w:rsid w:val="007A3ABE"/>
    <w:rsid w:val="007A4314"/>
    <w:rsid w:val="007A4751"/>
    <w:rsid w:val="007A4CB0"/>
    <w:rsid w:val="007A4DEB"/>
    <w:rsid w:val="007A54F3"/>
    <w:rsid w:val="007A5B52"/>
    <w:rsid w:val="007A5C9B"/>
    <w:rsid w:val="007A5E47"/>
    <w:rsid w:val="007A6252"/>
    <w:rsid w:val="007A62C3"/>
    <w:rsid w:val="007A654E"/>
    <w:rsid w:val="007A71C1"/>
    <w:rsid w:val="007A7EB3"/>
    <w:rsid w:val="007B2974"/>
    <w:rsid w:val="007B2B97"/>
    <w:rsid w:val="007B353C"/>
    <w:rsid w:val="007B4102"/>
    <w:rsid w:val="007B4903"/>
    <w:rsid w:val="007B4D4C"/>
    <w:rsid w:val="007B5587"/>
    <w:rsid w:val="007B651A"/>
    <w:rsid w:val="007B6648"/>
    <w:rsid w:val="007B6669"/>
    <w:rsid w:val="007B6CF0"/>
    <w:rsid w:val="007B7956"/>
    <w:rsid w:val="007B7B24"/>
    <w:rsid w:val="007C0E63"/>
    <w:rsid w:val="007C137B"/>
    <w:rsid w:val="007C198B"/>
    <w:rsid w:val="007C1B7A"/>
    <w:rsid w:val="007C2652"/>
    <w:rsid w:val="007C29FF"/>
    <w:rsid w:val="007C2DFA"/>
    <w:rsid w:val="007C311B"/>
    <w:rsid w:val="007C3841"/>
    <w:rsid w:val="007C392E"/>
    <w:rsid w:val="007C44B4"/>
    <w:rsid w:val="007C44B5"/>
    <w:rsid w:val="007C4892"/>
    <w:rsid w:val="007C506B"/>
    <w:rsid w:val="007C7006"/>
    <w:rsid w:val="007D0017"/>
    <w:rsid w:val="007D0986"/>
    <w:rsid w:val="007D1CA1"/>
    <w:rsid w:val="007D1CDD"/>
    <w:rsid w:val="007D266C"/>
    <w:rsid w:val="007D3E42"/>
    <w:rsid w:val="007D59A7"/>
    <w:rsid w:val="007D5A16"/>
    <w:rsid w:val="007D5BE1"/>
    <w:rsid w:val="007D6162"/>
    <w:rsid w:val="007D698B"/>
    <w:rsid w:val="007D7493"/>
    <w:rsid w:val="007D7BB6"/>
    <w:rsid w:val="007E069B"/>
    <w:rsid w:val="007E20AD"/>
    <w:rsid w:val="007E2761"/>
    <w:rsid w:val="007E2ACD"/>
    <w:rsid w:val="007E2C70"/>
    <w:rsid w:val="007E2C75"/>
    <w:rsid w:val="007E324F"/>
    <w:rsid w:val="007E381A"/>
    <w:rsid w:val="007E3974"/>
    <w:rsid w:val="007E4752"/>
    <w:rsid w:val="007E51C4"/>
    <w:rsid w:val="007E5793"/>
    <w:rsid w:val="007E581F"/>
    <w:rsid w:val="007E5AF1"/>
    <w:rsid w:val="007E5D35"/>
    <w:rsid w:val="007E6C2A"/>
    <w:rsid w:val="007E7DE8"/>
    <w:rsid w:val="007F0065"/>
    <w:rsid w:val="007F0307"/>
    <w:rsid w:val="007F0A50"/>
    <w:rsid w:val="007F0B6C"/>
    <w:rsid w:val="007F13ED"/>
    <w:rsid w:val="007F14F9"/>
    <w:rsid w:val="007F1784"/>
    <w:rsid w:val="007F1837"/>
    <w:rsid w:val="007F2E7E"/>
    <w:rsid w:val="007F3BA8"/>
    <w:rsid w:val="007F3C08"/>
    <w:rsid w:val="007F464D"/>
    <w:rsid w:val="007F514D"/>
    <w:rsid w:val="007F52A6"/>
    <w:rsid w:val="007F5789"/>
    <w:rsid w:val="007F68DA"/>
    <w:rsid w:val="007F79FF"/>
    <w:rsid w:val="007F7DB9"/>
    <w:rsid w:val="007F7FCD"/>
    <w:rsid w:val="008004E7"/>
    <w:rsid w:val="008009E5"/>
    <w:rsid w:val="008014FF"/>
    <w:rsid w:val="00801AA7"/>
    <w:rsid w:val="00802265"/>
    <w:rsid w:val="0080276C"/>
    <w:rsid w:val="0080358D"/>
    <w:rsid w:val="0080585F"/>
    <w:rsid w:val="00805CB4"/>
    <w:rsid w:val="00805E09"/>
    <w:rsid w:val="00805E13"/>
    <w:rsid w:val="00805F2F"/>
    <w:rsid w:val="008060C8"/>
    <w:rsid w:val="00806A39"/>
    <w:rsid w:val="00806CDC"/>
    <w:rsid w:val="00806D98"/>
    <w:rsid w:val="00807749"/>
    <w:rsid w:val="0080779D"/>
    <w:rsid w:val="00810F5C"/>
    <w:rsid w:val="008125B8"/>
    <w:rsid w:val="00812723"/>
    <w:rsid w:val="00812D5D"/>
    <w:rsid w:val="00812E8F"/>
    <w:rsid w:val="00814A6A"/>
    <w:rsid w:val="00814BF6"/>
    <w:rsid w:val="00814ED4"/>
    <w:rsid w:val="008152E3"/>
    <w:rsid w:val="0081557C"/>
    <w:rsid w:val="008156F5"/>
    <w:rsid w:val="008159B1"/>
    <w:rsid w:val="00815BEC"/>
    <w:rsid w:val="00815FA9"/>
    <w:rsid w:val="0081632B"/>
    <w:rsid w:val="00816602"/>
    <w:rsid w:val="00817261"/>
    <w:rsid w:val="0081763C"/>
    <w:rsid w:val="00820282"/>
    <w:rsid w:val="0082117F"/>
    <w:rsid w:val="00821242"/>
    <w:rsid w:val="00821311"/>
    <w:rsid w:val="00821C5D"/>
    <w:rsid w:val="008227CD"/>
    <w:rsid w:val="00823280"/>
    <w:rsid w:val="0082343C"/>
    <w:rsid w:val="00823C04"/>
    <w:rsid w:val="0082413C"/>
    <w:rsid w:val="008249B2"/>
    <w:rsid w:val="00824DF8"/>
    <w:rsid w:val="0082528C"/>
    <w:rsid w:val="00825390"/>
    <w:rsid w:val="00825A5E"/>
    <w:rsid w:val="0082619C"/>
    <w:rsid w:val="008267AE"/>
    <w:rsid w:val="00826859"/>
    <w:rsid w:val="00826B80"/>
    <w:rsid w:val="00827AD3"/>
    <w:rsid w:val="008303F7"/>
    <w:rsid w:val="008306F2"/>
    <w:rsid w:val="00830A9D"/>
    <w:rsid w:val="00830AF7"/>
    <w:rsid w:val="00830E05"/>
    <w:rsid w:val="00831487"/>
    <w:rsid w:val="008315E8"/>
    <w:rsid w:val="0083163F"/>
    <w:rsid w:val="00831A0D"/>
    <w:rsid w:val="00832853"/>
    <w:rsid w:val="00833961"/>
    <w:rsid w:val="00833EFD"/>
    <w:rsid w:val="00834966"/>
    <w:rsid w:val="008354F5"/>
    <w:rsid w:val="00835FFC"/>
    <w:rsid w:val="008360A1"/>
    <w:rsid w:val="00836AD2"/>
    <w:rsid w:val="008375CC"/>
    <w:rsid w:val="00837BAF"/>
    <w:rsid w:val="00837EA3"/>
    <w:rsid w:val="008415CC"/>
    <w:rsid w:val="00841D0E"/>
    <w:rsid w:val="00842799"/>
    <w:rsid w:val="00842862"/>
    <w:rsid w:val="008433A0"/>
    <w:rsid w:val="008449F6"/>
    <w:rsid w:val="00845199"/>
    <w:rsid w:val="008452D5"/>
    <w:rsid w:val="00845966"/>
    <w:rsid w:val="008465FD"/>
    <w:rsid w:val="00846685"/>
    <w:rsid w:val="00846F9B"/>
    <w:rsid w:val="008472FF"/>
    <w:rsid w:val="00847DFE"/>
    <w:rsid w:val="00850B14"/>
    <w:rsid w:val="00850FCE"/>
    <w:rsid w:val="00851111"/>
    <w:rsid w:val="0085146D"/>
    <w:rsid w:val="008519BE"/>
    <w:rsid w:val="00851C4B"/>
    <w:rsid w:val="008520E4"/>
    <w:rsid w:val="008525CF"/>
    <w:rsid w:val="00852BF8"/>
    <w:rsid w:val="0085317A"/>
    <w:rsid w:val="008542CC"/>
    <w:rsid w:val="0085700E"/>
    <w:rsid w:val="00857173"/>
    <w:rsid w:val="00857B90"/>
    <w:rsid w:val="00860973"/>
    <w:rsid w:val="00860B5B"/>
    <w:rsid w:val="00860B77"/>
    <w:rsid w:val="00860C71"/>
    <w:rsid w:val="0086183E"/>
    <w:rsid w:val="0086291F"/>
    <w:rsid w:val="008629E8"/>
    <w:rsid w:val="00862DA9"/>
    <w:rsid w:val="00862DE8"/>
    <w:rsid w:val="00863A75"/>
    <w:rsid w:val="0086476B"/>
    <w:rsid w:val="008648B5"/>
    <w:rsid w:val="0086641A"/>
    <w:rsid w:val="00866DFE"/>
    <w:rsid w:val="008671DC"/>
    <w:rsid w:val="0086740B"/>
    <w:rsid w:val="00867EEC"/>
    <w:rsid w:val="00867F68"/>
    <w:rsid w:val="008718E3"/>
    <w:rsid w:val="008718EE"/>
    <w:rsid w:val="008727A4"/>
    <w:rsid w:val="008727F0"/>
    <w:rsid w:val="00872D8A"/>
    <w:rsid w:val="00872EB6"/>
    <w:rsid w:val="008737D3"/>
    <w:rsid w:val="008737F8"/>
    <w:rsid w:val="008741A0"/>
    <w:rsid w:val="008753B5"/>
    <w:rsid w:val="008758DA"/>
    <w:rsid w:val="00875FCB"/>
    <w:rsid w:val="00876285"/>
    <w:rsid w:val="00876750"/>
    <w:rsid w:val="00876B82"/>
    <w:rsid w:val="008779B1"/>
    <w:rsid w:val="00877CBF"/>
    <w:rsid w:val="0088009C"/>
    <w:rsid w:val="008801AD"/>
    <w:rsid w:val="00880AB0"/>
    <w:rsid w:val="0088100A"/>
    <w:rsid w:val="0088184C"/>
    <w:rsid w:val="00881A70"/>
    <w:rsid w:val="00881B6B"/>
    <w:rsid w:val="00882375"/>
    <w:rsid w:val="00882813"/>
    <w:rsid w:val="00882D37"/>
    <w:rsid w:val="00882D53"/>
    <w:rsid w:val="00883437"/>
    <w:rsid w:val="008834C5"/>
    <w:rsid w:val="00883C24"/>
    <w:rsid w:val="00885393"/>
    <w:rsid w:val="008853F8"/>
    <w:rsid w:val="008855AA"/>
    <w:rsid w:val="0088568F"/>
    <w:rsid w:val="00885786"/>
    <w:rsid w:val="00885984"/>
    <w:rsid w:val="008868A6"/>
    <w:rsid w:val="00886F50"/>
    <w:rsid w:val="00887105"/>
    <w:rsid w:val="00890035"/>
    <w:rsid w:val="008905C7"/>
    <w:rsid w:val="00890DC2"/>
    <w:rsid w:val="00891589"/>
    <w:rsid w:val="00892BA8"/>
    <w:rsid w:val="00892F41"/>
    <w:rsid w:val="00894426"/>
    <w:rsid w:val="00895308"/>
    <w:rsid w:val="008953BD"/>
    <w:rsid w:val="00896053"/>
    <w:rsid w:val="0089644E"/>
    <w:rsid w:val="00896ABA"/>
    <w:rsid w:val="00896D5B"/>
    <w:rsid w:val="008973FC"/>
    <w:rsid w:val="0089772A"/>
    <w:rsid w:val="00897BDB"/>
    <w:rsid w:val="008A07E4"/>
    <w:rsid w:val="008A292A"/>
    <w:rsid w:val="008A3AAF"/>
    <w:rsid w:val="008A4628"/>
    <w:rsid w:val="008A46CC"/>
    <w:rsid w:val="008A46EC"/>
    <w:rsid w:val="008A481F"/>
    <w:rsid w:val="008A4D2A"/>
    <w:rsid w:val="008A64D7"/>
    <w:rsid w:val="008A6799"/>
    <w:rsid w:val="008A7509"/>
    <w:rsid w:val="008B10C6"/>
    <w:rsid w:val="008B175E"/>
    <w:rsid w:val="008B2CD1"/>
    <w:rsid w:val="008B35D3"/>
    <w:rsid w:val="008B4599"/>
    <w:rsid w:val="008B47CB"/>
    <w:rsid w:val="008B511E"/>
    <w:rsid w:val="008B5394"/>
    <w:rsid w:val="008B5889"/>
    <w:rsid w:val="008B5E5D"/>
    <w:rsid w:val="008B69B8"/>
    <w:rsid w:val="008B6A6C"/>
    <w:rsid w:val="008B6AF6"/>
    <w:rsid w:val="008B71BE"/>
    <w:rsid w:val="008B7A7D"/>
    <w:rsid w:val="008C034D"/>
    <w:rsid w:val="008C0934"/>
    <w:rsid w:val="008C098A"/>
    <w:rsid w:val="008C15BB"/>
    <w:rsid w:val="008C1B22"/>
    <w:rsid w:val="008C28E5"/>
    <w:rsid w:val="008C2E2D"/>
    <w:rsid w:val="008C3472"/>
    <w:rsid w:val="008C3804"/>
    <w:rsid w:val="008C3BC6"/>
    <w:rsid w:val="008C444F"/>
    <w:rsid w:val="008C4B61"/>
    <w:rsid w:val="008C4E5F"/>
    <w:rsid w:val="008C54E5"/>
    <w:rsid w:val="008C6C82"/>
    <w:rsid w:val="008C6CD9"/>
    <w:rsid w:val="008C6E4E"/>
    <w:rsid w:val="008D004A"/>
    <w:rsid w:val="008D0E3B"/>
    <w:rsid w:val="008D15F7"/>
    <w:rsid w:val="008D171B"/>
    <w:rsid w:val="008D1FDE"/>
    <w:rsid w:val="008D2162"/>
    <w:rsid w:val="008D29EA"/>
    <w:rsid w:val="008D2D62"/>
    <w:rsid w:val="008D329A"/>
    <w:rsid w:val="008D351D"/>
    <w:rsid w:val="008D382D"/>
    <w:rsid w:val="008D38D5"/>
    <w:rsid w:val="008D39C9"/>
    <w:rsid w:val="008D3FCC"/>
    <w:rsid w:val="008D401F"/>
    <w:rsid w:val="008D4666"/>
    <w:rsid w:val="008D5270"/>
    <w:rsid w:val="008D5359"/>
    <w:rsid w:val="008D6C4D"/>
    <w:rsid w:val="008D7306"/>
    <w:rsid w:val="008D74A6"/>
    <w:rsid w:val="008E1605"/>
    <w:rsid w:val="008E1AF4"/>
    <w:rsid w:val="008E1C45"/>
    <w:rsid w:val="008E242E"/>
    <w:rsid w:val="008E2D9C"/>
    <w:rsid w:val="008E2FA9"/>
    <w:rsid w:val="008E3697"/>
    <w:rsid w:val="008E39D3"/>
    <w:rsid w:val="008E3BBD"/>
    <w:rsid w:val="008E4947"/>
    <w:rsid w:val="008E4C26"/>
    <w:rsid w:val="008E512E"/>
    <w:rsid w:val="008E5856"/>
    <w:rsid w:val="008E5C16"/>
    <w:rsid w:val="008E647B"/>
    <w:rsid w:val="008E6875"/>
    <w:rsid w:val="008E7B61"/>
    <w:rsid w:val="008F006F"/>
    <w:rsid w:val="008F0197"/>
    <w:rsid w:val="008F0E22"/>
    <w:rsid w:val="008F13A8"/>
    <w:rsid w:val="008F1CE3"/>
    <w:rsid w:val="008F1F71"/>
    <w:rsid w:val="008F2ADB"/>
    <w:rsid w:val="008F309F"/>
    <w:rsid w:val="008F3AE2"/>
    <w:rsid w:val="008F3C38"/>
    <w:rsid w:val="008F3D9B"/>
    <w:rsid w:val="008F5282"/>
    <w:rsid w:val="008F52AA"/>
    <w:rsid w:val="008F5C5C"/>
    <w:rsid w:val="008F5D1F"/>
    <w:rsid w:val="008F6221"/>
    <w:rsid w:val="008F634C"/>
    <w:rsid w:val="008F6DAE"/>
    <w:rsid w:val="008F70C4"/>
    <w:rsid w:val="008F722B"/>
    <w:rsid w:val="008F777B"/>
    <w:rsid w:val="008F797A"/>
    <w:rsid w:val="008F7A45"/>
    <w:rsid w:val="008F7CCE"/>
    <w:rsid w:val="00900046"/>
    <w:rsid w:val="009004FC"/>
    <w:rsid w:val="009008D3"/>
    <w:rsid w:val="009014B9"/>
    <w:rsid w:val="00901712"/>
    <w:rsid w:val="00901FCF"/>
    <w:rsid w:val="00902850"/>
    <w:rsid w:val="009036A1"/>
    <w:rsid w:val="00903902"/>
    <w:rsid w:val="00903E5B"/>
    <w:rsid w:val="009047AC"/>
    <w:rsid w:val="0090494F"/>
    <w:rsid w:val="00905310"/>
    <w:rsid w:val="00905927"/>
    <w:rsid w:val="009064E2"/>
    <w:rsid w:val="00906EEB"/>
    <w:rsid w:val="009077C7"/>
    <w:rsid w:val="00907819"/>
    <w:rsid w:val="009111AF"/>
    <w:rsid w:val="00911253"/>
    <w:rsid w:val="0091147F"/>
    <w:rsid w:val="0091156A"/>
    <w:rsid w:val="0091220E"/>
    <w:rsid w:val="00913605"/>
    <w:rsid w:val="0091465A"/>
    <w:rsid w:val="0091588F"/>
    <w:rsid w:val="00915FF1"/>
    <w:rsid w:val="0091643A"/>
    <w:rsid w:val="009165DC"/>
    <w:rsid w:val="00916B72"/>
    <w:rsid w:val="00916EE8"/>
    <w:rsid w:val="009173EF"/>
    <w:rsid w:val="00920216"/>
    <w:rsid w:val="00920463"/>
    <w:rsid w:val="009224AF"/>
    <w:rsid w:val="009228AA"/>
    <w:rsid w:val="00923029"/>
    <w:rsid w:val="009231E5"/>
    <w:rsid w:val="009232B8"/>
    <w:rsid w:val="009238C7"/>
    <w:rsid w:val="00923A08"/>
    <w:rsid w:val="00923D68"/>
    <w:rsid w:val="00923D9B"/>
    <w:rsid w:val="00924524"/>
    <w:rsid w:val="009245CA"/>
    <w:rsid w:val="00924893"/>
    <w:rsid w:val="00925CFD"/>
    <w:rsid w:val="009262C8"/>
    <w:rsid w:val="009263F1"/>
    <w:rsid w:val="0092649B"/>
    <w:rsid w:val="00926E4D"/>
    <w:rsid w:val="0093018A"/>
    <w:rsid w:val="00930C87"/>
    <w:rsid w:val="00931503"/>
    <w:rsid w:val="009318E2"/>
    <w:rsid w:val="00931E4A"/>
    <w:rsid w:val="00931FFB"/>
    <w:rsid w:val="0093217D"/>
    <w:rsid w:val="0093352D"/>
    <w:rsid w:val="00933852"/>
    <w:rsid w:val="00933A85"/>
    <w:rsid w:val="00934077"/>
    <w:rsid w:val="0093459B"/>
    <w:rsid w:val="00934F92"/>
    <w:rsid w:val="009352C2"/>
    <w:rsid w:val="00935C14"/>
    <w:rsid w:val="00940185"/>
    <w:rsid w:val="009406AC"/>
    <w:rsid w:val="00940BCD"/>
    <w:rsid w:val="00941279"/>
    <w:rsid w:val="0094193F"/>
    <w:rsid w:val="00941A98"/>
    <w:rsid w:val="00942165"/>
    <w:rsid w:val="00942245"/>
    <w:rsid w:val="00942DAA"/>
    <w:rsid w:val="009434B8"/>
    <w:rsid w:val="0094386F"/>
    <w:rsid w:val="00944286"/>
    <w:rsid w:val="00944C96"/>
    <w:rsid w:val="00944E12"/>
    <w:rsid w:val="00945039"/>
    <w:rsid w:val="009458A8"/>
    <w:rsid w:val="00945F1B"/>
    <w:rsid w:val="009462D5"/>
    <w:rsid w:val="00946FD0"/>
    <w:rsid w:val="009472AE"/>
    <w:rsid w:val="00947642"/>
    <w:rsid w:val="00947ECB"/>
    <w:rsid w:val="0095038E"/>
    <w:rsid w:val="009503EB"/>
    <w:rsid w:val="00950DFF"/>
    <w:rsid w:val="009518CD"/>
    <w:rsid w:val="009519FD"/>
    <w:rsid w:val="00952CB4"/>
    <w:rsid w:val="00952D18"/>
    <w:rsid w:val="00952F38"/>
    <w:rsid w:val="0095347D"/>
    <w:rsid w:val="00953F5B"/>
    <w:rsid w:val="0095456C"/>
    <w:rsid w:val="009547B3"/>
    <w:rsid w:val="009548B5"/>
    <w:rsid w:val="00956905"/>
    <w:rsid w:val="0095791A"/>
    <w:rsid w:val="00957C1D"/>
    <w:rsid w:val="00960318"/>
    <w:rsid w:val="009606EA"/>
    <w:rsid w:val="009609ED"/>
    <w:rsid w:val="009614C6"/>
    <w:rsid w:val="00961A22"/>
    <w:rsid w:val="00962BFB"/>
    <w:rsid w:val="00962E1C"/>
    <w:rsid w:val="0096349D"/>
    <w:rsid w:val="00963BD2"/>
    <w:rsid w:val="00964954"/>
    <w:rsid w:val="00964AC3"/>
    <w:rsid w:val="00965237"/>
    <w:rsid w:val="00965748"/>
    <w:rsid w:val="0096590B"/>
    <w:rsid w:val="00965EB3"/>
    <w:rsid w:val="00965F5D"/>
    <w:rsid w:val="0096635B"/>
    <w:rsid w:val="00966794"/>
    <w:rsid w:val="0096684E"/>
    <w:rsid w:val="00966DEC"/>
    <w:rsid w:val="009678F5"/>
    <w:rsid w:val="009706B0"/>
    <w:rsid w:val="0097078A"/>
    <w:rsid w:val="00970F68"/>
    <w:rsid w:val="00971163"/>
    <w:rsid w:val="00971A3B"/>
    <w:rsid w:val="00971DC4"/>
    <w:rsid w:val="00971E1B"/>
    <w:rsid w:val="00971E49"/>
    <w:rsid w:val="00972489"/>
    <w:rsid w:val="0097252B"/>
    <w:rsid w:val="00972613"/>
    <w:rsid w:val="00973974"/>
    <w:rsid w:val="009739D8"/>
    <w:rsid w:val="0097419E"/>
    <w:rsid w:val="00974791"/>
    <w:rsid w:val="0097481D"/>
    <w:rsid w:val="00975C91"/>
    <w:rsid w:val="0097673B"/>
    <w:rsid w:val="009776AD"/>
    <w:rsid w:val="00980165"/>
    <w:rsid w:val="0098086F"/>
    <w:rsid w:val="009808D6"/>
    <w:rsid w:val="0098121C"/>
    <w:rsid w:val="009825BC"/>
    <w:rsid w:val="00982CDF"/>
    <w:rsid w:val="00983116"/>
    <w:rsid w:val="00983D9A"/>
    <w:rsid w:val="00983F4A"/>
    <w:rsid w:val="00983FFA"/>
    <w:rsid w:val="00984371"/>
    <w:rsid w:val="00984D61"/>
    <w:rsid w:val="00985949"/>
    <w:rsid w:val="00985E6A"/>
    <w:rsid w:val="0098621C"/>
    <w:rsid w:val="0098637A"/>
    <w:rsid w:val="0098708A"/>
    <w:rsid w:val="009901A2"/>
    <w:rsid w:val="00990380"/>
    <w:rsid w:val="00990767"/>
    <w:rsid w:val="009921DB"/>
    <w:rsid w:val="0099350C"/>
    <w:rsid w:val="009940EF"/>
    <w:rsid w:val="00994A8D"/>
    <w:rsid w:val="00994B8B"/>
    <w:rsid w:val="00994D06"/>
    <w:rsid w:val="00995461"/>
    <w:rsid w:val="009954B2"/>
    <w:rsid w:val="009958EA"/>
    <w:rsid w:val="00995BD8"/>
    <w:rsid w:val="00996284"/>
    <w:rsid w:val="00997CF0"/>
    <w:rsid w:val="009A0BBC"/>
    <w:rsid w:val="009A2128"/>
    <w:rsid w:val="009A26C2"/>
    <w:rsid w:val="009A2B3C"/>
    <w:rsid w:val="009A38E4"/>
    <w:rsid w:val="009A3DE4"/>
    <w:rsid w:val="009A4D71"/>
    <w:rsid w:val="009A5AFD"/>
    <w:rsid w:val="009A5BA9"/>
    <w:rsid w:val="009A6EFD"/>
    <w:rsid w:val="009A71F9"/>
    <w:rsid w:val="009A79F1"/>
    <w:rsid w:val="009A7AE6"/>
    <w:rsid w:val="009B02AF"/>
    <w:rsid w:val="009B0340"/>
    <w:rsid w:val="009B098F"/>
    <w:rsid w:val="009B0FED"/>
    <w:rsid w:val="009B34C9"/>
    <w:rsid w:val="009B35B8"/>
    <w:rsid w:val="009B39DC"/>
    <w:rsid w:val="009B4609"/>
    <w:rsid w:val="009B54C0"/>
    <w:rsid w:val="009B573C"/>
    <w:rsid w:val="009B61E7"/>
    <w:rsid w:val="009B686F"/>
    <w:rsid w:val="009B6B09"/>
    <w:rsid w:val="009C05D9"/>
    <w:rsid w:val="009C2242"/>
    <w:rsid w:val="009C2C7E"/>
    <w:rsid w:val="009C34D1"/>
    <w:rsid w:val="009C42F3"/>
    <w:rsid w:val="009C6E72"/>
    <w:rsid w:val="009D00C7"/>
    <w:rsid w:val="009D0A22"/>
    <w:rsid w:val="009D19B3"/>
    <w:rsid w:val="009D22D0"/>
    <w:rsid w:val="009D2E9A"/>
    <w:rsid w:val="009D369C"/>
    <w:rsid w:val="009D3C3F"/>
    <w:rsid w:val="009D4D67"/>
    <w:rsid w:val="009D58A6"/>
    <w:rsid w:val="009D61D6"/>
    <w:rsid w:val="009D635B"/>
    <w:rsid w:val="009D66A8"/>
    <w:rsid w:val="009D66DC"/>
    <w:rsid w:val="009D6F19"/>
    <w:rsid w:val="009D7D1B"/>
    <w:rsid w:val="009D7F6F"/>
    <w:rsid w:val="009E0393"/>
    <w:rsid w:val="009E07D3"/>
    <w:rsid w:val="009E0F2A"/>
    <w:rsid w:val="009E108A"/>
    <w:rsid w:val="009E1493"/>
    <w:rsid w:val="009E15B8"/>
    <w:rsid w:val="009E1658"/>
    <w:rsid w:val="009E4A52"/>
    <w:rsid w:val="009E59B6"/>
    <w:rsid w:val="009E77C5"/>
    <w:rsid w:val="009F06F2"/>
    <w:rsid w:val="009F12CA"/>
    <w:rsid w:val="009F1D86"/>
    <w:rsid w:val="009F2691"/>
    <w:rsid w:val="009F30D6"/>
    <w:rsid w:val="009F3F0E"/>
    <w:rsid w:val="009F44FA"/>
    <w:rsid w:val="009F5DC0"/>
    <w:rsid w:val="009F6350"/>
    <w:rsid w:val="009F635E"/>
    <w:rsid w:val="009F636C"/>
    <w:rsid w:val="009F6BD0"/>
    <w:rsid w:val="009F6D19"/>
    <w:rsid w:val="009F6E8C"/>
    <w:rsid w:val="009F7735"/>
    <w:rsid w:val="009F7C1B"/>
    <w:rsid w:val="00A00248"/>
    <w:rsid w:val="00A0090F"/>
    <w:rsid w:val="00A00D27"/>
    <w:rsid w:val="00A01392"/>
    <w:rsid w:val="00A02C5D"/>
    <w:rsid w:val="00A03B41"/>
    <w:rsid w:val="00A04CAF"/>
    <w:rsid w:val="00A07AD1"/>
    <w:rsid w:val="00A07CCC"/>
    <w:rsid w:val="00A10A8F"/>
    <w:rsid w:val="00A10BB1"/>
    <w:rsid w:val="00A1109F"/>
    <w:rsid w:val="00A11108"/>
    <w:rsid w:val="00A1213F"/>
    <w:rsid w:val="00A12CCA"/>
    <w:rsid w:val="00A13B2E"/>
    <w:rsid w:val="00A14413"/>
    <w:rsid w:val="00A1446B"/>
    <w:rsid w:val="00A15267"/>
    <w:rsid w:val="00A1667C"/>
    <w:rsid w:val="00A167F2"/>
    <w:rsid w:val="00A17EFE"/>
    <w:rsid w:val="00A20C78"/>
    <w:rsid w:val="00A216BF"/>
    <w:rsid w:val="00A218F8"/>
    <w:rsid w:val="00A219FA"/>
    <w:rsid w:val="00A21EA0"/>
    <w:rsid w:val="00A225D7"/>
    <w:rsid w:val="00A22A26"/>
    <w:rsid w:val="00A2312E"/>
    <w:rsid w:val="00A239FE"/>
    <w:rsid w:val="00A23D25"/>
    <w:rsid w:val="00A24290"/>
    <w:rsid w:val="00A24323"/>
    <w:rsid w:val="00A24E4E"/>
    <w:rsid w:val="00A2512C"/>
    <w:rsid w:val="00A2515B"/>
    <w:rsid w:val="00A255A4"/>
    <w:rsid w:val="00A2588E"/>
    <w:rsid w:val="00A26ADF"/>
    <w:rsid w:val="00A26EDF"/>
    <w:rsid w:val="00A27A8C"/>
    <w:rsid w:val="00A301C2"/>
    <w:rsid w:val="00A3075B"/>
    <w:rsid w:val="00A30C22"/>
    <w:rsid w:val="00A30CDE"/>
    <w:rsid w:val="00A30CF8"/>
    <w:rsid w:val="00A3143D"/>
    <w:rsid w:val="00A31D6C"/>
    <w:rsid w:val="00A31E64"/>
    <w:rsid w:val="00A3353C"/>
    <w:rsid w:val="00A34789"/>
    <w:rsid w:val="00A34F9E"/>
    <w:rsid w:val="00A355C7"/>
    <w:rsid w:val="00A35C71"/>
    <w:rsid w:val="00A3630E"/>
    <w:rsid w:val="00A375D1"/>
    <w:rsid w:val="00A37BB8"/>
    <w:rsid w:val="00A419EC"/>
    <w:rsid w:val="00A41FF8"/>
    <w:rsid w:val="00A42D57"/>
    <w:rsid w:val="00A42D87"/>
    <w:rsid w:val="00A4332B"/>
    <w:rsid w:val="00A43940"/>
    <w:rsid w:val="00A43CA3"/>
    <w:rsid w:val="00A44196"/>
    <w:rsid w:val="00A44BD3"/>
    <w:rsid w:val="00A4521D"/>
    <w:rsid w:val="00A452F9"/>
    <w:rsid w:val="00A46158"/>
    <w:rsid w:val="00A46D6F"/>
    <w:rsid w:val="00A4760D"/>
    <w:rsid w:val="00A508CD"/>
    <w:rsid w:val="00A50D90"/>
    <w:rsid w:val="00A51705"/>
    <w:rsid w:val="00A517EB"/>
    <w:rsid w:val="00A51E21"/>
    <w:rsid w:val="00A51F0A"/>
    <w:rsid w:val="00A5214B"/>
    <w:rsid w:val="00A5266A"/>
    <w:rsid w:val="00A53149"/>
    <w:rsid w:val="00A537EE"/>
    <w:rsid w:val="00A54906"/>
    <w:rsid w:val="00A54D55"/>
    <w:rsid w:val="00A54E9F"/>
    <w:rsid w:val="00A54EF2"/>
    <w:rsid w:val="00A553A6"/>
    <w:rsid w:val="00A55D48"/>
    <w:rsid w:val="00A55DC3"/>
    <w:rsid w:val="00A57B70"/>
    <w:rsid w:val="00A57BEB"/>
    <w:rsid w:val="00A604CE"/>
    <w:rsid w:val="00A60857"/>
    <w:rsid w:val="00A6092D"/>
    <w:rsid w:val="00A61003"/>
    <w:rsid w:val="00A61673"/>
    <w:rsid w:val="00A6194B"/>
    <w:rsid w:val="00A61FCF"/>
    <w:rsid w:val="00A6399E"/>
    <w:rsid w:val="00A64926"/>
    <w:rsid w:val="00A64B60"/>
    <w:rsid w:val="00A652F1"/>
    <w:rsid w:val="00A65D0C"/>
    <w:rsid w:val="00A665CF"/>
    <w:rsid w:val="00A669B8"/>
    <w:rsid w:val="00A67010"/>
    <w:rsid w:val="00A675BA"/>
    <w:rsid w:val="00A67CA7"/>
    <w:rsid w:val="00A7066E"/>
    <w:rsid w:val="00A7094A"/>
    <w:rsid w:val="00A70A0E"/>
    <w:rsid w:val="00A70AA2"/>
    <w:rsid w:val="00A70C3B"/>
    <w:rsid w:val="00A70DA9"/>
    <w:rsid w:val="00A71083"/>
    <w:rsid w:val="00A710F0"/>
    <w:rsid w:val="00A71617"/>
    <w:rsid w:val="00A72965"/>
    <w:rsid w:val="00A730AC"/>
    <w:rsid w:val="00A74DF1"/>
    <w:rsid w:val="00A74E92"/>
    <w:rsid w:val="00A75A49"/>
    <w:rsid w:val="00A77137"/>
    <w:rsid w:val="00A7752F"/>
    <w:rsid w:val="00A775EB"/>
    <w:rsid w:val="00A776F0"/>
    <w:rsid w:val="00A77C11"/>
    <w:rsid w:val="00A80EB4"/>
    <w:rsid w:val="00A8301C"/>
    <w:rsid w:val="00A833D2"/>
    <w:rsid w:val="00A834F9"/>
    <w:rsid w:val="00A8408B"/>
    <w:rsid w:val="00A8453E"/>
    <w:rsid w:val="00A848CD"/>
    <w:rsid w:val="00A84C10"/>
    <w:rsid w:val="00A84E72"/>
    <w:rsid w:val="00A8511F"/>
    <w:rsid w:val="00A85498"/>
    <w:rsid w:val="00A85C35"/>
    <w:rsid w:val="00A85F4C"/>
    <w:rsid w:val="00A867B3"/>
    <w:rsid w:val="00A86AF2"/>
    <w:rsid w:val="00A9082B"/>
    <w:rsid w:val="00A90A28"/>
    <w:rsid w:val="00A90ACF"/>
    <w:rsid w:val="00A913D1"/>
    <w:rsid w:val="00A92061"/>
    <w:rsid w:val="00A9221C"/>
    <w:rsid w:val="00A924CA"/>
    <w:rsid w:val="00A92717"/>
    <w:rsid w:val="00A92952"/>
    <w:rsid w:val="00A934EB"/>
    <w:rsid w:val="00A9360B"/>
    <w:rsid w:val="00A940C2"/>
    <w:rsid w:val="00A94249"/>
    <w:rsid w:val="00A94BC9"/>
    <w:rsid w:val="00A959BC"/>
    <w:rsid w:val="00A960E7"/>
    <w:rsid w:val="00A97101"/>
    <w:rsid w:val="00A97BB4"/>
    <w:rsid w:val="00AA041A"/>
    <w:rsid w:val="00AA15A3"/>
    <w:rsid w:val="00AA186A"/>
    <w:rsid w:val="00AA1A59"/>
    <w:rsid w:val="00AA1BCC"/>
    <w:rsid w:val="00AA20F7"/>
    <w:rsid w:val="00AA2590"/>
    <w:rsid w:val="00AA27EF"/>
    <w:rsid w:val="00AA2B36"/>
    <w:rsid w:val="00AA32C6"/>
    <w:rsid w:val="00AA371E"/>
    <w:rsid w:val="00AA37BD"/>
    <w:rsid w:val="00AA3993"/>
    <w:rsid w:val="00AA3A8A"/>
    <w:rsid w:val="00AA3C60"/>
    <w:rsid w:val="00AA4850"/>
    <w:rsid w:val="00AA4BA8"/>
    <w:rsid w:val="00AA58E3"/>
    <w:rsid w:val="00AA6FF6"/>
    <w:rsid w:val="00AA71C1"/>
    <w:rsid w:val="00AA77CF"/>
    <w:rsid w:val="00AA7D86"/>
    <w:rsid w:val="00AB14EF"/>
    <w:rsid w:val="00AB23B4"/>
    <w:rsid w:val="00AB2795"/>
    <w:rsid w:val="00AB2BB4"/>
    <w:rsid w:val="00AB2FF4"/>
    <w:rsid w:val="00AB3C02"/>
    <w:rsid w:val="00AB3D04"/>
    <w:rsid w:val="00AB43DE"/>
    <w:rsid w:val="00AB482E"/>
    <w:rsid w:val="00AB5109"/>
    <w:rsid w:val="00AB56B8"/>
    <w:rsid w:val="00AB5C6E"/>
    <w:rsid w:val="00AB5F9C"/>
    <w:rsid w:val="00AB65D9"/>
    <w:rsid w:val="00AB75EA"/>
    <w:rsid w:val="00AB7F48"/>
    <w:rsid w:val="00AC0DD4"/>
    <w:rsid w:val="00AC1AD6"/>
    <w:rsid w:val="00AC245D"/>
    <w:rsid w:val="00AC4DD8"/>
    <w:rsid w:val="00AC5E35"/>
    <w:rsid w:val="00AC65D0"/>
    <w:rsid w:val="00AC6CA1"/>
    <w:rsid w:val="00AC6CD2"/>
    <w:rsid w:val="00AC7932"/>
    <w:rsid w:val="00AD1430"/>
    <w:rsid w:val="00AD1903"/>
    <w:rsid w:val="00AD27CF"/>
    <w:rsid w:val="00AD284C"/>
    <w:rsid w:val="00AD2AE9"/>
    <w:rsid w:val="00AD2C47"/>
    <w:rsid w:val="00AD2D44"/>
    <w:rsid w:val="00AD3019"/>
    <w:rsid w:val="00AD33B5"/>
    <w:rsid w:val="00AD35E7"/>
    <w:rsid w:val="00AD4605"/>
    <w:rsid w:val="00AD4B1C"/>
    <w:rsid w:val="00AD5C77"/>
    <w:rsid w:val="00AD61FC"/>
    <w:rsid w:val="00AD64DF"/>
    <w:rsid w:val="00AD6832"/>
    <w:rsid w:val="00AD7338"/>
    <w:rsid w:val="00AD7B2B"/>
    <w:rsid w:val="00AE1025"/>
    <w:rsid w:val="00AE10F4"/>
    <w:rsid w:val="00AE12CB"/>
    <w:rsid w:val="00AE2756"/>
    <w:rsid w:val="00AE2C72"/>
    <w:rsid w:val="00AE32A0"/>
    <w:rsid w:val="00AE32B9"/>
    <w:rsid w:val="00AE3F03"/>
    <w:rsid w:val="00AE4E87"/>
    <w:rsid w:val="00AE5B8C"/>
    <w:rsid w:val="00AE605F"/>
    <w:rsid w:val="00AE64F0"/>
    <w:rsid w:val="00AE7733"/>
    <w:rsid w:val="00AF0354"/>
    <w:rsid w:val="00AF09A7"/>
    <w:rsid w:val="00AF1596"/>
    <w:rsid w:val="00AF1D67"/>
    <w:rsid w:val="00AF2173"/>
    <w:rsid w:val="00AF23C8"/>
    <w:rsid w:val="00AF27AC"/>
    <w:rsid w:val="00AF2AE2"/>
    <w:rsid w:val="00AF3260"/>
    <w:rsid w:val="00AF3295"/>
    <w:rsid w:val="00AF33D3"/>
    <w:rsid w:val="00AF33E4"/>
    <w:rsid w:val="00AF3934"/>
    <w:rsid w:val="00AF3F54"/>
    <w:rsid w:val="00AF41FB"/>
    <w:rsid w:val="00AF450C"/>
    <w:rsid w:val="00AF6262"/>
    <w:rsid w:val="00AF6606"/>
    <w:rsid w:val="00AF67DA"/>
    <w:rsid w:val="00AF6B0C"/>
    <w:rsid w:val="00AF6FCF"/>
    <w:rsid w:val="00AF7196"/>
    <w:rsid w:val="00B00733"/>
    <w:rsid w:val="00B00BDA"/>
    <w:rsid w:val="00B00F3D"/>
    <w:rsid w:val="00B01B21"/>
    <w:rsid w:val="00B01F61"/>
    <w:rsid w:val="00B02692"/>
    <w:rsid w:val="00B0377E"/>
    <w:rsid w:val="00B04466"/>
    <w:rsid w:val="00B04D87"/>
    <w:rsid w:val="00B04ECC"/>
    <w:rsid w:val="00B05F8E"/>
    <w:rsid w:val="00B06302"/>
    <w:rsid w:val="00B069F0"/>
    <w:rsid w:val="00B077A9"/>
    <w:rsid w:val="00B077F6"/>
    <w:rsid w:val="00B07BA9"/>
    <w:rsid w:val="00B10055"/>
    <w:rsid w:val="00B10AAA"/>
    <w:rsid w:val="00B1141E"/>
    <w:rsid w:val="00B1261D"/>
    <w:rsid w:val="00B1278B"/>
    <w:rsid w:val="00B127E3"/>
    <w:rsid w:val="00B1288C"/>
    <w:rsid w:val="00B137C9"/>
    <w:rsid w:val="00B14791"/>
    <w:rsid w:val="00B14C01"/>
    <w:rsid w:val="00B16A55"/>
    <w:rsid w:val="00B16D5B"/>
    <w:rsid w:val="00B17017"/>
    <w:rsid w:val="00B17295"/>
    <w:rsid w:val="00B17353"/>
    <w:rsid w:val="00B17602"/>
    <w:rsid w:val="00B17A0D"/>
    <w:rsid w:val="00B2026E"/>
    <w:rsid w:val="00B208E7"/>
    <w:rsid w:val="00B20AB7"/>
    <w:rsid w:val="00B20C42"/>
    <w:rsid w:val="00B20D98"/>
    <w:rsid w:val="00B215F5"/>
    <w:rsid w:val="00B21CE2"/>
    <w:rsid w:val="00B21D33"/>
    <w:rsid w:val="00B22406"/>
    <w:rsid w:val="00B23F3F"/>
    <w:rsid w:val="00B254F8"/>
    <w:rsid w:val="00B267FF"/>
    <w:rsid w:val="00B27A54"/>
    <w:rsid w:val="00B27DAA"/>
    <w:rsid w:val="00B30783"/>
    <w:rsid w:val="00B30DEA"/>
    <w:rsid w:val="00B314BE"/>
    <w:rsid w:val="00B31F94"/>
    <w:rsid w:val="00B3236D"/>
    <w:rsid w:val="00B32815"/>
    <w:rsid w:val="00B33946"/>
    <w:rsid w:val="00B33A20"/>
    <w:rsid w:val="00B33CB8"/>
    <w:rsid w:val="00B341EC"/>
    <w:rsid w:val="00B34899"/>
    <w:rsid w:val="00B3554D"/>
    <w:rsid w:val="00B358CC"/>
    <w:rsid w:val="00B36946"/>
    <w:rsid w:val="00B36BF9"/>
    <w:rsid w:val="00B36FCE"/>
    <w:rsid w:val="00B4084A"/>
    <w:rsid w:val="00B40E35"/>
    <w:rsid w:val="00B41DD5"/>
    <w:rsid w:val="00B41F0F"/>
    <w:rsid w:val="00B42560"/>
    <w:rsid w:val="00B425E5"/>
    <w:rsid w:val="00B42E0A"/>
    <w:rsid w:val="00B42FD2"/>
    <w:rsid w:val="00B43070"/>
    <w:rsid w:val="00B439CF"/>
    <w:rsid w:val="00B43BE8"/>
    <w:rsid w:val="00B43DCB"/>
    <w:rsid w:val="00B44479"/>
    <w:rsid w:val="00B44698"/>
    <w:rsid w:val="00B44ACE"/>
    <w:rsid w:val="00B44F5A"/>
    <w:rsid w:val="00B452C1"/>
    <w:rsid w:val="00B455AA"/>
    <w:rsid w:val="00B45778"/>
    <w:rsid w:val="00B457A1"/>
    <w:rsid w:val="00B459E0"/>
    <w:rsid w:val="00B4630F"/>
    <w:rsid w:val="00B464B1"/>
    <w:rsid w:val="00B4722F"/>
    <w:rsid w:val="00B4774F"/>
    <w:rsid w:val="00B47A4A"/>
    <w:rsid w:val="00B47B99"/>
    <w:rsid w:val="00B47E55"/>
    <w:rsid w:val="00B505CE"/>
    <w:rsid w:val="00B506F2"/>
    <w:rsid w:val="00B510AB"/>
    <w:rsid w:val="00B510E3"/>
    <w:rsid w:val="00B51388"/>
    <w:rsid w:val="00B51F4D"/>
    <w:rsid w:val="00B521AC"/>
    <w:rsid w:val="00B521C8"/>
    <w:rsid w:val="00B52262"/>
    <w:rsid w:val="00B52702"/>
    <w:rsid w:val="00B53089"/>
    <w:rsid w:val="00B53C05"/>
    <w:rsid w:val="00B5498D"/>
    <w:rsid w:val="00B54A1B"/>
    <w:rsid w:val="00B5501D"/>
    <w:rsid w:val="00B56CD9"/>
    <w:rsid w:val="00B57420"/>
    <w:rsid w:val="00B57925"/>
    <w:rsid w:val="00B6151E"/>
    <w:rsid w:val="00B615E6"/>
    <w:rsid w:val="00B61972"/>
    <w:rsid w:val="00B61F2A"/>
    <w:rsid w:val="00B6251E"/>
    <w:rsid w:val="00B6314D"/>
    <w:rsid w:val="00B631F1"/>
    <w:rsid w:val="00B63F6D"/>
    <w:rsid w:val="00B64962"/>
    <w:rsid w:val="00B64A6F"/>
    <w:rsid w:val="00B65EB3"/>
    <w:rsid w:val="00B6603D"/>
    <w:rsid w:val="00B6737E"/>
    <w:rsid w:val="00B676EC"/>
    <w:rsid w:val="00B67772"/>
    <w:rsid w:val="00B67C08"/>
    <w:rsid w:val="00B700D5"/>
    <w:rsid w:val="00B7016C"/>
    <w:rsid w:val="00B7039B"/>
    <w:rsid w:val="00B706A3"/>
    <w:rsid w:val="00B70BCC"/>
    <w:rsid w:val="00B7220A"/>
    <w:rsid w:val="00B72659"/>
    <w:rsid w:val="00B726D1"/>
    <w:rsid w:val="00B7318E"/>
    <w:rsid w:val="00B74D1E"/>
    <w:rsid w:val="00B74E26"/>
    <w:rsid w:val="00B75428"/>
    <w:rsid w:val="00B75AA5"/>
    <w:rsid w:val="00B75C8D"/>
    <w:rsid w:val="00B764B0"/>
    <w:rsid w:val="00B76A18"/>
    <w:rsid w:val="00B775CA"/>
    <w:rsid w:val="00B77681"/>
    <w:rsid w:val="00B77D7E"/>
    <w:rsid w:val="00B80710"/>
    <w:rsid w:val="00B80891"/>
    <w:rsid w:val="00B80A4E"/>
    <w:rsid w:val="00B80A65"/>
    <w:rsid w:val="00B813BF"/>
    <w:rsid w:val="00B81673"/>
    <w:rsid w:val="00B8255D"/>
    <w:rsid w:val="00B827E8"/>
    <w:rsid w:val="00B82E09"/>
    <w:rsid w:val="00B83F83"/>
    <w:rsid w:val="00B84054"/>
    <w:rsid w:val="00B84AD0"/>
    <w:rsid w:val="00B84C4E"/>
    <w:rsid w:val="00B84C6C"/>
    <w:rsid w:val="00B85592"/>
    <w:rsid w:val="00B859EE"/>
    <w:rsid w:val="00B873AA"/>
    <w:rsid w:val="00B87CBA"/>
    <w:rsid w:val="00B91C2E"/>
    <w:rsid w:val="00B92687"/>
    <w:rsid w:val="00B94248"/>
    <w:rsid w:val="00B942A1"/>
    <w:rsid w:val="00B9457D"/>
    <w:rsid w:val="00B94B4F"/>
    <w:rsid w:val="00B94E9D"/>
    <w:rsid w:val="00B94EC8"/>
    <w:rsid w:val="00B950A8"/>
    <w:rsid w:val="00B957A7"/>
    <w:rsid w:val="00B95B60"/>
    <w:rsid w:val="00B95F7E"/>
    <w:rsid w:val="00B96347"/>
    <w:rsid w:val="00B969D5"/>
    <w:rsid w:val="00B976F6"/>
    <w:rsid w:val="00BA08A2"/>
    <w:rsid w:val="00BA0FB1"/>
    <w:rsid w:val="00BA1218"/>
    <w:rsid w:val="00BA2032"/>
    <w:rsid w:val="00BA426B"/>
    <w:rsid w:val="00BA503C"/>
    <w:rsid w:val="00BA5F41"/>
    <w:rsid w:val="00BA71F1"/>
    <w:rsid w:val="00BA7385"/>
    <w:rsid w:val="00BA73AA"/>
    <w:rsid w:val="00BA75EE"/>
    <w:rsid w:val="00BA7B3C"/>
    <w:rsid w:val="00BB0059"/>
    <w:rsid w:val="00BB04C6"/>
    <w:rsid w:val="00BB0E65"/>
    <w:rsid w:val="00BB1808"/>
    <w:rsid w:val="00BB187C"/>
    <w:rsid w:val="00BB2181"/>
    <w:rsid w:val="00BB23E2"/>
    <w:rsid w:val="00BB2768"/>
    <w:rsid w:val="00BB296B"/>
    <w:rsid w:val="00BB3622"/>
    <w:rsid w:val="00BB4353"/>
    <w:rsid w:val="00BB4456"/>
    <w:rsid w:val="00BB518D"/>
    <w:rsid w:val="00BB56A9"/>
    <w:rsid w:val="00BB5728"/>
    <w:rsid w:val="00BB5801"/>
    <w:rsid w:val="00BB5A55"/>
    <w:rsid w:val="00BB682C"/>
    <w:rsid w:val="00BB75F6"/>
    <w:rsid w:val="00BB7A29"/>
    <w:rsid w:val="00BB7CA9"/>
    <w:rsid w:val="00BC0795"/>
    <w:rsid w:val="00BC0A21"/>
    <w:rsid w:val="00BC236B"/>
    <w:rsid w:val="00BC2905"/>
    <w:rsid w:val="00BC2BB4"/>
    <w:rsid w:val="00BC4238"/>
    <w:rsid w:val="00BC491E"/>
    <w:rsid w:val="00BC57F5"/>
    <w:rsid w:val="00BC6144"/>
    <w:rsid w:val="00BC6285"/>
    <w:rsid w:val="00BC65D9"/>
    <w:rsid w:val="00BC6C0B"/>
    <w:rsid w:val="00BC6D47"/>
    <w:rsid w:val="00BC75DC"/>
    <w:rsid w:val="00BC7941"/>
    <w:rsid w:val="00BC7C52"/>
    <w:rsid w:val="00BD0A9C"/>
    <w:rsid w:val="00BD0AA9"/>
    <w:rsid w:val="00BD0CF6"/>
    <w:rsid w:val="00BD14C5"/>
    <w:rsid w:val="00BD14C7"/>
    <w:rsid w:val="00BD196A"/>
    <w:rsid w:val="00BD2081"/>
    <w:rsid w:val="00BD2185"/>
    <w:rsid w:val="00BD2311"/>
    <w:rsid w:val="00BD2D30"/>
    <w:rsid w:val="00BD2DDF"/>
    <w:rsid w:val="00BD30C0"/>
    <w:rsid w:val="00BD30D7"/>
    <w:rsid w:val="00BD3957"/>
    <w:rsid w:val="00BD3C63"/>
    <w:rsid w:val="00BD3FD6"/>
    <w:rsid w:val="00BD424D"/>
    <w:rsid w:val="00BD4BBA"/>
    <w:rsid w:val="00BD5676"/>
    <w:rsid w:val="00BD5FD3"/>
    <w:rsid w:val="00BD6262"/>
    <w:rsid w:val="00BD77F8"/>
    <w:rsid w:val="00BE1ADA"/>
    <w:rsid w:val="00BE2CF0"/>
    <w:rsid w:val="00BE3E9D"/>
    <w:rsid w:val="00BE4C48"/>
    <w:rsid w:val="00BE4E16"/>
    <w:rsid w:val="00BE4EF0"/>
    <w:rsid w:val="00BE5231"/>
    <w:rsid w:val="00BE52B6"/>
    <w:rsid w:val="00BE5D31"/>
    <w:rsid w:val="00BE61C1"/>
    <w:rsid w:val="00BE64AF"/>
    <w:rsid w:val="00BE65C4"/>
    <w:rsid w:val="00BE6717"/>
    <w:rsid w:val="00BE71A3"/>
    <w:rsid w:val="00BE754E"/>
    <w:rsid w:val="00BE7600"/>
    <w:rsid w:val="00BE7BF6"/>
    <w:rsid w:val="00BE7DF5"/>
    <w:rsid w:val="00BF0381"/>
    <w:rsid w:val="00BF0A97"/>
    <w:rsid w:val="00BF0D97"/>
    <w:rsid w:val="00BF1022"/>
    <w:rsid w:val="00BF14FB"/>
    <w:rsid w:val="00BF1552"/>
    <w:rsid w:val="00BF2068"/>
    <w:rsid w:val="00BF222E"/>
    <w:rsid w:val="00BF2B3D"/>
    <w:rsid w:val="00BF2F78"/>
    <w:rsid w:val="00BF304D"/>
    <w:rsid w:val="00BF3DC1"/>
    <w:rsid w:val="00BF6892"/>
    <w:rsid w:val="00BF6E7B"/>
    <w:rsid w:val="00C01021"/>
    <w:rsid w:val="00C0141F"/>
    <w:rsid w:val="00C01601"/>
    <w:rsid w:val="00C01819"/>
    <w:rsid w:val="00C01E7D"/>
    <w:rsid w:val="00C02EC1"/>
    <w:rsid w:val="00C03512"/>
    <w:rsid w:val="00C03904"/>
    <w:rsid w:val="00C042A3"/>
    <w:rsid w:val="00C048AF"/>
    <w:rsid w:val="00C04C9F"/>
    <w:rsid w:val="00C05CA7"/>
    <w:rsid w:val="00C0676C"/>
    <w:rsid w:val="00C06A28"/>
    <w:rsid w:val="00C06D2E"/>
    <w:rsid w:val="00C06F3F"/>
    <w:rsid w:val="00C077E0"/>
    <w:rsid w:val="00C07DE6"/>
    <w:rsid w:val="00C11FB4"/>
    <w:rsid w:val="00C12018"/>
    <w:rsid w:val="00C12172"/>
    <w:rsid w:val="00C1296E"/>
    <w:rsid w:val="00C132B1"/>
    <w:rsid w:val="00C13305"/>
    <w:rsid w:val="00C13506"/>
    <w:rsid w:val="00C13964"/>
    <w:rsid w:val="00C14B7B"/>
    <w:rsid w:val="00C14DD8"/>
    <w:rsid w:val="00C14FFF"/>
    <w:rsid w:val="00C15259"/>
    <w:rsid w:val="00C154B5"/>
    <w:rsid w:val="00C1674F"/>
    <w:rsid w:val="00C1681C"/>
    <w:rsid w:val="00C168E6"/>
    <w:rsid w:val="00C16A9F"/>
    <w:rsid w:val="00C17872"/>
    <w:rsid w:val="00C179EE"/>
    <w:rsid w:val="00C17CA6"/>
    <w:rsid w:val="00C205E9"/>
    <w:rsid w:val="00C212FC"/>
    <w:rsid w:val="00C2151B"/>
    <w:rsid w:val="00C21FD6"/>
    <w:rsid w:val="00C22023"/>
    <w:rsid w:val="00C22ACF"/>
    <w:rsid w:val="00C23C67"/>
    <w:rsid w:val="00C23C9C"/>
    <w:rsid w:val="00C23F48"/>
    <w:rsid w:val="00C248F8"/>
    <w:rsid w:val="00C25F79"/>
    <w:rsid w:val="00C262BD"/>
    <w:rsid w:val="00C26E58"/>
    <w:rsid w:val="00C26EF6"/>
    <w:rsid w:val="00C26F56"/>
    <w:rsid w:val="00C270D9"/>
    <w:rsid w:val="00C27FF5"/>
    <w:rsid w:val="00C30248"/>
    <w:rsid w:val="00C3038E"/>
    <w:rsid w:val="00C30DEB"/>
    <w:rsid w:val="00C30F8A"/>
    <w:rsid w:val="00C310C2"/>
    <w:rsid w:val="00C31497"/>
    <w:rsid w:val="00C31FD8"/>
    <w:rsid w:val="00C32F7A"/>
    <w:rsid w:val="00C33952"/>
    <w:rsid w:val="00C34307"/>
    <w:rsid w:val="00C34345"/>
    <w:rsid w:val="00C346E8"/>
    <w:rsid w:val="00C35C9F"/>
    <w:rsid w:val="00C3640D"/>
    <w:rsid w:val="00C36525"/>
    <w:rsid w:val="00C37F9E"/>
    <w:rsid w:val="00C40CE0"/>
    <w:rsid w:val="00C40EB3"/>
    <w:rsid w:val="00C41963"/>
    <w:rsid w:val="00C41BD9"/>
    <w:rsid w:val="00C42334"/>
    <w:rsid w:val="00C425A0"/>
    <w:rsid w:val="00C434FD"/>
    <w:rsid w:val="00C4418E"/>
    <w:rsid w:val="00C4484D"/>
    <w:rsid w:val="00C450AD"/>
    <w:rsid w:val="00C45671"/>
    <w:rsid w:val="00C45F12"/>
    <w:rsid w:val="00C46049"/>
    <w:rsid w:val="00C47830"/>
    <w:rsid w:val="00C47A20"/>
    <w:rsid w:val="00C47AC7"/>
    <w:rsid w:val="00C47B4A"/>
    <w:rsid w:val="00C50418"/>
    <w:rsid w:val="00C50EB8"/>
    <w:rsid w:val="00C5192E"/>
    <w:rsid w:val="00C51E13"/>
    <w:rsid w:val="00C521FB"/>
    <w:rsid w:val="00C52DE6"/>
    <w:rsid w:val="00C53003"/>
    <w:rsid w:val="00C54B61"/>
    <w:rsid w:val="00C560B3"/>
    <w:rsid w:val="00C56806"/>
    <w:rsid w:val="00C56F97"/>
    <w:rsid w:val="00C5730A"/>
    <w:rsid w:val="00C576DA"/>
    <w:rsid w:val="00C6016B"/>
    <w:rsid w:val="00C60743"/>
    <w:rsid w:val="00C610E7"/>
    <w:rsid w:val="00C618DA"/>
    <w:rsid w:val="00C61925"/>
    <w:rsid w:val="00C62213"/>
    <w:rsid w:val="00C62D06"/>
    <w:rsid w:val="00C62F18"/>
    <w:rsid w:val="00C63402"/>
    <w:rsid w:val="00C634A7"/>
    <w:rsid w:val="00C637C0"/>
    <w:rsid w:val="00C638D7"/>
    <w:rsid w:val="00C64720"/>
    <w:rsid w:val="00C649E2"/>
    <w:rsid w:val="00C6517F"/>
    <w:rsid w:val="00C66388"/>
    <w:rsid w:val="00C67BA6"/>
    <w:rsid w:val="00C70B19"/>
    <w:rsid w:val="00C70DA3"/>
    <w:rsid w:val="00C7116C"/>
    <w:rsid w:val="00C71920"/>
    <w:rsid w:val="00C71F16"/>
    <w:rsid w:val="00C7203A"/>
    <w:rsid w:val="00C7209F"/>
    <w:rsid w:val="00C7231A"/>
    <w:rsid w:val="00C72A63"/>
    <w:rsid w:val="00C7341E"/>
    <w:rsid w:val="00C7680C"/>
    <w:rsid w:val="00C76E75"/>
    <w:rsid w:val="00C777CD"/>
    <w:rsid w:val="00C7794C"/>
    <w:rsid w:val="00C80AE4"/>
    <w:rsid w:val="00C8113E"/>
    <w:rsid w:val="00C812F6"/>
    <w:rsid w:val="00C814F6"/>
    <w:rsid w:val="00C8204A"/>
    <w:rsid w:val="00C8251E"/>
    <w:rsid w:val="00C8263D"/>
    <w:rsid w:val="00C82736"/>
    <w:rsid w:val="00C85917"/>
    <w:rsid w:val="00C85A1E"/>
    <w:rsid w:val="00C85AD2"/>
    <w:rsid w:val="00C8658C"/>
    <w:rsid w:val="00C871C4"/>
    <w:rsid w:val="00C901DF"/>
    <w:rsid w:val="00C90515"/>
    <w:rsid w:val="00C91642"/>
    <w:rsid w:val="00C9318E"/>
    <w:rsid w:val="00C93A6E"/>
    <w:rsid w:val="00C95A9D"/>
    <w:rsid w:val="00C95AD3"/>
    <w:rsid w:val="00C95BA9"/>
    <w:rsid w:val="00C96BED"/>
    <w:rsid w:val="00C97146"/>
    <w:rsid w:val="00C97A80"/>
    <w:rsid w:val="00CA00B0"/>
    <w:rsid w:val="00CA059B"/>
    <w:rsid w:val="00CA0B70"/>
    <w:rsid w:val="00CA1130"/>
    <w:rsid w:val="00CA215B"/>
    <w:rsid w:val="00CA415F"/>
    <w:rsid w:val="00CA4866"/>
    <w:rsid w:val="00CA4890"/>
    <w:rsid w:val="00CA5296"/>
    <w:rsid w:val="00CA5B00"/>
    <w:rsid w:val="00CA5EA7"/>
    <w:rsid w:val="00CA60F6"/>
    <w:rsid w:val="00CA6617"/>
    <w:rsid w:val="00CA6D0A"/>
    <w:rsid w:val="00CB0245"/>
    <w:rsid w:val="00CB026C"/>
    <w:rsid w:val="00CB0584"/>
    <w:rsid w:val="00CB0C5C"/>
    <w:rsid w:val="00CB0D83"/>
    <w:rsid w:val="00CB1361"/>
    <w:rsid w:val="00CB16DC"/>
    <w:rsid w:val="00CB216E"/>
    <w:rsid w:val="00CB250C"/>
    <w:rsid w:val="00CB2C14"/>
    <w:rsid w:val="00CB3129"/>
    <w:rsid w:val="00CB34FC"/>
    <w:rsid w:val="00CB3788"/>
    <w:rsid w:val="00CB510B"/>
    <w:rsid w:val="00CB56AA"/>
    <w:rsid w:val="00CB5A49"/>
    <w:rsid w:val="00CB5C15"/>
    <w:rsid w:val="00CB678B"/>
    <w:rsid w:val="00CB6C7D"/>
    <w:rsid w:val="00CB70C9"/>
    <w:rsid w:val="00CB749A"/>
    <w:rsid w:val="00CB7BC0"/>
    <w:rsid w:val="00CC1228"/>
    <w:rsid w:val="00CC17EE"/>
    <w:rsid w:val="00CC1A21"/>
    <w:rsid w:val="00CC1ABE"/>
    <w:rsid w:val="00CC26D9"/>
    <w:rsid w:val="00CC34E0"/>
    <w:rsid w:val="00CC36E6"/>
    <w:rsid w:val="00CC476E"/>
    <w:rsid w:val="00CC561A"/>
    <w:rsid w:val="00CC615B"/>
    <w:rsid w:val="00CC641C"/>
    <w:rsid w:val="00CC66DE"/>
    <w:rsid w:val="00CC7008"/>
    <w:rsid w:val="00CC7331"/>
    <w:rsid w:val="00CC73D8"/>
    <w:rsid w:val="00CC761B"/>
    <w:rsid w:val="00CC7C0C"/>
    <w:rsid w:val="00CC7F7A"/>
    <w:rsid w:val="00CD1A61"/>
    <w:rsid w:val="00CD2311"/>
    <w:rsid w:val="00CD2775"/>
    <w:rsid w:val="00CD3BE7"/>
    <w:rsid w:val="00CD3D53"/>
    <w:rsid w:val="00CD3E9D"/>
    <w:rsid w:val="00CD4009"/>
    <w:rsid w:val="00CD4741"/>
    <w:rsid w:val="00CD5719"/>
    <w:rsid w:val="00CD59DC"/>
    <w:rsid w:val="00CD6263"/>
    <w:rsid w:val="00CD6649"/>
    <w:rsid w:val="00CD7357"/>
    <w:rsid w:val="00CD75E3"/>
    <w:rsid w:val="00CD780E"/>
    <w:rsid w:val="00CD7B69"/>
    <w:rsid w:val="00CE0E28"/>
    <w:rsid w:val="00CE16A6"/>
    <w:rsid w:val="00CE1816"/>
    <w:rsid w:val="00CE2483"/>
    <w:rsid w:val="00CE2627"/>
    <w:rsid w:val="00CE2EB2"/>
    <w:rsid w:val="00CE47BB"/>
    <w:rsid w:val="00CE4B99"/>
    <w:rsid w:val="00CE525D"/>
    <w:rsid w:val="00CE536A"/>
    <w:rsid w:val="00CE5C99"/>
    <w:rsid w:val="00CE6379"/>
    <w:rsid w:val="00CE6A20"/>
    <w:rsid w:val="00CE6AD9"/>
    <w:rsid w:val="00CE73E8"/>
    <w:rsid w:val="00CE7979"/>
    <w:rsid w:val="00CF0546"/>
    <w:rsid w:val="00CF0745"/>
    <w:rsid w:val="00CF0E6E"/>
    <w:rsid w:val="00CF1483"/>
    <w:rsid w:val="00CF23EE"/>
    <w:rsid w:val="00CF282F"/>
    <w:rsid w:val="00CF2E7D"/>
    <w:rsid w:val="00CF2FE9"/>
    <w:rsid w:val="00CF3CF9"/>
    <w:rsid w:val="00CF45A4"/>
    <w:rsid w:val="00CF4699"/>
    <w:rsid w:val="00CF4A15"/>
    <w:rsid w:val="00CF4FCA"/>
    <w:rsid w:val="00CF51E4"/>
    <w:rsid w:val="00CF57F5"/>
    <w:rsid w:val="00CF59BE"/>
    <w:rsid w:val="00CF63D7"/>
    <w:rsid w:val="00CF6684"/>
    <w:rsid w:val="00CF67E3"/>
    <w:rsid w:val="00CF6C33"/>
    <w:rsid w:val="00D01011"/>
    <w:rsid w:val="00D020D8"/>
    <w:rsid w:val="00D02584"/>
    <w:rsid w:val="00D02995"/>
    <w:rsid w:val="00D03336"/>
    <w:rsid w:val="00D03D18"/>
    <w:rsid w:val="00D04E2A"/>
    <w:rsid w:val="00D05344"/>
    <w:rsid w:val="00D07553"/>
    <w:rsid w:val="00D1008A"/>
    <w:rsid w:val="00D1108A"/>
    <w:rsid w:val="00D11357"/>
    <w:rsid w:val="00D11434"/>
    <w:rsid w:val="00D11BB5"/>
    <w:rsid w:val="00D11FA5"/>
    <w:rsid w:val="00D126F7"/>
    <w:rsid w:val="00D129F5"/>
    <w:rsid w:val="00D12ED9"/>
    <w:rsid w:val="00D1354B"/>
    <w:rsid w:val="00D13956"/>
    <w:rsid w:val="00D13EF5"/>
    <w:rsid w:val="00D141DD"/>
    <w:rsid w:val="00D1494A"/>
    <w:rsid w:val="00D14967"/>
    <w:rsid w:val="00D16617"/>
    <w:rsid w:val="00D172F0"/>
    <w:rsid w:val="00D20926"/>
    <w:rsid w:val="00D21069"/>
    <w:rsid w:val="00D2107B"/>
    <w:rsid w:val="00D210F1"/>
    <w:rsid w:val="00D21887"/>
    <w:rsid w:val="00D2194A"/>
    <w:rsid w:val="00D22030"/>
    <w:rsid w:val="00D22777"/>
    <w:rsid w:val="00D22A52"/>
    <w:rsid w:val="00D24436"/>
    <w:rsid w:val="00D251B7"/>
    <w:rsid w:val="00D266DE"/>
    <w:rsid w:val="00D26AD8"/>
    <w:rsid w:val="00D26E04"/>
    <w:rsid w:val="00D272EE"/>
    <w:rsid w:val="00D277C3"/>
    <w:rsid w:val="00D27A78"/>
    <w:rsid w:val="00D27CBB"/>
    <w:rsid w:val="00D30E1F"/>
    <w:rsid w:val="00D313E9"/>
    <w:rsid w:val="00D31689"/>
    <w:rsid w:val="00D32513"/>
    <w:rsid w:val="00D339B6"/>
    <w:rsid w:val="00D33F41"/>
    <w:rsid w:val="00D34882"/>
    <w:rsid w:val="00D3510D"/>
    <w:rsid w:val="00D35286"/>
    <w:rsid w:val="00D355E8"/>
    <w:rsid w:val="00D3582A"/>
    <w:rsid w:val="00D36CD5"/>
    <w:rsid w:val="00D37683"/>
    <w:rsid w:val="00D37880"/>
    <w:rsid w:val="00D41C7C"/>
    <w:rsid w:val="00D4209C"/>
    <w:rsid w:val="00D4259C"/>
    <w:rsid w:val="00D43CB4"/>
    <w:rsid w:val="00D43DD6"/>
    <w:rsid w:val="00D44C49"/>
    <w:rsid w:val="00D45508"/>
    <w:rsid w:val="00D457D6"/>
    <w:rsid w:val="00D46271"/>
    <w:rsid w:val="00D467ED"/>
    <w:rsid w:val="00D46A7C"/>
    <w:rsid w:val="00D47DA9"/>
    <w:rsid w:val="00D50E40"/>
    <w:rsid w:val="00D51C2C"/>
    <w:rsid w:val="00D51C2E"/>
    <w:rsid w:val="00D51CF4"/>
    <w:rsid w:val="00D52E3E"/>
    <w:rsid w:val="00D53189"/>
    <w:rsid w:val="00D551DA"/>
    <w:rsid w:val="00D55A36"/>
    <w:rsid w:val="00D55F11"/>
    <w:rsid w:val="00D55F59"/>
    <w:rsid w:val="00D56113"/>
    <w:rsid w:val="00D56168"/>
    <w:rsid w:val="00D5689A"/>
    <w:rsid w:val="00D56939"/>
    <w:rsid w:val="00D56AF4"/>
    <w:rsid w:val="00D56D85"/>
    <w:rsid w:val="00D57072"/>
    <w:rsid w:val="00D575BC"/>
    <w:rsid w:val="00D57748"/>
    <w:rsid w:val="00D57F82"/>
    <w:rsid w:val="00D6102F"/>
    <w:rsid w:val="00D61249"/>
    <w:rsid w:val="00D61264"/>
    <w:rsid w:val="00D61AE5"/>
    <w:rsid w:val="00D61DF7"/>
    <w:rsid w:val="00D63508"/>
    <w:rsid w:val="00D64204"/>
    <w:rsid w:val="00D64241"/>
    <w:rsid w:val="00D64636"/>
    <w:rsid w:val="00D64FB1"/>
    <w:rsid w:val="00D656F3"/>
    <w:rsid w:val="00D668E4"/>
    <w:rsid w:val="00D66D22"/>
    <w:rsid w:val="00D67466"/>
    <w:rsid w:val="00D7047B"/>
    <w:rsid w:val="00D70529"/>
    <w:rsid w:val="00D70E02"/>
    <w:rsid w:val="00D71D26"/>
    <w:rsid w:val="00D7247D"/>
    <w:rsid w:val="00D729A9"/>
    <w:rsid w:val="00D72BB3"/>
    <w:rsid w:val="00D741F4"/>
    <w:rsid w:val="00D74408"/>
    <w:rsid w:val="00D74A7C"/>
    <w:rsid w:val="00D74FEC"/>
    <w:rsid w:val="00D75313"/>
    <w:rsid w:val="00D75505"/>
    <w:rsid w:val="00D75D6D"/>
    <w:rsid w:val="00D76695"/>
    <w:rsid w:val="00D77DAB"/>
    <w:rsid w:val="00D77FC9"/>
    <w:rsid w:val="00D8228F"/>
    <w:rsid w:val="00D8390D"/>
    <w:rsid w:val="00D839D1"/>
    <w:rsid w:val="00D83C49"/>
    <w:rsid w:val="00D83CB1"/>
    <w:rsid w:val="00D83D6A"/>
    <w:rsid w:val="00D8413E"/>
    <w:rsid w:val="00D84740"/>
    <w:rsid w:val="00D84B48"/>
    <w:rsid w:val="00D85004"/>
    <w:rsid w:val="00D862DA"/>
    <w:rsid w:val="00D8640C"/>
    <w:rsid w:val="00D86456"/>
    <w:rsid w:val="00D8666C"/>
    <w:rsid w:val="00D870BD"/>
    <w:rsid w:val="00D87591"/>
    <w:rsid w:val="00D87B89"/>
    <w:rsid w:val="00D900E1"/>
    <w:rsid w:val="00D90BCC"/>
    <w:rsid w:val="00D90ED8"/>
    <w:rsid w:val="00D913CA"/>
    <w:rsid w:val="00D91BF3"/>
    <w:rsid w:val="00D923B6"/>
    <w:rsid w:val="00D923E3"/>
    <w:rsid w:val="00D938A5"/>
    <w:rsid w:val="00D93C47"/>
    <w:rsid w:val="00D93D27"/>
    <w:rsid w:val="00D9458D"/>
    <w:rsid w:val="00D94F02"/>
    <w:rsid w:val="00D957D3"/>
    <w:rsid w:val="00D967C3"/>
    <w:rsid w:val="00D977AA"/>
    <w:rsid w:val="00D9781B"/>
    <w:rsid w:val="00DA000B"/>
    <w:rsid w:val="00DA0640"/>
    <w:rsid w:val="00DA0EAD"/>
    <w:rsid w:val="00DA3A10"/>
    <w:rsid w:val="00DA3D7B"/>
    <w:rsid w:val="00DA4130"/>
    <w:rsid w:val="00DA58C0"/>
    <w:rsid w:val="00DA6087"/>
    <w:rsid w:val="00DA6721"/>
    <w:rsid w:val="00DA7189"/>
    <w:rsid w:val="00DA72A2"/>
    <w:rsid w:val="00DA72FE"/>
    <w:rsid w:val="00DA7370"/>
    <w:rsid w:val="00DA73F6"/>
    <w:rsid w:val="00DA78BB"/>
    <w:rsid w:val="00DA79AF"/>
    <w:rsid w:val="00DB0480"/>
    <w:rsid w:val="00DB0E00"/>
    <w:rsid w:val="00DB1190"/>
    <w:rsid w:val="00DB2020"/>
    <w:rsid w:val="00DB2335"/>
    <w:rsid w:val="00DB2426"/>
    <w:rsid w:val="00DB2788"/>
    <w:rsid w:val="00DB4329"/>
    <w:rsid w:val="00DB4594"/>
    <w:rsid w:val="00DB4AA3"/>
    <w:rsid w:val="00DB5F47"/>
    <w:rsid w:val="00DB5FFE"/>
    <w:rsid w:val="00DB68FF"/>
    <w:rsid w:val="00DB7230"/>
    <w:rsid w:val="00DB7860"/>
    <w:rsid w:val="00DC0547"/>
    <w:rsid w:val="00DC1345"/>
    <w:rsid w:val="00DC1C95"/>
    <w:rsid w:val="00DC1DAA"/>
    <w:rsid w:val="00DC21C1"/>
    <w:rsid w:val="00DC32BA"/>
    <w:rsid w:val="00DC3A35"/>
    <w:rsid w:val="00DC3A63"/>
    <w:rsid w:val="00DC3B04"/>
    <w:rsid w:val="00DC4281"/>
    <w:rsid w:val="00DC4D8A"/>
    <w:rsid w:val="00DC5B50"/>
    <w:rsid w:val="00DC5FD8"/>
    <w:rsid w:val="00DC6493"/>
    <w:rsid w:val="00DC6752"/>
    <w:rsid w:val="00DC6E14"/>
    <w:rsid w:val="00DC7449"/>
    <w:rsid w:val="00DC778B"/>
    <w:rsid w:val="00DC7BA6"/>
    <w:rsid w:val="00DD080D"/>
    <w:rsid w:val="00DD0FE6"/>
    <w:rsid w:val="00DD1911"/>
    <w:rsid w:val="00DD1BAF"/>
    <w:rsid w:val="00DD287A"/>
    <w:rsid w:val="00DD2F16"/>
    <w:rsid w:val="00DD47EE"/>
    <w:rsid w:val="00DD4CF8"/>
    <w:rsid w:val="00DD524E"/>
    <w:rsid w:val="00DD52EC"/>
    <w:rsid w:val="00DD5A8B"/>
    <w:rsid w:val="00DD5C4B"/>
    <w:rsid w:val="00DD5D4C"/>
    <w:rsid w:val="00DD6322"/>
    <w:rsid w:val="00DD6537"/>
    <w:rsid w:val="00DD6667"/>
    <w:rsid w:val="00DD74A2"/>
    <w:rsid w:val="00DD785F"/>
    <w:rsid w:val="00DD7AE1"/>
    <w:rsid w:val="00DE0420"/>
    <w:rsid w:val="00DE1AF6"/>
    <w:rsid w:val="00DE242F"/>
    <w:rsid w:val="00DE24CB"/>
    <w:rsid w:val="00DE2D9B"/>
    <w:rsid w:val="00DE2F88"/>
    <w:rsid w:val="00DE3491"/>
    <w:rsid w:val="00DE383B"/>
    <w:rsid w:val="00DE3915"/>
    <w:rsid w:val="00DE3996"/>
    <w:rsid w:val="00DE3CC8"/>
    <w:rsid w:val="00DE43D9"/>
    <w:rsid w:val="00DE49BE"/>
    <w:rsid w:val="00DE50F0"/>
    <w:rsid w:val="00DE5DA3"/>
    <w:rsid w:val="00DE6576"/>
    <w:rsid w:val="00DE6C66"/>
    <w:rsid w:val="00DE6FB9"/>
    <w:rsid w:val="00DE7400"/>
    <w:rsid w:val="00DE7B61"/>
    <w:rsid w:val="00DF09FF"/>
    <w:rsid w:val="00DF1565"/>
    <w:rsid w:val="00DF21DB"/>
    <w:rsid w:val="00DF32B5"/>
    <w:rsid w:val="00DF4614"/>
    <w:rsid w:val="00DF4A92"/>
    <w:rsid w:val="00DF4C1D"/>
    <w:rsid w:val="00DF4FDF"/>
    <w:rsid w:val="00DF5360"/>
    <w:rsid w:val="00DF5400"/>
    <w:rsid w:val="00DF641A"/>
    <w:rsid w:val="00DF66AC"/>
    <w:rsid w:val="00DF6D10"/>
    <w:rsid w:val="00DF7598"/>
    <w:rsid w:val="00DF7767"/>
    <w:rsid w:val="00DF7B25"/>
    <w:rsid w:val="00DF7E8D"/>
    <w:rsid w:val="00E001C0"/>
    <w:rsid w:val="00E009D9"/>
    <w:rsid w:val="00E00B67"/>
    <w:rsid w:val="00E00FAA"/>
    <w:rsid w:val="00E013F6"/>
    <w:rsid w:val="00E01F69"/>
    <w:rsid w:val="00E0219F"/>
    <w:rsid w:val="00E04730"/>
    <w:rsid w:val="00E0492A"/>
    <w:rsid w:val="00E052F4"/>
    <w:rsid w:val="00E06726"/>
    <w:rsid w:val="00E0684F"/>
    <w:rsid w:val="00E06962"/>
    <w:rsid w:val="00E07355"/>
    <w:rsid w:val="00E0795C"/>
    <w:rsid w:val="00E07F7A"/>
    <w:rsid w:val="00E10573"/>
    <w:rsid w:val="00E113C5"/>
    <w:rsid w:val="00E125FA"/>
    <w:rsid w:val="00E12E9C"/>
    <w:rsid w:val="00E12F95"/>
    <w:rsid w:val="00E12FA3"/>
    <w:rsid w:val="00E135A1"/>
    <w:rsid w:val="00E14352"/>
    <w:rsid w:val="00E14802"/>
    <w:rsid w:val="00E1496E"/>
    <w:rsid w:val="00E159E9"/>
    <w:rsid w:val="00E161DC"/>
    <w:rsid w:val="00E16212"/>
    <w:rsid w:val="00E16BFA"/>
    <w:rsid w:val="00E16EF1"/>
    <w:rsid w:val="00E173EE"/>
    <w:rsid w:val="00E177A0"/>
    <w:rsid w:val="00E178A1"/>
    <w:rsid w:val="00E17F63"/>
    <w:rsid w:val="00E202EF"/>
    <w:rsid w:val="00E211B3"/>
    <w:rsid w:val="00E2125C"/>
    <w:rsid w:val="00E213C3"/>
    <w:rsid w:val="00E23C62"/>
    <w:rsid w:val="00E25010"/>
    <w:rsid w:val="00E2509D"/>
    <w:rsid w:val="00E25D5E"/>
    <w:rsid w:val="00E26CF6"/>
    <w:rsid w:val="00E26E79"/>
    <w:rsid w:val="00E2719C"/>
    <w:rsid w:val="00E274E0"/>
    <w:rsid w:val="00E27D12"/>
    <w:rsid w:val="00E3096D"/>
    <w:rsid w:val="00E30FEE"/>
    <w:rsid w:val="00E3182F"/>
    <w:rsid w:val="00E32340"/>
    <w:rsid w:val="00E32557"/>
    <w:rsid w:val="00E33E87"/>
    <w:rsid w:val="00E34442"/>
    <w:rsid w:val="00E34768"/>
    <w:rsid w:val="00E3509E"/>
    <w:rsid w:val="00E358F0"/>
    <w:rsid w:val="00E35932"/>
    <w:rsid w:val="00E35BA8"/>
    <w:rsid w:val="00E36017"/>
    <w:rsid w:val="00E36528"/>
    <w:rsid w:val="00E365BF"/>
    <w:rsid w:val="00E36BCC"/>
    <w:rsid w:val="00E36EDA"/>
    <w:rsid w:val="00E3718F"/>
    <w:rsid w:val="00E37A2F"/>
    <w:rsid w:val="00E37C32"/>
    <w:rsid w:val="00E40CFB"/>
    <w:rsid w:val="00E416D0"/>
    <w:rsid w:val="00E41FB2"/>
    <w:rsid w:val="00E42024"/>
    <w:rsid w:val="00E42F76"/>
    <w:rsid w:val="00E43979"/>
    <w:rsid w:val="00E43C06"/>
    <w:rsid w:val="00E4489E"/>
    <w:rsid w:val="00E449B1"/>
    <w:rsid w:val="00E46584"/>
    <w:rsid w:val="00E47225"/>
    <w:rsid w:val="00E47B31"/>
    <w:rsid w:val="00E47C59"/>
    <w:rsid w:val="00E501F7"/>
    <w:rsid w:val="00E503DD"/>
    <w:rsid w:val="00E5082D"/>
    <w:rsid w:val="00E51767"/>
    <w:rsid w:val="00E517C9"/>
    <w:rsid w:val="00E53446"/>
    <w:rsid w:val="00E55115"/>
    <w:rsid w:val="00E551E7"/>
    <w:rsid w:val="00E55856"/>
    <w:rsid w:val="00E558AB"/>
    <w:rsid w:val="00E559A2"/>
    <w:rsid w:val="00E55E4C"/>
    <w:rsid w:val="00E57153"/>
    <w:rsid w:val="00E571B7"/>
    <w:rsid w:val="00E574A9"/>
    <w:rsid w:val="00E5767F"/>
    <w:rsid w:val="00E5778D"/>
    <w:rsid w:val="00E6007A"/>
    <w:rsid w:val="00E60670"/>
    <w:rsid w:val="00E6067F"/>
    <w:rsid w:val="00E60A62"/>
    <w:rsid w:val="00E60E60"/>
    <w:rsid w:val="00E61355"/>
    <w:rsid w:val="00E613BC"/>
    <w:rsid w:val="00E61F1E"/>
    <w:rsid w:val="00E62AAC"/>
    <w:rsid w:val="00E6457B"/>
    <w:rsid w:val="00E6478D"/>
    <w:rsid w:val="00E64F56"/>
    <w:rsid w:val="00E65081"/>
    <w:rsid w:val="00E66135"/>
    <w:rsid w:val="00E66861"/>
    <w:rsid w:val="00E66A8A"/>
    <w:rsid w:val="00E66E21"/>
    <w:rsid w:val="00E67063"/>
    <w:rsid w:val="00E67CA4"/>
    <w:rsid w:val="00E67EFB"/>
    <w:rsid w:val="00E70F38"/>
    <w:rsid w:val="00E710FC"/>
    <w:rsid w:val="00E71379"/>
    <w:rsid w:val="00E7144E"/>
    <w:rsid w:val="00E71915"/>
    <w:rsid w:val="00E71FA1"/>
    <w:rsid w:val="00E7218E"/>
    <w:rsid w:val="00E72535"/>
    <w:rsid w:val="00E72AD6"/>
    <w:rsid w:val="00E7357B"/>
    <w:rsid w:val="00E744CD"/>
    <w:rsid w:val="00E75696"/>
    <w:rsid w:val="00E767B9"/>
    <w:rsid w:val="00E7696C"/>
    <w:rsid w:val="00E76971"/>
    <w:rsid w:val="00E7756E"/>
    <w:rsid w:val="00E77CD3"/>
    <w:rsid w:val="00E80344"/>
    <w:rsid w:val="00E8057C"/>
    <w:rsid w:val="00E80916"/>
    <w:rsid w:val="00E817A5"/>
    <w:rsid w:val="00E8230B"/>
    <w:rsid w:val="00E82DF4"/>
    <w:rsid w:val="00E83F3F"/>
    <w:rsid w:val="00E840DF"/>
    <w:rsid w:val="00E8489A"/>
    <w:rsid w:val="00E8560F"/>
    <w:rsid w:val="00E867BB"/>
    <w:rsid w:val="00E86E6A"/>
    <w:rsid w:val="00E8780A"/>
    <w:rsid w:val="00E903B4"/>
    <w:rsid w:val="00E90695"/>
    <w:rsid w:val="00E907DE"/>
    <w:rsid w:val="00E909D6"/>
    <w:rsid w:val="00E90A2C"/>
    <w:rsid w:val="00E90E58"/>
    <w:rsid w:val="00E90FA0"/>
    <w:rsid w:val="00E91D8F"/>
    <w:rsid w:val="00E91FC1"/>
    <w:rsid w:val="00E920C6"/>
    <w:rsid w:val="00E92769"/>
    <w:rsid w:val="00E93798"/>
    <w:rsid w:val="00E94E23"/>
    <w:rsid w:val="00E95109"/>
    <w:rsid w:val="00E957FC"/>
    <w:rsid w:val="00E961B1"/>
    <w:rsid w:val="00E9705D"/>
    <w:rsid w:val="00E973BE"/>
    <w:rsid w:val="00E97C4F"/>
    <w:rsid w:val="00EA0289"/>
    <w:rsid w:val="00EA0669"/>
    <w:rsid w:val="00EA0F5F"/>
    <w:rsid w:val="00EA1991"/>
    <w:rsid w:val="00EA2112"/>
    <w:rsid w:val="00EA332E"/>
    <w:rsid w:val="00EA376D"/>
    <w:rsid w:val="00EA3D7A"/>
    <w:rsid w:val="00EA3FE0"/>
    <w:rsid w:val="00EA446F"/>
    <w:rsid w:val="00EA50AE"/>
    <w:rsid w:val="00EA5ECE"/>
    <w:rsid w:val="00EA67E9"/>
    <w:rsid w:val="00EA753D"/>
    <w:rsid w:val="00EB071A"/>
    <w:rsid w:val="00EB0BFC"/>
    <w:rsid w:val="00EB11D1"/>
    <w:rsid w:val="00EB181B"/>
    <w:rsid w:val="00EB1CA4"/>
    <w:rsid w:val="00EB2067"/>
    <w:rsid w:val="00EB20E3"/>
    <w:rsid w:val="00EB289E"/>
    <w:rsid w:val="00EB2B05"/>
    <w:rsid w:val="00EB2DEA"/>
    <w:rsid w:val="00EB305F"/>
    <w:rsid w:val="00EB3201"/>
    <w:rsid w:val="00EB6473"/>
    <w:rsid w:val="00EB65FA"/>
    <w:rsid w:val="00EB6ACD"/>
    <w:rsid w:val="00EB7D3E"/>
    <w:rsid w:val="00EC0228"/>
    <w:rsid w:val="00EC023E"/>
    <w:rsid w:val="00EC06D1"/>
    <w:rsid w:val="00EC144F"/>
    <w:rsid w:val="00EC181D"/>
    <w:rsid w:val="00EC1927"/>
    <w:rsid w:val="00EC3335"/>
    <w:rsid w:val="00EC341C"/>
    <w:rsid w:val="00EC3585"/>
    <w:rsid w:val="00EC401B"/>
    <w:rsid w:val="00EC478B"/>
    <w:rsid w:val="00EC486E"/>
    <w:rsid w:val="00EC5EB8"/>
    <w:rsid w:val="00EC64DD"/>
    <w:rsid w:val="00EC6682"/>
    <w:rsid w:val="00EC6BD7"/>
    <w:rsid w:val="00ED0100"/>
    <w:rsid w:val="00ED060B"/>
    <w:rsid w:val="00ED105B"/>
    <w:rsid w:val="00ED1406"/>
    <w:rsid w:val="00ED1657"/>
    <w:rsid w:val="00ED28DB"/>
    <w:rsid w:val="00ED2CA6"/>
    <w:rsid w:val="00ED3774"/>
    <w:rsid w:val="00ED3F85"/>
    <w:rsid w:val="00ED4126"/>
    <w:rsid w:val="00ED5283"/>
    <w:rsid w:val="00ED5637"/>
    <w:rsid w:val="00ED63D7"/>
    <w:rsid w:val="00ED65C5"/>
    <w:rsid w:val="00ED6618"/>
    <w:rsid w:val="00ED6710"/>
    <w:rsid w:val="00EE10C7"/>
    <w:rsid w:val="00EE146E"/>
    <w:rsid w:val="00EE1766"/>
    <w:rsid w:val="00EE310D"/>
    <w:rsid w:val="00EE3C27"/>
    <w:rsid w:val="00EE4D94"/>
    <w:rsid w:val="00EE5104"/>
    <w:rsid w:val="00EE5119"/>
    <w:rsid w:val="00EE5585"/>
    <w:rsid w:val="00EE5B22"/>
    <w:rsid w:val="00EE5D54"/>
    <w:rsid w:val="00EE6240"/>
    <w:rsid w:val="00EE689D"/>
    <w:rsid w:val="00EE6B43"/>
    <w:rsid w:val="00EE71C9"/>
    <w:rsid w:val="00EF0811"/>
    <w:rsid w:val="00EF14C8"/>
    <w:rsid w:val="00EF25D2"/>
    <w:rsid w:val="00EF352D"/>
    <w:rsid w:val="00EF48E4"/>
    <w:rsid w:val="00EF4A45"/>
    <w:rsid w:val="00EF4AEE"/>
    <w:rsid w:val="00EF4DA0"/>
    <w:rsid w:val="00EF553C"/>
    <w:rsid w:val="00EF59D4"/>
    <w:rsid w:val="00EF6E0E"/>
    <w:rsid w:val="00EF6E41"/>
    <w:rsid w:val="00EF7A39"/>
    <w:rsid w:val="00EF7F4E"/>
    <w:rsid w:val="00F01F69"/>
    <w:rsid w:val="00F030C8"/>
    <w:rsid w:val="00F03B24"/>
    <w:rsid w:val="00F03F3B"/>
    <w:rsid w:val="00F0459F"/>
    <w:rsid w:val="00F04F61"/>
    <w:rsid w:val="00F0512C"/>
    <w:rsid w:val="00F07468"/>
    <w:rsid w:val="00F078E1"/>
    <w:rsid w:val="00F11DDC"/>
    <w:rsid w:val="00F11EE8"/>
    <w:rsid w:val="00F12756"/>
    <w:rsid w:val="00F12E24"/>
    <w:rsid w:val="00F1302B"/>
    <w:rsid w:val="00F13F76"/>
    <w:rsid w:val="00F143B3"/>
    <w:rsid w:val="00F14BA1"/>
    <w:rsid w:val="00F15F05"/>
    <w:rsid w:val="00F16964"/>
    <w:rsid w:val="00F173E0"/>
    <w:rsid w:val="00F20756"/>
    <w:rsid w:val="00F2176B"/>
    <w:rsid w:val="00F2182D"/>
    <w:rsid w:val="00F224E3"/>
    <w:rsid w:val="00F22924"/>
    <w:rsid w:val="00F22D82"/>
    <w:rsid w:val="00F23463"/>
    <w:rsid w:val="00F23A8E"/>
    <w:rsid w:val="00F25139"/>
    <w:rsid w:val="00F253C7"/>
    <w:rsid w:val="00F256A7"/>
    <w:rsid w:val="00F26C42"/>
    <w:rsid w:val="00F26CA1"/>
    <w:rsid w:val="00F26D40"/>
    <w:rsid w:val="00F271B2"/>
    <w:rsid w:val="00F27899"/>
    <w:rsid w:val="00F30D2B"/>
    <w:rsid w:val="00F315BE"/>
    <w:rsid w:val="00F31CAF"/>
    <w:rsid w:val="00F31D1A"/>
    <w:rsid w:val="00F33AC3"/>
    <w:rsid w:val="00F340B6"/>
    <w:rsid w:val="00F349E4"/>
    <w:rsid w:val="00F351DF"/>
    <w:rsid w:val="00F35520"/>
    <w:rsid w:val="00F35D6D"/>
    <w:rsid w:val="00F361B7"/>
    <w:rsid w:val="00F363AE"/>
    <w:rsid w:val="00F37C2A"/>
    <w:rsid w:val="00F37D4B"/>
    <w:rsid w:val="00F40BAE"/>
    <w:rsid w:val="00F41980"/>
    <w:rsid w:val="00F420BE"/>
    <w:rsid w:val="00F425D0"/>
    <w:rsid w:val="00F42F08"/>
    <w:rsid w:val="00F435D7"/>
    <w:rsid w:val="00F437F9"/>
    <w:rsid w:val="00F43B77"/>
    <w:rsid w:val="00F4456B"/>
    <w:rsid w:val="00F44696"/>
    <w:rsid w:val="00F4578F"/>
    <w:rsid w:val="00F46CCD"/>
    <w:rsid w:val="00F46EAA"/>
    <w:rsid w:val="00F472A2"/>
    <w:rsid w:val="00F5068C"/>
    <w:rsid w:val="00F51162"/>
    <w:rsid w:val="00F5215F"/>
    <w:rsid w:val="00F52F93"/>
    <w:rsid w:val="00F531ED"/>
    <w:rsid w:val="00F53A38"/>
    <w:rsid w:val="00F54608"/>
    <w:rsid w:val="00F552F2"/>
    <w:rsid w:val="00F5577D"/>
    <w:rsid w:val="00F55CC4"/>
    <w:rsid w:val="00F55E52"/>
    <w:rsid w:val="00F572DE"/>
    <w:rsid w:val="00F57EF0"/>
    <w:rsid w:val="00F6008E"/>
    <w:rsid w:val="00F60E81"/>
    <w:rsid w:val="00F61600"/>
    <w:rsid w:val="00F6164C"/>
    <w:rsid w:val="00F627E2"/>
    <w:rsid w:val="00F666E6"/>
    <w:rsid w:val="00F66DFC"/>
    <w:rsid w:val="00F66E32"/>
    <w:rsid w:val="00F67C95"/>
    <w:rsid w:val="00F70C22"/>
    <w:rsid w:val="00F70D44"/>
    <w:rsid w:val="00F71126"/>
    <w:rsid w:val="00F714A3"/>
    <w:rsid w:val="00F71520"/>
    <w:rsid w:val="00F747D7"/>
    <w:rsid w:val="00F74881"/>
    <w:rsid w:val="00F74CC4"/>
    <w:rsid w:val="00F7590F"/>
    <w:rsid w:val="00F75FE2"/>
    <w:rsid w:val="00F762CF"/>
    <w:rsid w:val="00F772CC"/>
    <w:rsid w:val="00F775E0"/>
    <w:rsid w:val="00F77629"/>
    <w:rsid w:val="00F801F7"/>
    <w:rsid w:val="00F8377F"/>
    <w:rsid w:val="00F85321"/>
    <w:rsid w:val="00F8556B"/>
    <w:rsid w:val="00F8569E"/>
    <w:rsid w:val="00F85A14"/>
    <w:rsid w:val="00F8691A"/>
    <w:rsid w:val="00F87F66"/>
    <w:rsid w:val="00F90490"/>
    <w:rsid w:val="00F90963"/>
    <w:rsid w:val="00F90C02"/>
    <w:rsid w:val="00F90C35"/>
    <w:rsid w:val="00F90D21"/>
    <w:rsid w:val="00F90EB0"/>
    <w:rsid w:val="00F913C6"/>
    <w:rsid w:val="00F91467"/>
    <w:rsid w:val="00F91DD6"/>
    <w:rsid w:val="00F930A0"/>
    <w:rsid w:val="00F93114"/>
    <w:rsid w:val="00F93612"/>
    <w:rsid w:val="00F941CE"/>
    <w:rsid w:val="00F94864"/>
    <w:rsid w:val="00F94C9A"/>
    <w:rsid w:val="00F952D9"/>
    <w:rsid w:val="00F95BDD"/>
    <w:rsid w:val="00F9676D"/>
    <w:rsid w:val="00F971C9"/>
    <w:rsid w:val="00F97760"/>
    <w:rsid w:val="00F97F4D"/>
    <w:rsid w:val="00FA0179"/>
    <w:rsid w:val="00FA02EE"/>
    <w:rsid w:val="00FA14D8"/>
    <w:rsid w:val="00FA2699"/>
    <w:rsid w:val="00FA3162"/>
    <w:rsid w:val="00FA33A6"/>
    <w:rsid w:val="00FA41F2"/>
    <w:rsid w:val="00FA5E61"/>
    <w:rsid w:val="00FB0B18"/>
    <w:rsid w:val="00FB1A2C"/>
    <w:rsid w:val="00FB2ACA"/>
    <w:rsid w:val="00FB2DC2"/>
    <w:rsid w:val="00FB3F0C"/>
    <w:rsid w:val="00FB509D"/>
    <w:rsid w:val="00FB5FEE"/>
    <w:rsid w:val="00FB6627"/>
    <w:rsid w:val="00FB673E"/>
    <w:rsid w:val="00FB72FD"/>
    <w:rsid w:val="00FB753B"/>
    <w:rsid w:val="00FB7769"/>
    <w:rsid w:val="00FB7BC8"/>
    <w:rsid w:val="00FC0278"/>
    <w:rsid w:val="00FC064B"/>
    <w:rsid w:val="00FC2016"/>
    <w:rsid w:val="00FC2088"/>
    <w:rsid w:val="00FC3AE8"/>
    <w:rsid w:val="00FC3D1F"/>
    <w:rsid w:val="00FC3D57"/>
    <w:rsid w:val="00FC3D7B"/>
    <w:rsid w:val="00FC3EB4"/>
    <w:rsid w:val="00FC51B8"/>
    <w:rsid w:val="00FC5FD1"/>
    <w:rsid w:val="00FC6AB5"/>
    <w:rsid w:val="00FC6C2D"/>
    <w:rsid w:val="00FC7089"/>
    <w:rsid w:val="00FD11F7"/>
    <w:rsid w:val="00FD142D"/>
    <w:rsid w:val="00FD16AB"/>
    <w:rsid w:val="00FD240B"/>
    <w:rsid w:val="00FD298A"/>
    <w:rsid w:val="00FD2E3A"/>
    <w:rsid w:val="00FD38DC"/>
    <w:rsid w:val="00FD3981"/>
    <w:rsid w:val="00FD3B58"/>
    <w:rsid w:val="00FD4132"/>
    <w:rsid w:val="00FD4485"/>
    <w:rsid w:val="00FD4CED"/>
    <w:rsid w:val="00FD4F26"/>
    <w:rsid w:val="00FD602E"/>
    <w:rsid w:val="00FD6457"/>
    <w:rsid w:val="00FD691E"/>
    <w:rsid w:val="00FD6FFA"/>
    <w:rsid w:val="00FD755E"/>
    <w:rsid w:val="00FD7CD3"/>
    <w:rsid w:val="00FE0CD4"/>
    <w:rsid w:val="00FE0DDF"/>
    <w:rsid w:val="00FE30B1"/>
    <w:rsid w:val="00FE42C3"/>
    <w:rsid w:val="00FE44C5"/>
    <w:rsid w:val="00FE675F"/>
    <w:rsid w:val="00FE7348"/>
    <w:rsid w:val="00FE768A"/>
    <w:rsid w:val="00FE7D52"/>
    <w:rsid w:val="00FF1021"/>
    <w:rsid w:val="00FF1320"/>
    <w:rsid w:val="00FF141F"/>
    <w:rsid w:val="00FF1879"/>
    <w:rsid w:val="00FF27C3"/>
    <w:rsid w:val="00FF2923"/>
    <w:rsid w:val="00FF3C47"/>
    <w:rsid w:val="00FF406D"/>
    <w:rsid w:val="00FF48DB"/>
    <w:rsid w:val="00FF5CE3"/>
    <w:rsid w:val="00FF5DD6"/>
    <w:rsid w:val="00FF62B2"/>
    <w:rsid w:val="00FF6466"/>
    <w:rsid w:val="00FF667F"/>
    <w:rsid w:val="00FF7B01"/>
    <w:rsid w:val="00FF7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57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customStyle="1" w:styleId="FootnoteTextChar">
    <w:name w:val="Footnote Text Char"/>
    <w:basedOn w:val="DefaultParagraphFont"/>
    <w:link w:val="FootnoteText"/>
    <w:uiPriority w:val="53"/>
    <w:rsid w:val="004B2EE6"/>
  </w:style>
  <w:style w:type="paragraph" w:styleId="EndnoteText">
    <w:name w:val="endnote text"/>
    <w:basedOn w:val="Normal"/>
    <w:link w:val="EndnoteTextChar"/>
    <w:uiPriority w:val="99"/>
    <w:semiHidden/>
    <w:unhideWhenUsed/>
    <w:locked/>
    <w:rsid w:val="00345C50"/>
    <w:pPr>
      <w:spacing w:line="240" w:lineRule="auto"/>
    </w:pPr>
    <w:rPr>
      <w:sz w:val="20"/>
      <w:szCs w:val="20"/>
    </w:rPr>
  </w:style>
  <w:style w:type="character" w:customStyle="1" w:styleId="EndnoteTextChar">
    <w:name w:val="Endnote Text Char"/>
    <w:basedOn w:val="DefaultParagraphFont"/>
    <w:link w:val="EndnoteText"/>
    <w:uiPriority w:val="99"/>
    <w:semiHidden/>
    <w:rsid w:val="00345C50"/>
    <w:rPr>
      <w:sz w:val="20"/>
      <w:szCs w:val="20"/>
    </w:rPr>
  </w:style>
  <w:style w:type="character" w:styleId="EndnoteReference">
    <w:name w:val="endnote reference"/>
    <w:basedOn w:val="DefaultParagraphFont"/>
    <w:uiPriority w:val="99"/>
    <w:semiHidden/>
    <w:unhideWhenUsed/>
    <w:locked/>
    <w:rsid w:val="00345C50"/>
    <w:rPr>
      <w:vertAlign w:val="superscript"/>
    </w:rPr>
  </w:style>
  <w:style w:type="paragraph" w:styleId="Revision">
    <w:name w:val="Revision"/>
    <w:hidden/>
    <w:uiPriority w:val="99"/>
    <w:semiHidden/>
    <w:rsid w:val="00CD3E9D"/>
  </w:style>
  <w:style w:type="paragraph" w:styleId="PlainText">
    <w:name w:val="Plain Text"/>
    <w:basedOn w:val="Normal"/>
    <w:link w:val="PlainTextChar"/>
    <w:uiPriority w:val="99"/>
    <w:semiHidden/>
    <w:unhideWhenUsed/>
    <w:locked/>
    <w:rsid w:val="009A3D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A3DE4"/>
    <w:rPr>
      <w:rFonts w:ascii="Calibri" w:eastAsiaTheme="minorHAnsi" w:hAnsi="Calibri" w:cstheme="minorBidi"/>
      <w:sz w:val="22"/>
      <w:szCs w:val="21"/>
      <w:lang w:eastAsia="en-US"/>
    </w:rPr>
  </w:style>
  <w:style w:type="character" w:styleId="CommentReference">
    <w:name w:val="annotation reference"/>
    <w:basedOn w:val="DefaultParagraphFont"/>
    <w:uiPriority w:val="99"/>
    <w:semiHidden/>
    <w:unhideWhenUsed/>
    <w:locked/>
    <w:rsid w:val="009A3DE4"/>
    <w:rPr>
      <w:sz w:val="16"/>
      <w:szCs w:val="16"/>
    </w:rPr>
  </w:style>
  <w:style w:type="paragraph" w:styleId="CommentText">
    <w:name w:val="annotation text"/>
    <w:basedOn w:val="Normal"/>
    <w:link w:val="CommentTextChar"/>
    <w:uiPriority w:val="99"/>
    <w:semiHidden/>
    <w:unhideWhenUsed/>
    <w:locked/>
    <w:rsid w:val="009A3DE4"/>
    <w:pPr>
      <w:spacing w:line="240" w:lineRule="auto"/>
    </w:pPr>
    <w:rPr>
      <w:sz w:val="20"/>
      <w:szCs w:val="20"/>
    </w:rPr>
  </w:style>
  <w:style w:type="character" w:customStyle="1" w:styleId="CommentTextChar">
    <w:name w:val="Comment Text Char"/>
    <w:basedOn w:val="DefaultParagraphFont"/>
    <w:link w:val="CommentText"/>
    <w:uiPriority w:val="99"/>
    <w:semiHidden/>
    <w:rsid w:val="009A3DE4"/>
    <w:rPr>
      <w:sz w:val="20"/>
      <w:szCs w:val="20"/>
    </w:rPr>
  </w:style>
  <w:style w:type="paragraph" w:styleId="CommentSubject">
    <w:name w:val="annotation subject"/>
    <w:basedOn w:val="CommentText"/>
    <w:next w:val="CommentText"/>
    <w:link w:val="CommentSubjectChar"/>
    <w:uiPriority w:val="99"/>
    <w:semiHidden/>
    <w:unhideWhenUsed/>
    <w:locked/>
    <w:rsid w:val="009A3DE4"/>
    <w:rPr>
      <w:b/>
      <w:bCs/>
    </w:rPr>
  </w:style>
  <w:style w:type="character" w:customStyle="1" w:styleId="CommentSubjectChar">
    <w:name w:val="Comment Subject Char"/>
    <w:basedOn w:val="CommentTextChar"/>
    <w:link w:val="CommentSubject"/>
    <w:uiPriority w:val="99"/>
    <w:semiHidden/>
    <w:rsid w:val="009A3DE4"/>
    <w:rPr>
      <w:b/>
      <w:bCs/>
      <w:sz w:val="20"/>
      <w:szCs w:val="20"/>
    </w:rPr>
  </w:style>
  <w:style w:type="paragraph" w:customStyle="1" w:styleId="NoNorm">
    <w:name w:val="No Norm"/>
    <w:basedOn w:val="Normal"/>
    <w:qFormat/>
    <w:rsid w:val="009A3DE4"/>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styleId="Quote">
    <w:name w:val="Quote"/>
    <w:basedOn w:val="Normal"/>
    <w:next w:val="NoNorm"/>
    <w:link w:val="QuoteChar"/>
    <w:uiPriority w:val="29"/>
    <w:qFormat/>
    <w:locked/>
    <w:rsid w:val="009A3DE4"/>
    <w:pPr>
      <w:tabs>
        <w:tab w:val="clear" w:pos="720"/>
        <w:tab w:val="clear" w:pos="1440"/>
        <w:tab w:val="left" w:pos="1276"/>
      </w:tabs>
      <w:spacing w:before="120" w:after="240" w:line="276" w:lineRule="auto"/>
      <w:ind w:left="1276" w:right="566" w:firstLine="0"/>
      <w:jc w:val="both"/>
    </w:pPr>
    <w:rPr>
      <w:rFonts w:ascii="Arial" w:hAnsi="Arial" w:cs="Arial"/>
      <w:sz w:val="21"/>
      <w:szCs w:val="22"/>
    </w:rPr>
  </w:style>
  <w:style w:type="character" w:customStyle="1" w:styleId="QuoteChar">
    <w:name w:val="Quote Char"/>
    <w:basedOn w:val="DefaultParagraphFont"/>
    <w:link w:val="Quote"/>
    <w:uiPriority w:val="29"/>
    <w:rsid w:val="009A3DE4"/>
    <w:rPr>
      <w:rFonts w:ascii="Arial" w:hAnsi="Arial" w:cs="Arial"/>
      <w:sz w:val="21"/>
      <w:szCs w:val="22"/>
    </w:rPr>
  </w:style>
  <w:style w:type="paragraph" w:customStyle="1" w:styleId="Noindentnormal">
    <w:name w:val="No indent normal"/>
    <w:basedOn w:val="NoNorm"/>
    <w:qFormat/>
    <w:rsid w:val="009A3DE4"/>
    <w:pPr>
      <w:tabs>
        <w:tab w:val="clear" w:pos="2160"/>
        <w:tab w:val="left" w:pos="1418"/>
      </w:tabs>
      <w:ind w:left="1418" w:hanging="709"/>
    </w:pPr>
  </w:style>
  <w:style w:type="paragraph" w:customStyle="1" w:styleId="Indentlista">
    <w:name w:val="Indent list a)"/>
    <w:basedOn w:val="Noindentnormal"/>
    <w:qFormat/>
    <w:rsid w:val="009A3DE4"/>
    <w:pPr>
      <w:tabs>
        <w:tab w:val="left" w:pos="2268"/>
      </w:tabs>
      <w:spacing w:before="60"/>
      <w:ind w:left="2268" w:hanging="567"/>
    </w:pPr>
  </w:style>
  <w:style w:type="character" w:styleId="Emphasis">
    <w:name w:val="Emphasis"/>
    <w:basedOn w:val="DefaultParagraphFont"/>
    <w:uiPriority w:val="20"/>
    <w:qFormat/>
    <w:locked/>
    <w:rsid w:val="009A3DE4"/>
    <w:rPr>
      <w:i/>
      <w:iCs/>
    </w:rPr>
  </w:style>
  <w:style w:type="character" w:styleId="Hyperlink">
    <w:name w:val="Hyperlink"/>
    <w:basedOn w:val="DefaultParagraphFont"/>
    <w:uiPriority w:val="99"/>
    <w:semiHidden/>
    <w:unhideWhenUsed/>
    <w:locked/>
    <w:rsid w:val="009A3DE4"/>
    <w:rPr>
      <w:color w:val="0000FF"/>
      <w:u w:val="single"/>
    </w:rPr>
  </w:style>
  <w:style w:type="paragraph" w:customStyle="1" w:styleId="Body">
    <w:name w:val="Body"/>
    <w:basedOn w:val="Normal"/>
    <w:qFormat/>
    <w:rsid w:val="0020454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20454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20454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20454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20454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20454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98430">
      <w:bodyDiv w:val="1"/>
      <w:marLeft w:val="0"/>
      <w:marRight w:val="0"/>
      <w:marTop w:val="0"/>
      <w:marBottom w:val="0"/>
      <w:divBdr>
        <w:top w:val="none" w:sz="0" w:space="0" w:color="auto"/>
        <w:left w:val="none" w:sz="0" w:space="0" w:color="auto"/>
        <w:bottom w:val="none" w:sz="0" w:space="0" w:color="auto"/>
        <w:right w:val="none" w:sz="0" w:space="0" w:color="auto"/>
      </w:divBdr>
    </w:div>
    <w:div w:id="512450983">
      <w:bodyDiv w:val="1"/>
      <w:marLeft w:val="0"/>
      <w:marRight w:val="0"/>
      <w:marTop w:val="0"/>
      <w:marBottom w:val="0"/>
      <w:divBdr>
        <w:top w:val="none" w:sz="0" w:space="0" w:color="auto"/>
        <w:left w:val="none" w:sz="0" w:space="0" w:color="auto"/>
        <w:bottom w:val="none" w:sz="0" w:space="0" w:color="auto"/>
        <w:right w:val="none" w:sz="0" w:space="0" w:color="auto"/>
      </w:divBdr>
    </w:div>
    <w:div w:id="1511796063">
      <w:bodyDiv w:val="1"/>
      <w:marLeft w:val="0"/>
      <w:marRight w:val="0"/>
      <w:marTop w:val="0"/>
      <w:marBottom w:val="0"/>
      <w:divBdr>
        <w:top w:val="none" w:sz="0" w:space="0" w:color="auto"/>
        <w:left w:val="none" w:sz="0" w:space="0" w:color="auto"/>
        <w:bottom w:val="none" w:sz="0" w:space="0" w:color="auto"/>
        <w:right w:val="none" w:sz="0" w:space="0" w:color="auto"/>
      </w:divBdr>
    </w:div>
    <w:div w:id="2128312895">
      <w:bodyDiv w:val="1"/>
      <w:marLeft w:val="0"/>
      <w:marRight w:val="0"/>
      <w:marTop w:val="0"/>
      <w:marBottom w:val="0"/>
      <w:divBdr>
        <w:top w:val="none" w:sz="0" w:space="0" w:color="auto"/>
        <w:left w:val="none" w:sz="0" w:space="0" w:color="auto"/>
        <w:bottom w:val="none" w:sz="0" w:space="0" w:color="auto"/>
        <w:right w:val="none" w:sz="0" w:space="0" w:color="auto"/>
      </w:divBdr>
    </w:div>
    <w:div w:id="21376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7.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3cc3f26d-d9cc-46f3-89c7-f1482de8c8f1"/>
    <ds:schemaRef ds:uri="http://purl.org/dc/dcmitype/"/>
  </ds:schemaRefs>
</ds:datastoreItem>
</file>

<file path=customXml/itemProps3.xml><?xml version="1.0" encoding="utf-8"?>
<ds:datastoreItem xmlns:ds="http://schemas.openxmlformats.org/officeDocument/2006/customXml" ds:itemID="{CF440034-4315-48F6-A886-1534DFE36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B9BC5-BF57-4A62-BA10-5E234FD7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Chambers(V7.0).dotm</Template>
  <TotalTime>0</TotalTime>
  <Pages>53</Pages>
  <Words>13774</Words>
  <Characters>78518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2021-03-08T23:09:00Z</dcterms:created>
  <dcterms:modified xsi:type="dcterms:W3CDTF">2021-03-08T23:09:00Z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NETTLE J 05</vt:lpwstr>
  </property>
  <property fmtid="{D5CDD505-2E9C-101B-9397-08002B2CF9AE}" pid="7" name="Judge06">
    <vt:lpwstr>GORDON J 06</vt:lpwstr>
  </property>
  <property fmtid="{D5CDD505-2E9C-101B-9397-08002B2CF9AE}" pid="8" name="Judge07">
    <vt:lpwstr>EDELMAN J 07</vt:lpwstr>
  </property>
  <property fmtid="{D5CDD505-2E9C-101B-9397-08002B2CF9AE}" pid="9" name="ContentTypeId">
    <vt:lpwstr>0x0101001F32D2EC4F8DE44A8C0C478B82839881</vt:lpwstr>
  </property>
</Properties>
</file>